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DE90E" w14:textId="11779D22" w:rsidR="0088027B" w:rsidRPr="00424BD3" w:rsidRDefault="0088027B" w:rsidP="00825258">
      <w:pPr>
        <w:jc w:val="center"/>
        <w:rPr>
          <w:rFonts w:cs="Arial"/>
          <w:szCs w:val="24"/>
        </w:rPr>
      </w:pPr>
      <w:r w:rsidRPr="00424BD3">
        <w:rPr>
          <w:rFonts w:cs="Arial"/>
          <w:szCs w:val="24"/>
        </w:rPr>
        <w:t>To the Graduate Council:</w:t>
      </w:r>
    </w:p>
    <w:p w14:paraId="69227DC6" w14:textId="5C041F32" w:rsidR="002E71B0" w:rsidRPr="00424BD3" w:rsidRDefault="002E71B0">
      <w:pPr>
        <w:rPr>
          <w:rFonts w:cs="Arial"/>
          <w:szCs w:val="24"/>
        </w:rPr>
      </w:pPr>
      <w:r w:rsidRPr="00424BD3">
        <w:rPr>
          <w:rFonts w:cs="Arial"/>
          <w:szCs w:val="24"/>
        </w:rPr>
        <w:t>I am submitting herewith a dissertation written by Heather Davis entitled “</w:t>
      </w:r>
      <w:r w:rsidR="0017136D" w:rsidRPr="00424BD3">
        <w:rPr>
          <w:rFonts w:cs="Arial"/>
          <w:szCs w:val="24"/>
        </w:rPr>
        <w:t>Genealogy</w:t>
      </w:r>
      <w:r w:rsidRPr="00424BD3">
        <w:rPr>
          <w:rFonts w:cs="Arial"/>
          <w:szCs w:val="24"/>
        </w:rPr>
        <w:t xml:space="preserve"> Tells: Using Older Women’s Experiences of Gendered Health Inequity and Familial Mortality Outcomes to Inform Health and Aging Policies Across East Tennessee.” I have examined the final electronic copy of this </w:t>
      </w:r>
      <w:r w:rsidR="00F52BC6" w:rsidRPr="00424BD3">
        <w:rPr>
          <w:rFonts w:cs="Arial"/>
          <w:szCs w:val="24"/>
        </w:rPr>
        <w:t>dissertation for form and content and recommend that it be accepted in partial fulfillment of the requirements for the degree of Doctor of Philosophy, with a major in Geography.</w:t>
      </w:r>
    </w:p>
    <w:p w14:paraId="731EADCB" w14:textId="071FEA45" w:rsidR="00F52BC6" w:rsidRPr="00424BD3" w:rsidRDefault="00DB244D" w:rsidP="00DB244D">
      <w:pPr>
        <w:jc w:val="right"/>
        <w:rPr>
          <w:rFonts w:cs="Arial"/>
          <w:szCs w:val="24"/>
        </w:rPr>
      </w:pPr>
      <w:r w:rsidRPr="00424BD3">
        <w:rPr>
          <w:rFonts w:cs="Arial"/>
          <w:szCs w:val="24"/>
        </w:rPr>
        <w:t xml:space="preserve">Solange </w:t>
      </w:r>
      <w:r w:rsidR="005417F3" w:rsidRPr="00424BD3">
        <w:rPr>
          <w:rFonts w:cs="Arial"/>
          <w:szCs w:val="24"/>
        </w:rPr>
        <w:t>Mu</w:t>
      </w:r>
      <w:r w:rsidR="005417F3">
        <w:rPr>
          <w:rFonts w:cs="Arial"/>
          <w:szCs w:val="24"/>
        </w:rPr>
        <w:t>ñ</w:t>
      </w:r>
      <w:r w:rsidR="005417F3" w:rsidRPr="00424BD3">
        <w:rPr>
          <w:rFonts w:cs="Arial"/>
          <w:szCs w:val="24"/>
        </w:rPr>
        <w:t>oz</w:t>
      </w:r>
      <w:r w:rsidRPr="00424BD3">
        <w:rPr>
          <w:rFonts w:cs="Arial"/>
          <w:szCs w:val="24"/>
        </w:rPr>
        <w:t>, Major Professor</w:t>
      </w:r>
    </w:p>
    <w:p w14:paraId="7306F1D2" w14:textId="08797121" w:rsidR="00DB244D" w:rsidRPr="00424BD3" w:rsidRDefault="00DB244D" w:rsidP="00DB244D">
      <w:pPr>
        <w:rPr>
          <w:rFonts w:cs="Arial"/>
          <w:szCs w:val="24"/>
        </w:rPr>
      </w:pPr>
      <w:r w:rsidRPr="00424BD3">
        <w:rPr>
          <w:rFonts w:cs="Arial"/>
          <w:szCs w:val="24"/>
        </w:rPr>
        <w:t>We have read this dissertation and recommend its acceptance:</w:t>
      </w:r>
    </w:p>
    <w:p w14:paraId="2D7BD486" w14:textId="1DD7D00E" w:rsidR="00DB244D" w:rsidRPr="00424BD3" w:rsidRDefault="00DB244D" w:rsidP="00DB244D">
      <w:pPr>
        <w:rPr>
          <w:rFonts w:cs="Arial"/>
          <w:szCs w:val="24"/>
        </w:rPr>
      </w:pPr>
      <w:r w:rsidRPr="00424BD3">
        <w:rPr>
          <w:rFonts w:cs="Arial"/>
          <w:szCs w:val="24"/>
        </w:rPr>
        <w:t>Gerard McCartney, Derek Alderman, Stefanie Benjamin</w:t>
      </w:r>
    </w:p>
    <w:p w14:paraId="19927B06" w14:textId="77777777" w:rsidR="00DB244D" w:rsidRPr="00424BD3" w:rsidRDefault="00DB244D" w:rsidP="00DB244D">
      <w:pPr>
        <w:rPr>
          <w:rFonts w:cs="Arial"/>
          <w:szCs w:val="24"/>
        </w:rPr>
      </w:pPr>
    </w:p>
    <w:p w14:paraId="738C9075" w14:textId="5A7B3E26" w:rsidR="00DB244D" w:rsidRPr="00424BD3" w:rsidRDefault="00DB244D" w:rsidP="00DB244D">
      <w:pPr>
        <w:jc w:val="right"/>
        <w:rPr>
          <w:rFonts w:cs="Arial"/>
          <w:szCs w:val="24"/>
        </w:rPr>
      </w:pPr>
      <w:r w:rsidRPr="00424BD3">
        <w:rPr>
          <w:rFonts w:cs="Arial"/>
          <w:szCs w:val="24"/>
        </w:rPr>
        <w:t>Accepted for the Council:</w:t>
      </w:r>
    </w:p>
    <w:p w14:paraId="7A4481AA" w14:textId="1BA2F80A" w:rsidR="00DB244D" w:rsidRPr="00424BD3" w:rsidRDefault="00DB244D" w:rsidP="00DB244D">
      <w:pPr>
        <w:jc w:val="right"/>
        <w:rPr>
          <w:rFonts w:cs="Arial"/>
          <w:szCs w:val="24"/>
        </w:rPr>
      </w:pPr>
      <w:r w:rsidRPr="00424BD3">
        <w:rPr>
          <w:rFonts w:cs="Arial"/>
          <w:szCs w:val="24"/>
          <w:u w:val="single"/>
        </w:rPr>
        <w:t>Dixie L. Thompson</w:t>
      </w:r>
    </w:p>
    <w:p w14:paraId="1659C889" w14:textId="2A1FEE5E" w:rsidR="00DB244D" w:rsidRPr="00424BD3" w:rsidRDefault="00DB244D" w:rsidP="00DB244D">
      <w:pPr>
        <w:jc w:val="right"/>
        <w:rPr>
          <w:rFonts w:cs="Arial"/>
          <w:szCs w:val="24"/>
        </w:rPr>
      </w:pPr>
      <w:r w:rsidRPr="00424BD3">
        <w:rPr>
          <w:rFonts w:cs="Arial"/>
          <w:szCs w:val="24"/>
        </w:rPr>
        <w:t>Vice Provost and Dean of the Graduate School</w:t>
      </w:r>
    </w:p>
    <w:p w14:paraId="2AF58FD1" w14:textId="123BA32A" w:rsidR="00DB244D" w:rsidRPr="00424BD3" w:rsidRDefault="00DB244D" w:rsidP="00DB244D">
      <w:pPr>
        <w:rPr>
          <w:rFonts w:cs="Arial"/>
          <w:szCs w:val="24"/>
        </w:rPr>
      </w:pPr>
      <w:r w:rsidRPr="00424BD3">
        <w:rPr>
          <w:rFonts w:cs="Arial"/>
          <w:szCs w:val="24"/>
        </w:rPr>
        <w:t>(Original signatures are on file with official student records.)</w:t>
      </w:r>
    </w:p>
    <w:p w14:paraId="10CB9551" w14:textId="77777777" w:rsidR="002E71B0" w:rsidRPr="00424BD3" w:rsidRDefault="002E71B0">
      <w:pPr>
        <w:rPr>
          <w:rFonts w:cs="Arial"/>
          <w:szCs w:val="24"/>
        </w:rPr>
      </w:pPr>
    </w:p>
    <w:p w14:paraId="4B7EA2D4" w14:textId="77777777" w:rsidR="002E71B0" w:rsidRPr="00424BD3" w:rsidRDefault="002E71B0">
      <w:pPr>
        <w:rPr>
          <w:rFonts w:cs="Arial"/>
          <w:szCs w:val="24"/>
        </w:rPr>
      </w:pPr>
    </w:p>
    <w:p w14:paraId="4610B43D" w14:textId="77777777" w:rsidR="008C53C2" w:rsidRDefault="0088027B">
      <w:pPr>
        <w:rPr>
          <w:rFonts w:cs="Arial"/>
          <w:szCs w:val="24"/>
        </w:rPr>
        <w:sectPr w:rsidR="008C53C2" w:rsidSect="00CC687B">
          <w:footerReference w:type="default" r:id="rId11"/>
          <w:pgSz w:w="12240" w:h="15840"/>
          <w:pgMar w:top="1440" w:right="1440" w:bottom="1440" w:left="1440" w:header="720" w:footer="720" w:gutter="0"/>
          <w:cols w:space="720"/>
          <w:titlePg/>
          <w:docGrid w:linePitch="360"/>
        </w:sectPr>
      </w:pPr>
      <w:r w:rsidRPr="00424BD3">
        <w:rPr>
          <w:rFonts w:cs="Arial"/>
          <w:szCs w:val="24"/>
        </w:rPr>
        <w:t xml:space="preserve"> </w:t>
      </w:r>
      <w:r w:rsidR="00D562EF" w:rsidRPr="00424BD3">
        <w:rPr>
          <w:rFonts w:cs="Arial"/>
          <w:szCs w:val="24"/>
        </w:rPr>
        <w:br w:type="page"/>
      </w:r>
    </w:p>
    <w:p w14:paraId="1D56CB93" w14:textId="77777777" w:rsidR="003A356B" w:rsidRDefault="003A356B" w:rsidP="003A356B">
      <w:pPr>
        <w:spacing w:after="0" w:line="240" w:lineRule="auto"/>
        <w:jc w:val="center"/>
        <w:rPr>
          <w:rFonts w:cs="Arial"/>
          <w:b/>
          <w:bCs/>
          <w:szCs w:val="24"/>
        </w:rPr>
      </w:pPr>
      <w:r w:rsidRPr="00424BD3">
        <w:rPr>
          <w:rFonts w:cs="Arial"/>
          <w:b/>
          <w:bCs/>
          <w:szCs w:val="24"/>
        </w:rPr>
        <w:lastRenderedPageBreak/>
        <w:t>GENEALOGY TELLS: INFORM</w:t>
      </w:r>
      <w:r>
        <w:rPr>
          <w:rFonts w:cs="Arial"/>
          <w:b/>
          <w:bCs/>
          <w:szCs w:val="24"/>
        </w:rPr>
        <w:t>ING</w:t>
      </w:r>
      <w:r w:rsidRPr="00424BD3">
        <w:rPr>
          <w:rFonts w:cs="Arial"/>
          <w:b/>
          <w:bCs/>
          <w:szCs w:val="24"/>
        </w:rPr>
        <w:t xml:space="preserve"> </w:t>
      </w:r>
      <w:r>
        <w:rPr>
          <w:rFonts w:cs="Arial"/>
          <w:b/>
          <w:bCs/>
          <w:szCs w:val="24"/>
        </w:rPr>
        <w:t xml:space="preserve">HEALTH AND AGING </w:t>
      </w:r>
      <w:r w:rsidRPr="00424BD3">
        <w:rPr>
          <w:rFonts w:cs="Arial"/>
          <w:b/>
          <w:bCs/>
          <w:szCs w:val="24"/>
        </w:rPr>
        <w:t xml:space="preserve">POLICIES </w:t>
      </w:r>
      <w:r>
        <w:rPr>
          <w:rFonts w:cs="Arial"/>
          <w:b/>
          <w:bCs/>
          <w:szCs w:val="24"/>
        </w:rPr>
        <w:t>USING</w:t>
      </w:r>
      <w:r w:rsidRPr="00424BD3">
        <w:rPr>
          <w:rFonts w:cs="Arial"/>
          <w:b/>
          <w:bCs/>
          <w:szCs w:val="24"/>
        </w:rPr>
        <w:t xml:space="preserve"> </w:t>
      </w:r>
      <w:r>
        <w:rPr>
          <w:rFonts w:cs="Arial"/>
          <w:b/>
          <w:bCs/>
          <w:szCs w:val="24"/>
        </w:rPr>
        <w:t xml:space="preserve">EAST TENNESSEAN </w:t>
      </w:r>
      <w:r w:rsidRPr="00424BD3">
        <w:rPr>
          <w:rFonts w:cs="Arial"/>
          <w:b/>
          <w:bCs/>
          <w:szCs w:val="24"/>
        </w:rPr>
        <w:t xml:space="preserve">OLDER WOMEN’S </w:t>
      </w:r>
      <w:r>
        <w:rPr>
          <w:rFonts w:cs="Arial"/>
          <w:b/>
          <w:bCs/>
          <w:szCs w:val="24"/>
        </w:rPr>
        <w:t xml:space="preserve">FAMILY HISTORIES, PERCEPTIONS, AND </w:t>
      </w:r>
      <w:r w:rsidRPr="00424BD3">
        <w:rPr>
          <w:rFonts w:cs="Arial"/>
          <w:b/>
          <w:bCs/>
          <w:szCs w:val="24"/>
        </w:rPr>
        <w:t xml:space="preserve">EXPERIENCES OF HEALTH INEQUITY </w:t>
      </w:r>
    </w:p>
    <w:p w14:paraId="33B5B9A0" w14:textId="5D9F0AB0" w:rsidR="00CD6F12" w:rsidRPr="00424BD3" w:rsidRDefault="00CD6F12" w:rsidP="000126EE">
      <w:pPr>
        <w:spacing w:after="0" w:line="480" w:lineRule="auto"/>
        <w:jc w:val="center"/>
        <w:rPr>
          <w:rFonts w:cs="Arial"/>
          <w:szCs w:val="24"/>
        </w:rPr>
      </w:pPr>
    </w:p>
    <w:p w14:paraId="3969DA6E" w14:textId="2CED754B" w:rsidR="00CD6F12" w:rsidRPr="00424BD3" w:rsidRDefault="00CD6F12" w:rsidP="000126EE">
      <w:pPr>
        <w:spacing w:after="0" w:line="480" w:lineRule="auto"/>
        <w:jc w:val="center"/>
        <w:rPr>
          <w:rFonts w:cs="Arial"/>
          <w:szCs w:val="24"/>
        </w:rPr>
      </w:pPr>
    </w:p>
    <w:p w14:paraId="2CB99517" w14:textId="66995AD6" w:rsidR="00CD6F12" w:rsidRPr="00424BD3" w:rsidRDefault="00CD6F12" w:rsidP="000126EE">
      <w:pPr>
        <w:spacing w:after="0" w:line="480" w:lineRule="auto"/>
        <w:jc w:val="center"/>
        <w:rPr>
          <w:rFonts w:cs="Arial"/>
          <w:szCs w:val="24"/>
        </w:rPr>
      </w:pPr>
    </w:p>
    <w:p w14:paraId="243EA886" w14:textId="12D3DBEC" w:rsidR="00CD6F12" w:rsidRPr="00424BD3" w:rsidRDefault="00CD6F12" w:rsidP="000126EE">
      <w:pPr>
        <w:spacing w:after="0" w:line="480" w:lineRule="auto"/>
        <w:jc w:val="center"/>
        <w:rPr>
          <w:rFonts w:cs="Arial"/>
          <w:szCs w:val="24"/>
        </w:rPr>
      </w:pPr>
    </w:p>
    <w:p w14:paraId="4729A59D" w14:textId="23C35BD7" w:rsidR="00CD6F12" w:rsidRPr="00424BD3" w:rsidRDefault="00CD6F12" w:rsidP="000126EE">
      <w:pPr>
        <w:spacing w:after="0" w:line="480" w:lineRule="auto"/>
        <w:jc w:val="center"/>
        <w:rPr>
          <w:rFonts w:cs="Arial"/>
          <w:szCs w:val="24"/>
        </w:rPr>
      </w:pPr>
    </w:p>
    <w:p w14:paraId="18A71ED9" w14:textId="5E573935" w:rsidR="00CD6F12" w:rsidRPr="00424BD3" w:rsidRDefault="00CD6F12" w:rsidP="000126EE">
      <w:pPr>
        <w:spacing w:after="0" w:line="480" w:lineRule="auto"/>
        <w:jc w:val="center"/>
        <w:rPr>
          <w:rFonts w:cs="Arial"/>
          <w:szCs w:val="24"/>
        </w:rPr>
      </w:pPr>
    </w:p>
    <w:p w14:paraId="533A7FF1" w14:textId="5A76E48A" w:rsidR="00CD6F12" w:rsidRPr="00424BD3" w:rsidRDefault="00CD6F12" w:rsidP="000126EE">
      <w:pPr>
        <w:spacing w:after="0" w:line="480" w:lineRule="auto"/>
        <w:jc w:val="center"/>
        <w:rPr>
          <w:rFonts w:cs="Arial"/>
          <w:szCs w:val="24"/>
        </w:rPr>
      </w:pPr>
    </w:p>
    <w:p w14:paraId="1E2A759A" w14:textId="0E1C42D5" w:rsidR="00CD6F12" w:rsidRPr="00424BD3" w:rsidRDefault="00CD6F12" w:rsidP="000126EE">
      <w:pPr>
        <w:spacing w:after="0" w:line="480" w:lineRule="auto"/>
        <w:jc w:val="center"/>
        <w:rPr>
          <w:rFonts w:cs="Arial"/>
          <w:szCs w:val="24"/>
        </w:rPr>
      </w:pPr>
      <w:r w:rsidRPr="00424BD3">
        <w:rPr>
          <w:rFonts w:cs="Arial"/>
          <w:szCs w:val="24"/>
        </w:rPr>
        <w:t>A Dissertation Presented for the</w:t>
      </w:r>
    </w:p>
    <w:p w14:paraId="6D3C9E8C" w14:textId="7FE61B57" w:rsidR="00CD6F12" w:rsidRPr="00424BD3" w:rsidRDefault="006F4F5F" w:rsidP="000126EE">
      <w:pPr>
        <w:spacing w:after="0" w:line="480" w:lineRule="auto"/>
        <w:jc w:val="center"/>
        <w:rPr>
          <w:rFonts w:cs="Arial"/>
          <w:szCs w:val="24"/>
        </w:rPr>
      </w:pPr>
      <w:r w:rsidRPr="00424BD3">
        <w:rPr>
          <w:rFonts w:cs="Arial"/>
          <w:szCs w:val="24"/>
        </w:rPr>
        <w:t>Doctor of Philosophy</w:t>
      </w:r>
    </w:p>
    <w:p w14:paraId="6452E230" w14:textId="441C9399" w:rsidR="006F4F5F" w:rsidRPr="00424BD3" w:rsidRDefault="006F4F5F" w:rsidP="000126EE">
      <w:pPr>
        <w:spacing w:after="0" w:line="480" w:lineRule="auto"/>
        <w:jc w:val="center"/>
        <w:rPr>
          <w:rFonts w:cs="Arial"/>
          <w:szCs w:val="24"/>
        </w:rPr>
      </w:pPr>
      <w:r w:rsidRPr="00424BD3">
        <w:rPr>
          <w:rFonts w:cs="Arial"/>
          <w:szCs w:val="24"/>
        </w:rPr>
        <w:t>Degree</w:t>
      </w:r>
    </w:p>
    <w:p w14:paraId="17572163" w14:textId="2AE8F491" w:rsidR="006F4F5F" w:rsidRPr="00424BD3" w:rsidRDefault="006F4F5F" w:rsidP="000126EE">
      <w:pPr>
        <w:spacing w:after="0" w:line="480" w:lineRule="auto"/>
        <w:jc w:val="center"/>
        <w:rPr>
          <w:rFonts w:cs="Arial"/>
          <w:szCs w:val="24"/>
        </w:rPr>
      </w:pPr>
      <w:r w:rsidRPr="00424BD3">
        <w:rPr>
          <w:rFonts w:cs="Arial"/>
          <w:szCs w:val="24"/>
        </w:rPr>
        <w:t>The University of Tennessee, Knoxville</w:t>
      </w:r>
    </w:p>
    <w:p w14:paraId="45FB2FC0" w14:textId="5063A0C1" w:rsidR="00FC62E1" w:rsidRPr="00424BD3" w:rsidRDefault="00FC62E1" w:rsidP="000126EE">
      <w:pPr>
        <w:spacing w:after="0" w:line="480" w:lineRule="auto"/>
        <w:jc w:val="center"/>
        <w:rPr>
          <w:rFonts w:cs="Arial"/>
          <w:szCs w:val="24"/>
        </w:rPr>
      </w:pPr>
    </w:p>
    <w:p w14:paraId="191AFB4F" w14:textId="3B27CE75" w:rsidR="00FC62E1" w:rsidRPr="00424BD3" w:rsidRDefault="00FC62E1" w:rsidP="000126EE">
      <w:pPr>
        <w:spacing w:after="0" w:line="480" w:lineRule="auto"/>
        <w:jc w:val="center"/>
        <w:rPr>
          <w:rFonts w:cs="Arial"/>
          <w:szCs w:val="24"/>
        </w:rPr>
      </w:pPr>
    </w:p>
    <w:p w14:paraId="02DD6FDF" w14:textId="77777777" w:rsidR="00395264" w:rsidRPr="00424BD3" w:rsidRDefault="00395264" w:rsidP="000126EE">
      <w:pPr>
        <w:spacing w:after="0" w:line="480" w:lineRule="auto"/>
        <w:jc w:val="center"/>
        <w:rPr>
          <w:rFonts w:cs="Arial"/>
          <w:szCs w:val="24"/>
        </w:rPr>
      </w:pPr>
    </w:p>
    <w:p w14:paraId="5EEFDC69" w14:textId="77777777" w:rsidR="00395264" w:rsidRPr="00424BD3" w:rsidRDefault="00395264" w:rsidP="000126EE">
      <w:pPr>
        <w:spacing w:after="0" w:line="480" w:lineRule="auto"/>
        <w:jc w:val="center"/>
        <w:rPr>
          <w:rFonts w:cs="Arial"/>
          <w:szCs w:val="24"/>
        </w:rPr>
      </w:pPr>
    </w:p>
    <w:p w14:paraId="797193AC" w14:textId="77777777" w:rsidR="00395264" w:rsidRPr="00424BD3" w:rsidRDefault="00395264" w:rsidP="000126EE">
      <w:pPr>
        <w:spacing w:after="0" w:line="480" w:lineRule="auto"/>
        <w:jc w:val="center"/>
        <w:rPr>
          <w:rFonts w:cs="Arial"/>
          <w:szCs w:val="24"/>
        </w:rPr>
      </w:pPr>
    </w:p>
    <w:p w14:paraId="1BC759EE" w14:textId="77777777" w:rsidR="00395264" w:rsidRPr="00424BD3" w:rsidRDefault="00395264" w:rsidP="000126EE">
      <w:pPr>
        <w:spacing w:after="0" w:line="480" w:lineRule="auto"/>
        <w:jc w:val="center"/>
        <w:rPr>
          <w:rFonts w:cs="Arial"/>
          <w:szCs w:val="24"/>
        </w:rPr>
      </w:pPr>
    </w:p>
    <w:p w14:paraId="713BDE57" w14:textId="663B0EA5" w:rsidR="00FC62E1" w:rsidRPr="00424BD3" w:rsidRDefault="00FC62E1" w:rsidP="000126EE">
      <w:pPr>
        <w:spacing w:after="0" w:line="480" w:lineRule="auto"/>
        <w:jc w:val="center"/>
        <w:rPr>
          <w:rFonts w:cs="Arial"/>
          <w:szCs w:val="24"/>
        </w:rPr>
      </w:pPr>
      <w:r w:rsidRPr="00424BD3">
        <w:rPr>
          <w:rFonts w:cs="Arial"/>
          <w:szCs w:val="24"/>
        </w:rPr>
        <w:t>Heather A. Davis</w:t>
      </w:r>
    </w:p>
    <w:p w14:paraId="02ADC475" w14:textId="6F199A37" w:rsidR="00FC62E1" w:rsidRPr="00424BD3" w:rsidRDefault="00C26416" w:rsidP="000126EE">
      <w:pPr>
        <w:spacing w:after="0" w:line="480" w:lineRule="auto"/>
        <w:jc w:val="center"/>
        <w:rPr>
          <w:rFonts w:cs="Arial"/>
          <w:szCs w:val="24"/>
        </w:rPr>
      </w:pPr>
      <w:r>
        <w:rPr>
          <w:rFonts w:cs="Arial"/>
          <w:szCs w:val="24"/>
        </w:rPr>
        <w:t xml:space="preserve"> </w:t>
      </w:r>
      <w:r w:rsidR="00761726">
        <w:rPr>
          <w:rFonts w:cs="Arial"/>
          <w:szCs w:val="24"/>
        </w:rPr>
        <w:t>December</w:t>
      </w:r>
      <w:r w:rsidR="00FC62E1" w:rsidRPr="00424BD3">
        <w:rPr>
          <w:rFonts w:cs="Arial"/>
          <w:szCs w:val="24"/>
        </w:rPr>
        <w:t xml:space="preserve"> 2022</w:t>
      </w:r>
    </w:p>
    <w:p w14:paraId="235D1E5B" w14:textId="77777777" w:rsidR="007D4A7C" w:rsidRPr="00424BD3" w:rsidRDefault="00C047F8" w:rsidP="000126EE">
      <w:pPr>
        <w:spacing w:after="0" w:line="480" w:lineRule="auto"/>
        <w:jc w:val="center"/>
        <w:rPr>
          <w:b/>
          <w:sz w:val="28"/>
          <w:szCs w:val="28"/>
        </w:rPr>
        <w:sectPr w:rsidR="007D4A7C" w:rsidRPr="00424BD3" w:rsidSect="00CC687B">
          <w:pgSz w:w="12240" w:h="15840"/>
          <w:pgMar w:top="1440" w:right="1440" w:bottom="1440" w:left="1440" w:header="720" w:footer="720" w:gutter="0"/>
          <w:cols w:space="720"/>
          <w:titlePg/>
          <w:docGrid w:linePitch="360"/>
        </w:sectPr>
      </w:pPr>
      <w:r w:rsidRPr="00424BD3">
        <w:rPr>
          <w:b/>
          <w:sz w:val="28"/>
          <w:szCs w:val="28"/>
        </w:rPr>
        <w:br w:type="page"/>
      </w:r>
    </w:p>
    <w:p w14:paraId="5D3B85F0" w14:textId="21A2DCDC" w:rsidR="00E21BD2" w:rsidRPr="00424BD3" w:rsidRDefault="00921C3E" w:rsidP="000126EE">
      <w:pPr>
        <w:spacing w:after="0" w:line="480" w:lineRule="auto"/>
        <w:jc w:val="center"/>
        <w:rPr>
          <w:bCs/>
          <w:szCs w:val="24"/>
        </w:rPr>
      </w:pPr>
      <w:r w:rsidRPr="00424BD3">
        <w:rPr>
          <w:bCs/>
          <w:szCs w:val="24"/>
        </w:rPr>
        <w:lastRenderedPageBreak/>
        <w:t xml:space="preserve">Copyright </w:t>
      </w:r>
      <w:r w:rsidR="00E21BD2" w:rsidRPr="00424BD3">
        <w:rPr>
          <w:rFonts w:cs="Arial"/>
          <w:bCs/>
          <w:szCs w:val="24"/>
        </w:rPr>
        <w:t>©</w:t>
      </w:r>
      <w:r w:rsidR="00E21BD2" w:rsidRPr="00424BD3">
        <w:rPr>
          <w:bCs/>
          <w:szCs w:val="24"/>
        </w:rPr>
        <w:t xml:space="preserve"> 2022 by Heather </w:t>
      </w:r>
      <w:r w:rsidR="007E0031">
        <w:rPr>
          <w:bCs/>
          <w:szCs w:val="24"/>
        </w:rPr>
        <w:t xml:space="preserve">A. </w:t>
      </w:r>
      <w:r w:rsidR="00E21BD2" w:rsidRPr="00424BD3">
        <w:rPr>
          <w:bCs/>
          <w:szCs w:val="24"/>
        </w:rPr>
        <w:t>Davis.</w:t>
      </w:r>
    </w:p>
    <w:p w14:paraId="06E82AD9" w14:textId="3A0E4875" w:rsidR="00182B06" w:rsidRPr="00424BD3" w:rsidRDefault="00E21BD2" w:rsidP="000126EE">
      <w:pPr>
        <w:spacing w:after="0" w:line="480" w:lineRule="auto"/>
        <w:jc w:val="center"/>
        <w:rPr>
          <w:b/>
          <w:sz w:val="28"/>
          <w:szCs w:val="28"/>
        </w:rPr>
      </w:pPr>
      <w:r w:rsidRPr="00424BD3">
        <w:rPr>
          <w:bCs/>
          <w:szCs w:val="24"/>
        </w:rPr>
        <w:t>All rights reserved.</w:t>
      </w:r>
      <w:r w:rsidR="00921C3E" w:rsidRPr="00424BD3">
        <w:rPr>
          <w:b/>
          <w:sz w:val="28"/>
          <w:szCs w:val="28"/>
        </w:rPr>
        <w:br w:type="page"/>
      </w:r>
    </w:p>
    <w:p w14:paraId="274B6842" w14:textId="1606A29E" w:rsidR="005B62C7" w:rsidRPr="00424BD3" w:rsidRDefault="004B0448" w:rsidP="005B62C7">
      <w:pPr>
        <w:spacing w:after="0" w:line="480" w:lineRule="auto"/>
        <w:jc w:val="center"/>
        <w:rPr>
          <w:bCs/>
          <w:szCs w:val="24"/>
        </w:rPr>
      </w:pPr>
      <w:r w:rsidRPr="00424BD3">
        <w:rPr>
          <w:b/>
          <w:szCs w:val="24"/>
        </w:rPr>
        <w:lastRenderedPageBreak/>
        <w:t>DEDICATION</w:t>
      </w:r>
    </w:p>
    <w:p w14:paraId="12EB69DF" w14:textId="1F8D2FAF" w:rsidR="005B62C7" w:rsidRDefault="005B62C7" w:rsidP="005B62C7">
      <w:pPr>
        <w:spacing w:after="0" w:line="480" w:lineRule="auto"/>
        <w:jc w:val="center"/>
        <w:rPr>
          <w:bCs/>
          <w:szCs w:val="24"/>
        </w:rPr>
      </w:pPr>
    </w:p>
    <w:p w14:paraId="257E1196" w14:textId="652F93EA" w:rsidR="00941C05" w:rsidRPr="00424BD3" w:rsidRDefault="00941C05" w:rsidP="00941C05">
      <w:pPr>
        <w:spacing w:after="0" w:line="480" w:lineRule="auto"/>
        <w:jc w:val="center"/>
        <w:rPr>
          <w:bCs/>
          <w:szCs w:val="24"/>
        </w:rPr>
      </w:pPr>
      <w:r>
        <w:rPr>
          <w:bCs/>
          <w:szCs w:val="24"/>
        </w:rPr>
        <w:t>Thank you to the women who participated in this study, for their courage</w:t>
      </w:r>
      <w:r w:rsidR="00783249">
        <w:rPr>
          <w:bCs/>
          <w:szCs w:val="24"/>
        </w:rPr>
        <w:t>,</w:t>
      </w:r>
      <w:r>
        <w:rPr>
          <w:bCs/>
          <w:szCs w:val="24"/>
        </w:rPr>
        <w:t xml:space="preserve"> and their willingness to share their stories, thoughts, and voices. They are inspirations.</w:t>
      </w:r>
    </w:p>
    <w:p w14:paraId="066B1B41" w14:textId="77777777" w:rsidR="00941C05" w:rsidRPr="00424BD3" w:rsidRDefault="00941C05" w:rsidP="005B62C7">
      <w:pPr>
        <w:spacing w:after="0" w:line="480" w:lineRule="auto"/>
        <w:jc w:val="center"/>
        <w:rPr>
          <w:bCs/>
          <w:szCs w:val="24"/>
        </w:rPr>
      </w:pPr>
    </w:p>
    <w:p w14:paraId="6C4944D5" w14:textId="739CA708" w:rsidR="005B62C7" w:rsidRDefault="005B62C7" w:rsidP="005B62C7">
      <w:pPr>
        <w:spacing w:after="0" w:line="480" w:lineRule="auto"/>
        <w:jc w:val="center"/>
        <w:rPr>
          <w:bCs/>
          <w:szCs w:val="24"/>
        </w:rPr>
      </w:pPr>
      <w:r w:rsidRPr="00424BD3">
        <w:rPr>
          <w:bCs/>
          <w:szCs w:val="24"/>
        </w:rPr>
        <w:t>Thank you to</w:t>
      </w:r>
      <w:r w:rsidR="00C623F1">
        <w:rPr>
          <w:bCs/>
          <w:szCs w:val="24"/>
        </w:rPr>
        <w:t xml:space="preserve"> my sister</w:t>
      </w:r>
      <w:r w:rsidR="00964CC9">
        <w:rPr>
          <w:bCs/>
          <w:szCs w:val="24"/>
        </w:rPr>
        <w:t xml:space="preserve"> </w:t>
      </w:r>
      <w:r w:rsidR="000A6DE1">
        <w:rPr>
          <w:bCs/>
          <w:szCs w:val="24"/>
        </w:rPr>
        <w:t>and best friend</w:t>
      </w:r>
      <w:r w:rsidR="00362922">
        <w:rPr>
          <w:bCs/>
          <w:szCs w:val="24"/>
        </w:rPr>
        <w:t xml:space="preserve">, whom my parents rightly named Hope, because that is what she is </w:t>
      </w:r>
      <w:r w:rsidR="00783249">
        <w:rPr>
          <w:bCs/>
          <w:szCs w:val="24"/>
        </w:rPr>
        <w:t>to me</w:t>
      </w:r>
      <w:r w:rsidR="00362922">
        <w:rPr>
          <w:bCs/>
          <w:szCs w:val="24"/>
        </w:rPr>
        <w:t xml:space="preserve">. </w:t>
      </w:r>
      <w:r w:rsidR="003073CD">
        <w:rPr>
          <w:bCs/>
          <w:szCs w:val="24"/>
        </w:rPr>
        <w:t>To my mother</w:t>
      </w:r>
      <w:r w:rsidR="00825258">
        <w:rPr>
          <w:bCs/>
          <w:szCs w:val="24"/>
        </w:rPr>
        <w:t>,</w:t>
      </w:r>
      <w:r w:rsidR="003073CD">
        <w:rPr>
          <w:bCs/>
          <w:szCs w:val="24"/>
        </w:rPr>
        <w:t xml:space="preserve"> who</w:t>
      </w:r>
      <w:r w:rsidR="00D43782">
        <w:rPr>
          <w:bCs/>
          <w:szCs w:val="24"/>
        </w:rPr>
        <w:t xml:space="preserve">se sense of humor and acts of service </w:t>
      </w:r>
      <w:r w:rsidR="00CA0F99">
        <w:rPr>
          <w:bCs/>
          <w:szCs w:val="24"/>
        </w:rPr>
        <w:t>bring great joy</w:t>
      </w:r>
      <w:r w:rsidR="00C13978">
        <w:rPr>
          <w:bCs/>
          <w:szCs w:val="24"/>
        </w:rPr>
        <w:t xml:space="preserve"> and keep me on my toes</w:t>
      </w:r>
      <w:r w:rsidR="00584862">
        <w:rPr>
          <w:bCs/>
          <w:szCs w:val="24"/>
        </w:rPr>
        <w:t xml:space="preserve">. </w:t>
      </w:r>
      <w:r w:rsidR="00CA0F99">
        <w:rPr>
          <w:bCs/>
          <w:szCs w:val="24"/>
        </w:rPr>
        <w:t>To my father</w:t>
      </w:r>
      <w:r w:rsidR="005E685A">
        <w:rPr>
          <w:bCs/>
          <w:szCs w:val="24"/>
        </w:rPr>
        <w:t xml:space="preserve">, who passed </w:t>
      </w:r>
      <w:r w:rsidR="00710019">
        <w:rPr>
          <w:bCs/>
          <w:szCs w:val="24"/>
        </w:rPr>
        <w:t xml:space="preserve">away </w:t>
      </w:r>
      <w:r w:rsidR="005E685A">
        <w:rPr>
          <w:bCs/>
          <w:szCs w:val="24"/>
        </w:rPr>
        <w:t xml:space="preserve">during my PhD journey, </w:t>
      </w:r>
      <w:r w:rsidR="00431D2D">
        <w:rPr>
          <w:bCs/>
          <w:szCs w:val="24"/>
        </w:rPr>
        <w:t>who</w:t>
      </w:r>
      <w:r w:rsidR="00C13978">
        <w:rPr>
          <w:bCs/>
          <w:szCs w:val="24"/>
        </w:rPr>
        <w:t>se</w:t>
      </w:r>
      <w:r w:rsidR="00BF03B6">
        <w:rPr>
          <w:bCs/>
          <w:szCs w:val="24"/>
        </w:rPr>
        <w:t xml:space="preserve"> </w:t>
      </w:r>
      <w:r w:rsidR="00FB1AB3">
        <w:rPr>
          <w:bCs/>
          <w:szCs w:val="24"/>
        </w:rPr>
        <w:t xml:space="preserve">deep bass voice I </w:t>
      </w:r>
      <w:r w:rsidR="0033508B">
        <w:rPr>
          <w:bCs/>
          <w:szCs w:val="24"/>
        </w:rPr>
        <w:t xml:space="preserve">still </w:t>
      </w:r>
      <w:r w:rsidR="00FB1AB3">
        <w:rPr>
          <w:bCs/>
          <w:szCs w:val="24"/>
        </w:rPr>
        <w:t>hear singing</w:t>
      </w:r>
      <w:r w:rsidR="005C6B8F">
        <w:rPr>
          <w:bCs/>
          <w:szCs w:val="24"/>
        </w:rPr>
        <w:t>,</w:t>
      </w:r>
      <w:r w:rsidR="003B337C">
        <w:rPr>
          <w:bCs/>
          <w:szCs w:val="24"/>
        </w:rPr>
        <w:t xml:space="preserve"> and who would have been so proud.</w:t>
      </w:r>
    </w:p>
    <w:p w14:paraId="3332C26F" w14:textId="1E336C35" w:rsidR="003B337C" w:rsidRDefault="003B337C" w:rsidP="005B62C7">
      <w:pPr>
        <w:spacing w:after="0" w:line="480" w:lineRule="auto"/>
        <w:jc w:val="center"/>
        <w:rPr>
          <w:bCs/>
          <w:szCs w:val="24"/>
        </w:rPr>
      </w:pPr>
    </w:p>
    <w:p w14:paraId="0F31345E" w14:textId="438D3029" w:rsidR="00D64F1D" w:rsidRDefault="003B337C" w:rsidP="005B62C7">
      <w:pPr>
        <w:spacing w:after="0" w:line="480" w:lineRule="auto"/>
        <w:jc w:val="center"/>
        <w:rPr>
          <w:bCs/>
          <w:szCs w:val="24"/>
        </w:rPr>
      </w:pPr>
      <w:r>
        <w:rPr>
          <w:bCs/>
          <w:szCs w:val="24"/>
        </w:rPr>
        <w:t xml:space="preserve">Thank you to </w:t>
      </w:r>
      <w:r w:rsidR="00420D2F">
        <w:rPr>
          <w:bCs/>
          <w:szCs w:val="24"/>
        </w:rPr>
        <w:t xml:space="preserve">two special teachers and a friend’s </w:t>
      </w:r>
      <w:r w:rsidR="00783249">
        <w:rPr>
          <w:bCs/>
          <w:szCs w:val="24"/>
        </w:rPr>
        <w:t xml:space="preserve">gracious </w:t>
      </w:r>
      <w:r w:rsidR="00420D2F">
        <w:rPr>
          <w:bCs/>
          <w:szCs w:val="24"/>
        </w:rPr>
        <w:t xml:space="preserve">mother who </w:t>
      </w:r>
      <w:r w:rsidR="00D94A01">
        <w:rPr>
          <w:bCs/>
          <w:szCs w:val="24"/>
        </w:rPr>
        <w:t xml:space="preserve">encouraged and </w:t>
      </w:r>
      <w:r w:rsidR="00747461">
        <w:rPr>
          <w:bCs/>
          <w:szCs w:val="24"/>
        </w:rPr>
        <w:t>helped me, a first</w:t>
      </w:r>
      <w:r w:rsidR="00941C05">
        <w:rPr>
          <w:bCs/>
          <w:szCs w:val="24"/>
        </w:rPr>
        <w:t>-</w:t>
      </w:r>
      <w:r w:rsidR="00747461">
        <w:rPr>
          <w:bCs/>
          <w:szCs w:val="24"/>
        </w:rPr>
        <w:t xml:space="preserve">generation college student on both sides of my family, apply </w:t>
      </w:r>
      <w:r w:rsidR="00167B1F">
        <w:rPr>
          <w:bCs/>
          <w:szCs w:val="24"/>
        </w:rPr>
        <w:t xml:space="preserve">to </w:t>
      </w:r>
      <w:r w:rsidR="00747461">
        <w:rPr>
          <w:bCs/>
          <w:szCs w:val="24"/>
        </w:rPr>
        <w:t xml:space="preserve">and get into </w:t>
      </w:r>
      <w:r w:rsidR="00783249">
        <w:rPr>
          <w:bCs/>
          <w:szCs w:val="24"/>
        </w:rPr>
        <w:t>university while I was in</w:t>
      </w:r>
      <w:r w:rsidR="00747461">
        <w:rPr>
          <w:bCs/>
          <w:szCs w:val="24"/>
        </w:rPr>
        <w:t xml:space="preserve"> </w:t>
      </w:r>
      <w:r w:rsidR="00B614CE">
        <w:rPr>
          <w:bCs/>
          <w:szCs w:val="24"/>
        </w:rPr>
        <w:t xml:space="preserve">my </w:t>
      </w:r>
      <w:r w:rsidR="00747461">
        <w:rPr>
          <w:bCs/>
          <w:szCs w:val="24"/>
        </w:rPr>
        <w:t xml:space="preserve">last semester </w:t>
      </w:r>
      <w:r w:rsidR="00783249">
        <w:rPr>
          <w:bCs/>
          <w:szCs w:val="24"/>
        </w:rPr>
        <w:t>of</w:t>
      </w:r>
      <w:r w:rsidR="006928C6">
        <w:rPr>
          <w:bCs/>
          <w:szCs w:val="24"/>
        </w:rPr>
        <w:t xml:space="preserve"> </w:t>
      </w:r>
      <w:r w:rsidR="00747461">
        <w:rPr>
          <w:bCs/>
          <w:szCs w:val="24"/>
        </w:rPr>
        <w:t>high school</w:t>
      </w:r>
      <w:r w:rsidR="00783249">
        <w:rPr>
          <w:bCs/>
          <w:szCs w:val="24"/>
        </w:rPr>
        <w:t xml:space="preserve">. </w:t>
      </w:r>
      <w:r w:rsidR="00167B1F">
        <w:rPr>
          <w:bCs/>
          <w:szCs w:val="24"/>
        </w:rPr>
        <w:t xml:space="preserve">I never </w:t>
      </w:r>
      <w:r w:rsidR="002C0C8D">
        <w:rPr>
          <w:bCs/>
          <w:szCs w:val="24"/>
        </w:rPr>
        <w:t>dreamed I could go to college</w:t>
      </w:r>
      <w:r w:rsidR="00783249">
        <w:rPr>
          <w:bCs/>
          <w:szCs w:val="24"/>
        </w:rPr>
        <w:t xml:space="preserve">, but </w:t>
      </w:r>
      <w:r w:rsidR="00F9711E">
        <w:rPr>
          <w:bCs/>
          <w:szCs w:val="24"/>
        </w:rPr>
        <w:t>they</w:t>
      </w:r>
      <w:r w:rsidR="00783249">
        <w:rPr>
          <w:bCs/>
          <w:szCs w:val="24"/>
        </w:rPr>
        <w:t xml:space="preserve"> </w:t>
      </w:r>
      <w:r w:rsidR="00D26826">
        <w:rPr>
          <w:bCs/>
          <w:szCs w:val="24"/>
        </w:rPr>
        <w:t>dreamed I could</w:t>
      </w:r>
      <w:r w:rsidR="00747461">
        <w:rPr>
          <w:bCs/>
          <w:szCs w:val="24"/>
        </w:rPr>
        <w:t xml:space="preserve">. </w:t>
      </w:r>
      <w:r w:rsidR="00F9711E">
        <w:rPr>
          <w:bCs/>
          <w:szCs w:val="24"/>
        </w:rPr>
        <w:t xml:space="preserve">They </w:t>
      </w:r>
      <w:r w:rsidR="00747461">
        <w:rPr>
          <w:bCs/>
          <w:szCs w:val="24"/>
        </w:rPr>
        <w:t>changed my life</w:t>
      </w:r>
      <w:r w:rsidR="00D64F1D">
        <w:rPr>
          <w:bCs/>
          <w:szCs w:val="24"/>
        </w:rPr>
        <w:t>.</w:t>
      </w:r>
    </w:p>
    <w:p w14:paraId="1A7D7BA0" w14:textId="5AFC5DB9" w:rsidR="00601A72" w:rsidRDefault="00601A72" w:rsidP="005B62C7">
      <w:pPr>
        <w:spacing w:after="0" w:line="480" w:lineRule="auto"/>
        <w:jc w:val="center"/>
        <w:rPr>
          <w:bCs/>
          <w:szCs w:val="24"/>
        </w:rPr>
      </w:pPr>
    </w:p>
    <w:p w14:paraId="1EA46FAE" w14:textId="20395514" w:rsidR="00601A72" w:rsidRDefault="003F5BDD" w:rsidP="005B62C7">
      <w:pPr>
        <w:spacing w:after="0" w:line="480" w:lineRule="auto"/>
        <w:jc w:val="center"/>
        <w:rPr>
          <w:bCs/>
          <w:szCs w:val="24"/>
        </w:rPr>
      </w:pPr>
      <w:r>
        <w:rPr>
          <w:bCs/>
          <w:szCs w:val="24"/>
        </w:rPr>
        <w:t>Thank you to my friends</w:t>
      </w:r>
      <w:r w:rsidR="00C24CFF">
        <w:rPr>
          <w:bCs/>
          <w:szCs w:val="24"/>
        </w:rPr>
        <w:t xml:space="preserve">, extended family, and </w:t>
      </w:r>
      <w:r w:rsidR="000104A5">
        <w:rPr>
          <w:bCs/>
          <w:szCs w:val="24"/>
        </w:rPr>
        <w:t xml:space="preserve">the </w:t>
      </w:r>
      <w:r w:rsidR="00806B3F">
        <w:rPr>
          <w:bCs/>
          <w:szCs w:val="24"/>
        </w:rPr>
        <w:t xml:space="preserve">best animal </w:t>
      </w:r>
      <w:r w:rsidR="00BC242A">
        <w:rPr>
          <w:bCs/>
          <w:szCs w:val="24"/>
        </w:rPr>
        <w:t>family</w:t>
      </w:r>
      <w:r w:rsidR="00806B3F">
        <w:rPr>
          <w:bCs/>
          <w:szCs w:val="24"/>
        </w:rPr>
        <w:t xml:space="preserve"> I could ever </w:t>
      </w:r>
      <w:r w:rsidR="00BC242A">
        <w:rPr>
          <w:bCs/>
          <w:szCs w:val="24"/>
        </w:rPr>
        <w:t>dream of having</w:t>
      </w:r>
      <w:r w:rsidR="000104A5">
        <w:rPr>
          <w:bCs/>
          <w:szCs w:val="24"/>
        </w:rPr>
        <w:t>.</w:t>
      </w:r>
    </w:p>
    <w:p w14:paraId="1E496D8B" w14:textId="45DFAFA3" w:rsidR="001B733E" w:rsidRDefault="001B733E" w:rsidP="004E5364">
      <w:pPr>
        <w:spacing w:after="0" w:line="480" w:lineRule="auto"/>
        <w:jc w:val="center"/>
        <w:rPr>
          <w:bCs/>
          <w:szCs w:val="24"/>
        </w:rPr>
      </w:pPr>
    </w:p>
    <w:p w14:paraId="35CAEED1" w14:textId="288C256D" w:rsidR="003B337C" w:rsidRDefault="00941C05" w:rsidP="005B62C7">
      <w:pPr>
        <w:spacing w:after="0" w:line="480" w:lineRule="auto"/>
        <w:jc w:val="center"/>
        <w:rPr>
          <w:bCs/>
          <w:szCs w:val="24"/>
        </w:rPr>
      </w:pPr>
      <w:r>
        <w:rPr>
          <w:bCs/>
          <w:szCs w:val="24"/>
        </w:rPr>
        <w:t xml:space="preserve">Finally, </w:t>
      </w:r>
      <w:r w:rsidR="001F0886">
        <w:rPr>
          <w:bCs/>
          <w:szCs w:val="24"/>
        </w:rPr>
        <w:t>t</w:t>
      </w:r>
      <w:r w:rsidR="00D64F1D">
        <w:rPr>
          <w:bCs/>
          <w:szCs w:val="24"/>
        </w:rPr>
        <w:t xml:space="preserve">hank you to </w:t>
      </w:r>
      <w:r w:rsidR="002C0C8D">
        <w:rPr>
          <w:bCs/>
          <w:szCs w:val="24"/>
        </w:rPr>
        <w:t xml:space="preserve">the </w:t>
      </w:r>
      <w:r w:rsidR="00267CE9">
        <w:rPr>
          <w:bCs/>
          <w:szCs w:val="24"/>
        </w:rPr>
        <w:t xml:space="preserve">nurses, doctors, </w:t>
      </w:r>
      <w:r w:rsidR="007F1D88">
        <w:rPr>
          <w:bCs/>
          <w:szCs w:val="24"/>
        </w:rPr>
        <w:t xml:space="preserve">and all healthcare staff </w:t>
      </w:r>
      <w:r w:rsidR="008C0D48">
        <w:rPr>
          <w:bCs/>
          <w:szCs w:val="24"/>
        </w:rPr>
        <w:t xml:space="preserve">who </w:t>
      </w:r>
      <w:r w:rsidR="00D26826">
        <w:rPr>
          <w:bCs/>
          <w:szCs w:val="24"/>
        </w:rPr>
        <w:t>saved</w:t>
      </w:r>
      <w:r w:rsidR="008C0D48">
        <w:rPr>
          <w:bCs/>
          <w:szCs w:val="24"/>
        </w:rPr>
        <w:t xml:space="preserve"> my life when I was diagnosed with cancer</w:t>
      </w:r>
      <w:r w:rsidR="00BE0B26">
        <w:rPr>
          <w:bCs/>
          <w:szCs w:val="24"/>
        </w:rPr>
        <w:t xml:space="preserve">, and to those who continue to work to heal me </w:t>
      </w:r>
      <w:r w:rsidR="00D26826">
        <w:rPr>
          <w:bCs/>
          <w:szCs w:val="24"/>
        </w:rPr>
        <w:t>since</w:t>
      </w:r>
      <w:r w:rsidR="00991361">
        <w:rPr>
          <w:bCs/>
          <w:szCs w:val="24"/>
        </w:rPr>
        <w:t xml:space="preserve"> then</w:t>
      </w:r>
      <w:r w:rsidR="00BE0B26">
        <w:rPr>
          <w:bCs/>
          <w:szCs w:val="24"/>
        </w:rPr>
        <w:t>.</w:t>
      </w:r>
    </w:p>
    <w:p w14:paraId="5F1C60CD" w14:textId="77777777" w:rsidR="005B62C7" w:rsidRPr="00424BD3" w:rsidRDefault="005B62C7">
      <w:pPr>
        <w:rPr>
          <w:b/>
          <w:szCs w:val="24"/>
        </w:rPr>
      </w:pPr>
      <w:r w:rsidRPr="00424BD3">
        <w:rPr>
          <w:b/>
          <w:szCs w:val="24"/>
        </w:rPr>
        <w:br w:type="page"/>
      </w:r>
    </w:p>
    <w:p w14:paraId="0E9B22C6" w14:textId="3FE8C00C" w:rsidR="00182B06" w:rsidRPr="00424BD3" w:rsidRDefault="00182B06" w:rsidP="000126EE">
      <w:pPr>
        <w:spacing w:after="0" w:line="480" w:lineRule="auto"/>
        <w:jc w:val="center"/>
        <w:rPr>
          <w:bCs/>
          <w:szCs w:val="24"/>
        </w:rPr>
      </w:pPr>
      <w:r w:rsidRPr="00424BD3">
        <w:rPr>
          <w:b/>
          <w:szCs w:val="24"/>
        </w:rPr>
        <w:lastRenderedPageBreak/>
        <w:t>ACKNOWLEDGEMENTS</w:t>
      </w:r>
    </w:p>
    <w:p w14:paraId="181BADB1" w14:textId="78E31EFD" w:rsidR="005E36A7" w:rsidRPr="00424BD3" w:rsidRDefault="005E36A7" w:rsidP="000126EE">
      <w:pPr>
        <w:spacing w:after="0" w:line="480" w:lineRule="auto"/>
        <w:jc w:val="center"/>
        <w:rPr>
          <w:bCs/>
          <w:szCs w:val="24"/>
        </w:rPr>
      </w:pPr>
    </w:p>
    <w:p w14:paraId="62840DA7" w14:textId="4CB8A274" w:rsidR="00B83B2C" w:rsidRDefault="005E36A7" w:rsidP="000973FE">
      <w:pPr>
        <w:spacing w:after="0" w:line="480" w:lineRule="auto"/>
        <w:jc w:val="both"/>
        <w:rPr>
          <w:bCs/>
          <w:szCs w:val="24"/>
        </w:rPr>
      </w:pPr>
      <w:r w:rsidRPr="00424BD3">
        <w:rPr>
          <w:bCs/>
          <w:szCs w:val="24"/>
        </w:rPr>
        <w:t>Thank you to</w:t>
      </w:r>
      <w:r w:rsidR="009D68BF">
        <w:rPr>
          <w:bCs/>
          <w:szCs w:val="24"/>
        </w:rPr>
        <w:t xml:space="preserve"> </w:t>
      </w:r>
      <w:r w:rsidR="00BE0B26">
        <w:rPr>
          <w:bCs/>
          <w:szCs w:val="24"/>
        </w:rPr>
        <w:t>Dr</w:t>
      </w:r>
      <w:r w:rsidR="000A1358">
        <w:rPr>
          <w:bCs/>
          <w:szCs w:val="24"/>
        </w:rPr>
        <w:t xml:space="preserve">. Solange Muñoz and Dr. Gerry McCartney for their </w:t>
      </w:r>
      <w:r w:rsidR="00B06F0B">
        <w:rPr>
          <w:bCs/>
          <w:szCs w:val="24"/>
        </w:rPr>
        <w:t xml:space="preserve">guidance </w:t>
      </w:r>
      <w:r w:rsidR="000A1358">
        <w:rPr>
          <w:bCs/>
          <w:szCs w:val="24"/>
        </w:rPr>
        <w:t>during my PhD and dissertation journey</w:t>
      </w:r>
      <w:r w:rsidR="001D7CFA">
        <w:rPr>
          <w:bCs/>
          <w:szCs w:val="24"/>
        </w:rPr>
        <w:t>, especially in difficult time</w:t>
      </w:r>
      <w:r w:rsidR="00710019">
        <w:rPr>
          <w:bCs/>
          <w:szCs w:val="24"/>
        </w:rPr>
        <w:t>s</w:t>
      </w:r>
      <w:r w:rsidRPr="00424BD3">
        <w:rPr>
          <w:bCs/>
          <w:szCs w:val="24"/>
        </w:rPr>
        <w:t>.</w:t>
      </w:r>
      <w:r w:rsidR="00710019">
        <w:rPr>
          <w:bCs/>
          <w:szCs w:val="24"/>
        </w:rPr>
        <w:t xml:space="preserve"> </w:t>
      </w:r>
      <w:r w:rsidR="000A1358">
        <w:rPr>
          <w:bCs/>
          <w:szCs w:val="24"/>
        </w:rPr>
        <w:t xml:space="preserve">I am particularly grateful for their </w:t>
      </w:r>
      <w:r w:rsidR="003E4D06">
        <w:rPr>
          <w:bCs/>
          <w:szCs w:val="24"/>
        </w:rPr>
        <w:t xml:space="preserve">efforts in </w:t>
      </w:r>
      <w:r w:rsidR="0057328C">
        <w:rPr>
          <w:bCs/>
          <w:szCs w:val="24"/>
        </w:rPr>
        <w:t xml:space="preserve">helping and challenging me to </w:t>
      </w:r>
      <w:r w:rsidR="00964ACF">
        <w:rPr>
          <w:bCs/>
          <w:szCs w:val="24"/>
        </w:rPr>
        <w:t xml:space="preserve">continue to </w:t>
      </w:r>
      <w:r w:rsidR="00A93066">
        <w:rPr>
          <w:bCs/>
          <w:szCs w:val="24"/>
        </w:rPr>
        <w:t>grow as a scholar, researcher</w:t>
      </w:r>
      <w:r w:rsidR="00710019">
        <w:rPr>
          <w:bCs/>
          <w:szCs w:val="24"/>
        </w:rPr>
        <w:t>,</w:t>
      </w:r>
      <w:r w:rsidR="00A93066">
        <w:rPr>
          <w:bCs/>
          <w:szCs w:val="24"/>
        </w:rPr>
        <w:t xml:space="preserve"> and </w:t>
      </w:r>
      <w:r w:rsidR="002B3146">
        <w:rPr>
          <w:bCs/>
          <w:szCs w:val="24"/>
        </w:rPr>
        <w:t>academic</w:t>
      </w:r>
      <w:r w:rsidR="0068759B">
        <w:rPr>
          <w:bCs/>
          <w:szCs w:val="24"/>
        </w:rPr>
        <w:t xml:space="preserve"> </w:t>
      </w:r>
      <w:r w:rsidR="00A93066">
        <w:rPr>
          <w:bCs/>
          <w:szCs w:val="24"/>
        </w:rPr>
        <w:t xml:space="preserve">writer. </w:t>
      </w:r>
      <w:r w:rsidR="001D7CFA">
        <w:rPr>
          <w:bCs/>
          <w:szCs w:val="24"/>
        </w:rPr>
        <w:t xml:space="preserve">Thank you to Dr. Derek Alderman and </w:t>
      </w:r>
      <w:r w:rsidR="00964ACF">
        <w:rPr>
          <w:bCs/>
          <w:szCs w:val="24"/>
        </w:rPr>
        <w:t xml:space="preserve">Dr. </w:t>
      </w:r>
      <w:r w:rsidR="001D7CFA">
        <w:rPr>
          <w:bCs/>
          <w:szCs w:val="24"/>
        </w:rPr>
        <w:t>Stefanie Benjamin who</w:t>
      </w:r>
      <w:r w:rsidR="009955E6">
        <w:rPr>
          <w:bCs/>
          <w:szCs w:val="24"/>
        </w:rPr>
        <w:t xml:space="preserve"> </w:t>
      </w:r>
      <w:r w:rsidR="006C0F5C">
        <w:rPr>
          <w:bCs/>
          <w:szCs w:val="24"/>
        </w:rPr>
        <w:t xml:space="preserve">showed me how to </w:t>
      </w:r>
      <w:r w:rsidR="009955E6">
        <w:rPr>
          <w:bCs/>
          <w:szCs w:val="24"/>
        </w:rPr>
        <w:t>transform my art into</w:t>
      </w:r>
      <w:r w:rsidR="00B83B2C">
        <w:rPr>
          <w:bCs/>
          <w:szCs w:val="24"/>
        </w:rPr>
        <w:t xml:space="preserve"> creative methods </w:t>
      </w:r>
      <w:r w:rsidR="00263E4F">
        <w:rPr>
          <w:bCs/>
          <w:szCs w:val="24"/>
        </w:rPr>
        <w:t>in scholarship</w:t>
      </w:r>
      <w:r w:rsidR="00E73A88">
        <w:rPr>
          <w:bCs/>
          <w:szCs w:val="24"/>
        </w:rPr>
        <w:t>,</w:t>
      </w:r>
      <w:r w:rsidR="0043249F">
        <w:rPr>
          <w:bCs/>
          <w:szCs w:val="24"/>
        </w:rPr>
        <w:t xml:space="preserve"> and who continue to </w:t>
      </w:r>
      <w:r w:rsidR="008C05DF">
        <w:rPr>
          <w:bCs/>
          <w:szCs w:val="24"/>
        </w:rPr>
        <w:t>hold space for me</w:t>
      </w:r>
      <w:r w:rsidR="0043249F">
        <w:rPr>
          <w:bCs/>
          <w:szCs w:val="24"/>
        </w:rPr>
        <w:t xml:space="preserve"> as a creative</w:t>
      </w:r>
      <w:r w:rsidR="008C05DF">
        <w:rPr>
          <w:bCs/>
          <w:szCs w:val="24"/>
        </w:rPr>
        <w:t xml:space="preserve"> coming </w:t>
      </w:r>
      <w:r w:rsidR="00521735">
        <w:rPr>
          <w:bCs/>
          <w:szCs w:val="24"/>
        </w:rPr>
        <w:t>into</w:t>
      </w:r>
      <w:r w:rsidR="008C05DF">
        <w:rPr>
          <w:bCs/>
          <w:szCs w:val="24"/>
        </w:rPr>
        <w:t xml:space="preserve"> </w:t>
      </w:r>
      <w:r w:rsidR="00307723">
        <w:rPr>
          <w:bCs/>
          <w:szCs w:val="24"/>
        </w:rPr>
        <w:t xml:space="preserve">the </w:t>
      </w:r>
      <w:r w:rsidR="008C05DF">
        <w:rPr>
          <w:bCs/>
          <w:szCs w:val="24"/>
        </w:rPr>
        <w:t>academi</w:t>
      </w:r>
      <w:r w:rsidR="00307723">
        <w:rPr>
          <w:bCs/>
          <w:szCs w:val="24"/>
        </w:rPr>
        <w:t>c arena</w:t>
      </w:r>
      <w:r w:rsidR="008C05DF">
        <w:rPr>
          <w:bCs/>
          <w:szCs w:val="24"/>
        </w:rPr>
        <w:t>.</w:t>
      </w:r>
    </w:p>
    <w:p w14:paraId="3AA38821" w14:textId="4C688954" w:rsidR="00520C56" w:rsidRDefault="00520C56" w:rsidP="000973FE">
      <w:pPr>
        <w:spacing w:after="0" w:line="480" w:lineRule="auto"/>
        <w:jc w:val="both"/>
        <w:rPr>
          <w:bCs/>
          <w:szCs w:val="24"/>
        </w:rPr>
      </w:pPr>
    </w:p>
    <w:p w14:paraId="6913F8F8" w14:textId="77777777" w:rsidR="00611648" w:rsidRDefault="00520C56" w:rsidP="000973FE">
      <w:pPr>
        <w:spacing w:after="0" w:line="480" w:lineRule="auto"/>
        <w:jc w:val="both"/>
        <w:rPr>
          <w:bCs/>
          <w:szCs w:val="24"/>
        </w:rPr>
      </w:pPr>
      <w:r>
        <w:rPr>
          <w:bCs/>
          <w:szCs w:val="24"/>
        </w:rPr>
        <w:t xml:space="preserve">Thank you also to Dr. </w:t>
      </w:r>
      <w:r w:rsidR="00EE021A">
        <w:rPr>
          <w:bCs/>
          <w:szCs w:val="24"/>
        </w:rPr>
        <w:t xml:space="preserve">Kristina Kintziger, Dr. Cristina Barroso, and Dr. Carole Myers who shared </w:t>
      </w:r>
      <w:r w:rsidR="004350D7">
        <w:rPr>
          <w:bCs/>
          <w:szCs w:val="24"/>
        </w:rPr>
        <w:t xml:space="preserve">part of </w:t>
      </w:r>
      <w:r w:rsidR="00EE021A">
        <w:rPr>
          <w:bCs/>
          <w:szCs w:val="24"/>
        </w:rPr>
        <w:t xml:space="preserve">this journey </w:t>
      </w:r>
      <w:r w:rsidR="004350D7">
        <w:rPr>
          <w:bCs/>
          <w:szCs w:val="24"/>
        </w:rPr>
        <w:t>as my committee members</w:t>
      </w:r>
      <w:r w:rsidR="00F07BA6">
        <w:rPr>
          <w:bCs/>
          <w:szCs w:val="24"/>
        </w:rPr>
        <w:t xml:space="preserve"> for a </w:t>
      </w:r>
      <w:r w:rsidR="00331226">
        <w:rPr>
          <w:bCs/>
          <w:szCs w:val="24"/>
        </w:rPr>
        <w:t>while</w:t>
      </w:r>
      <w:r w:rsidR="00F07BA6">
        <w:rPr>
          <w:bCs/>
          <w:szCs w:val="24"/>
        </w:rPr>
        <w:t>. I</w:t>
      </w:r>
      <w:r w:rsidR="001E6666">
        <w:rPr>
          <w:bCs/>
          <w:szCs w:val="24"/>
        </w:rPr>
        <w:t xml:space="preserve"> am grateful for their input and support</w:t>
      </w:r>
      <w:r w:rsidR="004350D7">
        <w:rPr>
          <w:bCs/>
          <w:szCs w:val="24"/>
        </w:rPr>
        <w:t>.</w:t>
      </w:r>
      <w:r w:rsidR="00FB6EC6">
        <w:rPr>
          <w:bCs/>
          <w:szCs w:val="24"/>
        </w:rPr>
        <w:t xml:space="preserve"> </w:t>
      </w:r>
    </w:p>
    <w:p w14:paraId="303FE9BD" w14:textId="77777777" w:rsidR="00611648" w:rsidRDefault="00611648" w:rsidP="000973FE">
      <w:pPr>
        <w:spacing w:after="0" w:line="480" w:lineRule="auto"/>
        <w:jc w:val="both"/>
        <w:rPr>
          <w:bCs/>
          <w:szCs w:val="24"/>
        </w:rPr>
      </w:pPr>
    </w:p>
    <w:p w14:paraId="616947E6" w14:textId="3FC048C9" w:rsidR="00520C56" w:rsidRDefault="00611648" w:rsidP="000973FE">
      <w:pPr>
        <w:spacing w:after="0" w:line="480" w:lineRule="auto"/>
        <w:jc w:val="both"/>
        <w:rPr>
          <w:bCs/>
          <w:szCs w:val="24"/>
        </w:rPr>
      </w:pPr>
      <w:r>
        <w:rPr>
          <w:bCs/>
          <w:szCs w:val="24"/>
        </w:rPr>
        <w:t>A special t</w:t>
      </w:r>
      <w:r w:rsidR="00FB6EC6">
        <w:rPr>
          <w:bCs/>
          <w:szCs w:val="24"/>
        </w:rPr>
        <w:t xml:space="preserve">hank you to Donna Alderman, </w:t>
      </w:r>
      <w:r w:rsidR="00A44E58">
        <w:rPr>
          <w:bCs/>
          <w:szCs w:val="24"/>
        </w:rPr>
        <w:t xml:space="preserve">MEd, </w:t>
      </w:r>
      <w:r w:rsidR="00372B64">
        <w:rPr>
          <w:bCs/>
          <w:szCs w:val="24"/>
        </w:rPr>
        <w:t>Dr. Jessica Jacobs, Dr. Joseph Palis</w:t>
      </w:r>
      <w:r w:rsidR="00A41B15">
        <w:rPr>
          <w:bCs/>
          <w:szCs w:val="24"/>
        </w:rPr>
        <w:t>, Dr. Taja Welch</w:t>
      </w:r>
      <w:r w:rsidR="008418A3">
        <w:rPr>
          <w:bCs/>
          <w:szCs w:val="24"/>
        </w:rPr>
        <w:t>, and Ana Gon</w:t>
      </w:r>
      <w:r w:rsidR="00EC2647">
        <w:rPr>
          <w:rFonts w:cs="Arial"/>
          <w:bCs/>
          <w:szCs w:val="24"/>
        </w:rPr>
        <w:t>ç</w:t>
      </w:r>
      <w:r w:rsidR="00EC2647">
        <w:rPr>
          <w:bCs/>
          <w:szCs w:val="24"/>
        </w:rPr>
        <w:t>alves</w:t>
      </w:r>
      <w:r w:rsidR="00F20BF5">
        <w:rPr>
          <w:bCs/>
          <w:szCs w:val="24"/>
        </w:rPr>
        <w:t xml:space="preserve"> LMT, DVM, MS</w:t>
      </w:r>
      <w:r w:rsidR="00372B64">
        <w:rPr>
          <w:bCs/>
          <w:szCs w:val="24"/>
        </w:rPr>
        <w:t xml:space="preserve"> </w:t>
      </w:r>
      <w:r w:rsidR="00A44E58">
        <w:rPr>
          <w:bCs/>
          <w:szCs w:val="24"/>
        </w:rPr>
        <w:t xml:space="preserve">for </w:t>
      </w:r>
      <w:r w:rsidR="00372B64">
        <w:rPr>
          <w:bCs/>
          <w:szCs w:val="24"/>
        </w:rPr>
        <w:t xml:space="preserve">their </w:t>
      </w:r>
      <w:r w:rsidR="00A44E58">
        <w:rPr>
          <w:bCs/>
          <w:szCs w:val="24"/>
        </w:rPr>
        <w:t>encouragement</w:t>
      </w:r>
      <w:r w:rsidR="00674F5C">
        <w:rPr>
          <w:bCs/>
          <w:szCs w:val="24"/>
        </w:rPr>
        <w:t>, empathy,</w:t>
      </w:r>
      <w:r w:rsidR="00A44E58">
        <w:rPr>
          <w:bCs/>
          <w:szCs w:val="24"/>
        </w:rPr>
        <w:t xml:space="preserve"> </w:t>
      </w:r>
      <w:r w:rsidR="003670A4">
        <w:rPr>
          <w:bCs/>
          <w:szCs w:val="24"/>
        </w:rPr>
        <w:t xml:space="preserve">and </w:t>
      </w:r>
      <w:r w:rsidR="00BD2E26">
        <w:rPr>
          <w:bCs/>
          <w:szCs w:val="24"/>
        </w:rPr>
        <w:t>mentorship</w:t>
      </w:r>
      <w:r w:rsidR="003670A4">
        <w:rPr>
          <w:bCs/>
          <w:szCs w:val="24"/>
        </w:rPr>
        <w:t xml:space="preserve">. </w:t>
      </w:r>
    </w:p>
    <w:p w14:paraId="581D3AD2" w14:textId="40D84D0E" w:rsidR="00FB1573" w:rsidRDefault="00FB1573" w:rsidP="000973FE">
      <w:pPr>
        <w:spacing w:after="0" w:line="480" w:lineRule="auto"/>
        <w:jc w:val="both"/>
        <w:rPr>
          <w:bCs/>
          <w:szCs w:val="24"/>
        </w:rPr>
      </w:pPr>
    </w:p>
    <w:p w14:paraId="4510E16F" w14:textId="2CA1614E" w:rsidR="00FB1573" w:rsidRDefault="00FB1573" w:rsidP="000973FE">
      <w:pPr>
        <w:spacing w:after="0" w:line="480" w:lineRule="auto"/>
        <w:jc w:val="both"/>
        <w:rPr>
          <w:bCs/>
          <w:szCs w:val="24"/>
        </w:rPr>
      </w:pPr>
      <w:r>
        <w:rPr>
          <w:bCs/>
          <w:szCs w:val="24"/>
        </w:rPr>
        <w:t>Finally, thank you to</w:t>
      </w:r>
      <w:r w:rsidR="00B220AC">
        <w:rPr>
          <w:bCs/>
          <w:szCs w:val="24"/>
        </w:rPr>
        <w:t xml:space="preserve"> Robert </w:t>
      </w:r>
      <w:r w:rsidR="009C0895">
        <w:rPr>
          <w:bCs/>
          <w:szCs w:val="24"/>
        </w:rPr>
        <w:t xml:space="preserve">and Betty </w:t>
      </w:r>
      <w:r w:rsidR="00B220AC">
        <w:rPr>
          <w:bCs/>
          <w:szCs w:val="24"/>
        </w:rPr>
        <w:t>Walker</w:t>
      </w:r>
      <w:r w:rsidR="003F5BDD">
        <w:rPr>
          <w:bCs/>
          <w:szCs w:val="24"/>
        </w:rPr>
        <w:t>,</w:t>
      </w:r>
      <w:r w:rsidR="00A44E58">
        <w:rPr>
          <w:bCs/>
          <w:szCs w:val="24"/>
        </w:rPr>
        <w:t xml:space="preserve"> </w:t>
      </w:r>
      <w:r w:rsidR="00743E2D">
        <w:rPr>
          <w:bCs/>
          <w:szCs w:val="24"/>
        </w:rPr>
        <w:t xml:space="preserve">Dr. Hannah Gunderman, </w:t>
      </w:r>
      <w:r w:rsidR="008418A3">
        <w:rPr>
          <w:bCs/>
          <w:szCs w:val="24"/>
        </w:rPr>
        <w:t xml:space="preserve">and </w:t>
      </w:r>
      <w:r w:rsidR="00A837A3">
        <w:rPr>
          <w:bCs/>
          <w:szCs w:val="24"/>
        </w:rPr>
        <w:t xml:space="preserve">Dr. </w:t>
      </w:r>
      <w:r w:rsidR="00B220AC">
        <w:rPr>
          <w:bCs/>
          <w:szCs w:val="24"/>
        </w:rPr>
        <w:t xml:space="preserve">Shaundra Cunningham </w:t>
      </w:r>
      <w:r>
        <w:rPr>
          <w:bCs/>
          <w:szCs w:val="24"/>
        </w:rPr>
        <w:t>who</w:t>
      </w:r>
      <w:r w:rsidR="00A06842">
        <w:rPr>
          <w:bCs/>
          <w:szCs w:val="24"/>
        </w:rPr>
        <w:t xml:space="preserve">se </w:t>
      </w:r>
      <w:r w:rsidR="00405264">
        <w:rPr>
          <w:bCs/>
          <w:szCs w:val="24"/>
        </w:rPr>
        <w:t xml:space="preserve">own </w:t>
      </w:r>
      <w:r w:rsidR="00A06842">
        <w:rPr>
          <w:bCs/>
          <w:szCs w:val="24"/>
        </w:rPr>
        <w:t xml:space="preserve">insights, </w:t>
      </w:r>
      <w:r w:rsidR="00F73F41">
        <w:rPr>
          <w:bCs/>
          <w:szCs w:val="24"/>
        </w:rPr>
        <w:t>determination</w:t>
      </w:r>
      <w:r w:rsidR="00921595">
        <w:rPr>
          <w:bCs/>
          <w:szCs w:val="24"/>
        </w:rPr>
        <w:t>, and friendship</w:t>
      </w:r>
      <w:r w:rsidR="00F73F41">
        <w:rPr>
          <w:bCs/>
          <w:szCs w:val="24"/>
        </w:rPr>
        <w:t xml:space="preserve"> </w:t>
      </w:r>
      <w:r w:rsidR="00405264">
        <w:rPr>
          <w:bCs/>
          <w:szCs w:val="24"/>
        </w:rPr>
        <w:t>made this journey invaluable.</w:t>
      </w:r>
      <w:r w:rsidR="003F2D04">
        <w:rPr>
          <w:bCs/>
          <w:szCs w:val="24"/>
        </w:rPr>
        <w:t xml:space="preserve"> </w:t>
      </w:r>
    </w:p>
    <w:p w14:paraId="3C28B8E3" w14:textId="1D65B957" w:rsidR="005E36A7" w:rsidRPr="00424BD3" w:rsidRDefault="000A1358" w:rsidP="000126EE">
      <w:pPr>
        <w:spacing w:after="0" w:line="480" w:lineRule="auto"/>
        <w:jc w:val="center"/>
        <w:rPr>
          <w:bCs/>
          <w:szCs w:val="24"/>
        </w:rPr>
      </w:pPr>
      <w:r>
        <w:rPr>
          <w:bCs/>
          <w:szCs w:val="24"/>
        </w:rPr>
        <w:t xml:space="preserve"> </w:t>
      </w:r>
    </w:p>
    <w:p w14:paraId="211F89B4" w14:textId="77777777" w:rsidR="00182B06" w:rsidRPr="00424BD3" w:rsidRDefault="00182B06" w:rsidP="000126EE">
      <w:pPr>
        <w:spacing w:after="0" w:line="480" w:lineRule="auto"/>
        <w:rPr>
          <w:b/>
          <w:szCs w:val="24"/>
        </w:rPr>
      </w:pPr>
      <w:r w:rsidRPr="00424BD3">
        <w:rPr>
          <w:b/>
          <w:szCs w:val="24"/>
        </w:rPr>
        <w:br w:type="page"/>
      </w:r>
    </w:p>
    <w:p w14:paraId="18A00296" w14:textId="77777777" w:rsidR="002C16B9" w:rsidRPr="00424BD3" w:rsidRDefault="002C16B9" w:rsidP="000126EE">
      <w:pPr>
        <w:spacing w:after="0" w:line="480" w:lineRule="auto"/>
        <w:jc w:val="center"/>
        <w:rPr>
          <w:b/>
          <w:szCs w:val="24"/>
        </w:rPr>
        <w:sectPr w:rsidR="002C16B9" w:rsidRPr="00424BD3" w:rsidSect="00720B15">
          <w:headerReference w:type="default" r:id="rId12"/>
          <w:pgSz w:w="12240" w:h="15840"/>
          <w:pgMar w:top="1440" w:right="1440" w:bottom="1440" w:left="1440" w:header="720" w:footer="720" w:gutter="0"/>
          <w:pgNumType w:fmt="lowerRoman" w:start="2"/>
          <w:cols w:space="720"/>
          <w:docGrid w:linePitch="360"/>
        </w:sectPr>
      </w:pPr>
    </w:p>
    <w:p w14:paraId="74000FDD" w14:textId="37099D66" w:rsidR="00241916" w:rsidRPr="00424BD3" w:rsidRDefault="00241916" w:rsidP="000126EE">
      <w:pPr>
        <w:spacing w:after="0" w:line="480" w:lineRule="auto"/>
        <w:jc w:val="center"/>
        <w:rPr>
          <w:b/>
          <w:szCs w:val="24"/>
        </w:rPr>
      </w:pPr>
      <w:r w:rsidRPr="00424BD3">
        <w:rPr>
          <w:b/>
          <w:szCs w:val="24"/>
        </w:rPr>
        <w:lastRenderedPageBreak/>
        <w:t>A</w:t>
      </w:r>
      <w:r w:rsidR="00693CCE" w:rsidRPr="00424BD3">
        <w:rPr>
          <w:b/>
          <w:szCs w:val="24"/>
        </w:rPr>
        <w:t>BSTRACT</w:t>
      </w:r>
    </w:p>
    <w:p w14:paraId="7FA220BC" w14:textId="77777777" w:rsidR="00693CCE" w:rsidRPr="00424BD3" w:rsidRDefault="00693CCE" w:rsidP="000126EE">
      <w:pPr>
        <w:spacing w:after="0" w:line="480" w:lineRule="auto"/>
        <w:jc w:val="center"/>
        <w:rPr>
          <w:b/>
          <w:sz w:val="28"/>
          <w:szCs w:val="28"/>
        </w:rPr>
      </w:pPr>
    </w:p>
    <w:p w14:paraId="416D953C" w14:textId="332D6F46" w:rsidR="00241916" w:rsidRPr="00424BD3" w:rsidRDefault="00241916" w:rsidP="000126EE">
      <w:pPr>
        <w:spacing w:after="0" w:line="480" w:lineRule="auto"/>
        <w:ind w:firstLine="720"/>
      </w:pPr>
      <w:r w:rsidRPr="00424BD3">
        <w:t>Older women face unique health inequities challenges. This study aims to provide an understanding of older women’s perceptions and situated experiences regarding the gendered health inequities they face and the social determinants (SD</w:t>
      </w:r>
      <w:r w:rsidR="008E29F7">
        <w:t>O</w:t>
      </w:r>
      <w:r w:rsidRPr="00424BD3">
        <w:t>H) thereof</w:t>
      </w:r>
      <w:r w:rsidR="00E256D3" w:rsidRPr="00424BD3">
        <w:t>. It examines</w:t>
      </w:r>
      <w:r w:rsidR="00A54322" w:rsidRPr="00424BD3">
        <w:t xml:space="preserve"> how these health inequities </w:t>
      </w:r>
      <w:r w:rsidRPr="00424BD3">
        <w:t>are situated in older women’s genealogical (familial) and geographical health and mortality outcomes histories and how their perceptions and experiences of health inequities and their familial mortality outcomes histories are characterized by the geopolitical and social norms in which they live. The purpose of this project is to present policy and decision-makers with insights about and recommendations from older women on their needs and wants in order to mitigate those health inequities. The data for this study was collected through semi-structured interviews with twelve women in Appalachian East Tennessee. Areas examined include</w:t>
      </w:r>
      <w:r w:rsidR="00227459" w:rsidRPr="00424BD3">
        <w:t>:</w:t>
      </w:r>
      <w:r w:rsidRPr="00424BD3">
        <w:t xml:space="preserve"> the women’s perceived impact of federal, state, and local policies and interventions on the participants; the role of social norming and health narratives, particularly stigmatization and discrimination around ageism, sexism, and health marginalization of older women, and the resultant older women’s internalization of health norms; the familial role in health inequities; the usage of family health histories and older women’s genealogies of health and mortality outcomes; and the role of place and place-effects. This study also aimed to examine the place-based and temporal geopolitical, social</w:t>
      </w:r>
      <w:r w:rsidR="00E74958">
        <w:t>,</w:t>
      </w:r>
      <w:r w:rsidRPr="00424BD3">
        <w:t xml:space="preserve"> and cultural norming and social conditioning of older women in relation to their perceptions, attitudes</w:t>
      </w:r>
      <w:r w:rsidR="00141E01">
        <w:t>,</w:t>
      </w:r>
      <w:r w:rsidRPr="00424BD3">
        <w:t xml:space="preserve"> and beliefs. </w:t>
      </w:r>
      <w:r w:rsidR="00BD41F6" w:rsidRPr="00424BD3">
        <w:t>This study</w:t>
      </w:r>
      <w:r w:rsidRPr="00424BD3">
        <w:t xml:space="preserve"> sought to determine if these norms impact the participants’ awareness or lack of awareness of their family </w:t>
      </w:r>
      <w:r w:rsidRPr="00424BD3">
        <w:lastRenderedPageBreak/>
        <w:t>health histories.</w:t>
      </w:r>
      <w:r w:rsidR="00BD41F6" w:rsidRPr="00424BD3">
        <w:t xml:space="preserve"> </w:t>
      </w:r>
      <w:r w:rsidRPr="00424BD3">
        <w:t>This study showed that internalization of these norms, and the replicating of beliefs, attitudes, and perceptions that older women have around health inequities and familial mortality outcomes may be reproduced in their own families</w:t>
      </w:r>
      <w:r w:rsidR="00A730E4" w:rsidRPr="00424BD3">
        <w:t xml:space="preserve">. </w:t>
      </w:r>
      <w:r w:rsidR="002036BB" w:rsidRPr="00424BD3">
        <w:t>The</w:t>
      </w:r>
      <w:r w:rsidR="00AE6DD4" w:rsidRPr="00424BD3">
        <w:t xml:space="preserve"> women provided their own recommendations for ways to </w:t>
      </w:r>
      <w:r w:rsidR="002036BB" w:rsidRPr="00424BD3">
        <w:t>mitigate the health inequities they face.</w:t>
      </w:r>
      <w:r w:rsidR="00AE6DD4" w:rsidRPr="00424BD3">
        <w:t xml:space="preserve"> </w:t>
      </w:r>
      <w:r w:rsidR="00A730E4" w:rsidRPr="00424BD3">
        <w:t xml:space="preserve">This </w:t>
      </w:r>
      <w:r w:rsidRPr="00424BD3">
        <w:t xml:space="preserve">has implications for </w:t>
      </w:r>
      <w:r w:rsidR="00FF44A6" w:rsidRPr="00424BD3">
        <w:t>policymaking</w:t>
      </w:r>
      <w:r w:rsidRPr="00424BD3">
        <w:t xml:space="preserve"> and intervention design</w:t>
      </w:r>
      <w:r w:rsidR="00F64032" w:rsidRPr="00424BD3">
        <w:t xml:space="preserve"> in co-production with older women</w:t>
      </w:r>
      <w:r w:rsidRPr="00424BD3">
        <w:t xml:space="preserve"> in order to mitigate older women’s health inequities. </w:t>
      </w:r>
    </w:p>
    <w:p w14:paraId="7551386E" w14:textId="1ECD38A2" w:rsidR="006534A1" w:rsidRPr="00424BD3" w:rsidRDefault="009F7F31" w:rsidP="000126EE">
      <w:pPr>
        <w:pStyle w:val="TOCHeading"/>
        <w:spacing w:before="0" w:after="0" w:line="480" w:lineRule="auto"/>
      </w:pPr>
      <w:r w:rsidRPr="00424BD3">
        <w:br w:type="page"/>
      </w:r>
    </w:p>
    <w:p w14:paraId="420250FB" w14:textId="05D82B31" w:rsidR="00442F65" w:rsidRPr="00424BD3" w:rsidRDefault="00442F65" w:rsidP="000126EE">
      <w:pPr>
        <w:spacing w:after="0" w:line="480" w:lineRule="auto"/>
        <w:jc w:val="center"/>
        <w:rPr>
          <w:b/>
        </w:rPr>
      </w:pPr>
      <w:r w:rsidRPr="00424BD3">
        <w:rPr>
          <w:b/>
        </w:rPr>
        <w:lastRenderedPageBreak/>
        <w:t>TABLE OF CONTENTS</w:t>
      </w:r>
    </w:p>
    <w:p w14:paraId="7F78AD9B" w14:textId="00792DB1" w:rsidR="00CE737D" w:rsidRDefault="00D859FE">
      <w:pPr>
        <w:pStyle w:val="TOC1"/>
        <w:rPr>
          <w:rFonts w:asciiTheme="minorHAnsi" w:eastAsiaTheme="minorEastAsia" w:hAnsiTheme="minorHAnsi" w:cstheme="minorBidi"/>
          <w:noProof/>
          <w:sz w:val="22"/>
          <w:szCs w:val="22"/>
        </w:rPr>
      </w:pPr>
      <w:r w:rsidRPr="00424BD3">
        <w:fldChar w:fldCharType="begin"/>
      </w:r>
      <w:r w:rsidRPr="00424BD3">
        <w:instrText xml:space="preserve"> TOC \o "1-3" \h \z \u </w:instrText>
      </w:r>
      <w:r w:rsidRPr="00424BD3">
        <w:fldChar w:fldCharType="separate"/>
      </w:r>
      <w:hyperlink w:anchor="_Toc118232275" w:history="1">
        <w:r w:rsidR="00CE737D" w:rsidRPr="00D61B2E">
          <w:rPr>
            <w:rStyle w:val="Hyperlink"/>
            <w:b/>
            <w:bCs/>
            <w:noProof/>
          </w:rPr>
          <w:t>CHAPTER ONE</w:t>
        </w:r>
        <w:r w:rsidR="00CE737D">
          <w:rPr>
            <w:noProof/>
            <w:webHidden/>
          </w:rPr>
          <w:tab/>
        </w:r>
        <w:r w:rsidR="00CE737D">
          <w:rPr>
            <w:noProof/>
            <w:webHidden/>
          </w:rPr>
          <w:fldChar w:fldCharType="begin"/>
        </w:r>
        <w:r w:rsidR="00CE737D">
          <w:rPr>
            <w:noProof/>
            <w:webHidden/>
          </w:rPr>
          <w:instrText xml:space="preserve"> PAGEREF _Toc118232275 \h </w:instrText>
        </w:r>
        <w:r w:rsidR="00CE737D">
          <w:rPr>
            <w:noProof/>
            <w:webHidden/>
          </w:rPr>
        </w:r>
        <w:r w:rsidR="00CE737D">
          <w:rPr>
            <w:noProof/>
            <w:webHidden/>
          </w:rPr>
          <w:fldChar w:fldCharType="separate"/>
        </w:r>
        <w:r w:rsidR="00567747">
          <w:rPr>
            <w:noProof/>
            <w:webHidden/>
          </w:rPr>
          <w:t>1</w:t>
        </w:r>
        <w:r w:rsidR="00CE737D">
          <w:rPr>
            <w:noProof/>
            <w:webHidden/>
          </w:rPr>
          <w:fldChar w:fldCharType="end"/>
        </w:r>
      </w:hyperlink>
    </w:p>
    <w:p w14:paraId="53A90427" w14:textId="30B40B32" w:rsidR="00CE737D" w:rsidRDefault="00CE737D">
      <w:pPr>
        <w:pStyle w:val="TOC1"/>
        <w:rPr>
          <w:rFonts w:asciiTheme="minorHAnsi" w:eastAsiaTheme="minorEastAsia" w:hAnsiTheme="minorHAnsi" w:cstheme="minorBidi"/>
          <w:noProof/>
          <w:sz w:val="22"/>
          <w:szCs w:val="22"/>
        </w:rPr>
      </w:pPr>
      <w:hyperlink w:anchor="_Toc118232276" w:history="1">
        <w:r w:rsidRPr="00D61B2E">
          <w:rPr>
            <w:rStyle w:val="Hyperlink"/>
            <w:b/>
            <w:bCs/>
            <w:noProof/>
          </w:rPr>
          <w:t>INTRODUCTION AND GENERAL INFORMATION</w:t>
        </w:r>
        <w:r>
          <w:rPr>
            <w:noProof/>
            <w:webHidden/>
          </w:rPr>
          <w:tab/>
        </w:r>
        <w:r>
          <w:rPr>
            <w:noProof/>
            <w:webHidden/>
          </w:rPr>
          <w:fldChar w:fldCharType="begin"/>
        </w:r>
        <w:r>
          <w:rPr>
            <w:noProof/>
            <w:webHidden/>
          </w:rPr>
          <w:instrText xml:space="preserve"> PAGEREF _Toc118232276 \h </w:instrText>
        </w:r>
        <w:r>
          <w:rPr>
            <w:noProof/>
            <w:webHidden/>
          </w:rPr>
        </w:r>
        <w:r>
          <w:rPr>
            <w:noProof/>
            <w:webHidden/>
          </w:rPr>
          <w:fldChar w:fldCharType="separate"/>
        </w:r>
        <w:r w:rsidR="00567747">
          <w:rPr>
            <w:noProof/>
            <w:webHidden/>
          </w:rPr>
          <w:t>1</w:t>
        </w:r>
        <w:r>
          <w:rPr>
            <w:noProof/>
            <w:webHidden/>
          </w:rPr>
          <w:fldChar w:fldCharType="end"/>
        </w:r>
      </w:hyperlink>
    </w:p>
    <w:p w14:paraId="16112051" w14:textId="527B8FE0"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77" w:history="1">
        <w:r w:rsidRPr="00D61B2E">
          <w:rPr>
            <w:rStyle w:val="Hyperlink"/>
            <w:b/>
            <w:bCs/>
            <w:noProof/>
          </w:rPr>
          <w:t>Background</w:t>
        </w:r>
        <w:r>
          <w:rPr>
            <w:noProof/>
            <w:webHidden/>
          </w:rPr>
          <w:tab/>
        </w:r>
        <w:r>
          <w:rPr>
            <w:noProof/>
            <w:webHidden/>
          </w:rPr>
          <w:fldChar w:fldCharType="begin"/>
        </w:r>
        <w:r>
          <w:rPr>
            <w:noProof/>
            <w:webHidden/>
          </w:rPr>
          <w:instrText xml:space="preserve"> PAGEREF _Toc118232277 \h </w:instrText>
        </w:r>
        <w:r>
          <w:rPr>
            <w:noProof/>
            <w:webHidden/>
          </w:rPr>
        </w:r>
        <w:r>
          <w:rPr>
            <w:noProof/>
            <w:webHidden/>
          </w:rPr>
          <w:fldChar w:fldCharType="separate"/>
        </w:r>
        <w:r w:rsidR="00567747">
          <w:rPr>
            <w:noProof/>
            <w:webHidden/>
          </w:rPr>
          <w:t>3</w:t>
        </w:r>
        <w:r>
          <w:rPr>
            <w:noProof/>
            <w:webHidden/>
          </w:rPr>
          <w:fldChar w:fldCharType="end"/>
        </w:r>
      </w:hyperlink>
    </w:p>
    <w:p w14:paraId="2A11763B" w14:textId="0B16D968"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78" w:history="1">
        <w:r w:rsidRPr="00D61B2E">
          <w:rPr>
            <w:rStyle w:val="Hyperlink"/>
            <w:b/>
            <w:bCs/>
            <w:noProof/>
          </w:rPr>
          <w:t>Problem</w:t>
        </w:r>
        <w:r>
          <w:rPr>
            <w:noProof/>
            <w:webHidden/>
          </w:rPr>
          <w:tab/>
        </w:r>
        <w:r>
          <w:rPr>
            <w:noProof/>
            <w:webHidden/>
          </w:rPr>
          <w:fldChar w:fldCharType="begin"/>
        </w:r>
        <w:r>
          <w:rPr>
            <w:noProof/>
            <w:webHidden/>
          </w:rPr>
          <w:instrText xml:space="preserve"> PAGEREF _Toc118232278 \h </w:instrText>
        </w:r>
        <w:r>
          <w:rPr>
            <w:noProof/>
            <w:webHidden/>
          </w:rPr>
        </w:r>
        <w:r>
          <w:rPr>
            <w:noProof/>
            <w:webHidden/>
          </w:rPr>
          <w:fldChar w:fldCharType="separate"/>
        </w:r>
        <w:r w:rsidR="00567747">
          <w:rPr>
            <w:noProof/>
            <w:webHidden/>
          </w:rPr>
          <w:t>7</w:t>
        </w:r>
        <w:r>
          <w:rPr>
            <w:noProof/>
            <w:webHidden/>
          </w:rPr>
          <w:fldChar w:fldCharType="end"/>
        </w:r>
      </w:hyperlink>
    </w:p>
    <w:p w14:paraId="7AF16EC0" w14:textId="21F0F4CC"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79" w:history="1">
        <w:r w:rsidRPr="00D61B2E">
          <w:rPr>
            <w:rStyle w:val="Hyperlink"/>
            <w:b/>
            <w:bCs/>
            <w:noProof/>
          </w:rPr>
          <w:t>Theoretical Framework</w:t>
        </w:r>
        <w:r>
          <w:rPr>
            <w:noProof/>
            <w:webHidden/>
          </w:rPr>
          <w:tab/>
        </w:r>
        <w:r>
          <w:rPr>
            <w:noProof/>
            <w:webHidden/>
          </w:rPr>
          <w:fldChar w:fldCharType="begin"/>
        </w:r>
        <w:r>
          <w:rPr>
            <w:noProof/>
            <w:webHidden/>
          </w:rPr>
          <w:instrText xml:space="preserve"> PAGEREF _Toc118232279 \h </w:instrText>
        </w:r>
        <w:r>
          <w:rPr>
            <w:noProof/>
            <w:webHidden/>
          </w:rPr>
        </w:r>
        <w:r>
          <w:rPr>
            <w:noProof/>
            <w:webHidden/>
          </w:rPr>
          <w:fldChar w:fldCharType="separate"/>
        </w:r>
        <w:r w:rsidR="00567747">
          <w:rPr>
            <w:noProof/>
            <w:webHidden/>
          </w:rPr>
          <w:t>8</w:t>
        </w:r>
        <w:r>
          <w:rPr>
            <w:noProof/>
            <w:webHidden/>
          </w:rPr>
          <w:fldChar w:fldCharType="end"/>
        </w:r>
      </w:hyperlink>
    </w:p>
    <w:p w14:paraId="1B32BA3B" w14:textId="7E1EFDA2"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80" w:history="1">
        <w:r w:rsidRPr="00D61B2E">
          <w:rPr>
            <w:rStyle w:val="Hyperlink"/>
            <w:b/>
            <w:bCs/>
            <w:noProof/>
          </w:rPr>
          <w:t>Focus</w:t>
        </w:r>
        <w:r>
          <w:rPr>
            <w:noProof/>
            <w:webHidden/>
          </w:rPr>
          <w:tab/>
        </w:r>
        <w:r>
          <w:rPr>
            <w:noProof/>
            <w:webHidden/>
          </w:rPr>
          <w:fldChar w:fldCharType="begin"/>
        </w:r>
        <w:r>
          <w:rPr>
            <w:noProof/>
            <w:webHidden/>
          </w:rPr>
          <w:instrText xml:space="preserve"> PAGEREF _Toc118232280 \h </w:instrText>
        </w:r>
        <w:r>
          <w:rPr>
            <w:noProof/>
            <w:webHidden/>
          </w:rPr>
        </w:r>
        <w:r>
          <w:rPr>
            <w:noProof/>
            <w:webHidden/>
          </w:rPr>
          <w:fldChar w:fldCharType="separate"/>
        </w:r>
        <w:r w:rsidR="00567747">
          <w:rPr>
            <w:noProof/>
            <w:webHidden/>
          </w:rPr>
          <w:t>8</w:t>
        </w:r>
        <w:r>
          <w:rPr>
            <w:noProof/>
            <w:webHidden/>
          </w:rPr>
          <w:fldChar w:fldCharType="end"/>
        </w:r>
      </w:hyperlink>
    </w:p>
    <w:p w14:paraId="041F344A" w14:textId="28EB4A26"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81" w:history="1">
        <w:r w:rsidRPr="00D61B2E">
          <w:rPr>
            <w:rStyle w:val="Hyperlink"/>
            <w:b/>
            <w:bCs/>
            <w:noProof/>
          </w:rPr>
          <w:t>Research Questions</w:t>
        </w:r>
        <w:r>
          <w:rPr>
            <w:noProof/>
            <w:webHidden/>
          </w:rPr>
          <w:tab/>
        </w:r>
        <w:r>
          <w:rPr>
            <w:noProof/>
            <w:webHidden/>
          </w:rPr>
          <w:fldChar w:fldCharType="begin"/>
        </w:r>
        <w:r>
          <w:rPr>
            <w:noProof/>
            <w:webHidden/>
          </w:rPr>
          <w:instrText xml:space="preserve"> PAGEREF _Toc118232281 \h </w:instrText>
        </w:r>
        <w:r>
          <w:rPr>
            <w:noProof/>
            <w:webHidden/>
          </w:rPr>
        </w:r>
        <w:r>
          <w:rPr>
            <w:noProof/>
            <w:webHidden/>
          </w:rPr>
          <w:fldChar w:fldCharType="separate"/>
        </w:r>
        <w:r w:rsidR="00567747">
          <w:rPr>
            <w:noProof/>
            <w:webHidden/>
          </w:rPr>
          <w:t>9</w:t>
        </w:r>
        <w:r>
          <w:rPr>
            <w:noProof/>
            <w:webHidden/>
          </w:rPr>
          <w:fldChar w:fldCharType="end"/>
        </w:r>
      </w:hyperlink>
    </w:p>
    <w:p w14:paraId="3C25BFF8" w14:textId="3C92D3BF"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82" w:history="1">
        <w:r w:rsidRPr="00D61B2E">
          <w:rPr>
            <w:rStyle w:val="Hyperlink"/>
            <w:b/>
            <w:bCs/>
            <w:noProof/>
          </w:rPr>
          <w:t>Key Terms / Definitions</w:t>
        </w:r>
        <w:r>
          <w:rPr>
            <w:noProof/>
            <w:webHidden/>
          </w:rPr>
          <w:tab/>
        </w:r>
        <w:r>
          <w:rPr>
            <w:noProof/>
            <w:webHidden/>
          </w:rPr>
          <w:fldChar w:fldCharType="begin"/>
        </w:r>
        <w:r>
          <w:rPr>
            <w:noProof/>
            <w:webHidden/>
          </w:rPr>
          <w:instrText xml:space="preserve"> PAGEREF _Toc118232282 \h </w:instrText>
        </w:r>
        <w:r>
          <w:rPr>
            <w:noProof/>
            <w:webHidden/>
          </w:rPr>
        </w:r>
        <w:r>
          <w:rPr>
            <w:noProof/>
            <w:webHidden/>
          </w:rPr>
          <w:fldChar w:fldCharType="separate"/>
        </w:r>
        <w:r w:rsidR="00567747">
          <w:rPr>
            <w:noProof/>
            <w:webHidden/>
          </w:rPr>
          <w:t>12</w:t>
        </w:r>
        <w:r>
          <w:rPr>
            <w:noProof/>
            <w:webHidden/>
          </w:rPr>
          <w:fldChar w:fldCharType="end"/>
        </w:r>
      </w:hyperlink>
    </w:p>
    <w:p w14:paraId="0F4252B5" w14:textId="009EA01A"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83" w:history="1">
        <w:r w:rsidRPr="00D61B2E">
          <w:rPr>
            <w:rStyle w:val="Hyperlink"/>
            <w:b/>
            <w:bCs/>
            <w:i/>
            <w:iCs/>
            <w:noProof/>
          </w:rPr>
          <w:t>Health Equity</w:t>
        </w:r>
        <w:r>
          <w:rPr>
            <w:noProof/>
            <w:webHidden/>
          </w:rPr>
          <w:tab/>
        </w:r>
        <w:r>
          <w:rPr>
            <w:noProof/>
            <w:webHidden/>
          </w:rPr>
          <w:fldChar w:fldCharType="begin"/>
        </w:r>
        <w:r>
          <w:rPr>
            <w:noProof/>
            <w:webHidden/>
          </w:rPr>
          <w:instrText xml:space="preserve"> PAGEREF _Toc118232283 \h </w:instrText>
        </w:r>
        <w:r>
          <w:rPr>
            <w:noProof/>
            <w:webHidden/>
          </w:rPr>
        </w:r>
        <w:r>
          <w:rPr>
            <w:noProof/>
            <w:webHidden/>
          </w:rPr>
          <w:fldChar w:fldCharType="separate"/>
        </w:r>
        <w:r w:rsidR="00567747">
          <w:rPr>
            <w:noProof/>
            <w:webHidden/>
          </w:rPr>
          <w:t>13</w:t>
        </w:r>
        <w:r>
          <w:rPr>
            <w:noProof/>
            <w:webHidden/>
          </w:rPr>
          <w:fldChar w:fldCharType="end"/>
        </w:r>
      </w:hyperlink>
    </w:p>
    <w:p w14:paraId="7E6B9369" w14:textId="61980EB4"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84" w:history="1">
        <w:r w:rsidRPr="00D61B2E">
          <w:rPr>
            <w:rStyle w:val="Hyperlink"/>
            <w:b/>
            <w:bCs/>
            <w:i/>
            <w:iCs/>
            <w:noProof/>
            <w:shd w:val="clear" w:color="auto" w:fill="FFFFFF"/>
          </w:rPr>
          <w:t>Health Inequities</w:t>
        </w:r>
        <w:r>
          <w:rPr>
            <w:noProof/>
            <w:webHidden/>
          </w:rPr>
          <w:tab/>
        </w:r>
        <w:r>
          <w:rPr>
            <w:noProof/>
            <w:webHidden/>
          </w:rPr>
          <w:fldChar w:fldCharType="begin"/>
        </w:r>
        <w:r>
          <w:rPr>
            <w:noProof/>
            <w:webHidden/>
          </w:rPr>
          <w:instrText xml:space="preserve"> PAGEREF _Toc118232284 \h </w:instrText>
        </w:r>
        <w:r>
          <w:rPr>
            <w:noProof/>
            <w:webHidden/>
          </w:rPr>
        </w:r>
        <w:r>
          <w:rPr>
            <w:noProof/>
            <w:webHidden/>
          </w:rPr>
          <w:fldChar w:fldCharType="separate"/>
        </w:r>
        <w:r w:rsidR="00567747">
          <w:rPr>
            <w:noProof/>
            <w:webHidden/>
          </w:rPr>
          <w:t>13</w:t>
        </w:r>
        <w:r>
          <w:rPr>
            <w:noProof/>
            <w:webHidden/>
          </w:rPr>
          <w:fldChar w:fldCharType="end"/>
        </w:r>
      </w:hyperlink>
    </w:p>
    <w:p w14:paraId="0003230D" w14:textId="3B04DB27"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85" w:history="1">
        <w:r w:rsidRPr="00D61B2E">
          <w:rPr>
            <w:rStyle w:val="Hyperlink"/>
            <w:b/>
            <w:bCs/>
            <w:i/>
            <w:iCs/>
            <w:noProof/>
          </w:rPr>
          <w:t>Health Inequalities</w:t>
        </w:r>
        <w:r>
          <w:rPr>
            <w:noProof/>
            <w:webHidden/>
          </w:rPr>
          <w:tab/>
        </w:r>
        <w:r>
          <w:rPr>
            <w:noProof/>
            <w:webHidden/>
          </w:rPr>
          <w:fldChar w:fldCharType="begin"/>
        </w:r>
        <w:r>
          <w:rPr>
            <w:noProof/>
            <w:webHidden/>
          </w:rPr>
          <w:instrText xml:space="preserve"> PAGEREF _Toc118232285 \h </w:instrText>
        </w:r>
        <w:r>
          <w:rPr>
            <w:noProof/>
            <w:webHidden/>
          </w:rPr>
        </w:r>
        <w:r>
          <w:rPr>
            <w:noProof/>
            <w:webHidden/>
          </w:rPr>
          <w:fldChar w:fldCharType="separate"/>
        </w:r>
        <w:r w:rsidR="00567747">
          <w:rPr>
            <w:noProof/>
            <w:webHidden/>
          </w:rPr>
          <w:t>14</w:t>
        </w:r>
        <w:r>
          <w:rPr>
            <w:noProof/>
            <w:webHidden/>
          </w:rPr>
          <w:fldChar w:fldCharType="end"/>
        </w:r>
      </w:hyperlink>
    </w:p>
    <w:p w14:paraId="13645F99" w14:textId="06D451A5"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86" w:history="1">
        <w:r w:rsidRPr="00D61B2E">
          <w:rPr>
            <w:rStyle w:val="Hyperlink"/>
            <w:b/>
            <w:bCs/>
            <w:i/>
            <w:iCs/>
            <w:noProof/>
            <w:shd w:val="clear" w:color="auto" w:fill="FFFFFF"/>
          </w:rPr>
          <w:t>Health Disparities</w:t>
        </w:r>
        <w:r>
          <w:rPr>
            <w:noProof/>
            <w:webHidden/>
          </w:rPr>
          <w:tab/>
        </w:r>
        <w:r>
          <w:rPr>
            <w:noProof/>
            <w:webHidden/>
          </w:rPr>
          <w:fldChar w:fldCharType="begin"/>
        </w:r>
        <w:r>
          <w:rPr>
            <w:noProof/>
            <w:webHidden/>
          </w:rPr>
          <w:instrText xml:space="preserve"> PAGEREF _Toc118232286 \h </w:instrText>
        </w:r>
        <w:r>
          <w:rPr>
            <w:noProof/>
            <w:webHidden/>
          </w:rPr>
        </w:r>
        <w:r>
          <w:rPr>
            <w:noProof/>
            <w:webHidden/>
          </w:rPr>
          <w:fldChar w:fldCharType="separate"/>
        </w:r>
        <w:r w:rsidR="00567747">
          <w:rPr>
            <w:noProof/>
            <w:webHidden/>
          </w:rPr>
          <w:t>14</w:t>
        </w:r>
        <w:r>
          <w:rPr>
            <w:noProof/>
            <w:webHidden/>
          </w:rPr>
          <w:fldChar w:fldCharType="end"/>
        </w:r>
      </w:hyperlink>
    </w:p>
    <w:p w14:paraId="0CB43B11" w14:textId="14102DC4"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87" w:history="1">
        <w:r w:rsidRPr="00D61B2E">
          <w:rPr>
            <w:rStyle w:val="Hyperlink"/>
            <w:b/>
            <w:bCs/>
            <w:i/>
            <w:iCs/>
            <w:noProof/>
            <w:shd w:val="clear" w:color="auto" w:fill="FFFFFF"/>
          </w:rPr>
          <w:t>Social Determinants of Health</w:t>
        </w:r>
        <w:r>
          <w:rPr>
            <w:noProof/>
            <w:webHidden/>
          </w:rPr>
          <w:tab/>
        </w:r>
        <w:r>
          <w:rPr>
            <w:noProof/>
            <w:webHidden/>
          </w:rPr>
          <w:fldChar w:fldCharType="begin"/>
        </w:r>
        <w:r>
          <w:rPr>
            <w:noProof/>
            <w:webHidden/>
          </w:rPr>
          <w:instrText xml:space="preserve"> PAGEREF _Toc118232287 \h </w:instrText>
        </w:r>
        <w:r>
          <w:rPr>
            <w:noProof/>
            <w:webHidden/>
          </w:rPr>
        </w:r>
        <w:r>
          <w:rPr>
            <w:noProof/>
            <w:webHidden/>
          </w:rPr>
          <w:fldChar w:fldCharType="separate"/>
        </w:r>
        <w:r w:rsidR="00567747">
          <w:rPr>
            <w:noProof/>
            <w:webHidden/>
          </w:rPr>
          <w:t>15</w:t>
        </w:r>
        <w:r>
          <w:rPr>
            <w:noProof/>
            <w:webHidden/>
          </w:rPr>
          <w:fldChar w:fldCharType="end"/>
        </w:r>
      </w:hyperlink>
    </w:p>
    <w:p w14:paraId="794AAB3D" w14:textId="7F74A7F2"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88" w:history="1">
        <w:r w:rsidRPr="00D61B2E">
          <w:rPr>
            <w:rStyle w:val="Hyperlink"/>
            <w:b/>
            <w:bCs/>
            <w:i/>
            <w:iCs/>
            <w:noProof/>
          </w:rPr>
          <w:t>Healthy Life Expectancy</w:t>
        </w:r>
        <w:r>
          <w:rPr>
            <w:noProof/>
            <w:webHidden/>
          </w:rPr>
          <w:tab/>
        </w:r>
        <w:r>
          <w:rPr>
            <w:noProof/>
            <w:webHidden/>
          </w:rPr>
          <w:fldChar w:fldCharType="begin"/>
        </w:r>
        <w:r>
          <w:rPr>
            <w:noProof/>
            <w:webHidden/>
          </w:rPr>
          <w:instrText xml:space="preserve"> PAGEREF _Toc118232288 \h </w:instrText>
        </w:r>
        <w:r>
          <w:rPr>
            <w:noProof/>
            <w:webHidden/>
          </w:rPr>
        </w:r>
        <w:r>
          <w:rPr>
            <w:noProof/>
            <w:webHidden/>
          </w:rPr>
          <w:fldChar w:fldCharType="separate"/>
        </w:r>
        <w:r w:rsidR="00567747">
          <w:rPr>
            <w:noProof/>
            <w:webHidden/>
          </w:rPr>
          <w:t>15</w:t>
        </w:r>
        <w:r>
          <w:rPr>
            <w:noProof/>
            <w:webHidden/>
          </w:rPr>
          <w:fldChar w:fldCharType="end"/>
        </w:r>
      </w:hyperlink>
    </w:p>
    <w:p w14:paraId="40984439" w14:textId="15B4F1E0"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89" w:history="1">
        <w:r w:rsidRPr="00D61B2E">
          <w:rPr>
            <w:rStyle w:val="Hyperlink"/>
            <w:b/>
            <w:bCs/>
            <w:i/>
            <w:iCs/>
            <w:noProof/>
          </w:rPr>
          <w:t>Mortality</w:t>
        </w:r>
        <w:r>
          <w:rPr>
            <w:noProof/>
            <w:webHidden/>
          </w:rPr>
          <w:tab/>
        </w:r>
        <w:r>
          <w:rPr>
            <w:noProof/>
            <w:webHidden/>
          </w:rPr>
          <w:fldChar w:fldCharType="begin"/>
        </w:r>
        <w:r>
          <w:rPr>
            <w:noProof/>
            <w:webHidden/>
          </w:rPr>
          <w:instrText xml:space="preserve"> PAGEREF _Toc118232289 \h </w:instrText>
        </w:r>
        <w:r>
          <w:rPr>
            <w:noProof/>
            <w:webHidden/>
          </w:rPr>
        </w:r>
        <w:r>
          <w:rPr>
            <w:noProof/>
            <w:webHidden/>
          </w:rPr>
          <w:fldChar w:fldCharType="separate"/>
        </w:r>
        <w:r w:rsidR="00567747">
          <w:rPr>
            <w:noProof/>
            <w:webHidden/>
          </w:rPr>
          <w:t>15</w:t>
        </w:r>
        <w:r>
          <w:rPr>
            <w:noProof/>
            <w:webHidden/>
          </w:rPr>
          <w:fldChar w:fldCharType="end"/>
        </w:r>
      </w:hyperlink>
    </w:p>
    <w:p w14:paraId="2C7E2715" w14:textId="48FE4AC6"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90" w:history="1">
        <w:r w:rsidRPr="00D61B2E">
          <w:rPr>
            <w:rStyle w:val="Hyperlink"/>
            <w:b/>
            <w:bCs/>
            <w:i/>
            <w:iCs/>
            <w:noProof/>
          </w:rPr>
          <w:t>Good Health</w:t>
        </w:r>
        <w:r>
          <w:rPr>
            <w:noProof/>
            <w:webHidden/>
          </w:rPr>
          <w:tab/>
        </w:r>
        <w:r>
          <w:rPr>
            <w:noProof/>
            <w:webHidden/>
          </w:rPr>
          <w:fldChar w:fldCharType="begin"/>
        </w:r>
        <w:r>
          <w:rPr>
            <w:noProof/>
            <w:webHidden/>
          </w:rPr>
          <w:instrText xml:space="preserve"> PAGEREF _Toc118232290 \h </w:instrText>
        </w:r>
        <w:r>
          <w:rPr>
            <w:noProof/>
            <w:webHidden/>
          </w:rPr>
        </w:r>
        <w:r>
          <w:rPr>
            <w:noProof/>
            <w:webHidden/>
          </w:rPr>
          <w:fldChar w:fldCharType="separate"/>
        </w:r>
        <w:r w:rsidR="00567747">
          <w:rPr>
            <w:noProof/>
            <w:webHidden/>
          </w:rPr>
          <w:t>15</w:t>
        </w:r>
        <w:r>
          <w:rPr>
            <w:noProof/>
            <w:webHidden/>
          </w:rPr>
          <w:fldChar w:fldCharType="end"/>
        </w:r>
      </w:hyperlink>
    </w:p>
    <w:p w14:paraId="7EAE2B70" w14:textId="0A267371"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91" w:history="1">
        <w:r w:rsidRPr="00D61B2E">
          <w:rPr>
            <w:rStyle w:val="Hyperlink"/>
            <w:b/>
            <w:bCs/>
            <w:i/>
            <w:iCs/>
            <w:noProof/>
          </w:rPr>
          <w:t>Poor Health</w:t>
        </w:r>
        <w:r>
          <w:rPr>
            <w:noProof/>
            <w:webHidden/>
          </w:rPr>
          <w:tab/>
        </w:r>
        <w:r>
          <w:rPr>
            <w:noProof/>
            <w:webHidden/>
          </w:rPr>
          <w:fldChar w:fldCharType="begin"/>
        </w:r>
        <w:r>
          <w:rPr>
            <w:noProof/>
            <w:webHidden/>
          </w:rPr>
          <w:instrText xml:space="preserve"> PAGEREF _Toc118232291 \h </w:instrText>
        </w:r>
        <w:r>
          <w:rPr>
            <w:noProof/>
            <w:webHidden/>
          </w:rPr>
        </w:r>
        <w:r>
          <w:rPr>
            <w:noProof/>
            <w:webHidden/>
          </w:rPr>
          <w:fldChar w:fldCharType="separate"/>
        </w:r>
        <w:r w:rsidR="00567747">
          <w:rPr>
            <w:noProof/>
            <w:webHidden/>
          </w:rPr>
          <w:t>16</w:t>
        </w:r>
        <w:r>
          <w:rPr>
            <w:noProof/>
            <w:webHidden/>
          </w:rPr>
          <w:fldChar w:fldCharType="end"/>
        </w:r>
      </w:hyperlink>
    </w:p>
    <w:p w14:paraId="7AC56D95" w14:textId="049D7F7C"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92" w:history="1">
        <w:r w:rsidRPr="00D61B2E">
          <w:rPr>
            <w:rStyle w:val="Hyperlink"/>
            <w:b/>
            <w:bCs/>
            <w:i/>
            <w:iCs/>
            <w:noProof/>
          </w:rPr>
          <w:t>Wellbeing</w:t>
        </w:r>
        <w:r>
          <w:rPr>
            <w:noProof/>
            <w:webHidden/>
          </w:rPr>
          <w:tab/>
        </w:r>
        <w:r>
          <w:rPr>
            <w:noProof/>
            <w:webHidden/>
          </w:rPr>
          <w:fldChar w:fldCharType="begin"/>
        </w:r>
        <w:r>
          <w:rPr>
            <w:noProof/>
            <w:webHidden/>
          </w:rPr>
          <w:instrText xml:space="preserve"> PAGEREF _Toc118232292 \h </w:instrText>
        </w:r>
        <w:r>
          <w:rPr>
            <w:noProof/>
            <w:webHidden/>
          </w:rPr>
        </w:r>
        <w:r>
          <w:rPr>
            <w:noProof/>
            <w:webHidden/>
          </w:rPr>
          <w:fldChar w:fldCharType="separate"/>
        </w:r>
        <w:r w:rsidR="00567747">
          <w:rPr>
            <w:noProof/>
            <w:webHidden/>
          </w:rPr>
          <w:t>16</w:t>
        </w:r>
        <w:r>
          <w:rPr>
            <w:noProof/>
            <w:webHidden/>
          </w:rPr>
          <w:fldChar w:fldCharType="end"/>
        </w:r>
      </w:hyperlink>
    </w:p>
    <w:p w14:paraId="0309DDC0" w14:textId="40B0FE33"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293" w:history="1">
        <w:r w:rsidRPr="00D61B2E">
          <w:rPr>
            <w:rStyle w:val="Hyperlink"/>
            <w:b/>
            <w:bCs/>
            <w:i/>
            <w:iCs/>
            <w:noProof/>
          </w:rPr>
          <w:t>Geopolitical</w:t>
        </w:r>
        <w:r>
          <w:rPr>
            <w:noProof/>
            <w:webHidden/>
          </w:rPr>
          <w:tab/>
        </w:r>
        <w:r>
          <w:rPr>
            <w:noProof/>
            <w:webHidden/>
          </w:rPr>
          <w:fldChar w:fldCharType="begin"/>
        </w:r>
        <w:r>
          <w:rPr>
            <w:noProof/>
            <w:webHidden/>
          </w:rPr>
          <w:instrText xml:space="preserve"> PAGEREF _Toc118232293 \h </w:instrText>
        </w:r>
        <w:r>
          <w:rPr>
            <w:noProof/>
            <w:webHidden/>
          </w:rPr>
        </w:r>
        <w:r>
          <w:rPr>
            <w:noProof/>
            <w:webHidden/>
          </w:rPr>
          <w:fldChar w:fldCharType="separate"/>
        </w:r>
        <w:r w:rsidR="00567747">
          <w:rPr>
            <w:noProof/>
            <w:webHidden/>
          </w:rPr>
          <w:t>17</w:t>
        </w:r>
        <w:r>
          <w:rPr>
            <w:noProof/>
            <w:webHidden/>
          </w:rPr>
          <w:fldChar w:fldCharType="end"/>
        </w:r>
      </w:hyperlink>
    </w:p>
    <w:p w14:paraId="2C8CC287" w14:textId="748EADFD"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94" w:history="1">
        <w:r w:rsidRPr="00D61B2E">
          <w:rPr>
            <w:rStyle w:val="Hyperlink"/>
            <w:b/>
            <w:bCs/>
            <w:noProof/>
          </w:rPr>
          <w:t>Conclusion</w:t>
        </w:r>
        <w:r>
          <w:rPr>
            <w:noProof/>
            <w:webHidden/>
          </w:rPr>
          <w:tab/>
        </w:r>
        <w:r>
          <w:rPr>
            <w:noProof/>
            <w:webHidden/>
          </w:rPr>
          <w:fldChar w:fldCharType="begin"/>
        </w:r>
        <w:r>
          <w:rPr>
            <w:noProof/>
            <w:webHidden/>
          </w:rPr>
          <w:instrText xml:space="preserve"> PAGEREF _Toc118232294 \h </w:instrText>
        </w:r>
        <w:r>
          <w:rPr>
            <w:noProof/>
            <w:webHidden/>
          </w:rPr>
        </w:r>
        <w:r>
          <w:rPr>
            <w:noProof/>
            <w:webHidden/>
          </w:rPr>
          <w:fldChar w:fldCharType="separate"/>
        </w:r>
        <w:r w:rsidR="00567747">
          <w:rPr>
            <w:noProof/>
            <w:webHidden/>
          </w:rPr>
          <w:t>17</w:t>
        </w:r>
        <w:r>
          <w:rPr>
            <w:noProof/>
            <w:webHidden/>
          </w:rPr>
          <w:fldChar w:fldCharType="end"/>
        </w:r>
      </w:hyperlink>
    </w:p>
    <w:p w14:paraId="2F0F7C3B" w14:textId="77308B1C" w:rsidR="00CE737D" w:rsidRDefault="00CE737D">
      <w:pPr>
        <w:pStyle w:val="TOC1"/>
        <w:rPr>
          <w:rFonts w:asciiTheme="minorHAnsi" w:eastAsiaTheme="minorEastAsia" w:hAnsiTheme="minorHAnsi" w:cstheme="minorBidi"/>
          <w:noProof/>
          <w:sz w:val="22"/>
          <w:szCs w:val="22"/>
        </w:rPr>
      </w:pPr>
      <w:hyperlink w:anchor="_Toc118232295" w:history="1">
        <w:r w:rsidRPr="00D61B2E">
          <w:rPr>
            <w:rStyle w:val="Hyperlink"/>
            <w:b/>
            <w:bCs/>
            <w:noProof/>
          </w:rPr>
          <w:t>CHAPTER TWO</w:t>
        </w:r>
        <w:r>
          <w:rPr>
            <w:noProof/>
            <w:webHidden/>
          </w:rPr>
          <w:tab/>
        </w:r>
        <w:r>
          <w:rPr>
            <w:noProof/>
            <w:webHidden/>
          </w:rPr>
          <w:fldChar w:fldCharType="begin"/>
        </w:r>
        <w:r>
          <w:rPr>
            <w:noProof/>
            <w:webHidden/>
          </w:rPr>
          <w:instrText xml:space="preserve"> PAGEREF _Toc118232295 \h </w:instrText>
        </w:r>
        <w:r>
          <w:rPr>
            <w:noProof/>
            <w:webHidden/>
          </w:rPr>
        </w:r>
        <w:r>
          <w:rPr>
            <w:noProof/>
            <w:webHidden/>
          </w:rPr>
          <w:fldChar w:fldCharType="separate"/>
        </w:r>
        <w:r w:rsidR="00567747">
          <w:rPr>
            <w:noProof/>
            <w:webHidden/>
          </w:rPr>
          <w:t>20</w:t>
        </w:r>
        <w:r>
          <w:rPr>
            <w:noProof/>
            <w:webHidden/>
          </w:rPr>
          <w:fldChar w:fldCharType="end"/>
        </w:r>
      </w:hyperlink>
    </w:p>
    <w:p w14:paraId="001D9CFC" w14:textId="1AAE4DCD" w:rsidR="00CE737D" w:rsidRDefault="00CE737D">
      <w:pPr>
        <w:pStyle w:val="TOC1"/>
        <w:rPr>
          <w:rFonts w:asciiTheme="minorHAnsi" w:eastAsiaTheme="minorEastAsia" w:hAnsiTheme="minorHAnsi" w:cstheme="minorBidi"/>
          <w:noProof/>
          <w:sz w:val="22"/>
          <w:szCs w:val="22"/>
        </w:rPr>
      </w:pPr>
      <w:hyperlink w:anchor="_Toc118232296" w:history="1">
        <w:r w:rsidRPr="00D61B2E">
          <w:rPr>
            <w:rStyle w:val="Hyperlink"/>
            <w:b/>
            <w:bCs/>
            <w:noProof/>
          </w:rPr>
          <w:t>LITERATURE REVIEW</w:t>
        </w:r>
        <w:r>
          <w:rPr>
            <w:noProof/>
            <w:webHidden/>
          </w:rPr>
          <w:tab/>
        </w:r>
        <w:r>
          <w:rPr>
            <w:noProof/>
            <w:webHidden/>
          </w:rPr>
          <w:fldChar w:fldCharType="begin"/>
        </w:r>
        <w:r>
          <w:rPr>
            <w:noProof/>
            <w:webHidden/>
          </w:rPr>
          <w:instrText xml:space="preserve"> PAGEREF _Toc118232296 \h </w:instrText>
        </w:r>
        <w:r>
          <w:rPr>
            <w:noProof/>
            <w:webHidden/>
          </w:rPr>
        </w:r>
        <w:r>
          <w:rPr>
            <w:noProof/>
            <w:webHidden/>
          </w:rPr>
          <w:fldChar w:fldCharType="separate"/>
        </w:r>
        <w:r w:rsidR="00567747">
          <w:rPr>
            <w:noProof/>
            <w:webHidden/>
          </w:rPr>
          <w:t>20</w:t>
        </w:r>
        <w:r>
          <w:rPr>
            <w:noProof/>
            <w:webHidden/>
          </w:rPr>
          <w:fldChar w:fldCharType="end"/>
        </w:r>
      </w:hyperlink>
    </w:p>
    <w:p w14:paraId="0B1C0FD8" w14:textId="0072B11E"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97" w:history="1">
        <w:r w:rsidRPr="00D61B2E">
          <w:rPr>
            <w:rStyle w:val="Hyperlink"/>
            <w:b/>
            <w:bCs/>
            <w:noProof/>
          </w:rPr>
          <w:t>Ecosocial Theory</w:t>
        </w:r>
        <w:r>
          <w:rPr>
            <w:noProof/>
            <w:webHidden/>
          </w:rPr>
          <w:tab/>
        </w:r>
        <w:r>
          <w:rPr>
            <w:noProof/>
            <w:webHidden/>
          </w:rPr>
          <w:fldChar w:fldCharType="begin"/>
        </w:r>
        <w:r>
          <w:rPr>
            <w:noProof/>
            <w:webHidden/>
          </w:rPr>
          <w:instrText xml:space="preserve"> PAGEREF _Toc118232297 \h </w:instrText>
        </w:r>
        <w:r>
          <w:rPr>
            <w:noProof/>
            <w:webHidden/>
          </w:rPr>
        </w:r>
        <w:r>
          <w:rPr>
            <w:noProof/>
            <w:webHidden/>
          </w:rPr>
          <w:fldChar w:fldCharType="separate"/>
        </w:r>
        <w:r w:rsidR="00567747">
          <w:rPr>
            <w:noProof/>
            <w:webHidden/>
          </w:rPr>
          <w:t>20</w:t>
        </w:r>
        <w:r>
          <w:rPr>
            <w:noProof/>
            <w:webHidden/>
          </w:rPr>
          <w:fldChar w:fldCharType="end"/>
        </w:r>
      </w:hyperlink>
    </w:p>
    <w:p w14:paraId="4E988FF6" w14:textId="133E3A87"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98" w:history="1">
        <w:r w:rsidRPr="00D61B2E">
          <w:rPr>
            <w:rStyle w:val="Hyperlink"/>
            <w:b/>
            <w:bCs/>
            <w:noProof/>
          </w:rPr>
          <w:t>Health Literacy</w:t>
        </w:r>
        <w:r>
          <w:rPr>
            <w:noProof/>
            <w:webHidden/>
          </w:rPr>
          <w:tab/>
        </w:r>
        <w:r>
          <w:rPr>
            <w:noProof/>
            <w:webHidden/>
          </w:rPr>
          <w:fldChar w:fldCharType="begin"/>
        </w:r>
        <w:r>
          <w:rPr>
            <w:noProof/>
            <w:webHidden/>
          </w:rPr>
          <w:instrText xml:space="preserve"> PAGEREF _Toc118232298 \h </w:instrText>
        </w:r>
        <w:r>
          <w:rPr>
            <w:noProof/>
            <w:webHidden/>
          </w:rPr>
        </w:r>
        <w:r>
          <w:rPr>
            <w:noProof/>
            <w:webHidden/>
          </w:rPr>
          <w:fldChar w:fldCharType="separate"/>
        </w:r>
        <w:r w:rsidR="00567747">
          <w:rPr>
            <w:noProof/>
            <w:webHidden/>
          </w:rPr>
          <w:t>23</w:t>
        </w:r>
        <w:r>
          <w:rPr>
            <w:noProof/>
            <w:webHidden/>
          </w:rPr>
          <w:fldChar w:fldCharType="end"/>
        </w:r>
      </w:hyperlink>
    </w:p>
    <w:p w14:paraId="4DD7A4F4" w14:textId="2AB45007"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299" w:history="1">
        <w:r w:rsidRPr="00D61B2E">
          <w:rPr>
            <w:rStyle w:val="Hyperlink"/>
            <w:b/>
            <w:bCs/>
            <w:noProof/>
          </w:rPr>
          <w:t>Social Norming and Health Narratives</w:t>
        </w:r>
        <w:r>
          <w:rPr>
            <w:noProof/>
            <w:webHidden/>
          </w:rPr>
          <w:tab/>
        </w:r>
        <w:r>
          <w:rPr>
            <w:noProof/>
            <w:webHidden/>
          </w:rPr>
          <w:fldChar w:fldCharType="begin"/>
        </w:r>
        <w:r>
          <w:rPr>
            <w:noProof/>
            <w:webHidden/>
          </w:rPr>
          <w:instrText xml:space="preserve"> PAGEREF _Toc118232299 \h </w:instrText>
        </w:r>
        <w:r>
          <w:rPr>
            <w:noProof/>
            <w:webHidden/>
          </w:rPr>
        </w:r>
        <w:r>
          <w:rPr>
            <w:noProof/>
            <w:webHidden/>
          </w:rPr>
          <w:fldChar w:fldCharType="separate"/>
        </w:r>
        <w:r w:rsidR="00567747">
          <w:rPr>
            <w:noProof/>
            <w:webHidden/>
          </w:rPr>
          <w:t>24</w:t>
        </w:r>
        <w:r>
          <w:rPr>
            <w:noProof/>
            <w:webHidden/>
          </w:rPr>
          <w:fldChar w:fldCharType="end"/>
        </w:r>
      </w:hyperlink>
    </w:p>
    <w:p w14:paraId="64DFF1F7" w14:textId="51F54D0E"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00" w:history="1">
        <w:r w:rsidRPr="00D61B2E">
          <w:rPr>
            <w:rStyle w:val="Hyperlink"/>
            <w:b/>
            <w:bCs/>
            <w:i/>
            <w:iCs/>
            <w:noProof/>
          </w:rPr>
          <w:t>Social Norming of Older Women and Health</w:t>
        </w:r>
        <w:r>
          <w:rPr>
            <w:noProof/>
            <w:webHidden/>
          </w:rPr>
          <w:tab/>
        </w:r>
        <w:r>
          <w:rPr>
            <w:noProof/>
            <w:webHidden/>
          </w:rPr>
          <w:fldChar w:fldCharType="begin"/>
        </w:r>
        <w:r>
          <w:rPr>
            <w:noProof/>
            <w:webHidden/>
          </w:rPr>
          <w:instrText xml:space="preserve"> PAGEREF _Toc118232300 \h </w:instrText>
        </w:r>
        <w:r>
          <w:rPr>
            <w:noProof/>
            <w:webHidden/>
          </w:rPr>
        </w:r>
        <w:r>
          <w:rPr>
            <w:noProof/>
            <w:webHidden/>
          </w:rPr>
          <w:fldChar w:fldCharType="separate"/>
        </w:r>
        <w:r w:rsidR="00567747">
          <w:rPr>
            <w:noProof/>
            <w:webHidden/>
          </w:rPr>
          <w:t>24</w:t>
        </w:r>
        <w:r>
          <w:rPr>
            <w:noProof/>
            <w:webHidden/>
          </w:rPr>
          <w:fldChar w:fldCharType="end"/>
        </w:r>
      </w:hyperlink>
    </w:p>
    <w:p w14:paraId="7E527BF3" w14:textId="0E13B3BD"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01" w:history="1">
        <w:r w:rsidRPr="00D61B2E">
          <w:rPr>
            <w:rStyle w:val="Hyperlink"/>
            <w:b/>
            <w:bCs/>
            <w:i/>
            <w:iCs/>
            <w:noProof/>
          </w:rPr>
          <w:t>Ageism, Sexism and Health Marginalization of Older Women</w:t>
        </w:r>
        <w:r>
          <w:rPr>
            <w:noProof/>
            <w:webHidden/>
          </w:rPr>
          <w:tab/>
        </w:r>
        <w:r>
          <w:rPr>
            <w:noProof/>
            <w:webHidden/>
          </w:rPr>
          <w:fldChar w:fldCharType="begin"/>
        </w:r>
        <w:r>
          <w:rPr>
            <w:noProof/>
            <w:webHidden/>
          </w:rPr>
          <w:instrText xml:space="preserve"> PAGEREF _Toc118232301 \h </w:instrText>
        </w:r>
        <w:r>
          <w:rPr>
            <w:noProof/>
            <w:webHidden/>
          </w:rPr>
        </w:r>
        <w:r>
          <w:rPr>
            <w:noProof/>
            <w:webHidden/>
          </w:rPr>
          <w:fldChar w:fldCharType="separate"/>
        </w:r>
        <w:r w:rsidR="00567747">
          <w:rPr>
            <w:noProof/>
            <w:webHidden/>
          </w:rPr>
          <w:t>28</w:t>
        </w:r>
        <w:r>
          <w:rPr>
            <w:noProof/>
            <w:webHidden/>
          </w:rPr>
          <w:fldChar w:fldCharType="end"/>
        </w:r>
      </w:hyperlink>
    </w:p>
    <w:p w14:paraId="3D6A16B5" w14:textId="363980DA"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02" w:history="1">
        <w:r w:rsidRPr="00D61B2E">
          <w:rPr>
            <w:rStyle w:val="Hyperlink"/>
            <w:b/>
            <w:bCs/>
            <w:i/>
            <w:iCs/>
            <w:noProof/>
          </w:rPr>
          <w:t>Silences</w:t>
        </w:r>
        <w:r>
          <w:rPr>
            <w:noProof/>
            <w:webHidden/>
          </w:rPr>
          <w:tab/>
        </w:r>
        <w:r>
          <w:rPr>
            <w:noProof/>
            <w:webHidden/>
          </w:rPr>
          <w:fldChar w:fldCharType="begin"/>
        </w:r>
        <w:r>
          <w:rPr>
            <w:noProof/>
            <w:webHidden/>
          </w:rPr>
          <w:instrText xml:space="preserve"> PAGEREF _Toc118232302 \h </w:instrText>
        </w:r>
        <w:r>
          <w:rPr>
            <w:noProof/>
            <w:webHidden/>
          </w:rPr>
        </w:r>
        <w:r>
          <w:rPr>
            <w:noProof/>
            <w:webHidden/>
          </w:rPr>
          <w:fldChar w:fldCharType="separate"/>
        </w:r>
        <w:r w:rsidR="00567747">
          <w:rPr>
            <w:noProof/>
            <w:webHidden/>
          </w:rPr>
          <w:t>30</w:t>
        </w:r>
        <w:r>
          <w:rPr>
            <w:noProof/>
            <w:webHidden/>
          </w:rPr>
          <w:fldChar w:fldCharType="end"/>
        </w:r>
      </w:hyperlink>
    </w:p>
    <w:p w14:paraId="29F5FA4B" w14:textId="426582AB"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03" w:history="1">
        <w:r w:rsidRPr="00D61B2E">
          <w:rPr>
            <w:rStyle w:val="Hyperlink"/>
            <w:b/>
            <w:bCs/>
            <w:noProof/>
          </w:rPr>
          <w:t>Older Women and Health Norm Internalization</w:t>
        </w:r>
        <w:r>
          <w:rPr>
            <w:noProof/>
            <w:webHidden/>
          </w:rPr>
          <w:tab/>
        </w:r>
        <w:r>
          <w:rPr>
            <w:noProof/>
            <w:webHidden/>
          </w:rPr>
          <w:fldChar w:fldCharType="begin"/>
        </w:r>
        <w:r>
          <w:rPr>
            <w:noProof/>
            <w:webHidden/>
          </w:rPr>
          <w:instrText xml:space="preserve"> PAGEREF _Toc118232303 \h </w:instrText>
        </w:r>
        <w:r>
          <w:rPr>
            <w:noProof/>
            <w:webHidden/>
          </w:rPr>
        </w:r>
        <w:r>
          <w:rPr>
            <w:noProof/>
            <w:webHidden/>
          </w:rPr>
          <w:fldChar w:fldCharType="separate"/>
        </w:r>
        <w:r w:rsidR="00567747">
          <w:rPr>
            <w:noProof/>
            <w:webHidden/>
          </w:rPr>
          <w:t>31</w:t>
        </w:r>
        <w:r>
          <w:rPr>
            <w:noProof/>
            <w:webHidden/>
          </w:rPr>
          <w:fldChar w:fldCharType="end"/>
        </w:r>
      </w:hyperlink>
    </w:p>
    <w:p w14:paraId="5C8FCF3C" w14:textId="3C5C123C"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04" w:history="1">
        <w:r w:rsidRPr="00D61B2E">
          <w:rPr>
            <w:rStyle w:val="Hyperlink"/>
            <w:b/>
            <w:bCs/>
            <w:noProof/>
          </w:rPr>
          <w:t>Familial Role in Health Inequities</w:t>
        </w:r>
        <w:r>
          <w:rPr>
            <w:noProof/>
            <w:webHidden/>
          </w:rPr>
          <w:tab/>
        </w:r>
        <w:r>
          <w:rPr>
            <w:noProof/>
            <w:webHidden/>
          </w:rPr>
          <w:fldChar w:fldCharType="begin"/>
        </w:r>
        <w:r>
          <w:rPr>
            <w:noProof/>
            <w:webHidden/>
          </w:rPr>
          <w:instrText xml:space="preserve"> PAGEREF _Toc118232304 \h </w:instrText>
        </w:r>
        <w:r>
          <w:rPr>
            <w:noProof/>
            <w:webHidden/>
          </w:rPr>
        </w:r>
        <w:r>
          <w:rPr>
            <w:noProof/>
            <w:webHidden/>
          </w:rPr>
          <w:fldChar w:fldCharType="separate"/>
        </w:r>
        <w:r w:rsidR="00567747">
          <w:rPr>
            <w:noProof/>
            <w:webHidden/>
          </w:rPr>
          <w:t>35</w:t>
        </w:r>
        <w:r>
          <w:rPr>
            <w:noProof/>
            <w:webHidden/>
          </w:rPr>
          <w:fldChar w:fldCharType="end"/>
        </w:r>
      </w:hyperlink>
    </w:p>
    <w:p w14:paraId="140E0F49" w14:textId="7828A333"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05" w:history="1">
        <w:r w:rsidRPr="00D61B2E">
          <w:rPr>
            <w:rStyle w:val="Hyperlink"/>
            <w:b/>
            <w:bCs/>
            <w:i/>
            <w:iCs/>
            <w:noProof/>
          </w:rPr>
          <w:t>Theoretical Frameworks of Familial Roles</w:t>
        </w:r>
        <w:r>
          <w:rPr>
            <w:noProof/>
            <w:webHidden/>
          </w:rPr>
          <w:tab/>
        </w:r>
        <w:r>
          <w:rPr>
            <w:noProof/>
            <w:webHidden/>
          </w:rPr>
          <w:fldChar w:fldCharType="begin"/>
        </w:r>
        <w:r>
          <w:rPr>
            <w:noProof/>
            <w:webHidden/>
          </w:rPr>
          <w:instrText xml:space="preserve"> PAGEREF _Toc118232305 \h </w:instrText>
        </w:r>
        <w:r>
          <w:rPr>
            <w:noProof/>
            <w:webHidden/>
          </w:rPr>
        </w:r>
        <w:r>
          <w:rPr>
            <w:noProof/>
            <w:webHidden/>
          </w:rPr>
          <w:fldChar w:fldCharType="separate"/>
        </w:r>
        <w:r w:rsidR="00567747">
          <w:rPr>
            <w:noProof/>
            <w:webHidden/>
          </w:rPr>
          <w:t>35</w:t>
        </w:r>
        <w:r>
          <w:rPr>
            <w:noProof/>
            <w:webHidden/>
          </w:rPr>
          <w:fldChar w:fldCharType="end"/>
        </w:r>
      </w:hyperlink>
    </w:p>
    <w:p w14:paraId="7A6D18DE" w14:textId="75343E37"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06" w:history="1">
        <w:r w:rsidRPr="00D61B2E">
          <w:rPr>
            <w:rStyle w:val="Hyperlink"/>
            <w:b/>
            <w:bCs/>
            <w:noProof/>
          </w:rPr>
          <w:t>Family Health History</w:t>
        </w:r>
        <w:r>
          <w:rPr>
            <w:noProof/>
            <w:webHidden/>
          </w:rPr>
          <w:tab/>
        </w:r>
        <w:r>
          <w:rPr>
            <w:noProof/>
            <w:webHidden/>
          </w:rPr>
          <w:fldChar w:fldCharType="begin"/>
        </w:r>
        <w:r>
          <w:rPr>
            <w:noProof/>
            <w:webHidden/>
          </w:rPr>
          <w:instrText xml:space="preserve"> PAGEREF _Toc118232306 \h </w:instrText>
        </w:r>
        <w:r>
          <w:rPr>
            <w:noProof/>
            <w:webHidden/>
          </w:rPr>
        </w:r>
        <w:r>
          <w:rPr>
            <w:noProof/>
            <w:webHidden/>
          </w:rPr>
          <w:fldChar w:fldCharType="separate"/>
        </w:r>
        <w:r w:rsidR="00567747">
          <w:rPr>
            <w:noProof/>
            <w:webHidden/>
          </w:rPr>
          <w:t>41</w:t>
        </w:r>
        <w:r>
          <w:rPr>
            <w:noProof/>
            <w:webHidden/>
          </w:rPr>
          <w:fldChar w:fldCharType="end"/>
        </w:r>
      </w:hyperlink>
    </w:p>
    <w:p w14:paraId="465FE313" w14:textId="712F033D"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07" w:history="1">
        <w:r w:rsidRPr="00D61B2E">
          <w:rPr>
            <w:rStyle w:val="Hyperlink"/>
            <w:b/>
            <w:bCs/>
            <w:noProof/>
          </w:rPr>
          <w:t>Place and Older Women’s Health Inequities</w:t>
        </w:r>
        <w:r>
          <w:rPr>
            <w:noProof/>
            <w:webHidden/>
          </w:rPr>
          <w:tab/>
        </w:r>
        <w:r>
          <w:rPr>
            <w:noProof/>
            <w:webHidden/>
          </w:rPr>
          <w:fldChar w:fldCharType="begin"/>
        </w:r>
        <w:r>
          <w:rPr>
            <w:noProof/>
            <w:webHidden/>
          </w:rPr>
          <w:instrText xml:space="preserve"> PAGEREF _Toc118232307 \h </w:instrText>
        </w:r>
        <w:r>
          <w:rPr>
            <w:noProof/>
            <w:webHidden/>
          </w:rPr>
        </w:r>
        <w:r>
          <w:rPr>
            <w:noProof/>
            <w:webHidden/>
          </w:rPr>
          <w:fldChar w:fldCharType="separate"/>
        </w:r>
        <w:r w:rsidR="00567747">
          <w:rPr>
            <w:noProof/>
            <w:webHidden/>
          </w:rPr>
          <w:t>47</w:t>
        </w:r>
        <w:r>
          <w:rPr>
            <w:noProof/>
            <w:webHidden/>
          </w:rPr>
          <w:fldChar w:fldCharType="end"/>
        </w:r>
      </w:hyperlink>
    </w:p>
    <w:p w14:paraId="6797356E" w14:textId="07E3DB79" w:rsidR="00CE737D" w:rsidRDefault="00CE737D">
      <w:pPr>
        <w:pStyle w:val="TOC1"/>
        <w:rPr>
          <w:rFonts w:asciiTheme="minorHAnsi" w:eastAsiaTheme="minorEastAsia" w:hAnsiTheme="minorHAnsi" w:cstheme="minorBidi"/>
          <w:noProof/>
          <w:sz w:val="22"/>
          <w:szCs w:val="22"/>
        </w:rPr>
      </w:pPr>
      <w:hyperlink w:anchor="_Toc118232308" w:history="1">
        <w:r w:rsidRPr="00D61B2E">
          <w:rPr>
            <w:rStyle w:val="Hyperlink"/>
            <w:b/>
            <w:bCs/>
            <w:noProof/>
          </w:rPr>
          <w:t>CHAPTER THREE</w:t>
        </w:r>
        <w:r>
          <w:rPr>
            <w:noProof/>
            <w:webHidden/>
          </w:rPr>
          <w:tab/>
        </w:r>
        <w:r>
          <w:rPr>
            <w:noProof/>
            <w:webHidden/>
          </w:rPr>
          <w:fldChar w:fldCharType="begin"/>
        </w:r>
        <w:r>
          <w:rPr>
            <w:noProof/>
            <w:webHidden/>
          </w:rPr>
          <w:instrText xml:space="preserve"> PAGEREF _Toc118232308 \h </w:instrText>
        </w:r>
        <w:r>
          <w:rPr>
            <w:noProof/>
            <w:webHidden/>
          </w:rPr>
        </w:r>
        <w:r>
          <w:rPr>
            <w:noProof/>
            <w:webHidden/>
          </w:rPr>
          <w:fldChar w:fldCharType="separate"/>
        </w:r>
        <w:r w:rsidR="00567747">
          <w:rPr>
            <w:noProof/>
            <w:webHidden/>
          </w:rPr>
          <w:t>50</w:t>
        </w:r>
        <w:r>
          <w:rPr>
            <w:noProof/>
            <w:webHidden/>
          </w:rPr>
          <w:fldChar w:fldCharType="end"/>
        </w:r>
      </w:hyperlink>
    </w:p>
    <w:p w14:paraId="2EE99B86" w14:textId="579072FD" w:rsidR="00CE737D" w:rsidRDefault="00CE737D">
      <w:pPr>
        <w:pStyle w:val="TOC1"/>
        <w:rPr>
          <w:rFonts w:asciiTheme="minorHAnsi" w:eastAsiaTheme="minorEastAsia" w:hAnsiTheme="minorHAnsi" w:cstheme="minorBidi"/>
          <w:noProof/>
          <w:sz w:val="22"/>
          <w:szCs w:val="22"/>
        </w:rPr>
      </w:pPr>
      <w:hyperlink w:anchor="_Toc118232309" w:history="1">
        <w:r w:rsidRPr="00D61B2E">
          <w:rPr>
            <w:rStyle w:val="Hyperlink"/>
            <w:b/>
            <w:bCs/>
            <w:noProof/>
          </w:rPr>
          <w:t>MATERIALS AND METHODS</w:t>
        </w:r>
        <w:r>
          <w:rPr>
            <w:noProof/>
            <w:webHidden/>
          </w:rPr>
          <w:tab/>
        </w:r>
        <w:r>
          <w:rPr>
            <w:noProof/>
            <w:webHidden/>
          </w:rPr>
          <w:fldChar w:fldCharType="begin"/>
        </w:r>
        <w:r>
          <w:rPr>
            <w:noProof/>
            <w:webHidden/>
          </w:rPr>
          <w:instrText xml:space="preserve"> PAGEREF _Toc118232309 \h </w:instrText>
        </w:r>
        <w:r>
          <w:rPr>
            <w:noProof/>
            <w:webHidden/>
          </w:rPr>
        </w:r>
        <w:r>
          <w:rPr>
            <w:noProof/>
            <w:webHidden/>
          </w:rPr>
          <w:fldChar w:fldCharType="separate"/>
        </w:r>
        <w:r w:rsidR="00567747">
          <w:rPr>
            <w:noProof/>
            <w:webHidden/>
          </w:rPr>
          <w:t>50</w:t>
        </w:r>
        <w:r>
          <w:rPr>
            <w:noProof/>
            <w:webHidden/>
          </w:rPr>
          <w:fldChar w:fldCharType="end"/>
        </w:r>
      </w:hyperlink>
    </w:p>
    <w:p w14:paraId="53001FFF" w14:textId="78CF4888"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0" w:history="1">
        <w:r w:rsidRPr="00D61B2E">
          <w:rPr>
            <w:rStyle w:val="Hyperlink"/>
            <w:b/>
            <w:bCs/>
            <w:noProof/>
          </w:rPr>
          <w:t>Introduction</w:t>
        </w:r>
        <w:r>
          <w:rPr>
            <w:noProof/>
            <w:webHidden/>
          </w:rPr>
          <w:tab/>
        </w:r>
        <w:r>
          <w:rPr>
            <w:noProof/>
            <w:webHidden/>
          </w:rPr>
          <w:fldChar w:fldCharType="begin"/>
        </w:r>
        <w:r>
          <w:rPr>
            <w:noProof/>
            <w:webHidden/>
          </w:rPr>
          <w:instrText xml:space="preserve"> PAGEREF _Toc118232310 \h </w:instrText>
        </w:r>
        <w:r>
          <w:rPr>
            <w:noProof/>
            <w:webHidden/>
          </w:rPr>
        </w:r>
        <w:r>
          <w:rPr>
            <w:noProof/>
            <w:webHidden/>
          </w:rPr>
          <w:fldChar w:fldCharType="separate"/>
        </w:r>
        <w:r w:rsidR="00567747">
          <w:rPr>
            <w:noProof/>
            <w:webHidden/>
          </w:rPr>
          <w:t>50</w:t>
        </w:r>
        <w:r>
          <w:rPr>
            <w:noProof/>
            <w:webHidden/>
          </w:rPr>
          <w:fldChar w:fldCharType="end"/>
        </w:r>
      </w:hyperlink>
    </w:p>
    <w:p w14:paraId="46D85BF1" w14:textId="02533CDF"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1" w:history="1">
        <w:r w:rsidRPr="00D61B2E">
          <w:rPr>
            <w:rStyle w:val="Hyperlink"/>
            <w:b/>
            <w:bCs/>
            <w:noProof/>
          </w:rPr>
          <w:t>Research Philosophy</w:t>
        </w:r>
        <w:r>
          <w:rPr>
            <w:noProof/>
            <w:webHidden/>
          </w:rPr>
          <w:tab/>
        </w:r>
        <w:r>
          <w:rPr>
            <w:noProof/>
            <w:webHidden/>
          </w:rPr>
          <w:fldChar w:fldCharType="begin"/>
        </w:r>
        <w:r>
          <w:rPr>
            <w:noProof/>
            <w:webHidden/>
          </w:rPr>
          <w:instrText xml:space="preserve"> PAGEREF _Toc118232311 \h </w:instrText>
        </w:r>
        <w:r>
          <w:rPr>
            <w:noProof/>
            <w:webHidden/>
          </w:rPr>
        </w:r>
        <w:r>
          <w:rPr>
            <w:noProof/>
            <w:webHidden/>
          </w:rPr>
          <w:fldChar w:fldCharType="separate"/>
        </w:r>
        <w:r w:rsidR="00567747">
          <w:rPr>
            <w:noProof/>
            <w:webHidden/>
          </w:rPr>
          <w:t>51</w:t>
        </w:r>
        <w:r>
          <w:rPr>
            <w:noProof/>
            <w:webHidden/>
          </w:rPr>
          <w:fldChar w:fldCharType="end"/>
        </w:r>
      </w:hyperlink>
    </w:p>
    <w:p w14:paraId="754C1260" w14:textId="604214D4"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2" w:history="1">
        <w:r w:rsidRPr="00D61B2E">
          <w:rPr>
            <w:rStyle w:val="Hyperlink"/>
            <w:b/>
            <w:bCs/>
            <w:noProof/>
          </w:rPr>
          <w:t>Research Strategy</w:t>
        </w:r>
        <w:r>
          <w:rPr>
            <w:noProof/>
            <w:webHidden/>
          </w:rPr>
          <w:tab/>
        </w:r>
        <w:r>
          <w:rPr>
            <w:noProof/>
            <w:webHidden/>
          </w:rPr>
          <w:fldChar w:fldCharType="begin"/>
        </w:r>
        <w:r>
          <w:rPr>
            <w:noProof/>
            <w:webHidden/>
          </w:rPr>
          <w:instrText xml:space="preserve"> PAGEREF _Toc118232312 \h </w:instrText>
        </w:r>
        <w:r>
          <w:rPr>
            <w:noProof/>
            <w:webHidden/>
          </w:rPr>
        </w:r>
        <w:r>
          <w:rPr>
            <w:noProof/>
            <w:webHidden/>
          </w:rPr>
          <w:fldChar w:fldCharType="separate"/>
        </w:r>
        <w:r w:rsidR="00567747">
          <w:rPr>
            <w:noProof/>
            <w:webHidden/>
          </w:rPr>
          <w:t>52</w:t>
        </w:r>
        <w:r>
          <w:rPr>
            <w:noProof/>
            <w:webHidden/>
          </w:rPr>
          <w:fldChar w:fldCharType="end"/>
        </w:r>
      </w:hyperlink>
    </w:p>
    <w:p w14:paraId="0269E750" w14:textId="66FA897F"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13" w:history="1">
        <w:r w:rsidRPr="00D61B2E">
          <w:rPr>
            <w:rStyle w:val="Hyperlink"/>
            <w:b/>
            <w:bCs/>
            <w:i/>
            <w:iCs/>
            <w:noProof/>
          </w:rPr>
          <w:t>Geographical and Health Profile of Participant Counties</w:t>
        </w:r>
        <w:r>
          <w:rPr>
            <w:noProof/>
            <w:webHidden/>
          </w:rPr>
          <w:tab/>
        </w:r>
        <w:r>
          <w:rPr>
            <w:noProof/>
            <w:webHidden/>
          </w:rPr>
          <w:fldChar w:fldCharType="begin"/>
        </w:r>
        <w:r>
          <w:rPr>
            <w:noProof/>
            <w:webHidden/>
          </w:rPr>
          <w:instrText xml:space="preserve"> PAGEREF _Toc118232313 \h </w:instrText>
        </w:r>
        <w:r>
          <w:rPr>
            <w:noProof/>
            <w:webHidden/>
          </w:rPr>
        </w:r>
        <w:r>
          <w:rPr>
            <w:noProof/>
            <w:webHidden/>
          </w:rPr>
          <w:fldChar w:fldCharType="separate"/>
        </w:r>
        <w:r w:rsidR="00567747">
          <w:rPr>
            <w:noProof/>
            <w:webHidden/>
          </w:rPr>
          <w:t>52</w:t>
        </w:r>
        <w:r>
          <w:rPr>
            <w:noProof/>
            <w:webHidden/>
          </w:rPr>
          <w:fldChar w:fldCharType="end"/>
        </w:r>
      </w:hyperlink>
    </w:p>
    <w:p w14:paraId="33DB940C" w14:textId="3FE412FC"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4" w:history="1">
        <w:r w:rsidRPr="00D61B2E">
          <w:rPr>
            <w:rStyle w:val="Hyperlink"/>
            <w:b/>
            <w:bCs/>
            <w:noProof/>
          </w:rPr>
          <w:t>Data Analysis Framework</w:t>
        </w:r>
        <w:r>
          <w:rPr>
            <w:noProof/>
            <w:webHidden/>
          </w:rPr>
          <w:tab/>
        </w:r>
        <w:r>
          <w:rPr>
            <w:noProof/>
            <w:webHidden/>
          </w:rPr>
          <w:fldChar w:fldCharType="begin"/>
        </w:r>
        <w:r>
          <w:rPr>
            <w:noProof/>
            <w:webHidden/>
          </w:rPr>
          <w:instrText xml:space="preserve"> PAGEREF _Toc118232314 \h </w:instrText>
        </w:r>
        <w:r>
          <w:rPr>
            <w:noProof/>
            <w:webHidden/>
          </w:rPr>
        </w:r>
        <w:r>
          <w:rPr>
            <w:noProof/>
            <w:webHidden/>
          </w:rPr>
          <w:fldChar w:fldCharType="separate"/>
        </w:r>
        <w:r w:rsidR="00567747">
          <w:rPr>
            <w:noProof/>
            <w:webHidden/>
          </w:rPr>
          <w:t>53</w:t>
        </w:r>
        <w:r>
          <w:rPr>
            <w:noProof/>
            <w:webHidden/>
          </w:rPr>
          <w:fldChar w:fldCharType="end"/>
        </w:r>
      </w:hyperlink>
    </w:p>
    <w:p w14:paraId="09CB5BBE" w14:textId="78AA5853"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5" w:history="1">
        <w:r w:rsidRPr="00D61B2E">
          <w:rPr>
            <w:rStyle w:val="Hyperlink"/>
            <w:b/>
            <w:bCs/>
            <w:noProof/>
          </w:rPr>
          <w:t>Sampling Process</w:t>
        </w:r>
        <w:r>
          <w:rPr>
            <w:noProof/>
            <w:webHidden/>
          </w:rPr>
          <w:tab/>
        </w:r>
        <w:r>
          <w:rPr>
            <w:noProof/>
            <w:webHidden/>
          </w:rPr>
          <w:fldChar w:fldCharType="begin"/>
        </w:r>
        <w:r>
          <w:rPr>
            <w:noProof/>
            <w:webHidden/>
          </w:rPr>
          <w:instrText xml:space="preserve"> PAGEREF _Toc118232315 \h </w:instrText>
        </w:r>
        <w:r>
          <w:rPr>
            <w:noProof/>
            <w:webHidden/>
          </w:rPr>
        </w:r>
        <w:r>
          <w:rPr>
            <w:noProof/>
            <w:webHidden/>
          </w:rPr>
          <w:fldChar w:fldCharType="separate"/>
        </w:r>
        <w:r w:rsidR="00567747">
          <w:rPr>
            <w:noProof/>
            <w:webHidden/>
          </w:rPr>
          <w:t>55</w:t>
        </w:r>
        <w:r>
          <w:rPr>
            <w:noProof/>
            <w:webHidden/>
          </w:rPr>
          <w:fldChar w:fldCharType="end"/>
        </w:r>
      </w:hyperlink>
    </w:p>
    <w:p w14:paraId="598B4829" w14:textId="610B8FAF"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6" w:history="1">
        <w:r w:rsidRPr="00D61B2E">
          <w:rPr>
            <w:rStyle w:val="Hyperlink"/>
            <w:b/>
            <w:bCs/>
            <w:noProof/>
          </w:rPr>
          <w:t>Interviewing and Interview Process</w:t>
        </w:r>
        <w:r>
          <w:rPr>
            <w:noProof/>
            <w:webHidden/>
          </w:rPr>
          <w:tab/>
        </w:r>
        <w:r>
          <w:rPr>
            <w:noProof/>
            <w:webHidden/>
          </w:rPr>
          <w:fldChar w:fldCharType="begin"/>
        </w:r>
        <w:r>
          <w:rPr>
            <w:noProof/>
            <w:webHidden/>
          </w:rPr>
          <w:instrText xml:space="preserve"> PAGEREF _Toc118232316 \h </w:instrText>
        </w:r>
        <w:r>
          <w:rPr>
            <w:noProof/>
            <w:webHidden/>
          </w:rPr>
        </w:r>
        <w:r>
          <w:rPr>
            <w:noProof/>
            <w:webHidden/>
          </w:rPr>
          <w:fldChar w:fldCharType="separate"/>
        </w:r>
        <w:r w:rsidR="00567747">
          <w:rPr>
            <w:noProof/>
            <w:webHidden/>
          </w:rPr>
          <w:t>56</w:t>
        </w:r>
        <w:r>
          <w:rPr>
            <w:noProof/>
            <w:webHidden/>
          </w:rPr>
          <w:fldChar w:fldCharType="end"/>
        </w:r>
      </w:hyperlink>
    </w:p>
    <w:p w14:paraId="4F5C3951" w14:textId="35AF09AA"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7" w:history="1">
        <w:r w:rsidRPr="00D61B2E">
          <w:rPr>
            <w:rStyle w:val="Hyperlink"/>
            <w:b/>
            <w:bCs/>
            <w:noProof/>
          </w:rPr>
          <w:t>Coding</w:t>
        </w:r>
        <w:r>
          <w:rPr>
            <w:noProof/>
            <w:webHidden/>
          </w:rPr>
          <w:tab/>
        </w:r>
        <w:r>
          <w:rPr>
            <w:noProof/>
            <w:webHidden/>
          </w:rPr>
          <w:fldChar w:fldCharType="begin"/>
        </w:r>
        <w:r>
          <w:rPr>
            <w:noProof/>
            <w:webHidden/>
          </w:rPr>
          <w:instrText xml:space="preserve"> PAGEREF _Toc118232317 \h </w:instrText>
        </w:r>
        <w:r>
          <w:rPr>
            <w:noProof/>
            <w:webHidden/>
          </w:rPr>
        </w:r>
        <w:r>
          <w:rPr>
            <w:noProof/>
            <w:webHidden/>
          </w:rPr>
          <w:fldChar w:fldCharType="separate"/>
        </w:r>
        <w:r w:rsidR="00567747">
          <w:rPr>
            <w:noProof/>
            <w:webHidden/>
          </w:rPr>
          <w:t>63</w:t>
        </w:r>
        <w:r>
          <w:rPr>
            <w:noProof/>
            <w:webHidden/>
          </w:rPr>
          <w:fldChar w:fldCharType="end"/>
        </w:r>
      </w:hyperlink>
    </w:p>
    <w:p w14:paraId="200FABE6" w14:textId="3FB71448"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8" w:history="1">
        <w:r w:rsidRPr="00D61B2E">
          <w:rPr>
            <w:rStyle w:val="Hyperlink"/>
            <w:b/>
            <w:bCs/>
            <w:noProof/>
          </w:rPr>
          <w:t>Individual and Collective Memory</w:t>
        </w:r>
        <w:r>
          <w:rPr>
            <w:noProof/>
            <w:webHidden/>
          </w:rPr>
          <w:tab/>
        </w:r>
        <w:r>
          <w:rPr>
            <w:noProof/>
            <w:webHidden/>
          </w:rPr>
          <w:fldChar w:fldCharType="begin"/>
        </w:r>
        <w:r>
          <w:rPr>
            <w:noProof/>
            <w:webHidden/>
          </w:rPr>
          <w:instrText xml:space="preserve"> PAGEREF _Toc118232318 \h </w:instrText>
        </w:r>
        <w:r>
          <w:rPr>
            <w:noProof/>
            <w:webHidden/>
          </w:rPr>
        </w:r>
        <w:r>
          <w:rPr>
            <w:noProof/>
            <w:webHidden/>
          </w:rPr>
          <w:fldChar w:fldCharType="separate"/>
        </w:r>
        <w:r w:rsidR="00567747">
          <w:rPr>
            <w:noProof/>
            <w:webHidden/>
          </w:rPr>
          <w:t>64</w:t>
        </w:r>
        <w:r>
          <w:rPr>
            <w:noProof/>
            <w:webHidden/>
          </w:rPr>
          <w:fldChar w:fldCharType="end"/>
        </w:r>
      </w:hyperlink>
    </w:p>
    <w:p w14:paraId="1442575F" w14:textId="0EB7F341"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19" w:history="1">
        <w:r w:rsidRPr="00D61B2E">
          <w:rPr>
            <w:rStyle w:val="Hyperlink"/>
            <w:b/>
            <w:bCs/>
            <w:noProof/>
          </w:rPr>
          <w:t>Conclusion</w:t>
        </w:r>
        <w:r>
          <w:rPr>
            <w:noProof/>
            <w:webHidden/>
          </w:rPr>
          <w:tab/>
        </w:r>
        <w:r>
          <w:rPr>
            <w:noProof/>
            <w:webHidden/>
          </w:rPr>
          <w:fldChar w:fldCharType="begin"/>
        </w:r>
        <w:r>
          <w:rPr>
            <w:noProof/>
            <w:webHidden/>
          </w:rPr>
          <w:instrText xml:space="preserve"> PAGEREF _Toc118232319 \h </w:instrText>
        </w:r>
        <w:r>
          <w:rPr>
            <w:noProof/>
            <w:webHidden/>
          </w:rPr>
        </w:r>
        <w:r>
          <w:rPr>
            <w:noProof/>
            <w:webHidden/>
          </w:rPr>
          <w:fldChar w:fldCharType="separate"/>
        </w:r>
        <w:r w:rsidR="00567747">
          <w:rPr>
            <w:noProof/>
            <w:webHidden/>
          </w:rPr>
          <w:t>65</w:t>
        </w:r>
        <w:r>
          <w:rPr>
            <w:noProof/>
            <w:webHidden/>
          </w:rPr>
          <w:fldChar w:fldCharType="end"/>
        </w:r>
      </w:hyperlink>
    </w:p>
    <w:p w14:paraId="501E8F8F" w14:textId="73D4795D" w:rsidR="00CE737D" w:rsidRDefault="00CE737D">
      <w:pPr>
        <w:pStyle w:val="TOC1"/>
        <w:rPr>
          <w:rFonts w:asciiTheme="minorHAnsi" w:eastAsiaTheme="minorEastAsia" w:hAnsiTheme="minorHAnsi" w:cstheme="minorBidi"/>
          <w:noProof/>
          <w:sz w:val="22"/>
          <w:szCs w:val="22"/>
        </w:rPr>
      </w:pPr>
      <w:hyperlink w:anchor="_Toc118232320" w:history="1">
        <w:r w:rsidRPr="00D61B2E">
          <w:rPr>
            <w:rStyle w:val="Hyperlink"/>
            <w:b/>
            <w:bCs/>
            <w:noProof/>
          </w:rPr>
          <w:t>CHAPTER FOUR</w:t>
        </w:r>
        <w:r>
          <w:rPr>
            <w:noProof/>
            <w:webHidden/>
          </w:rPr>
          <w:tab/>
        </w:r>
        <w:r>
          <w:rPr>
            <w:noProof/>
            <w:webHidden/>
          </w:rPr>
          <w:fldChar w:fldCharType="begin"/>
        </w:r>
        <w:r>
          <w:rPr>
            <w:noProof/>
            <w:webHidden/>
          </w:rPr>
          <w:instrText xml:space="preserve"> PAGEREF _Toc118232320 \h </w:instrText>
        </w:r>
        <w:r>
          <w:rPr>
            <w:noProof/>
            <w:webHidden/>
          </w:rPr>
        </w:r>
        <w:r>
          <w:rPr>
            <w:noProof/>
            <w:webHidden/>
          </w:rPr>
          <w:fldChar w:fldCharType="separate"/>
        </w:r>
        <w:r w:rsidR="00567747">
          <w:rPr>
            <w:noProof/>
            <w:webHidden/>
          </w:rPr>
          <w:t>66</w:t>
        </w:r>
        <w:r>
          <w:rPr>
            <w:noProof/>
            <w:webHidden/>
          </w:rPr>
          <w:fldChar w:fldCharType="end"/>
        </w:r>
      </w:hyperlink>
    </w:p>
    <w:p w14:paraId="3F7635B2" w14:textId="0AC2C278" w:rsidR="00CE737D" w:rsidRDefault="00CE737D">
      <w:pPr>
        <w:pStyle w:val="TOC1"/>
        <w:rPr>
          <w:rFonts w:asciiTheme="minorHAnsi" w:eastAsiaTheme="minorEastAsia" w:hAnsiTheme="minorHAnsi" w:cstheme="minorBidi"/>
          <w:noProof/>
          <w:sz w:val="22"/>
          <w:szCs w:val="22"/>
        </w:rPr>
      </w:pPr>
      <w:hyperlink w:anchor="_Toc118232321" w:history="1">
        <w:r w:rsidRPr="00D61B2E">
          <w:rPr>
            <w:rStyle w:val="Hyperlink"/>
            <w:b/>
            <w:bCs/>
            <w:noProof/>
          </w:rPr>
          <w:t>PARTICIPANT CONTEXT: THE GEOPOLITICAL CULTURE OF EAST TENNESSEE</w:t>
        </w:r>
        <w:r>
          <w:rPr>
            <w:noProof/>
            <w:webHidden/>
          </w:rPr>
          <w:tab/>
        </w:r>
        <w:r>
          <w:rPr>
            <w:noProof/>
            <w:webHidden/>
          </w:rPr>
          <w:fldChar w:fldCharType="begin"/>
        </w:r>
        <w:r>
          <w:rPr>
            <w:noProof/>
            <w:webHidden/>
          </w:rPr>
          <w:instrText xml:space="preserve"> PAGEREF _Toc118232321 \h </w:instrText>
        </w:r>
        <w:r>
          <w:rPr>
            <w:noProof/>
            <w:webHidden/>
          </w:rPr>
        </w:r>
        <w:r>
          <w:rPr>
            <w:noProof/>
            <w:webHidden/>
          </w:rPr>
          <w:fldChar w:fldCharType="separate"/>
        </w:r>
        <w:r w:rsidR="00567747">
          <w:rPr>
            <w:noProof/>
            <w:webHidden/>
          </w:rPr>
          <w:t>66</w:t>
        </w:r>
        <w:r>
          <w:rPr>
            <w:noProof/>
            <w:webHidden/>
          </w:rPr>
          <w:fldChar w:fldCharType="end"/>
        </w:r>
      </w:hyperlink>
    </w:p>
    <w:p w14:paraId="34F6B1DA" w14:textId="7E8CBB1C"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22" w:history="1">
        <w:r w:rsidRPr="00D61B2E">
          <w:rPr>
            <w:rStyle w:val="Hyperlink"/>
            <w:b/>
            <w:bCs/>
            <w:noProof/>
          </w:rPr>
          <w:t>Temporal and spatial impacts of policymaking on older women’s perceptions and experiences of health inequities policies and interventions.</w:t>
        </w:r>
        <w:r>
          <w:rPr>
            <w:noProof/>
            <w:webHidden/>
          </w:rPr>
          <w:tab/>
        </w:r>
        <w:r>
          <w:rPr>
            <w:noProof/>
            <w:webHidden/>
          </w:rPr>
          <w:fldChar w:fldCharType="begin"/>
        </w:r>
        <w:r>
          <w:rPr>
            <w:noProof/>
            <w:webHidden/>
          </w:rPr>
          <w:instrText xml:space="preserve"> PAGEREF _Toc118232322 \h </w:instrText>
        </w:r>
        <w:r>
          <w:rPr>
            <w:noProof/>
            <w:webHidden/>
          </w:rPr>
        </w:r>
        <w:r>
          <w:rPr>
            <w:noProof/>
            <w:webHidden/>
          </w:rPr>
          <w:fldChar w:fldCharType="separate"/>
        </w:r>
        <w:r w:rsidR="00567747">
          <w:rPr>
            <w:noProof/>
            <w:webHidden/>
          </w:rPr>
          <w:t>66</w:t>
        </w:r>
        <w:r>
          <w:rPr>
            <w:noProof/>
            <w:webHidden/>
          </w:rPr>
          <w:fldChar w:fldCharType="end"/>
        </w:r>
      </w:hyperlink>
    </w:p>
    <w:p w14:paraId="7711B6E8" w14:textId="46F21F00"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23" w:history="1">
        <w:r w:rsidRPr="00D61B2E">
          <w:rPr>
            <w:rStyle w:val="Hyperlink"/>
            <w:b/>
            <w:bCs/>
            <w:i/>
            <w:iCs/>
            <w:noProof/>
          </w:rPr>
          <w:t>Federal, State and Local Policy and Intervention Impact on Older Women in East Tennessee</w:t>
        </w:r>
        <w:r>
          <w:rPr>
            <w:noProof/>
            <w:webHidden/>
          </w:rPr>
          <w:tab/>
        </w:r>
        <w:r>
          <w:rPr>
            <w:noProof/>
            <w:webHidden/>
          </w:rPr>
          <w:fldChar w:fldCharType="begin"/>
        </w:r>
        <w:r>
          <w:rPr>
            <w:noProof/>
            <w:webHidden/>
          </w:rPr>
          <w:instrText xml:space="preserve"> PAGEREF _Toc118232323 \h </w:instrText>
        </w:r>
        <w:r>
          <w:rPr>
            <w:noProof/>
            <w:webHidden/>
          </w:rPr>
        </w:r>
        <w:r>
          <w:rPr>
            <w:noProof/>
            <w:webHidden/>
          </w:rPr>
          <w:fldChar w:fldCharType="separate"/>
        </w:r>
        <w:r w:rsidR="00567747">
          <w:rPr>
            <w:noProof/>
            <w:webHidden/>
          </w:rPr>
          <w:t>67</w:t>
        </w:r>
        <w:r>
          <w:rPr>
            <w:noProof/>
            <w:webHidden/>
          </w:rPr>
          <w:fldChar w:fldCharType="end"/>
        </w:r>
      </w:hyperlink>
    </w:p>
    <w:p w14:paraId="7DA2E3C1" w14:textId="6B56496F"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24" w:history="1">
        <w:r w:rsidRPr="00D61B2E">
          <w:rPr>
            <w:rStyle w:val="Hyperlink"/>
            <w:b/>
            <w:noProof/>
          </w:rPr>
          <w:t>Conclusion</w:t>
        </w:r>
        <w:r>
          <w:rPr>
            <w:noProof/>
            <w:webHidden/>
          </w:rPr>
          <w:tab/>
        </w:r>
        <w:r>
          <w:rPr>
            <w:noProof/>
            <w:webHidden/>
          </w:rPr>
          <w:fldChar w:fldCharType="begin"/>
        </w:r>
        <w:r>
          <w:rPr>
            <w:noProof/>
            <w:webHidden/>
          </w:rPr>
          <w:instrText xml:space="preserve"> PAGEREF _Toc118232324 \h </w:instrText>
        </w:r>
        <w:r>
          <w:rPr>
            <w:noProof/>
            <w:webHidden/>
          </w:rPr>
        </w:r>
        <w:r>
          <w:rPr>
            <w:noProof/>
            <w:webHidden/>
          </w:rPr>
          <w:fldChar w:fldCharType="separate"/>
        </w:r>
        <w:r w:rsidR="00567747">
          <w:rPr>
            <w:noProof/>
            <w:webHidden/>
          </w:rPr>
          <w:t>75</w:t>
        </w:r>
        <w:r>
          <w:rPr>
            <w:noProof/>
            <w:webHidden/>
          </w:rPr>
          <w:fldChar w:fldCharType="end"/>
        </w:r>
      </w:hyperlink>
    </w:p>
    <w:p w14:paraId="6D085E85" w14:textId="48A7250E" w:rsidR="00CE737D" w:rsidRDefault="00CE737D">
      <w:pPr>
        <w:pStyle w:val="TOC1"/>
        <w:rPr>
          <w:rFonts w:asciiTheme="minorHAnsi" w:eastAsiaTheme="minorEastAsia" w:hAnsiTheme="minorHAnsi" w:cstheme="minorBidi"/>
          <w:noProof/>
          <w:sz w:val="22"/>
          <w:szCs w:val="22"/>
        </w:rPr>
      </w:pPr>
      <w:hyperlink w:anchor="_Toc118232325" w:history="1">
        <w:r w:rsidRPr="00D61B2E">
          <w:rPr>
            <w:rStyle w:val="Hyperlink"/>
            <w:b/>
            <w:bCs/>
            <w:noProof/>
          </w:rPr>
          <w:t>CHAPTER FIVE</w:t>
        </w:r>
        <w:r>
          <w:rPr>
            <w:noProof/>
            <w:webHidden/>
          </w:rPr>
          <w:tab/>
        </w:r>
        <w:r>
          <w:rPr>
            <w:noProof/>
            <w:webHidden/>
          </w:rPr>
          <w:fldChar w:fldCharType="begin"/>
        </w:r>
        <w:r>
          <w:rPr>
            <w:noProof/>
            <w:webHidden/>
          </w:rPr>
          <w:instrText xml:space="preserve"> PAGEREF _Toc118232325 \h </w:instrText>
        </w:r>
        <w:r>
          <w:rPr>
            <w:noProof/>
            <w:webHidden/>
          </w:rPr>
        </w:r>
        <w:r>
          <w:rPr>
            <w:noProof/>
            <w:webHidden/>
          </w:rPr>
          <w:fldChar w:fldCharType="separate"/>
        </w:r>
        <w:r w:rsidR="00567747">
          <w:rPr>
            <w:noProof/>
            <w:webHidden/>
          </w:rPr>
          <w:t>77</w:t>
        </w:r>
        <w:r>
          <w:rPr>
            <w:noProof/>
            <w:webHidden/>
          </w:rPr>
          <w:fldChar w:fldCharType="end"/>
        </w:r>
      </w:hyperlink>
    </w:p>
    <w:p w14:paraId="751EF472" w14:textId="32C13C29" w:rsidR="00CE737D" w:rsidRDefault="00CE737D">
      <w:pPr>
        <w:pStyle w:val="TOC1"/>
        <w:rPr>
          <w:rFonts w:asciiTheme="minorHAnsi" w:eastAsiaTheme="minorEastAsia" w:hAnsiTheme="minorHAnsi" w:cstheme="minorBidi"/>
          <w:noProof/>
          <w:sz w:val="22"/>
          <w:szCs w:val="22"/>
        </w:rPr>
      </w:pPr>
      <w:hyperlink w:anchor="_Toc118232326" w:history="1">
        <w:r w:rsidRPr="00D61B2E">
          <w:rPr>
            <w:rStyle w:val="Hyperlink"/>
            <w:b/>
            <w:bCs/>
            <w:noProof/>
          </w:rPr>
          <w:t>PARTICIPANT CONTEXT – LIVED EXPERIENCE AND NORMS</w:t>
        </w:r>
        <w:r>
          <w:rPr>
            <w:noProof/>
            <w:webHidden/>
          </w:rPr>
          <w:tab/>
        </w:r>
        <w:r>
          <w:rPr>
            <w:noProof/>
            <w:webHidden/>
          </w:rPr>
          <w:fldChar w:fldCharType="begin"/>
        </w:r>
        <w:r>
          <w:rPr>
            <w:noProof/>
            <w:webHidden/>
          </w:rPr>
          <w:instrText xml:space="preserve"> PAGEREF _Toc118232326 \h </w:instrText>
        </w:r>
        <w:r>
          <w:rPr>
            <w:noProof/>
            <w:webHidden/>
          </w:rPr>
        </w:r>
        <w:r>
          <w:rPr>
            <w:noProof/>
            <w:webHidden/>
          </w:rPr>
          <w:fldChar w:fldCharType="separate"/>
        </w:r>
        <w:r w:rsidR="00567747">
          <w:rPr>
            <w:noProof/>
            <w:webHidden/>
          </w:rPr>
          <w:t>77</w:t>
        </w:r>
        <w:r>
          <w:rPr>
            <w:noProof/>
            <w:webHidden/>
          </w:rPr>
          <w:fldChar w:fldCharType="end"/>
        </w:r>
      </w:hyperlink>
    </w:p>
    <w:p w14:paraId="3F94BB6A" w14:textId="08770F1B"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27" w:history="1">
        <w:r w:rsidRPr="00D61B2E">
          <w:rPr>
            <w:rStyle w:val="Hyperlink"/>
            <w:b/>
            <w:bCs/>
            <w:noProof/>
          </w:rPr>
          <w:t>Places of Residence</w:t>
        </w:r>
        <w:r>
          <w:rPr>
            <w:noProof/>
            <w:webHidden/>
          </w:rPr>
          <w:tab/>
        </w:r>
        <w:r>
          <w:rPr>
            <w:noProof/>
            <w:webHidden/>
          </w:rPr>
          <w:fldChar w:fldCharType="begin"/>
        </w:r>
        <w:r>
          <w:rPr>
            <w:noProof/>
            <w:webHidden/>
          </w:rPr>
          <w:instrText xml:space="preserve"> PAGEREF _Toc118232327 \h </w:instrText>
        </w:r>
        <w:r>
          <w:rPr>
            <w:noProof/>
            <w:webHidden/>
          </w:rPr>
        </w:r>
        <w:r>
          <w:rPr>
            <w:noProof/>
            <w:webHidden/>
          </w:rPr>
          <w:fldChar w:fldCharType="separate"/>
        </w:r>
        <w:r w:rsidR="00567747">
          <w:rPr>
            <w:noProof/>
            <w:webHidden/>
          </w:rPr>
          <w:t>79</w:t>
        </w:r>
        <w:r>
          <w:rPr>
            <w:noProof/>
            <w:webHidden/>
          </w:rPr>
          <w:fldChar w:fldCharType="end"/>
        </w:r>
      </w:hyperlink>
    </w:p>
    <w:p w14:paraId="47E6B10B" w14:textId="2688698D"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28" w:history="1">
        <w:r w:rsidRPr="00D61B2E">
          <w:rPr>
            <w:rStyle w:val="Hyperlink"/>
            <w:b/>
            <w:bCs/>
            <w:i/>
            <w:iCs/>
            <w:noProof/>
          </w:rPr>
          <w:t>Short Synopsis</w:t>
        </w:r>
        <w:r>
          <w:rPr>
            <w:noProof/>
            <w:webHidden/>
          </w:rPr>
          <w:tab/>
        </w:r>
        <w:r>
          <w:rPr>
            <w:noProof/>
            <w:webHidden/>
          </w:rPr>
          <w:fldChar w:fldCharType="begin"/>
        </w:r>
        <w:r>
          <w:rPr>
            <w:noProof/>
            <w:webHidden/>
          </w:rPr>
          <w:instrText xml:space="preserve"> PAGEREF _Toc118232328 \h </w:instrText>
        </w:r>
        <w:r>
          <w:rPr>
            <w:noProof/>
            <w:webHidden/>
          </w:rPr>
        </w:r>
        <w:r>
          <w:rPr>
            <w:noProof/>
            <w:webHidden/>
          </w:rPr>
          <w:fldChar w:fldCharType="separate"/>
        </w:r>
        <w:r w:rsidR="00567747">
          <w:rPr>
            <w:noProof/>
            <w:webHidden/>
          </w:rPr>
          <w:t>81</w:t>
        </w:r>
        <w:r>
          <w:rPr>
            <w:noProof/>
            <w:webHidden/>
          </w:rPr>
          <w:fldChar w:fldCharType="end"/>
        </w:r>
      </w:hyperlink>
    </w:p>
    <w:p w14:paraId="7822BD2C" w14:textId="4BAE20FF"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29" w:history="1">
        <w:r w:rsidRPr="00D61B2E">
          <w:rPr>
            <w:rStyle w:val="Hyperlink"/>
            <w:b/>
            <w:bCs/>
            <w:noProof/>
          </w:rPr>
          <w:t>Family and Youth Experiences</w:t>
        </w:r>
        <w:r>
          <w:rPr>
            <w:noProof/>
            <w:webHidden/>
          </w:rPr>
          <w:tab/>
        </w:r>
        <w:r>
          <w:rPr>
            <w:noProof/>
            <w:webHidden/>
          </w:rPr>
          <w:fldChar w:fldCharType="begin"/>
        </w:r>
        <w:r>
          <w:rPr>
            <w:noProof/>
            <w:webHidden/>
          </w:rPr>
          <w:instrText xml:space="preserve"> PAGEREF _Toc118232329 \h </w:instrText>
        </w:r>
        <w:r>
          <w:rPr>
            <w:noProof/>
            <w:webHidden/>
          </w:rPr>
        </w:r>
        <w:r>
          <w:rPr>
            <w:noProof/>
            <w:webHidden/>
          </w:rPr>
          <w:fldChar w:fldCharType="separate"/>
        </w:r>
        <w:r w:rsidR="00567747">
          <w:rPr>
            <w:noProof/>
            <w:webHidden/>
          </w:rPr>
          <w:t>82</w:t>
        </w:r>
        <w:r>
          <w:rPr>
            <w:noProof/>
            <w:webHidden/>
          </w:rPr>
          <w:fldChar w:fldCharType="end"/>
        </w:r>
      </w:hyperlink>
    </w:p>
    <w:p w14:paraId="67C03A71" w14:textId="6D17CAD2"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30" w:history="1">
        <w:r w:rsidRPr="00D61B2E">
          <w:rPr>
            <w:rStyle w:val="Hyperlink"/>
            <w:b/>
            <w:bCs/>
            <w:noProof/>
          </w:rPr>
          <w:t>Adverse Childhood Events</w:t>
        </w:r>
        <w:r>
          <w:rPr>
            <w:noProof/>
            <w:webHidden/>
          </w:rPr>
          <w:tab/>
        </w:r>
        <w:r>
          <w:rPr>
            <w:noProof/>
            <w:webHidden/>
          </w:rPr>
          <w:fldChar w:fldCharType="begin"/>
        </w:r>
        <w:r>
          <w:rPr>
            <w:noProof/>
            <w:webHidden/>
          </w:rPr>
          <w:instrText xml:space="preserve"> PAGEREF _Toc118232330 \h </w:instrText>
        </w:r>
        <w:r>
          <w:rPr>
            <w:noProof/>
            <w:webHidden/>
          </w:rPr>
        </w:r>
        <w:r>
          <w:rPr>
            <w:noProof/>
            <w:webHidden/>
          </w:rPr>
          <w:fldChar w:fldCharType="separate"/>
        </w:r>
        <w:r w:rsidR="00567747">
          <w:rPr>
            <w:noProof/>
            <w:webHidden/>
          </w:rPr>
          <w:t>83</w:t>
        </w:r>
        <w:r>
          <w:rPr>
            <w:noProof/>
            <w:webHidden/>
          </w:rPr>
          <w:fldChar w:fldCharType="end"/>
        </w:r>
      </w:hyperlink>
    </w:p>
    <w:p w14:paraId="548EEBD3" w14:textId="027C5ECD"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31" w:history="1">
        <w:r w:rsidRPr="00D61B2E">
          <w:rPr>
            <w:rStyle w:val="Hyperlink"/>
            <w:b/>
            <w:bCs/>
            <w:i/>
            <w:iCs/>
            <w:noProof/>
          </w:rPr>
          <w:t>Alcoholism, Abuse, Neglect, Abandonment</w:t>
        </w:r>
        <w:r>
          <w:rPr>
            <w:noProof/>
            <w:webHidden/>
          </w:rPr>
          <w:tab/>
        </w:r>
        <w:r>
          <w:rPr>
            <w:noProof/>
            <w:webHidden/>
          </w:rPr>
          <w:fldChar w:fldCharType="begin"/>
        </w:r>
        <w:r>
          <w:rPr>
            <w:noProof/>
            <w:webHidden/>
          </w:rPr>
          <w:instrText xml:space="preserve"> PAGEREF _Toc118232331 \h </w:instrText>
        </w:r>
        <w:r>
          <w:rPr>
            <w:noProof/>
            <w:webHidden/>
          </w:rPr>
        </w:r>
        <w:r>
          <w:rPr>
            <w:noProof/>
            <w:webHidden/>
          </w:rPr>
          <w:fldChar w:fldCharType="separate"/>
        </w:r>
        <w:r w:rsidR="00567747">
          <w:rPr>
            <w:noProof/>
            <w:webHidden/>
          </w:rPr>
          <w:t>83</w:t>
        </w:r>
        <w:r>
          <w:rPr>
            <w:noProof/>
            <w:webHidden/>
          </w:rPr>
          <w:fldChar w:fldCharType="end"/>
        </w:r>
      </w:hyperlink>
    </w:p>
    <w:p w14:paraId="09F9D147" w14:textId="5080A47F"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32" w:history="1">
        <w:r w:rsidRPr="00D61B2E">
          <w:rPr>
            <w:rStyle w:val="Hyperlink"/>
            <w:b/>
            <w:bCs/>
            <w:i/>
            <w:iCs/>
            <w:noProof/>
          </w:rPr>
          <w:t>Parental Illness</w:t>
        </w:r>
        <w:r>
          <w:rPr>
            <w:noProof/>
            <w:webHidden/>
          </w:rPr>
          <w:tab/>
        </w:r>
        <w:r>
          <w:rPr>
            <w:noProof/>
            <w:webHidden/>
          </w:rPr>
          <w:fldChar w:fldCharType="begin"/>
        </w:r>
        <w:r>
          <w:rPr>
            <w:noProof/>
            <w:webHidden/>
          </w:rPr>
          <w:instrText xml:space="preserve"> PAGEREF _Toc118232332 \h </w:instrText>
        </w:r>
        <w:r>
          <w:rPr>
            <w:noProof/>
            <w:webHidden/>
          </w:rPr>
        </w:r>
        <w:r>
          <w:rPr>
            <w:noProof/>
            <w:webHidden/>
          </w:rPr>
          <w:fldChar w:fldCharType="separate"/>
        </w:r>
        <w:r w:rsidR="00567747">
          <w:rPr>
            <w:noProof/>
            <w:webHidden/>
          </w:rPr>
          <w:t>84</w:t>
        </w:r>
        <w:r>
          <w:rPr>
            <w:noProof/>
            <w:webHidden/>
          </w:rPr>
          <w:fldChar w:fldCharType="end"/>
        </w:r>
      </w:hyperlink>
    </w:p>
    <w:p w14:paraId="4FDE392E" w14:textId="3DF3AA74"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33" w:history="1">
        <w:r w:rsidRPr="00D61B2E">
          <w:rPr>
            <w:rStyle w:val="Hyperlink"/>
            <w:b/>
            <w:bCs/>
            <w:i/>
            <w:iCs/>
            <w:noProof/>
          </w:rPr>
          <w:t>Loss of Loved Ones in Childhood</w:t>
        </w:r>
        <w:r>
          <w:rPr>
            <w:noProof/>
            <w:webHidden/>
          </w:rPr>
          <w:tab/>
        </w:r>
        <w:r>
          <w:rPr>
            <w:noProof/>
            <w:webHidden/>
          </w:rPr>
          <w:fldChar w:fldCharType="begin"/>
        </w:r>
        <w:r>
          <w:rPr>
            <w:noProof/>
            <w:webHidden/>
          </w:rPr>
          <w:instrText xml:space="preserve"> PAGEREF _Toc118232333 \h </w:instrText>
        </w:r>
        <w:r>
          <w:rPr>
            <w:noProof/>
            <w:webHidden/>
          </w:rPr>
        </w:r>
        <w:r>
          <w:rPr>
            <w:noProof/>
            <w:webHidden/>
          </w:rPr>
          <w:fldChar w:fldCharType="separate"/>
        </w:r>
        <w:r w:rsidR="00567747">
          <w:rPr>
            <w:noProof/>
            <w:webHidden/>
          </w:rPr>
          <w:t>84</w:t>
        </w:r>
        <w:r>
          <w:rPr>
            <w:noProof/>
            <w:webHidden/>
          </w:rPr>
          <w:fldChar w:fldCharType="end"/>
        </w:r>
      </w:hyperlink>
    </w:p>
    <w:p w14:paraId="1B446FE2" w14:textId="51F8C9E3"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34" w:history="1">
        <w:r w:rsidRPr="00D61B2E">
          <w:rPr>
            <w:rStyle w:val="Hyperlink"/>
            <w:b/>
            <w:bCs/>
            <w:i/>
            <w:iCs/>
            <w:noProof/>
          </w:rPr>
          <w:t>School</w:t>
        </w:r>
        <w:r>
          <w:rPr>
            <w:noProof/>
            <w:webHidden/>
          </w:rPr>
          <w:tab/>
        </w:r>
        <w:r>
          <w:rPr>
            <w:noProof/>
            <w:webHidden/>
          </w:rPr>
          <w:fldChar w:fldCharType="begin"/>
        </w:r>
        <w:r>
          <w:rPr>
            <w:noProof/>
            <w:webHidden/>
          </w:rPr>
          <w:instrText xml:space="preserve"> PAGEREF _Toc118232334 \h </w:instrText>
        </w:r>
        <w:r>
          <w:rPr>
            <w:noProof/>
            <w:webHidden/>
          </w:rPr>
        </w:r>
        <w:r>
          <w:rPr>
            <w:noProof/>
            <w:webHidden/>
          </w:rPr>
          <w:fldChar w:fldCharType="separate"/>
        </w:r>
        <w:r w:rsidR="00567747">
          <w:rPr>
            <w:noProof/>
            <w:webHidden/>
          </w:rPr>
          <w:t>85</w:t>
        </w:r>
        <w:r>
          <w:rPr>
            <w:noProof/>
            <w:webHidden/>
          </w:rPr>
          <w:fldChar w:fldCharType="end"/>
        </w:r>
      </w:hyperlink>
    </w:p>
    <w:p w14:paraId="2B84E03C" w14:textId="72071F66"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35" w:history="1">
        <w:r w:rsidRPr="00D61B2E">
          <w:rPr>
            <w:rStyle w:val="Hyperlink"/>
            <w:b/>
            <w:bCs/>
            <w:i/>
            <w:iCs/>
            <w:noProof/>
          </w:rPr>
          <w:t>Racism, Segregation, and the Jim Crow South</w:t>
        </w:r>
        <w:r>
          <w:rPr>
            <w:noProof/>
            <w:webHidden/>
          </w:rPr>
          <w:tab/>
        </w:r>
        <w:r>
          <w:rPr>
            <w:noProof/>
            <w:webHidden/>
          </w:rPr>
          <w:fldChar w:fldCharType="begin"/>
        </w:r>
        <w:r>
          <w:rPr>
            <w:noProof/>
            <w:webHidden/>
          </w:rPr>
          <w:instrText xml:space="preserve"> PAGEREF _Toc118232335 \h </w:instrText>
        </w:r>
        <w:r>
          <w:rPr>
            <w:noProof/>
            <w:webHidden/>
          </w:rPr>
        </w:r>
        <w:r>
          <w:rPr>
            <w:noProof/>
            <w:webHidden/>
          </w:rPr>
          <w:fldChar w:fldCharType="separate"/>
        </w:r>
        <w:r w:rsidR="00567747">
          <w:rPr>
            <w:noProof/>
            <w:webHidden/>
          </w:rPr>
          <w:t>85</w:t>
        </w:r>
        <w:r>
          <w:rPr>
            <w:noProof/>
            <w:webHidden/>
          </w:rPr>
          <w:fldChar w:fldCharType="end"/>
        </w:r>
      </w:hyperlink>
    </w:p>
    <w:p w14:paraId="239B1AF1" w14:textId="100FA459"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36" w:history="1">
        <w:r w:rsidRPr="00D61B2E">
          <w:rPr>
            <w:rStyle w:val="Hyperlink"/>
            <w:b/>
            <w:bCs/>
            <w:noProof/>
          </w:rPr>
          <w:t>Positive Childhood Experiences</w:t>
        </w:r>
        <w:r>
          <w:rPr>
            <w:noProof/>
            <w:webHidden/>
          </w:rPr>
          <w:tab/>
        </w:r>
        <w:r>
          <w:rPr>
            <w:noProof/>
            <w:webHidden/>
          </w:rPr>
          <w:fldChar w:fldCharType="begin"/>
        </w:r>
        <w:r>
          <w:rPr>
            <w:noProof/>
            <w:webHidden/>
          </w:rPr>
          <w:instrText xml:space="preserve"> PAGEREF _Toc118232336 \h </w:instrText>
        </w:r>
        <w:r>
          <w:rPr>
            <w:noProof/>
            <w:webHidden/>
          </w:rPr>
        </w:r>
        <w:r>
          <w:rPr>
            <w:noProof/>
            <w:webHidden/>
          </w:rPr>
          <w:fldChar w:fldCharType="separate"/>
        </w:r>
        <w:r w:rsidR="00567747">
          <w:rPr>
            <w:noProof/>
            <w:webHidden/>
          </w:rPr>
          <w:t>86</w:t>
        </w:r>
        <w:r>
          <w:rPr>
            <w:noProof/>
            <w:webHidden/>
          </w:rPr>
          <w:fldChar w:fldCharType="end"/>
        </w:r>
      </w:hyperlink>
    </w:p>
    <w:p w14:paraId="10654B6C" w14:textId="58FED595"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37" w:history="1">
        <w:r w:rsidRPr="00D61B2E">
          <w:rPr>
            <w:rStyle w:val="Hyperlink"/>
            <w:b/>
            <w:bCs/>
            <w:noProof/>
          </w:rPr>
          <w:t>Influencers</w:t>
        </w:r>
        <w:r>
          <w:rPr>
            <w:noProof/>
            <w:webHidden/>
          </w:rPr>
          <w:tab/>
        </w:r>
        <w:r>
          <w:rPr>
            <w:noProof/>
            <w:webHidden/>
          </w:rPr>
          <w:fldChar w:fldCharType="begin"/>
        </w:r>
        <w:r>
          <w:rPr>
            <w:noProof/>
            <w:webHidden/>
          </w:rPr>
          <w:instrText xml:space="preserve"> PAGEREF _Toc118232337 \h </w:instrText>
        </w:r>
        <w:r>
          <w:rPr>
            <w:noProof/>
            <w:webHidden/>
          </w:rPr>
        </w:r>
        <w:r>
          <w:rPr>
            <w:noProof/>
            <w:webHidden/>
          </w:rPr>
          <w:fldChar w:fldCharType="separate"/>
        </w:r>
        <w:r w:rsidR="00567747">
          <w:rPr>
            <w:noProof/>
            <w:webHidden/>
          </w:rPr>
          <w:t>90</w:t>
        </w:r>
        <w:r>
          <w:rPr>
            <w:noProof/>
            <w:webHidden/>
          </w:rPr>
          <w:fldChar w:fldCharType="end"/>
        </w:r>
      </w:hyperlink>
    </w:p>
    <w:p w14:paraId="190B26BC" w14:textId="1D317AF3"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38" w:history="1">
        <w:r w:rsidRPr="00D61B2E">
          <w:rPr>
            <w:rStyle w:val="Hyperlink"/>
            <w:b/>
            <w:bCs/>
            <w:noProof/>
          </w:rPr>
          <w:t>Participant Genealogies of Self and Familial Ill Health and Familial Death</w:t>
        </w:r>
        <w:r>
          <w:rPr>
            <w:noProof/>
            <w:webHidden/>
          </w:rPr>
          <w:tab/>
        </w:r>
        <w:r>
          <w:rPr>
            <w:noProof/>
            <w:webHidden/>
          </w:rPr>
          <w:fldChar w:fldCharType="begin"/>
        </w:r>
        <w:r>
          <w:rPr>
            <w:noProof/>
            <w:webHidden/>
          </w:rPr>
          <w:instrText xml:space="preserve"> PAGEREF _Toc118232338 \h </w:instrText>
        </w:r>
        <w:r>
          <w:rPr>
            <w:noProof/>
            <w:webHidden/>
          </w:rPr>
        </w:r>
        <w:r>
          <w:rPr>
            <w:noProof/>
            <w:webHidden/>
          </w:rPr>
          <w:fldChar w:fldCharType="separate"/>
        </w:r>
        <w:r w:rsidR="00567747">
          <w:rPr>
            <w:noProof/>
            <w:webHidden/>
          </w:rPr>
          <w:t>90</w:t>
        </w:r>
        <w:r>
          <w:rPr>
            <w:noProof/>
            <w:webHidden/>
          </w:rPr>
          <w:fldChar w:fldCharType="end"/>
        </w:r>
      </w:hyperlink>
    </w:p>
    <w:p w14:paraId="5BD9AC1F" w14:textId="42C3880C"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39" w:history="1">
        <w:r w:rsidRPr="00D61B2E">
          <w:rPr>
            <w:rStyle w:val="Hyperlink"/>
            <w:b/>
            <w:bCs/>
            <w:i/>
            <w:iCs/>
            <w:noProof/>
          </w:rPr>
          <w:t>Childhood Health</w:t>
        </w:r>
        <w:r>
          <w:rPr>
            <w:noProof/>
            <w:webHidden/>
          </w:rPr>
          <w:tab/>
        </w:r>
        <w:r>
          <w:rPr>
            <w:noProof/>
            <w:webHidden/>
          </w:rPr>
          <w:fldChar w:fldCharType="begin"/>
        </w:r>
        <w:r>
          <w:rPr>
            <w:noProof/>
            <w:webHidden/>
          </w:rPr>
          <w:instrText xml:space="preserve"> PAGEREF _Toc118232339 \h </w:instrText>
        </w:r>
        <w:r>
          <w:rPr>
            <w:noProof/>
            <w:webHidden/>
          </w:rPr>
        </w:r>
        <w:r>
          <w:rPr>
            <w:noProof/>
            <w:webHidden/>
          </w:rPr>
          <w:fldChar w:fldCharType="separate"/>
        </w:r>
        <w:r w:rsidR="00567747">
          <w:rPr>
            <w:noProof/>
            <w:webHidden/>
          </w:rPr>
          <w:t>91</w:t>
        </w:r>
        <w:r>
          <w:rPr>
            <w:noProof/>
            <w:webHidden/>
          </w:rPr>
          <w:fldChar w:fldCharType="end"/>
        </w:r>
      </w:hyperlink>
    </w:p>
    <w:p w14:paraId="48AD1972" w14:textId="5BD5E23D"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40" w:history="1">
        <w:r w:rsidRPr="00D61B2E">
          <w:rPr>
            <w:rStyle w:val="Hyperlink"/>
            <w:b/>
            <w:bCs/>
            <w:i/>
            <w:iCs/>
            <w:noProof/>
          </w:rPr>
          <w:t>Adulthood Health</w:t>
        </w:r>
        <w:r>
          <w:rPr>
            <w:noProof/>
            <w:webHidden/>
          </w:rPr>
          <w:tab/>
        </w:r>
        <w:r>
          <w:rPr>
            <w:noProof/>
            <w:webHidden/>
          </w:rPr>
          <w:fldChar w:fldCharType="begin"/>
        </w:r>
        <w:r>
          <w:rPr>
            <w:noProof/>
            <w:webHidden/>
          </w:rPr>
          <w:instrText xml:space="preserve"> PAGEREF _Toc118232340 \h </w:instrText>
        </w:r>
        <w:r>
          <w:rPr>
            <w:noProof/>
            <w:webHidden/>
          </w:rPr>
        </w:r>
        <w:r>
          <w:rPr>
            <w:noProof/>
            <w:webHidden/>
          </w:rPr>
          <w:fldChar w:fldCharType="separate"/>
        </w:r>
        <w:r w:rsidR="00567747">
          <w:rPr>
            <w:noProof/>
            <w:webHidden/>
          </w:rPr>
          <w:t>94</w:t>
        </w:r>
        <w:r>
          <w:rPr>
            <w:noProof/>
            <w:webHidden/>
          </w:rPr>
          <w:fldChar w:fldCharType="end"/>
        </w:r>
      </w:hyperlink>
    </w:p>
    <w:p w14:paraId="33B611BE" w14:textId="5AA57A35"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41" w:history="1">
        <w:r w:rsidRPr="00D61B2E">
          <w:rPr>
            <w:rStyle w:val="Hyperlink"/>
            <w:b/>
            <w:bCs/>
            <w:i/>
            <w:iCs/>
            <w:noProof/>
          </w:rPr>
          <w:t>Familial Health, Illness and Death</w:t>
        </w:r>
        <w:r>
          <w:rPr>
            <w:noProof/>
            <w:webHidden/>
          </w:rPr>
          <w:tab/>
        </w:r>
        <w:r>
          <w:rPr>
            <w:noProof/>
            <w:webHidden/>
          </w:rPr>
          <w:fldChar w:fldCharType="begin"/>
        </w:r>
        <w:r>
          <w:rPr>
            <w:noProof/>
            <w:webHidden/>
          </w:rPr>
          <w:instrText xml:space="preserve"> PAGEREF _Toc118232341 \h </w:instrText>
        </w:r>
        <w:r>
          <w:rPr>
            <w:noProof/>
            <w:webHidden/>
          </w:rPr>
        </w:r>
        <w:r>
          <w:rPr>
            <w:noProof/>
            <w:webHidden/>
          </w:rPr>
          <w:fldChar w:fldCharType="separate"/>
        </w:r>
        <w:r w:rsidR="00567747">
          <w:rPr>
            <w:noProof/>
            <w:webHidden/>
          </w:rPr>
          <w:t>95</w:t>
        </w:r>
        <w:r>
          <w:rPr>
            <w:noProof/>
            <w:webHidden/>
          </w:rPr>
          <w:fldChar w:fldCharType="end"/>
        </w:r>
      </w:hyperlink>
    </w:p>
    <w:p w14:paraId="6AD36C01" w14:textId="67FDAE03"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42" w:history="1">
        <w:r w:rsidRPr="00D61B2E">
          <w:rPr>
            <w:rStyle w:val="Hyperlink"/>
            <w:b/>
            <w:bCs/>
            <w:noProof/>
          </w:rPr>
          <w:t>Conclusion</w:t>
        </w:r>
        <w:r>
          <w:rPr>
            <w:noProof/>
            <w:webHidden/>
          </w:rPr>
          <w:tab/>
        </w:r>
        <w:r>
          <w:rPr>
            <w:noProof/>
            <w:webHidden/>
          </w:rPr>
          <w:fldChar w:fldCharType="begin"/>
        </w:r>
        <w:r>
          <w:rPr>
            <w:noProof/>
            <w:webHidden/>
          </w:rPr>
          <w:instrText xml:space="preserve"> PAGEREF _Toc118232342 \h </w:instrText>
        </w:r>
        <w:r>
          <w:rPr>
            <w:noProof/>
            <w:webHidden/>
          </w:rPr>
        </w:r>
        <w:r>
          <w:rPr>
            <w:noProof/>
            <w:webHidden/>
          </w:rPr>
          <w:fldChar w:fldCharType="separate"/>
        </w:r>
        <w:r w:rsidR="00567747">
          <w:rPr>
            <w:noProof/>
            <w:webHidden/>
          </w:rPr>
          <w:t>102</w:t>
        </w:r>
        <w:r>
          <w:rPr>
            <w:noProof/>
            <w:webHidden/>
          </w:rPr>
          <w:fldChar w:fldCharType="end"/>
        </w:r>
      </w:hyperlink>
    </w:p>
    <w:p w14:paraId="4BE3553A" w14:textId="2F5D17AB" w:rsidR="00CE737D" w:rsidRDefault="00CE737D">
      <w:pPr>
        <w:pStyle w:val="TOC1"/>
        <w:rPr>
          <w:rFonts w:asciiTheme="minorHAnsi" w:eastAsiaTheme="minorEastAsia" w:hAnsiTheme="minorHAnsi" w:cstheme="minorBidi"/>
          <w:noProof/>
          <w:sz w:val="22"/>
          <w:szCs w:val="22"/>
        </w:rPr>
      </w:pPr>
      <w:hyperlink w:anchor="_Toc118232343" w:history="1">
        <w:r w:rsidRPr="00D61B2E">
          <w:rPr>
            <w:rStyle w:val="Hyperlink"/>
            <w:b/>
            <w:bCs/>
            <w:noProof/>
          </w:rPr>
          <w:t>CHAPTER SIX</w:t>
        </w:r>
        <w:r>
          <w:rPr>
            <w:noProof/>
            <w:webHidden/>
          </w:rPr>
          <w:tab/>
        </w:r>
        <w:r>
          <w:rPr>
            <w:noProof/>
            <w:webHidden/>
          </w:rPr>
          <w:fldChar w:fldCharType="begin"/>
        </w:r>
        <w:r>
          <w:rPr>
            <w:noProof/>
            <w:webHidden/>
          </w:rPr>
          <w:instrText xml:space="preserve"> PAGEREF _Toc118232343 \h </w:instrText>
        </w:r>
        <w:r>
          <w:rPr>
            <w:noProof/>
            <w:webHidden/>
          </w:rPr>
        </w:r>
        <w:r>
          <w:rPr>
            <w:noProof/>
            <w:webHidden/>
          </w:rPr>
          <w:fldChar w:fldCharType="separate"/>
        </w:r>
        <w:r w:rsidR="00567747">
          <w:rPr>
            <w:noProof/>
            <w:webHidden/>
          </w:rPr>
          <w:t>105</w:t>
        </w:r>
        <w:r>
          <w:rPr>
            <w:noProof/>
            <w:webHidden/>
          </w:rPr>
          <w:fldChar w:fldCharType="end"/>
        </w:r>
      </w:hyperlink>
    </w:p>
    <w:p w14:paraId="6B497D71" w14:textId="41CC0C2F" w:rsidR="00CE737D" w:rsidRDefault="00CE737D">
      <w:pPr>
        <w:pStyle w:val="TOC1"/>
        <w:rPr>
          <w:rFonts w:asciiTheme="minorHAnsi" w:eastAsiaTheme="minorEastAsia" w:hAnsiTheme="minorHAnsi" w:cstheme="minorBidi"/>
          <w:noProof/>
          <w:sz w:val="22"/>
          <w:szCs w:val="22"/>
        </w:rPr>
      </w:pPr>
      <w:hyperlink w:anchor="_Toc118232344" w:history="1">
        <w:r w:rsidRPr="00D61B2E">
          <w:rPr>
            <w:rStyle w:val="Hyperlink"/>
            <w:b/>
            <w:bCs/>
            <w:noProof/>
          </w:rPr>
          <w:t>PARTICIPANT CONTEXT: FAMILIAL AND PEER INFLUENCES ON PARTICIPANT PERCEPTIONS OF SELF, HEALTH, ILLNESS, AND DEATH</w:t>
        </w:r>
        <w:r>
          <w:rPr>
            <w:noProof/>
            <w:webHidden/>
          </w:rPr>
          <w:tab/>
        </w:r>
        <w:r>
          <w:rPr>
            <w:noProof/>
            <w:webHidden/>
          </w:rPr>
          <w:fldChar w:fldCharType="begin"/>
        </w:r>
        <w:r>
          <w:rPr>
            <w:noProof/>
            <w:webHidden/>
          </w:rPr>
          <w:instrText xml:space="preserve"> PAGEREF _Toc118232344 \h </w:instrText>
        </w:r>
        <w:r>
          <w:rPr>
            <w:noProof/>
            <w:webHidden/>
          </w:rPr>
        </w:r>
        <w:r>
          <w:rPr>
            <w:noProof/>
            <w:webHidden/>
          </w:rPr>
          <w:fldChar w:fldCharType="separate"/>
        </w:r>
        <w:r w:rsidR="00567747">
          <w:rPr>
            <w:noProof/>
            <w:webHidden/>
          </w:rPr>
          <w:t>105</w:t>
        </w:r>
        <w:r>
          <w:rPr>
            <w:noProof/>
            <w:webHidden/>
          </w:rPr>
          <w:fldChar w:fldCharType="end"/>
        </w:r>
      </w:hyperlink>
    </w:p>
    <w:p w14:paraId="7D5E3D0D" w14:textId="29052F27"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45" w:history="1">
        <w:r w:rsidRPr="00D61B2E">
          <w:rPr>
            <w:rStyle w:val="Hyperlink"/>
            <w:b/>
            <w:bCs/>
            <w:noProof/>
          </w:rPr>
          <w:t>Self-Perception: Telling About Themselves</w:t>
        </w:r>
        <w:r>
          <w:rPr>
            <w:noProof/>
            <w:webHidden/>
          </w:rPr>
          <w:tab/>
        </w:r>
        <w:r>
          <w:rPr>
            <w:noProof/>
            <w:webHidden/>
          </w:rPr>
          <w:fldChar w:fldCharType="begin"/>
        </w:r>
        <w:r>
          <w:rPr>
            <w:noProof/>
            <w:webHidden/>
          </w:rPr>
          <w:instrText xml:space="preserve"> PAGEREF _Toc118232345 \h </w:instrText>
        </w:r>
        <w:r>
          <w:rPr>
            <w:noProof/>
            <w:webHidden/>
          </w:rPr>
        </w:r>
        <w:r>
          <w:rPr>
            <w:noProof/>
            <w:webHidden/>
          </w:rPr>
          <w:fldChar w:fldCharType="separate"/>
        </w:r>
        <w:r w:rsidR="00567747">
          <w:rPr>
            <w:noProof/>
            <w:webHidden/>
          </w:rPr>
          <w:t>105</w:t>
        </w:r>
        <w:r>
          <w:rPr>
            <w:noProof/>
            <w:webHidden/>
          </w:rPr>
          <w:fldChar w:fldCharType="end"/>
        </w:r>
      </w:hyperlink>
    </w:p>
    <w:p w14:paraId="2359163C" w14:textId="4FB29ECA"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46" w:history="1">
        <w:r w:rsidRPr="00D61B2E">
          <w:rPr>
            <w:rStyle w:val="Hyperlink"/>
            <w:b/>
            <w:bCs/>
            <w:noProof/>
          </w:rPr>
          <w:t>Childhood Peer and Familial Perceptions of Health, Illness, and Death</w:t>
        </w:r>
        <w:r>
          <w:rPr>
            <w:noProof/>
            <w:webHidden/>
          </w:rPr>
          <w:tab/>
        </w:r>
        <w:r>
          <w:rPr>
            <w:noProof/>
            <w:webHidden/>
          </w:rPr>
          <w:fldChar w:fldCharType="begin"/>
        </w:r>
        <w:r>
          <w:rPr>
            <w:noProof/>
            <w:webHidden/>
          </w:rPr>
          <w:instrText xml:space="preserve"> PAGEREF _Toc118232346 \h </w:instrText>
        </w:r>
        <w:r>
          <w:rPr>
            <w:noProof/>
            <w:webHidden/>
          </w:rPr>
        </w:r>
        <w:r>
          <w:rPr>
            <w:noProof/>
            <w:webHidden/>
          </w:rPr>
          <w:fldChar w:fldCharType="separate"/>
        </w:r>
        <w:r w:rsidR="00567747">
          <w:rPr>
            <w:noProof/>
            <w:webHidden/>
          </w:rPr>
          <w:t>109</w:t>
        </w:r>
        <w:r>
          <w:rPr>
            <w:noProof/>
            <w:webHidden/>
          </w:rPr>
          <w:fldChar w:fldCharType="end"/>
        </w:r>
      </w:hyperlink>
    </w:p>
    <w:p w14:paraId="2BB6AEAD" w14:textId="32ED5C83"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47" w:history="1">
        <w:r w:rsidRPr="00D61B2E">
          <w:rPr>
            <w:rStyle w:val="Hyperlink"/>
            <w:b/>
            <w:bCs/>
            <w:noProof/>
          </w:rPr>
          <w:t>Participant Perceptions of the Causes of Childhood Self-Health and of Family Members’ Health, Illness, and Deaths</w:t>
        </w:r>
        <w:r>
          <w:rPr>
            <w:noProof/>
            <w:webHidden/>
          </w:rPr>
          <w:tab/>
        </w:r>
        <w:r>
          <w:rPr>
            <w:noProof/>
            <w:webHidden/>
          </w:rPr>
          <w:fldChar w:fldCharType="begin"/>
        </w:r>
        <w:r>
          <w:rPr>
            <w:noProof/>
            <w:webHidden/>
          </w:rPr>
          <w:instrText xml:space="preserve"> PAGEREF _Toc118232347 \h </w:instrText>
        </w:r>
        <w:r>
          <w:rPr>
            <w:noProof/>
            <w:webHidden/>
          </w:rPr>
        </w:r>
        <w:r>
          <w:rPr>
            <w:noProof/>
            <w:webHidden/>
          </w:rPr>
          <w:fldChar w:fldCharType="separate"/>
        </w:r>
        <w:r w:rsidR="00567747">
          <w:rPr>
            <w:noProof/>
            <w:webHidden/>
          </w:rPr>
          <w:t>116</w:t>
        </w:r>
        <w:r>
          <w:rPr>
            <w:noProof/>
            <w:webHidden/>
          </w:rPr>
          <w:fldChar w:fldCharType="end"/>
        </w:r>
      </w:hyperlink>
    </w:p>
    <w:p w14:paraId="1A57E324" w14:textId="22E8B5FE"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48" w:history="1">
        <w:r w:rsidRPr="00D61B2E">
          <w:rPr>
            <w:rStyle w:val="Hyperlink"/>
            <w:b/>
            <w:bCs/>
            <w:noProof/>
          </w:rPr>
          <w:t>Conclusion</w:t>
        </w:r>
        <w:r>
          <w:rPr>
            <w:noProof/>
            <w:webHidden/>
          </w:rPr>
          <w:tab/>
        </w:r>
        <w:r>
          <w:rPr>
            <w:noProof/>
            <w:webHidden/>
          </w:rPr>
          <w:fldChar w:fldCharType="begin"/>
        </w:r>
        <w:r>
          <w:rPr>
            <w:noProof/>
            <w:webHidden/>
          </w:rPr>
          <w:instrText xml:space="preserve"> PAGEREF _Toc118232348 \h </w:instrText>
        </w:r>
        <w:r>
          <w:rPr>
            <w:noProof/>
            <w:webHidden/>
          </w:rPr>
        </w:r>
        <w:r>
          <w:rPr>
            <w:noProof/>
            <w:webHidden/>
          </w:rPr>
          <w:fldChar w:fldCharType="separate"/>
        </w:r>
        <w:r w:rsidR="00567747">
          <w:rPr>
            <w:noProof/>
            <w:webHidden/>
          </w:rPr>
          <w:t>124</w:t>
        </w:r>
        <w:r>
          <w:rPr>
            <w:noProof/>
            <w:webHidden/>
          </w:rPr>
          <w:fldChar w:fldCharType="end"/>
        </w:r>
      </w:hyperlink>
    </w:p>
    <w:p w14:paraId="38B189B6" w14:textId="490892B8" w:rsidR="00CE737D" w:rsidRDefault="00CE737D">
      <w:pPr>
        <w:pStyle w:val="TOC1"/>
        <w:rPr>
          <w:rFonts w:asciiTheme="minorHAnsi" w:eastAsiaTheme="minorEastAsia" w:hAnsiTheme="minorHAnsi" w:cstheme="minorBidi"/>
          <w:noProof/>
          <w:sz w:val="22"/>
          <w:szCs w:val="22"/>
        </w:rPr>
      </w:pPr>
      <w:hyperlink w:anchor="_Toc118232349" w:history="1">
        <w:r w:rsidRPr="00D61B2E">
          <w:rPr>
            <w:rStyle w:val="Hyperlink"/>
            <w:b/>
            <w:bCs/>
            <w:noProof/>
          </w:rPr>
          <w:t>CHAPTER SEVEN</w:t>
        </w:r>
        <w:r>
          <w:rPr>
            <w:noProof/>
            <w:webHidden/>
          </w:rPr>
          <w:tab/>
        </w:r>
        <w:r>
          <w:rPr>
            <w:noProof/>
            <w:webHidden/>
          </w:rPr>
          <w:fldChar w:fldCharType="begin"/>
        </w:r>
        <w:r>
          <w:rPr>
            <w:noProof/>
            <w:webHidden/>
          </w:rPr>
          <w:instrText xml:space="preserve"> PAGEREF _Toc118232349 \h </w:instrText>
        </w:r>
        <w:r>
          <w:rPr>
            <w:noProof/>
            <w:webHidden/>
          </w:rPr>
        </w:r>
        <w:r>
          <w:rPr>
            <w:noProof/>
            <w:webHidden/>
          </w:rPr>
          <w:fldChar w:fldCharType="separate"/>
        </w:r>
        <w:r w:rsidR="00567747">
          <w:rPr>
            <w:noProof/>
            <w:webHidden/>
          </w:rPr>
          <w:t>126</w:t>
        </w:r>
        <w:r>
          <w:rPr>
            <w:noProof/>
            <w:webHidden/>
          </w:rPr>
          <w:fldChar w:fldCharType="end"/>
        </w:r>
      </w:hyperlink>
    </w:p>
    <w:p w14:paraId="0DFCD659" w14:textId="1517AA15" w:rsidR="00CE737D" w:rsidRDefault="00CE737D">
      <w:pPr>
        <w:pStyle w:val="TOC1"/>
        <w:rPr>
          <w:rFonts w:asciiTheme="minorHAnsi" w:eastAsiaTheme="minorEastAsia" w:hAnsiTheme="minorHAnsi" w:cstheme="minorBidi"/>
          <w:noProof/>
          <w:sz w:val="22"/>
          <w:szCs w:val="22"/>
        </w:rPr>
      </w:pPr>
      <w:hyperlink w:anchor="_Toc118232350" w:history="1">
        <w:r w:rsidRPr="00D61B2E">
          <w:rPr>
            <w:rStyle w:val="Hyperlink"/>
            <w:rFonts w:eastAsia="Arial"/>
            <w:b/>
            <w:bCs/>
            <w:noProof/>
          </w:rPr>
          <w:t>PARTICIPANT CONTEXT: INSIGHTS INTO AND EXCEPTIONS OF UNDERSTANDING OF HEALTH INEQUITIES AND THE SOCIAL DETERMINANTS OF HEALTH</w:t>
        </w:r>
        <w:r>
          <w:rPr>
            <w:noProof/>
            <w:webHidden/>
          </w:rPr>
          <w:tab/>
        </w:r>
        <w:r>
          <w:rPr>
            <w:noProof/>
            <w:webHidden/>
          </w:rPr>
          <w:fldChar w:fldCharType="begin"/>
        </w:r>
        <w:r>
          <w:rPr>
            <w:noProof/>
            <w:webHidden/>
          </w:rPr>
          <w:instrText xml:space="preserve"> PAGEREF _Toc118232350 \h </w:instrText>
        </w:r>
        <w:r>
          <w:rPr>
            <w:noProof/>
            <w:webHidden/>
          </w:rPr>
        </w:r>
        <w:r>
          <w:rPr>
            <w:noProof/>
            <w:webHidden/>
          </w:rPr>
          <w:fldChar w:fldCharType="separate"/>
        </w:r>
        <w:r w:rsidR="00567747">
          <w:rPr>
            <w:noProof/>
            <w:webHidden/>
          </w:rPr>
          <w:t>126</w:t>
        </w:r>
        <w:r>
          <w:rPr>
            <w:noProof/>
            <w:webHidden/>
          </w:rPr>
          <w:fldChar w:fldCharType="end"/>
        </w:r>
      </w:hyperlink>
    </w:p>
    <w:p w14:paraId="37B7D5E5" w14:textId="28B1C5E3"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51" w:history="1">
        <w:r w:rsidRPr="00D61B2E">
          <w:rPr>
            <w:rStyle w:val="Hyperlink"/>
            <w:rFonts w:eastAsia="Arial"/>
            <w:b/>
            <w:bCs/>
            <w:noProof/>
          </w:rPr>
          <w:t>Health Definitions</w:t>
        </w:r>
        <w:r>
          <w:rPr>
            <w:noProof/>
            <w:webHidden/>
          </w:rPr>
          <w:tab/>
        </w:r>
        <w:r>
          <w:rPr>
            <w:noProof/>
            <w:webHidden/>
          </w:rPr>
          <w:fldChar w:fldCharType="begin"/>
        </w:r>
        <w:r>
          <w:rPr>
            <w:noProof/>
            <w:webHidden/>
          </w:rPr>
          <w:instrText xml:space="preserve"> PAGEREF _Toc118232351 \h </w:instrText>
        </w:r>
        <w:r>
          <w:rPr>
            <w:noProof/>
            <w:webHidden/>
          </w:rPr>
        </w:r>
        <w:r>
          <w:rPr>
            <w:noProof/>
            <w:webHidden/>
          </w:rPr>
          <w:fldChar w:fldCharType="separate"/>
        </w:r>
        <w:r w:rsidR="00567747">
          <w:rPr>
            <w:noProof/>
            <w:webHidden/>
          </w:rPr>
          <w:t>126</w:t>
        </w:r>
        <w:r>
          <w:rPr>
            <w:noProof/>
            <w:webHidden/>
          </w:rPr>
          <w:fldChar w:fldCharType="end"/>
        </w:r>
      </w:hyperlink>
    </w:p>
    <w:p w14:paraId="2295898F" w14:textId="1A465579"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52" w:history="1">
        <w:r w:rsidRPr="00D61B2E">
          <w:rPr>
            <w:rStyle w:val="Hyperlink"/>
            <w:b/>
            <w:bCs/>
            <w:i/>
            <w:iCs/>
            <w:noProof/>
          </w:rPr>
          <w:t>Health Inequities / Inequalities / Disparities</w:t>
        </w:r>
        <w:r>
          <w:rPr>
            <w:noProof/>
            <w:webHidden/>
          </w:rPr>
          <w:tab/>
        </w:r>
        <w:r>
          <w:rPr>
            <w:noProof/>
            <w:webHidden/>
          </w:rPr>
          <w:fldChar w:fldCharType="begin"/>
        </w:r>
        <w:r>
          <w:rPr>
            <w:noProof/>
            <w:webHidden/>
          </w:rPr>
          <w:instrText xml:space="preserve"> PAGEREF _Toc118232352 \h </w:instrText>
        </w:r>
        <w:r>
          <w:rPr>
            <w:noProof/>
            <w:webHidden/>
          </w:rPr>
        </w:r>
        <w:r>
          <w:rPr>
            <w:noProof/>
            <w:webHidden/>
          </w:rPr>
          <w:fldChar w:fldCharType="separate"/>
        </w:r>
        <w:r w:rsidR="00567747">
          <w:rPr>
            <w:noProof/>
            <w:webHidden/>
          </w:rPr>
          <w:t>128</w:t>
        </w:r>
        <w:r>
          <w:rPr>
            <w:noProof/>
            <w:webHidden/>
          </w:rPr>
          <w:fldChar w:fldCharType="end"/>
        </w:r>
      </w:hyperlink>
    </w:p>
    <w:p w14:paraId="5DCB04D8" w14:textId="01A0B53C"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53" w:history="1">
        <w:r w:rsidRPr="00D61B2E">
          <w:rPr>
            <w:rStyle w:val="Hyperlink"/>
            <w:b/>
            <w:bCs/>
            <w:i/>
            <w:iCs/>
            <w:noProof/>
          </w:rPr>
          <w:t>Healthy Life Expectancy</w:t>
        </w:r>
        <w:r>
          <w:rPr>
            <w:noProof/>
            <w:webHidden/>
          </w:rPr>
          <w:tab/>
        </w:r>
        <w:r>
          <w:rPr>
            <w:noProof/>
            <w:webHidden/>
          </w:rPr>
          <w:fldChar w:fldCharType="begin"/>
        </w:r>
        <w:r>
          <w:rPr>
            <w:noProof/>
            <w:webHidden/>
          </w:rPr>
          <w:instrText xml:space="preserve"> PAGEREF _Toc118232353 \h </w:instrText>
        </w:r>
        <w:r>
          <w:rPr>
            <w:noProof/>
            <w:webHidden/>
          </w:rPr>
        </w:r>
        <w:r>
          <w:rPr>
            <w:noProof/>
            <w:webHidden/>
          </w:rPr>
          <w:fldChar w:fldCharType="separate"/>
        </w:r>
        <w:r w:rsidR="00567747">
          <w:rPr>
            <w:noProof/>
            <w:webHidden/>
          </w:rPr>
          <w:t>135</w:t>
        </w:r>
        <w:r>
          <w:rPr>
            <w:noProof/>
            <w:webHidden/>
          </w:rPr>
          <w:fldChar w:fldCharType="end"/>
        </w:r>
      </w:hyperlink>
    </w:p>
    <w:p w14:paraId="5085C0C3" w14:textId="202DAEB4"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54" w:history="1">
        <w:r w:rsidRPr="00D61B2E">
          <w:rPr>
            <w:rStyle w:val="Hyperlink"/>
            <w:b/>
            <w:bCs/>
            <w:i/>
            <w:iCs/>
            <w:noProof/>
          </w:rPr>
          <w:t>Mortality</w:t>
        </w:r>
        <w:r>
          <w:rPr>
            <w:noProof/>
            <w:webHidden/>
          </w:rPr>
          <w:tab/>
        </w:r>
        <w:r>
          <w:rPr>
            <w:noProof/>
            <w:webHidden/>
          </w:rPr>
          <w:fldChar w:fldCharType="begin"/>
        </w:r>
        <w:r>
          <w:rPr>
            <w:noProof/>
            <w:webHidden/>
          </w:rPr>
          <w:instrText xml:space="preserve"> PAGEREF _Toc118232354 \h </w:instrText>
        </w:r>
        <w:r>
          <w:rPr>
            <w:noProof/>
            <w:webHidden/>
          </w:rPr>
        </w:r>
        <w:r>
          <w:rPr>
            <w:noProof/>
            <w:webHidden/>
          </w:rPr>
          <w:fldChar w:fldCharType="separate"/>
        </w:r>
        <w:r w:rsidR="00567747">
          <w:rPr>
            <w:noProof/>
            <w:webHidden/>
          </w:rPr>
          <w:t>137</w:t>
        </w:r>
        <w:r>
          <w:rPr>
            <w:noProof/>
            <w:webHidden/>
          </w:rPr>
          <w:fldChar w:fldCharType="end"/>
        </w:r>
      </w:hyperlink>
    </w:p>
    <w:p w14:paraId="3640E111" w14:textId="2CC21141"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55" w:history="1">
        <w:r w:rsidRPr="00D61B2E">
          <w:rPr>
            <w:rStyle w:val="Hyperlink"/>
            <w:b/>
            <w:bCs/>
            <w:i/>
            <w:iCs/>
            <w:noProof/>
          </w:rPr>
          <w:t>Good Health</w:t>
        </w:r>
        <w:r>
          <w:rPr>
            <w:noProof/>
            <w:webHidden/>
          </w:rPr>
          <w:tab/>
        </w:r>
        <w:r>
          <w:rPr>
            <w:noProof/>
            <w:webHidden/>
          </w:rPr>
          <w:fldChar w:fldCharType="begin"/>
        </w:r>
        <w:r>
          <w:rPr>
            <w:noProof/>
            <w:webHidden/>
          </w:rPr>
          <w:instrText xml:space="preserve"> PAGEREF _Toc118232355 \h </w:instrText>
        </w:r>
        <w:r>
          <w:rPr>
            <w:noProof/>
            <w:webHidden/>
          </w:rPr>
        </w:r>
        <w:r>
          <w:rPr>
            <w:noProof/>
            <w:webHidden/>
          </w:rPr>
          <w:fldChar w:fldCharType="separate"/>
        </w:r>
        <w:r w:rsidR="00567747">
          <w:rPr>
            <w:noProof/>
            <w:webHidden/>
          </w:rPr>
          <w:t>140</w:t>
        </w:r>
        <w:r>
          <w:rPr>
            <w:noProof/>
            <w:webHidden/>
          </w:rPr>
          <w:fldChar w:fldCharType="end"/>
        </w:r>
      </w:hyperlink>
    </w:p>
    <w:p w14:paraId="7207160D" w14:textId="6682998E"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56" w:history="1">
        <w:r w:rsidRPr="00D61B2E">
          <w:rPr>
            <w:rStyle w:val="Hyperlink"/>
            <w:b/>
            <w:bCs/>
            <w:i/>
            <w:iCs/>
            <w:noProof/>
          </w:rPr>
          <w:t>Poor Health</w:t>
        </w:r>
        <w:r>
          <w:rPr>
            <w:noProof/>
            <w:webHidden/>
          </w:rPr>
          <w:tab/>
        </w:r>
        <w:r>
          <w:rPr>
            <w:noProof/>
            <w:webHidden/>
          </w:rPr>
          <w:fldChar w:fldCharType="begin"/>
        </w:r>
        <w:r>
          <w:rPr>
            <w:noProof/>
            <w:webHidden/>
          </w:rPr>
          <w:instrText xml:space="preserve"> PAGEREF _Toc118232356 \h </w:instrText>
        </w:r>
        <w:r>
          <w:rPr>
            <w:noProof/>
            <w:webHidden/>
          </w:rPr>
        </w:r>
        <w:r>
          <w:rPr>
            <w:noProof/>
            <w:webHidden/>
          </w:rPr>
          <w:fldChar w:fldCharType="separate"/>
        </w:r>
        <w:r w:rsidR="00567747">
          <w:rPr>
            <w:noProof/>
            <w:webHidden/>
          </w:rPr>
          <w:t>143</w:t>
        </w:r>
        <w:r>
          <w:rPr>
            <w:noProof/>
            <w:webHidden/>
          </w:rPr>
          <w:fldChar w:fldCharType="end"/>
        </w:r>
      </w:hyperlink>
    </w:p>
    <w:p w14:paraId="14E5D880" w14:textId="1B4D7718"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57" w:history="1">
        <w:r w:rsidRPr="00D61B2E">
          <w:rPr>
            <w:rStyle w:val="Hyperlink"/>
            <w:b/>
            <w:bCs/>
            <w:i/>
            <w:iCs/>
            <w:noProof/>
          </w:rPr>
          <w:t>Wellbeing</w:t>
        </w:r>
        <w:r>
          <w:rPr>
            <w:noProof/>
            <w:webHidden/>
          </w:rPr>
          <w:tab/>
        </w:r>
        <w:r>
          <w:rPr>
            <w:noProof/>
            <w:webHidden/>
          </w:rPr>
          <w:fldChar w:fldCharType="begin"/>
        </w:r>
        <w:r>
          <w:rPr>
            <w:noProof/>
            <w:webHidden/>
          </w:rPr>
          <w:instrText xml:space="preserve"> PAGEREF _Toc118232357 \h </w:instrText>
        </w:r>
        <w:r>
          <w:rPr>
            <w:noProof/>
            <w:webHidden/>
          </w:rPr>
        </w:r>
        <w:r>
          <w:rPr>
            <w:noProof/>
            <w:webHidden/>
          </w:rPr>
          <w:fldChar w:fldCharType="separate"/>
        </w:r>
        <w:r w:rsidR="00567747">
          <w:rPr>
            <w:noProof/>
            <w:webHidden/>
          </w:rPr>
          <w:t>146</w:t>
        </w:r>
        <w:r>
          <w:rPr>
            <w:noProof/>
            <w:webHidden/>
          </w:rPr>
          <w:fldChar w:fldCharType="end"/>
        </w:r>
      </w:hyperlink>
    </w:p>
    <w:p w14:paraId="50AF7001" w14:textId="46934837"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58" w:history="1">
        <w:r w:rsidRPr="00D61B2E">
          <w:rPr>
            <w:rStyle w:val="Hyperlink"/>
            <w:b/>
            <w:noProof/>
          </w:rPr>
          <w:t>Conclusion</w:t>
        </w:r>
        <w:r>
          <w:rPr>
            <w:noProof/>
            <w:webHidden/>
          </w:rPr>
          <w:tab/>
        </w:r>
        <w:r>
          <w:rPr>
            <w:noProof/>
            <w:webHidden/>
          </w:rPr>
          <w:fldChar w:fldCharType="begin"/>
        </w:r>
        <w:r>
          <w:rPr>
            <w:noProof/>
            <w:webHidden/>
          </w:rPr>
          <w:instrText xml:space="preserve"> PAGEREF _Toc118232358 \h </w:instrText>
        </w:r>
        <w:r>
          <w:rPr>
            <w:noProof/>
            <w:webHidden/>
          </w:rPr>
        </w:r>
        <w:r>
          <w:rPr>
            <w:noProof/>
            <w:webHidden/>
          </w:rPr>
          <w:fldChar w:fldCharType="separate"/>
        </w:r>
        <w:r w:rsidR="00567747">
          <w:rPr>
            <w:noProof/>
            <w:webHidden/>
          </w:rPr>
          <w:t>149</w:t>
        </w:r>
        <w:r>
          <w:rPr>
            <w:noProof/>
            <w:webHidden/>
          </w:rPr>
          <w:fldChar w:fldCharType="end"/>
        </w:r>
      </w:hyperlink>
    </w:p>
    <w:p w14:paraId="7568B778" w14:textId="6E480CC6" w:rsidR="00CE737D" w:rsidRDefault="00CE737D">
      <w:pPr>
        <w:pStyle w:val="TOC1"/>
        <w:rPr>
          <w:rFonts w:asciiTheme="minorHAnsi" w:eastAsiaTheme="minorEastAsia" w:hAnsiTheme="minorHAnsi" w:cstheme="minorBidi"/>
          <w:noProof/>
          <w:sz w:val="22"/>
          <w:szCs w:val="22"/>
        </w:rPr>
      </w:pPr>
      <w:hyperlink w:anchor="_Toc118232359" w:history="1">
        <w:r w:rsidRPr="00D61B2E">
          <w:rPr>
            <w:rStyle w:val="Hyperlink"/>
            <w:rFonts w:eastAsia="Arial"/>
            <w:b/>
            <w:bCs/>
            <w:noProof/>
          </w:rPr>
          <w:t>CHAPTER EIGHT</w:t>
        </w:r>
        <w:r>
          <w:rPr>
            <w:noProof/>
            <w:webHidden/>
          </w:rPr>
          <w:tab/>
        </w:r>
        <w:r>
          <w:rPr>
            <w:noProof/>
            <w:webHidden/>
          </w:rPr>
          <w:fldChar w:fldCharType="begin"/>
        </w:r>
        <w:r>
          <w:rPr>
            <w:noProof/>
            <w:webHidden/>
          </w:rPr>
          <w:instrText xml:space="preserve"> PAGEREF _Toc118232359 \h </w:instrText>
        </w:r>
        <w:r>
          <w:rPr>
            <w:noProof/>
            <w:webHidden/>
          </w:rPr>
        </w:r>
        <w:r>
          <w:rPr>
            <w:noProof/>
            <w:webHidden/>
          </w:rPr>
          <w:fldChar w:fldCharType="separate"/>
        </w:r>
        <w:r w:rsidR="00567747">
          <w:rPr>
            <w:noProof/>
            <w:webHidden/>
          </w:rPr>
          <w:t>151</w:t>
        </w:r>
        <w:r>
          <w:rPr>
            <w:noProof/>
            <w:webHidden/>
          </w:rPr>
          <w:fldChar w:fldCharType="end"/>
        </w:r>
      </w:hyperlink>
    </w:p>
    <w:p w14:paraId="4D536004" w14:textId="072978E6" w:rsidR="00CE737D" w:rsidRDefault="00CE737D">
      <w:pPr>
        <w:pStyle w:val="TOC1"/>
        <w:rPr>
          <w:rFonts w:asciiTheme="minorHAnsi" w:eastAsiaTheme="minorEastAsia" w:hAnsiTheme="minorHAnsi" w:cstheme="minorBidi"/>
          <w:noProof/>
          <w:sz w:val="22"/>
          <w:szCs w:val="22"/>
        </w:rPr>
      </w:pPr>
      <w:hyperlink w:anchor="_Toc118232360" w:history="1">
        <w:r w:rsidRPr="00D61B2E">
          <w:rPr>
            <w:rStyle w:val="Hyperlink"/>
            <w:b/>
            <w:bCs/>
            <w:noProof/>
          </w:rPr>
          <w:t>FINDINGS AND ANALYSIS</w:t>
        </w:r>
        <w:r>
          <w:rPr>
            <w:noProof/>
            <w:webHidden/>
          </w:rPr>
          <w:tab/>
        </w:r>
        <w:r>
          <w:rPr>
            <w:noProof/>
            <w:webHidden/>
          </w:rPr>
          <w:fldChar w:fldCharType="begin"/>
        </w:r>
        <w:r>
          <w:rPr>
            <w:noProof/>
            <w:webHidden/>
          </w:rPr>
          <w:instrText xml:space="preserve"> PAGEREF _Toc118232360 \h </w:instrText>
        </w:r>
        <w:r>
          <w:rPr>
            <w:noProof/>
            <w:webHidden/>
          </w:rPr>
        </w:r>
        <w:r>
          <w:rPr>
            <w:noProof/>
            <w:webHidden/>
          </w:rPr>
          <w:fldChar w:fldCharType="separate"/>
        </w:r>
        <w:r w:rsidR="00567747">
          <w:rPr>
            <w:noProof/>
            <w:webHidden/>
          </w:rPr>
          <w:t>151</w:t>
        </w:r>
        <w:r>
          <w:rPr>
            <w:noProof/>
            <w:webHidden/>
          </w:rPr>
          <w:fldChar w:fldCharType="end"/>
        </w:r>
      </w:hyperlink>
    </w:p>
    <w:p w14:paraId="1297692D" w14:textId="43016153"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61" w:history="1">
        <w:r w:rsidRPr="00D61B2E">
          <w:rPr>
            <w:rStyle w:val="Hyperlink"/>
            <w:rFonts w:eastAsia="Arial"/>
            <w:b/>
            <w:bCs/>
            <w:noProof/>
          </w:rPr>
          <w:t>Systemic Discrimination and Inequitable Treatment</w:t>
        </w:r>
        <w:r>
          <w:rPr>
            <w:noProof/>
            <w:webHidden/>
          </w:rPr>
          <w:tab/>
        </w:r>
        <w:r>
          <w:rPr>
            <w:noProof/>
            <w:webHidden/>
          </w:rPr>
          <w:fldChar w:fldCharType="begin"/>
        </w:r>
        <w:r>
          <w:rPr>
            <w:noProof/>
            <w:webHidden/>
          </w:rPr>
          <w:instrText xml:space="preserve"> PAGEREF _Toc118232361 \h </w:instrText>
        </w:r>
        <w:r>
          <w:rPr>
            <w:noProof/>
            <w:webHidden/>
          </w:rPr>
        </w:r>
        <w:r>
          <w:rPr>
            <w:noProof/>
            <w:webHidden/>
          </w:rPr>
          <w:fldChar w:fldCharType="separate"/>
        </w:r>
        <w:r w:rsidR="00567747">
          <w:rPr>
            <w:noProof/>
            <w:webHidden/>
          </w:rPr>
          <w:t>152</w:t>
        </w:r>
        <w:r>
          <w:rPr>
            <w:noProof/>
            <w:webHidden/>
          </w:rPr>
          <w:fldChar w:fldCharType="end"/>
        </w:r>
      </w:hyperlink>
    </w:p>
    <w:p w14:paraId="55AA9027" w14:textId="34F5E3EB"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62" w:history="1">
        <w:r w:rsidRPr="00D61B2E">
          <w:rPr>
            <w:rStyle w:val="Hyperlink"/>
            <w:rFonts w:eastAsia="Arial"/>
            <w:b/>
            <w:bCs/>
            <w:noProof/>
          </w:rPr>
          <w:t>Healthcare access</w:t>
        </w:r>
        <w:r>
          <w:rPr>
            <w:noProof/>
            <w:webHidden/>
          </w:rPr>
          <w:tab/>
        </w:r>
        <w:r>
          <w:rPr>
            <w:noProof/>
            <w:webHidden/>
          </w:rPr>
          <w:fldChar w:fldCharType="begin"/>
        </w:r>
        <w:r>
          <w:rPr>
            <w:noProof/>
            <w:webHidden/>
          </w:rPr>
          <w:instrText xml:space="preserve"> PAGEREF _Toc118232362 \h </w:instrText>
        </w:r>
        <w:r>
          <w:rPr>
            <w:noProof/>
            <w:webHidden/>
          </w:rPr>
        </w:r>
        <w:r>
          <w:rPr>
            <w:noProof/>
            <w:webHidden/>
          </w:rPr>
          <w:fldChar w:fldCharType="separate"/>
        </w:r>
        <w:r w:rsidR="00567747">
          <w:rPr>
            <w:noProof/>
            <w:webHidden/>
          </w:rPr>
          <w:t>155</w:t>
        </w:r>
        <w:r>
          <w:rPr>
            <w:noProof/>
            <w:webHidden/>
          </w:rPr>
          <w:fldChar w:fldCharType="end"/>
        </w:r>
      </w:hyperlink>
    </w:p>
    <w:p w14:paraId="0B6919D6" w14:textId="18B4716C"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63" w:history="1">
        <w:r w:rsidRPr="00D61B2E">
          <w:rPr>
            <w:rStyle w:val="Hyperlink"/>
            <w:rFonts w:eastAsia="Arial"/>
            <w:b/>
            <w:bCs/>
            <w:noProof/>
          </w:rPr>
          <w:t>Health Literacy</w:t>
        </w:r>
        <w:r>
          <w:rPr>
            <w:noProof/>
            <w:webHidden/>
          </w:rPr>
          <w:tab/>
        </w:r>
        <w:r>
          <w:rPr>
            <w:noProof/>
            <w:webHidden/>
          </w:rPr>
          <w:fldChar w:fldCharType="begin"/>
        </w:r>
        <w:r>
          <w:rPr>
            <w:noProof/>
            <w:webHidden/>
          </w:rPr>
          <w:instrText xml:space="preserve"> PAGEREF _Toc118232363 \h </w:instrText>
        </w:r>
        <w:r>
          <w:rPr>
            <w:noProof/>
            <w:webHidden/>
          </w:rPr>
        </w:r>
        <w:r>
          <w:rPr>
            <w:noProof/>
            <w:webHidden/>
          </w:rPr>
          <w:fldChar w:fldCharType="separate"/>
        </w:r>
        <w:r w:rsidR="00567747">
          <w:rPr>
            <w:noProof/>
            <w:webHidden/>
          </w:rPr>
          <w:t>158</w:t>
        </w:r>
        <w:r>
          <w:rPr>
            <w:noProof/>
            <w:webHidden/>
          </w:rPr>
          <w:fldChar w:fldCharType="end"/>
        </w:r>
      </w:hyperlink>
    </w:p>
    <w:p w14:paraId="5A10EF46" w14:textId="2AD8C474"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64" w:history="1">
        <w:r w:rsidRPr="00D61B2E">
          <w:rPr>
            <w:rStyle w:val="Hyperlink"/>
            <w:rFonts w:eastAsia="Arial"/>
            <w:b/>
            <w:bCs/>
            <w:noProof/>
          </w:rPr>
          <w:t>Gender Bias in Clinical Care and Health Research Tailored to (Older) Women</w:t>
        </w:r>
        <w:r>
          <w:rPr>
            <w:noProof/>
            <w:webHidden/>
          </w:rPr>
          <w:tab/>
        </w:r>
        <w:r>
          <w:rPr>
            <w:noProof/>
            <w:webHidden/>
          </w:rPr>
          <w:fldChar w:fldCharType="begin"/>
        </w:r>
        <w:r>
          <w:rPr>
            <w:noProof/>
            <w:webHidden/>
          </w:rPr>
          <w:instrText xml:space="preserve"> PAGEREF _Toc118232364 \h </w:instrText>
        </w:r>
        <w:r>
          <w:rPr>
            <w:noProof/>
            <w:webHidden/>
          </w:rPr>
        </w:r>
        <w:r>
          <w:rPr>
            <w:noProof/>
            <w:webHidden/>
          </w:rPr>
          <w:fldChar w:fldCharType="separate"/>
        </w:r>
        <w:r w:rsidR="00567747">
          <w:rPr>
            <w:noProof/>
            <w:webHidden/>
          </w:rPr>
          <w:t>160</w:t>
        </w:r>
        <w:r>
          <w:rPr>
            <w:noProof/>
            <w:webHidden/>
          </w:rPr>
          <w:fldChar w:fldCharType="end"/>
        </w:r>
      </w:hyperlink>
    </w:p>
    <w:p w14:paraId="56B823AD" w14:textId="59407417"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65" w:history="1">
        <w:r w:rsidRPr="00D61B2E">
          <w:rPr>
            <w:rStyle w:val="Hyperlink"/>
            <w:rFonts w:eastAsia="Arial"/>
            <w:b/>
            <w:bCs/>
            <w:noProof/>
          </w:rPr>
          <w:t>Geopolitical Cultural Norming</w:t>
        </w:r>
        <w:r>
          <w:rPr>
            <w:noProof/>
            <w:webHidden/>
          </w:rPr>
          <w:tab/>
        </w:r>
        <w:r>
          <w:rPr>
            <w:noProof/>
            <w:webHidden/>
          </w:rPr>
          <w:fldChar w:fldCharType="begin"/>
        </w:r>
        <w:r>
          <w:rPr>
            <w:noProof/>
            <w:webHidden/>
          </w:rPr>
          <w:instrText xml:space="preserve"> PAGEREF _Toc118232365 \h </w:instrText>
        </w:r>
        <w:r>
          <w:rPr>
            <w:noProof/>
            <w:webHidden/>
          </w:rPr>
        </w:r>
        <w:r>
          <w:rPr>
            <w:noProof/>
            <w:webHidden/>
          </w:rPr>
          <w:fldChar w:fldCharType="separate"/>
        </w:r>
        <w:r w:rsidR="00567747">
          <w:rPr>
            <w:noProof/>
            <w:webHidden/>
          </w:rPr>
          <w:t>162</w:t>
        </w:r>
        <w:r>
          <w:rPr>
            <w:noProof/>
            <w:webHidden/>
          </w:rPr>
          <w:fldChar w:fldCharType="end"/>
        </w:r>
      </w:hyperlink>
    </w:p>
    <w:p w14:paraId="713D761E" w14:textId="114D56EA"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66" w:history="1">
        <w:r w:rsidRPr="00D61B2E">
          <w:rPr>
            <w:rStyle w:val="Hyperlink"/>
            <w:rFonts w:eastAsia="Arial"/>
            <w:b/>
            <w:bCs/>
            <w:noProof/>
          </w:rPr>
          <w:t>Policies and Interventions</w:t>
        </w:r>
        <w:r>
          <w:rPr>
            <w:noProof/>
            <w:webHidden/>
          </w:rPr>
          <w:tab/>
        </w:r>
        <w:r>
          <w:rPr>
            <w:noProof/>
            <w:webHidden/>
          </w:rPr>
          <w:fldChar w:fldCharType="begin"/>
        </w:r>
        <w:r>
          <w:rPr>
            <w:noProof/>
            <w:webHidden/>
          </w:rPr>
          <w:instrText xml:space="preserve"> PAGEREF _Toc118232366 \h </w:instrText>
        </w:r>
        <w:r>
          <w:rPr>
            <w:noProof/>
            <w:webHidden/>
          </w:rPr>
        </w:r>
        <w:r>
          <w:rPr>
            <w:noProof/>
            <w:webHidden/>
          </w:rPr>
          <w:fldChar w:fldCharType="separate"/>
        </w:r>
        <w:r w:rsidR="00567747">
          <w:rPr>
            <w:noProof/>
            <w:webHidden/>
          </w:rPr>
          <w:t>163</w:t>
        </w:r>
        <w:r>
          <w:rPr>
            <w:noProof/>
            <w:webHidden/>
          </w:rPr>
          <w:fldChar w:fldCharType="end"/>
        </w:r>
      </w:hyperlink>
    </w:p>
    <w:p w14:paraId="5DE947AB" w14:textId="6E181A91"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67" w:history="1">
        <w:r w:rsidRPr="00D61B2E">
          <w:rPr>
            <w:rStyle w:val="Hyperlink"/>
            <w:rFonts w:eastAsia="Arial"/>
            <w:b/>
            <w:bCs/>
            <w:noProof/>
          </w:rPr>
          <w:t>Conclusion</w:t>
        </w:r>
        <w:r>
          <w:rPr>
            <w:noProof/>
            <w:webHidden/>
          </w:rPr>
          <w:tab/>
        </w:r>
        <w:r>
          <w:rPr>
            <w:noProof/>
            <w:webHidden/>
          </w:rPr>
          <w:fldChar w:fldCharType="begin"/>
        </w:r>
        <w:r>
          <w:rPr>
            <w:noProof/>
            <w:webHidden/>
          </w:rPr>
          <w:instrText xml:space="preserve"> PAGEREF _Toc118232367 \h </w:instrText>
        </w:r>
        <w:r>
          <w:rPr>
            <w:noProof/>
            <w:webHidden/>
          </w:rPr>
        </w:r>
        <w:r>
          <w:rPr>
            <w:noProof/>
            <w:webHidden/>
          </w:rPr>
          <w:fldChar w:fldCharType="separate"/>
        </w:r>
        <w:r w:rsidR="00567747">
          <w:rPr>
            <w:noProof/>
            <w:webHidden/>
          </w:rPr>
          <w:t>171</w:t>
        </w:r>
        <w:r>
          <w:rPr>
            <w:noProof/>
            <w:webHidden/>
          </w:rPr>
          <w:fldChar w:fldCharType="end"/>
        </w:r>
      </w:hyperlink>
    </w:p>
    <w:p w14:paraId="596F652E" w14:textId="3C7E93D7" w:rsidR="00CE737D" w:rsidRDefault="00CE737D">
      <w:pPr>
        <w:pStyle w:val="TOC1"/>
        <w:rPr>
          <w:rFonts w:asciiTheme="minorHAnsi" w:eastAsiaTheme="minorEastAsia" w:hAnsiTheme="minorHAnsi" w:cstheme="minorBidi"/>
          <w:noProof/>
          <w:sz w:val="22"/>
          <w:szCs w:val="22"/>
        </w:rPr>
      </w:pPr>
      <w:hyperlink w:anchor="_Toc118232368" w:history="1">
        <w:r w:rsidRPr="00D61B2E">
          <w:rPr>
            <w:rStyle w:val="Hyperlink"/>
            <w:b/>
            <w:bCs/>
            <w:noProof/>
          </w:rPr>
          <w:t>CHAPTER NINE</w:t>
        </w:r>
        <w:r>
          <w:rPr>
            <w:noProof/>
            <w:webHidden/>
          </w:rPr>
          <w:tab/>
        </w:r>
        <w:r>
          <w:rPr>
            <w:noProof/>
            <w:webHidden/>
          </w:rPr>
          <w:fldChar w:fldCharType="begin"/>
        </w:r>
        <w:r>
          <w:rPr>
            <w:noProof/>
            <w:webHidden/>
          </w:rPr>
          <w:instrText xml:space="preserve"> PAGEREF _Toc118232368 \h </w:instrText>
        </w:r>
        <w:r>
          <w:rPr>
            <w:noProof/>
            <w:webHidden/>
          </w:rPr>
        </w:r>
        <w:r>
          <w:rPr>
            <w:noProof/>
            <w:webHidden/>
          </w:rPr>
          <w:fldChar w:fldCharType="separate"/>
        </w:r>
        <w:r w:rsidR="00567747">
          <w:rPr>
            <w:noProof/>
            <w:webHidden/>
          </w:rPr>
          <w:t>175</w:t>
        </w:r>
        <w:r>
          <w:rPr>
            <w:noProof/>
            <w:webHidden/>
          </w:rPr>
          <w:fldChar w:fldCharType="end"/>
        </w:r>
      </w:hyperlink>
    </w:p>
    <w:p w14:paraId="21896B6E" w14:textId="476C6B34" w:rsidR="00CE737D" w:rsidRDefault="00CE737D">
      <w:pPr>
        <w:pStyle w:val="TOC1"/>
        <w:rPr>
          <w:rFonts w:asciiTheme="minorHAnsi" w:eastAsiaTheme="minorEastAsia" w:hAnsiTheme="minorHAnsi" w:cstheme="minorBidi"/>
          <w:noProof/>
          <w:sz w:val="22"/>
          <w:szCs w:val="22"/>
        </w:rPr>
      </w:pPr>
      <w:hyperlink w:anchor="_Toc118232369" w:history="1">
        <w:r w:rsidRPr="00D61B2E">
          <w:rPr>
            <w:rStyle w:val="Hyperlink"/>
            <w:b/>
            <w:bCs/>
            <w:noProof/>
          </w:rPr>
          <w:t>DISCUSSION AND CONCLUSION</w:t>
        </w:r>
        <w:r>
          <w:rPr>
            <w:noProof/>
            <w:webHidden/>
          </w:rPr>
          <w:tab/>
        </w:r>
        <w:r>
          <w:rPr>
            <w:noProof/>
            <w:webHidden/>
          </w:rPr>
          <w:fldChar w:fldCharType="begin"/>
        </w:r>
        <w:r>
          <w:rPr>
            <w:noProof/>
            <w:webHidden/>
          </w:rPr>
          <w:instrText xml:space="preserve"> PAGEREF _Toc118232369 \h </w:instrText>
        </w:r>
        <w:r>
          <w:rPr>
            <w:noProof/>
            <w:webHidden/>
          </w:rPr>
        </w:r>
        <w:r>
          <w:rPr>
            <w:noProof/>
            <w:webHidden/>
          </w:rPr>
          <w:fldChar w:fldCharType="separate"/>
        </w:r>
        <w:r w:rsidR="00567747">
          <w:rPr>
            <w:noProof/>
            <w:webHidden/>
          </w:rPr>
          <w:t>175</w:t>
        </w:r>
        <w:r>
          <w:rPr>
            <w:noProof/>
            <w:webHidden/>
          </w:rPr>
          <w:fldChar w:fldCharType="end"/>
        </w:r>
      </w:hyperlink>
    </w:p>
    <w:p w14:paraId="2FEB2D02" w14:textId="73C0E9E4"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70" w:history="1">
        <w:r w:rsidRPr="00D61B2E">
          <w:rPr>
            <w:rStyle w:val="Hyperlink"/>
            <w:b/>
            <w:bCs/>
            <w:noProof/>
          </w:rPr>
          <w:t>Impacts</w:t>
        </w:r>
        <w:r>
          <w:rPr>
            <w:noProof/>
            <w:webHidden/>
          </w:rPr>
          <w:tab/>
        </w:r>
        <w:r>
          <w:rPr>
            <w:noProof/>
            <w:webHidden/>
          </w:rPr>
          <w:fldChar w:fldCharType="begin"/>
        </w:r>
        <w:r>
          <w:rPr>
            <w:noProof/>
            <w:webHidden/>
          </w:rPr>
          <w:instrText xml:space="preserve"> PAGEREF _Toc118232370 \h </w:instrText>
        </w:r>
        <w:r>
          <w:rPr>
            <w:noProof/>
            <w:webHidden/>
          </w:rPr>
        </w:r>
        <w:r>
          <w:rPr>
            <w:noProof/>
            <w:webHidden/>
          </w:rPr>
          <w:fldChar w:fldCharType="separate"/>
        </w:r>
        <w:r w:rsidR="00567747">
          <w:rPr>
            <w:noProof/>
            <w:webHidden/>
          </w:rPr>
          <w:t>176</w:t>
        </w:r>
        <w:r>
          <w:rPr>
            <w:noProof/>
            <w:webHidden/>
          </w:rPr>
          <w:fldChar w:fldCharType="end"/>
        </w:r>
      </w:hyperlink>
    </w:p>
    <w:p w14:paraId="6C2A7B98" w14:textId="1F11CB9F"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71" w:history="1">
        <w:r w:rsidRPr="00D61B2E">
          <w:rPr>
            <w:rStyle w:val="Hyperlink"/>
            <w:b/>
            <w:bCs/>
            <w:noProof/>
          </w:rPr>
          <w:t>Participant Recommendations to Policy and Decision Makers</w:t>
        </w:r>
        <w:r>
          <w:rPr>
            <w:noProof/>
            <w:webHidden/>
          </w:rPr>
          <w:tab/>
        </w:r>
        <w:r>
          <w:rPr>
            <w:noProof/>
            <w:webHidden/>
          </w:rPr>
          <w:fldChar w:fldCharType="begin"/>
        </w:r>
        <w:r>
          <w:rPr>
            <w:noProof/>
            <w:webHidden/>
          </w:rPr>
          <w:instrText xml:space="preserve"> PAGEREF _Toc118232371 \h </w:instrText>
        </w:r>
        <w:r>
          <w:rPr>
            <w:noProof/>
            <w:webHidden/>
          </w:rPr>
        </w:r>
        <w:r>
          <w:rPr>
            <w:noProof/>
            <w:webHidden/>
          </w:rPr>
          <w:fldChar w:fldCharType="separate"/>
        </w:r>
        <w:r w:rsidR="00567747">
          <w:rPr>
            <w:noProof/>
            <w:webHidden/>
          </w:rPr>
          <w:t>181</w:t>
        </w:r>
        <w:r>
          <w:rPr>
            <w:noProof/>
            <w:webHidden/>
          </w:rPr>
          <w:fldChar w:fldCharType="end"/>
        </w:r>
      </w:hyperlink>
    </w:p>
    <w:p w14:paraId="34D45634" w14:textId="6255EBA5"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72" w:history="1">
        <w:r w:rsidRPr="00D61B2E">
          <w:rPr>
            <w:rStyle w:val="Hyperlink"/>
            <w:b/>
            <w:bCs/>
            <w:i/>
            <w:iCs/>
            <w:noProof/>
          </w:rPr>
          <w:t>Equitable Treatment in Policymaking, Clinical Care, and Insurance Systems</w:t>
        </w:r>
        <w:r>
          <w:rPr>
            <w:noProof/>
            <w:webHidden/>
          </w:rPr>
          <w:tab/>
        </w:r>
        <w:r>
          <w:rPr>
            <w:noProof/>
            <w:webHidden/>
          </w:rPr>
          <w:fldChar w:fldCharType="begin"/>
        </w:r>
        <w:r>
          <w:rPr>
            <w:noProof/>
            <w:webHidden/>
          </w:rPr>
          <w:instrText xml:space="preserve"> PAGEREF _Toc118232372 \h </w:instrText>
        </w:r>
        <w:r>
          <w:rPr>
            <w:noProof/>
            <w:webHidden/>
          </w:rPr>
        </w:r>
        <w:r>
          <w:rPr>
            <w:noProof/>
            <w:webHidden/>
          </w:rPr>
          <w:fldChar w:fldCharType="separate"/>
        </w:r>
        <w:r w:rsidR="00567747">
          <w:rPr>
            <w:noProof/>
            <w:webHidden/>
          </w:rPr>
          <w:t>181</w:t>
        </w:r>
        <w:r>
          <w:rPr>
            <w:noProof/>
            <w:webHidden/>
          </w:rPr>
          <w:fldChar w:fldCharType="end"/>
        </w:r>
      </w:hyperlink>
    </w:p>
    <w:p w14:paraId="50FBD697" w14:textId="09C4D8B6"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73" w:history="1">
        <w:r w:rsidRPr="00D61B2E">
          <w:rPr>
            <w:rStyle w:val="Hyperlink"/>
            <w:b/>
            <w:bCs/>
            <w:i/>
            <w:iCs/>
            <w:noProof/>
          </w:rPr>
          <w:t>Universal Health Care</w:t>
        </w:r>
        <w:r>
          <w:rPr>
            <w:noProof/>
            <w:webHidden/>
          </w:rPr>
          <w:tab/>
        </w:r>
        <w:r>
          <w:rPr>
            <w:noProof/>
            <w:webHidden/>
          </w:rPr>
          <w:fldChar w:fldCharType="begin"/>
        </w:r>
        <w:r>
          <w:rPr>
            <w:noProof/>
            <w:webHidden/>
          </w:rPr>
          <w:instrText xml:space="preserve"> PAGEREF _Toc118232373 \h </w:instrText>
        </w:r>
        <w:r>
          <w:rPr>
            <w:noProof/>
            <w:webHidden/>
          </w:rPr>
        </w:r>
        <w:r>
          <w:rPr>
            <w:noProof/>
            <w:webHidden/>
          </w:rPr>
          <w:fldChar w:fldCharType="separate"/>
        </w:r>
        <w:r w:rsidR="00567747">
          <w:rPr>
            <w:noProof/>
            <w:webHidden/>
          </w:rPr>
          <w:t>182</w:t>
        </w:r>
        <w:r>
          <w:rPr>
            <w:noProof/>
            <w:webHidden/>
          </w:rPr>
          <w:fldChar w:fldCharType="end"/>
        </w:r>
      </w:hyperlink>
    </w:p>
    <w:p w14:paraId="6864468E" w14:textId="1153A6FC"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74" w:history="1">
        <w:r w:rsidRPr="00D61B2E">
          <w:rPr>
            <w:rStyle w:val="Hyperlink"/>
            <w:b/>
            <w:bCs/>
            <w:i/>
            <w:iCs/>
            <w:noProof/>
          </w:rPr>
          <w:t>Compassionate Clinical Care</w:t>
        </w:r>
        <w:r>
          <w:rPr>
            <w:noProof/>
            <w:webHidden/>
          </w:rPr>
          <w:tab/>
        </w:r>
        <w:r>
          <w:rPr>
            <w:noProof/>
            <w:webHidden/>
          </w:rPr>
          <w:fldChar w:fldCharType="begin"/>
        </w:r>
        <w:r>
          <w:rPr>
            <w:noProof/>
            <w:webHidden/>
          </w:rPr>
          <w:instrText xml:space="preserve"> PAGEREF _Toc118232374 \h </w:instrText>
        </w:r>
        <w:r>
          <w:rPr>
            <w:noProof/>
            <w:webHidden/>
          </w:rPr>
        </w:r>
        <w:r>
          <w:rPr>
            <w:noProof/>
            <w:webHidden/>
          </w:rPr>
          <w:fldChar w:fldCharType="separate"/>
        </w:r>
        <w:r w:rsidR="00567747">
          <w:rPr>
            <w:noProof/>
            <w:webHidden/>
          </w:rPr>
          <w:t>182</w:t>
        </w:r>
        <w:r>
          <w:rPr>
            <w:noProof/>
            <w:webHidden/>
          </w:rPr>
          <w:fldChar w:fldCharType="end"/>
        </w:r>
      </w:hyperlink>
    </w:p>
    <w:p w14:paraId="69F39E69" w14:textId="32171408"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75" w:history="1">
        <w:r w:rsidRPr="00D61B2E">
          <w:rPr>
            <w:rStyle w:val="Hyperlink"/>
            <w:b/>
            <w:bCs/>
            <w:i/>
            <w:iCs/>
            <w:noProof/>
          </w:rPr>
          <w:t>An End to Care Rationing</w:t>
        </w:r>
        <w:r>
          <w:rPr>
            <w:noProof/>
            <w:webHidden/>
          </w:rPr>
          <w:tab/>
        </w:r>
        <w:r>
          <w:rPr>
            <w:noProof/>
            <w:webHidden/>
          </w:rPr>
          <w:fldChar w:fldCharType="begin"/>
        </w:r>
        <w:r>
          <w:rPr>
            <w:noProof/>
            <w:webHidden/>
          </w:rPr>
          <w:instrText xml:space="preserve"> PAGEREF _Toc118232375 \h </w:instrText>
        </w:r>
        <w:r>
          <w:rPr>
            <w:noProof/>
            <w:webHidden/>
          </w:rPr>
        </w:r>
        <w:r>
          <w:rPr>
            <w:noProof/>
            <w:webHidden/>
          </w:rPr>
          <w:fldChar w:fldCharType="separate"/>
        </w:r>
        <w:r w:rsidR="00567747">
          <w:rPr>
            <w:noProof/>
            <w:webHidden/>
          </w:rPr>
          <w:t>183</w:t>
        </w:r>
        <w:r>
          <w:rPr>
            <w:noProof/>
            <w:webHidden/>
          </w:rPr>
          <w:fldChar w:fldCharType="end"/>
        </w:r>
      </w:hyperlink>
    </w:p>
    <w:p w14:paraId="42110068" w14:textId="4D2B355D"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76" w:history="1">
        <w:r w:rsidRPr="00D61B2E">
          <w:rPr>
            <w:rStyle w:val="Hyperlink"/>
            <w:b/>
            <w:bCs/>
            <w:i/>
            <w:iCs/>
            <w:noProof/>
          </w:rPr>
          <w:t>Resources for Healthcare Services and Insurance Provision</w:t>
        </w:r>
        <w:r>
          <w:rPr>
            <w:noProof/>
            <w:webHidden/>
          </w:rPr>
          <w:tab/>
        </w:r>
        <w:r>
          <w:rPr>
            <w:noProof/>
            <w:webHidden/>
          </w:rPr>
          <w:fldChar w:fldCharType="begin"/>
        </w:r>
        <w:r>
          <w:rPr>
            <w:noProof/>
            <w:webHidden/>
          </w:rPr>
          <w:instrText xml:space="preserve"> PAGEREF _Toc118232376 \h </w:instrText>
        </w:r>
        <w:r>
          <w:rPr>
            <w:noProof/>
            <w:webHidden/>
          </w:rPr>
        </w:r>
        <w:r>
          <w:rPr>
            <w:noProof/>
            <w:webHidden/>
          </w:rPr>
          <w:fldChar w:fldCharType="separate"/>
        </w:r>
        <w:r w:rsidR="00567747">
          <w:rPr>
            <w:noProof/>
            <w:webHidden/>
          </w:rPr>
          <w:t>184</w:t>
        </w:r>
        <w:r>
          <w:rPr>
            <w:noProof/>
            <w:webHidden/>
          </w:rPr>
          <w:fldChar w:fldCharType="end"/>
        </w:r>
      </w:hyperlink>
    </w:p>
    <w:p w14:paraId="21495C97" w14:textId="74EBD77E" w:rsidR="00CE737D" w:rsidRDefault="00CE737D">
      <w:pPr>
        <w:pStyle w:val="TOC3"/>
        <w:tabs>
          <w:tab w:val="right" w:leader="dot" w:pos="9350"/>
        </w:tabs>
        <w:rPr>
          <w:rFonts w:asciiTheme="minorHAnsi" w:eastAsiaTheme="minorEastAsia" w:hAnsiTheme="minorHAnsi" w:cstheme="minorBidi"/>
          <w:noProof/>
          <w:sz w:val="22"/>
          <w:szCs w:val="22"/>
        </w:rPr>
      </w:pPr>
      <w:hyperlink w:anchor="_Toc118232377" w:history="1">
        <w:r w:rsidRPr="00D61B2E">
          <w:rPr>
            <w:rStyle w:val="Hyperlink"/>
            <w:b/>
            <w:bCs/>
            <w:i/>
            <w:iCs/>
            <w:noProof/>
          </w:rPr>
          <w:t>More Health Research on Older Women</w:t>
        </w:r>
        <w:r>
          <w:rPr>
            <w:noProof/>
            <w:webHidden/>
          </w:rPr>
          <w:tab/>
        </w:r>
        <w:r>
          <w:rPr>
            <w:noProof/>
            <w:webHidden/>
          </w:rPr>
          <w:fldChar w:fldCharType="begin"/>
        </w:r>
        <w:r>
          <w:rPr>
            <w:noProof/>
            <w:webHidden/>
          </w:rPr>
          <w:instrText xml:space="preserve"> PAGEREF _Toc118232377 \h </w:instrText>
        </w:r>
        <w:r>
          <w:rPr>
            <w:noProof/>
            <w:webHidden/>
          </w:rPr>
        </w:r>
        <w:r>
          <w:rPr>
            <w:noProof/>
            <w:webHidden/>
          </w:rPr>
          <w:fldChar w:fldCharType="separate"/>
        </w:r>
        <w:r w:rsidR="00567747">
          <w:rPr>
            <w:noProof/>
            <w:webHidden/>
          </w:rPr>
          <w:t>189</w:t>
        </w:r>
        <w:r>
          <w:rPr>
            <w:noProof/>
            <w:webHidden/>
          </w:rPr>
          <w:fldChar w:fldCharType="end"/>
        </w:r>
      </w:hyperlink>
    </w:p>
    <w:p w14:paraId="1671D949" w14:textId="0555F1AC"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78" w:history="1">
        <w:r w:rsidRPr="00D61B2E">
          <w:rPr>
            <w:rStyle w:val="Hyperlink"/>
            <w:b/>
            <w:bCs/>
            <w:noProof/>
          </w:rPr>
          <w:t>Researcher’s Recommendations</w:t>
        </w:r>
        <w:r>
          <w:rPr>
            <w:noProof/>
            <w:webHidden/>
          </w:rPr>
          <w:tab/>
        </w:r>
        <w:r>
          <w:rPr>
            <w:noProof/>
            <w:webHidden/>
          </w:rPr>
          <w:fldChar w:fldCharType="begin"/>
        </w:r>
        <w:r>
          <w:rPr>
            <w:noProof/>
            <w:webHidden/>
          </w:rPr>
          <w:instrText xml:space="preserve"> PAGEREF _Toc118232378 \h </w:instrText>
        </w:r>
        <w:r>
          <w:rPr>
            <w:noProof/>
            <w:webHidden/>
          </w:rPr>
        </w:r>
        <w:r>
          <w:rPr>
            <w:noProof/>
            <w:webHidden/>
          </w:rPr>
          <w:fldChar w:fldCharType="separate"/>
        </w:r>
        <w:r w:rsidR="00567747">
          <w:rPr>
            <w:noProof/>
            <w:webHidden/>
          </w:rPr>
          <w:t>189</w:t>
        </w:r>
        <w:r>
          <w:rPr>
            <w:noProof/>
            <w:webHidden/>
          </w:rPr>
          <w:fldChar w:fldCharType="end"/>
        </w:r>
      </w:hyperlink>
    </w:p>
    <w:p w14:paraId="28A9837D" w14:textId="1FD984EE"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79" w:history="1">
        <w:r w:rsidRPr="00D61B2E">
          <w:rPr>
            <w:rStyle w:val="Hyperlink"/>
            <w:b/>
            <w:bCs/>
            <w:noProof/>
          </w:rPr>
          <w:t>Contribution</w:t>
        </w:r>
        <w:r>
          <w:rPr>
            <w:noProof/>
            <w:webHidden/>
          </w:rPr>
          <w:tab/>
        </w:r>
        <w:r>
          <w:rPr>
            <w:noProof/>
            <w:webHidden/>
          </w:rPr>
          <w:fldChar w:fldCharType="begin"/>
        </w:r>
        <w:r>
          <w:rPr>
            <w:noProof/>
            <w:webHidden/>
          </w:rPr>
          <w:instrText xml:space="preserve"> PAGEREF _Toc118232379 \h </w:instrText>
        </w:r>
        <w:r>
          <w:rPr>
            <w:noProof/>
            <w:webHidden/>
          </w:rPr>
        </w:r>
        <w:r>
          <w:rPr>
            <w:noProof/>
            <w:webHidden/>
          </w:rPr>
          <w:fldChar w:fldCharType="separate"/>
        </w:r>
        <w:r w:rsidR="00567747">
          <w:rPr>
            <w:noProof/>
            <w:webHidden/>
          </w:rPr>
          <w:t>192</w:t>
        </w:r>
        <w:r>
          <w:rPr>
            <w:noProof/>
            <w:webHidden/>
          </w:rPr>
          <w:fldChar w:fldCharType="end"/>
        </w:r>
      </w:hyperlink>
    </w:p>
    <w:p w14:paraId="0A260E35" w14:textId="40E97209"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80" w:history="1">
        <w:r w:rsidRPr="00D61B2E">
          <w:rPr>
            <w:rStyle w:val="Hyperlink"/>
            <w:b/>
            <w:bCs/>
            <w:noProof/>
          </w:rPr>
          <w:t>Implications for Future Research</w:t>
        </w:r>
        <w:r>
          <w:rPr>
            <w:noProof/>
            <w:webHidden/>
          </w:rPr>
          <w:tab/>
        </w:r>
        <w:r>
          <w:rPr>
            <w:noProof/>
            <w:webHidden/>
          </w:rPr>
          <w:fldChar w:fldCharType="begin"/>
        </w:r>
        <w:r>
          <w:rPr>
            <w:noProof/>
            <w:webHidden/>
          </w:rPr>
          <w:instrText xml:space="preserve"> PAGEREF _Toc118232380 \h </w:instrText>
        </w:r>
        <w:r>
          <w:rPr>
            <w:noProof/>
            <w:webHidden/>
          </w:rPr>
        </w:r>
        <w:r>
          <w:rPr>
            <w:noProof/>
            <w:webHidden/>
          </w:rPr>
          <w:fldChar w:fldCharType="separate"/>
        </w:r>
        <w:r w:rsidR="00567747">
          <w:rPr>
            <w:noProof/>
            <w:webHidden/>
          </w:rPr>
          <w:t>196</w:t>
        </w:r>
        <w:r>
          <w:rPr>
            <w:noProof/>
            <w:webHidden/>
          </w:rPr>
          <w:fldChar w:fldCharType="end"/>
        </w:r>
      </w:hyperlink>
    </w:p>
    <w:p w14:paraId="70FBB8C7" w14:textId="6A98FD53" w:rsidR="00CE737D" w:rsidRDefault="00CE737D">
      <w:pPr>
        <w:pStyle w:val="TOC2"/>
        <w:tabs>
          <w:tab w:val="right" w:leader="dot" w:pos="9350"/>
        </w:tabs>
        <w:rPr>
          <w:rFonts w:asciiTheme="minorHAnsi" w:eastAsiaTheme="minorEastAsia" w:hAnsiTheme="minorHAnsi" w:cstheme="minorBidi"/>
          <w:noProof/>
          <w:sz w:val="22"/>
          <w:szCs w:val="22"/>
        </w:rPr>
      </w:pPr>
      <w:hyperlink w:anchor="_Toc118232381" w:history="1">
        <w:r w:rsidRPr="00D61B2E">
          <w:rPr>
            <w:rStyle w:val="Hyperlink"/>
            <w:b/>
            <w:bCs/>
            <w:noProof/>
          </w:rPr>
          <w:t>Final Note and Epilogue</w:t>
        </w:r>
        <w:r>
          <w:rPr>
            <w:noProof/>
            <w:webHidden/>
          </w:rPr>
          <w:tab/>
        </w:r>
        <w:r>
          <w:rPr>
            <w:noProof/>
            <w:webHidden/>
          </w:rPr>
          <w:fldChar w:fldCharType="begin"/>
        </w:r>
        <w:r>
          <w:rPr>
            <w:noProof/>
            <w:webHidden/>
          </w:rPr>
          <w:instrText xml:space="preserve"> PAGEREF _Toc118232381 \h </w:instrText>
        </w:r>
        <w:r>
          <w:rPr>
            <w:noProof/>
            <w:webHidden/>
          </w:rPr>
        </w:r>
        <w:r>
          <w:rPr>
            <w:noProof/>
            <w:webHidden/>
          </w:rPr>
          <w:fldChar w:fldCharType="separate"/>
        </w:r>
        <w:r w:rsidR="00567747">
          <w:rPr>
            <w:noProof/>
            <w:webHidden/>
          </w:rPr>
          <w:t>198</w:t>
        </w:r>
        <w:r>
          <w:rPr>
            <w:noProof/>
            <w:webHidden/>
          </w:rPr>
          <w:fldChar w:fldCharType="end"/>
        </w:r>
      </w:hyperlink>
    </w:p>
    <w:p w14:paraId="03ECACF9" w14:textId="1CAFC57B" w:rsidR="00CE737D" w:rsidRDefault="00CE737D">
      <w:pPr>
        <w:pStyle w:val="TOC1"/>
        <w:rPr>
          <w:rFonts w:asciiTheme="minorHAnsi" w:eastAsiaTheme="minorEastAsia" w:hAnsiTheme="minorHAnsi" w:cstheme="minorBidi"/>
          <w:noProof/>
          <w:sz w:val="22"/>
          <w:szCs w:val="22"/>
        </w:rPr>
      </w:pPr>
      <w:hyperlink w:anchor="_Toc118232382" w:history="1">
        <w:r w:rsidRPr="00D61B2E">
          <w:rPr>
            <w:rStyle w:val="Hyperlink"/>
            <w:b/>
            <w:bCs/>
            <w:noProof/>
          </w:rPr>
          <w:t>LIST OF REFERENCES</w:t>
        </w:r>
        <w:r>
          <w:rPr>
            <w:noProof/>
            <w:webHidden/>
          </w:rPr>
          <w:tab/>
        </w:r>
        <w:r>
          <w:rPr>
            <w:noProof/>
            <w:webHidden/>
          </w:rPr>
          <w:fldChar w:fldCharType="begin"/>
        </w:r>
        <w:r>
          <w:rPr>
            <w:noProof/>
            <w:webHidden/>
          </w:rPr>
          <w:instrText xml:space="preserve"> PAGEREF _Toc118232382 \h </w:instrText>
        </w:r>
        <w:r>
          <w:rPr>
            <w:noProof/>
            <w:webHidden/>
          </w:rPr>
        </w:r>
        <w:r>
          <w:rPr>
            <w:noProof/>
            <w:webHidden/>
          </w:rPr>
          <w:fldChar w:fldCharType="separate"/>
        </w:r>
        <w:r w:rsidR="00567747">
          <w:rPr>
            <w:noProof/>
            <w:webHidden/>
          </w:rPr>
          <w:t>204</w:t>
        </w:r>
        <w:r>
          <w:rPr>
            <w:noProof/>
            <w:webHidden/>
          </w:rPr>
          <w:fldChar w:fldCharType="end"/>
        </w:r>
      </w:hyperlink>
    </w:p>
    <w:p w14:paraId="29B4778B" w14:textId="5D6D54B3" w:rsidR="00CE737D" w:rsidRDefault="00CE737D">
      <w:pPr>
        <w:pStyle w:val="TOC1"/>
        <w:rPr>
          <w:rFonts w:asciiTheme="minorHAnsi" w:eastAsiaTheme="minorEastAsia" w:hAnsiTheme="minorHAnsi" w:cstheme="minorBidi"/>
          <w:noProof/>
          <w:sz w:val="22"/>
          <w:szCs w:val="22"/>
        </w:rPr>
      </w:pPr>
      <w:hyperlink w:anchor="_Toc118232383" w:history="1">
        <w:r w:rsidRPr="00D61B2E">
          <w:rPr>
            <w:rStyle w:val="Hyperlink"/>
            <w:b/>
            <w:bCs/>
            <w:noProof/>
          </w:rPr>
          <w:t>APPENDIX</w:t>
        </w:r>
        <w:r>
          <w:rPr>
            <w:noProof/>
            <w:webHidden/>
          </w:rPr>
          <w:tab/>
        </w:r>
        <w:r>
          <w:rPr>
            <w:noProof/>
            <w:webHidden/>
          </w:rPr>
          <w:fldChar w:fldCharType="begin"/>
        </w:r>
        <w:r>
          <w:rPr>
            <w:noProof/>
            <w:webHidden/>
          </w:rPr>
          <w:instrText xml:space="preserve"> PAGEREF _Toc118232383 \h </w:instrText>
        </w:r>
        <w:r>
          <w:rPr>
            <w:noProof/>
            <w:webHidden/>
          </w:rPr>
        </w:r>
        <w:r>
          <w:rPr>
            <w:noProof/>
            <w:webHidden/>
          </w:rPr>
          <w:fldChar w:fldCharType="separate"/>
        </w:r>
        <w:r w:rsidR="00567747">
          <w:rPr>
            <w:noProof/>
            <w:webHidden/>
          </w:rPr>
          <w:t>239</w:t>
        </w:r>
        <w:r>
          <w:rPr>
            <w:noProof/>
            <w:webHidden/>
          </w:rPr>
          <w:fldChar w:fldCharType="end"/>
        </w:r>
      </w:hyperlink>
    </w:p>
    <w:p w14:paraId="0B5AD3FC" w14:textId="1A39C37A" w:rsidR="00CE737D" w:rsidRDefault="00CE737D">
      <w:pPr>
        <w:pStyle w:val="TOC1"/>
        <w:rPr>
          <w:rFonts w:asciiTheme="minorHAnsi" w:eastAsiaTheme="minorEastAsia" w:hAnsiTheme="minorHAnsi" w:cstheme="minorBidi"/>
          <w:noProof/>
          <w:sz w:val="22"/>
          <w:szCs w:val="22"/>
        </w:rPr>
      </w:pPr>
      <w:hyperlink w:anchor="_Toc118232384" w:history="1">
        <w:r w:rsidRPr="00D61B2E">
          <w:rPr>
            <w:rStyle w:val="Hyperlink"/>
            <w:b/>
            <w:noProof/>
          </w:rPr>
          <w:t>VITA</w:t>
        </w:r>
        <w:r>
          <w:rPr>
            <w:noProof/>
            <w:webHidden/>
          </w:rPr>
          <w:tab/>
        </w:r>
        <w:r>
          <w:rPr>
            <w:noProof/>
            <w:webHidden/>
          </w:rPr>
          <w:fldChar w:fldCharType="begin"/>
        </w:r>
        <w:r>
          <w:rPr>
            <w:noProof/>
            <w:webHidden/>
          </w:rPr>
          <w:instrText xml:space="preserve"> PAGEREF _Toc118232384 \h </w:instrText>
        </w:r>
        <w:r>
          <w:rPr>
            <w:noProof/>
            <w:webHidden/>
          </w:rPr>
        </w:r>
        <w:r>
          <w:rPr>
            <w:noProof/>
            <w:webHidden/>
          </w:rPr>
          <w:fldChar w:fldCharType="separate"/>
        </w:r>
        <w:r w:rsidR="00567747">
          <w:rPr>
            <w:noProof/>
            <w:webHidden/>
          </w:rPr>
          <w:t>247</w:t>
        </w:r>
        <w:r>
          <w:rPr>
            <w:noProof/>
            <w:webHidden/>
          </w:rPr>
          <w:fldChar w:fldCharType="end"/>
        </w:r>
      </w:hyperlink>
    </w:p>
    <w:p w14:paraId="2D2B6CFD" w14:textId="36831EC6" w:rsidR="00F23983" w:rsidRPr="00424BD3" w:rsidRDefault="00D859FE" w:rsidP="000126EE">
      <w:pPr>
        <w:numPr>
          <w:ilvl w:val="12"/>
          <w:numId w:val="0"/>
        </w:numPr>
        <w:spacing w:after="0" w:line="480" w:lineRule="auto"/>
        <w:jc w:val="center"/>
      </w:pPr>
      <w:r w:rsidRPr="00424BD3">
        <w:fldChar w:fldCharType="end"/>
      </w:r>
    </w:p>
    <w:p w14:paraId="01AAD9DC" w14:textId="77777777" w:rsidR="004F35F0" w:rsidRPr="00424BD3" w:rsidRDefault="00CE5B48" w:rsidP="000126EE">
      <w:pPr>
        <w:numPr>
          <w:ilvl w:val="12"/>
          <w:numId w:val="0"/>
        </w:numPr>
        <w:spacing w:after="0" w:line="480" w:lineRule="auto"/>
        <w:jc w:val="center"/>
        <w:rPr>
          <w:rFonts w:eastAsia="Times New Roman" w:cs="Arial"/>
          <w:szCs w:val="24"/>
        </w:rPr>
      </w:pPr>
      <w:r w:rsidRPr="00424BD3">
        <w:br w:type="page"/>
      </w:r>
      <w:r w:rsidR="004F35F0" w:rsidRPr="00424BD3">
        <w:rPr>
          <w:rFonts w:eastAsia="Times New Roman" w:cs="Arial"/>
          <w:b/>
          <w:bCs/>
          <w:szCs w:val="24"/>
        </w:rPr>
        <w:lastRenderedPageBreak/>
        <w:t>LIST OF TABLES</w:t>
      </w:r>
    </w:p>
    <w:p w14:paraId="12747E9A" w14:textId="77777777" w:rsidR="004F35F0" w:rsidRPr="00424BD3" w:rsidRDefault="004F35F0" w:rsidP="000126EE">
      <w:pPr>
        <w:numPr>
          <w:ilvl w:val="12"/>
          <w:numId w:val="0"/>
        </w:numPr>
        <w:spacing w:after="0" w:line="480" w:lineRule="auto"/>
        <w:jc w:val="center"/>
        <w:rPr>
          <w:rFonts w:ascii="Times New Roman" w:eastAsia="Times New Roman" w:hAnsi="Times New Roman" w:cs="Times New Roman"/>
          <w:szCs w:val="24"/>
        </w:rPr>
      </w:pPr>
    </w:p>
    <w:p w14:paraId="67B47E58" w14:textId="4B978466" w:rsidR="004E46CE" w:rsidRDefault="004F35F0">
      <w:pPr>
        <w:pStyle w:val="TableofFigures"/>
        <w:tabs>
          <w:tab w:val="right" w:leader="dot" w:pos="9350"/>
        </w:tabs>
        <w:rPr>
          <w:rFonts w:asciiTheme="minorHAnsi" w:eastAsiaTheme="minorEastAsia" w:hAnsiTheme="minorHAnsi" w:cstheme="minorBidi"/>
          <w:noProof/>
          <w:sz w:val="22"/>
          <w:szCs w:val="22"/>
        </w:rPr>
      </w:pPr>
      <w:r w:rsidRPr="00424BD3">
        <w:rPr>
          <w:rFonts w:ascii="Times New Roman" w:hAnsi="Times New Roman" w:cs="Times New Roman"/>
        </w:rPr>
        <w:fldChar w:fldCharType="begin"/>
      </w:r>
      <w:r w:rsidRPr="00424BD3">
        <w:rPr>
          <w:rFonts w:ascii="Times New Roman" w:hAnsi="Times New Roman" w:cs="Times New Roman"/>
        </w:rPr>
        <w:instrText xml:space="preserve"> TOC \h \z \c "Table" </w:instrText>
      </w:r>
      <w:r w:rsidRPr="00424BD3">
        <w:rPr>
          <w:rFonts w:ascii="Times New Roman" w:hAnsi="Times New Roman" w:cs="Times New Roman"/>
        </w:rPr>
        <w:fldChar w:fldCharType="separate"/>
      </w:r>
      <w:hyperlink w:anchor="_Toc116675204" w:history="1">
        <w:r w:rsidR="004E46CE" w:rsidRPr="00301C17">
          <w:rPr>
            <w:rStyle w:val="Hyperlink"/>
            <w:noProof/>
          </w:rPr>
          <w:t>Table 1</w:t>
        </w:r>
        <w:r w:rsidR="004E46CE" w:rsidRPr="00301C17">
          <w:rPr>
            <w:rStyle w:val="Hyperlink"/>
            <w:bCs/>
            <w:noProof/>
          </w:rPr>
          <w:t>. Geographical and health profile tables of participant counties: Females aged 65 years and over by age bracket in Knox, Blount, and Sevier Counties as of July 2019</w:t>
        </w:r>
        <w:r w:rsidR="004E46CE">
          <w:rPr>
            <w:noProof/>
            <w:webHidden/>
          </w:rPr>
          <w:tab/>
        </w:r>
        <w:r w:rsidR="004E46CE">
          <w:rPr>
            <w:noProof/>
            <w:webHidden/>
          </w:rPr>
          <w:fldChar w:fldCharType="begin"/>
        </w:r>
        <w:r w:rsidR="004E46CE">
          <w:rPr>
            <w:noProof/>
            <w:webHidden/>
          </w:rPr>
          <w:instrText xml:space="preserve"> PAGEREF _Toc116675204 \h </w:instrText>
        </w:r>
        <w:r w:rsidR="004E46CE">
          <w:rPr>
            <w:noProof/>
            <w:webHidden/>
          </w:rPr>
        </w:r>
        <w:r w:rsidR="004E46CE">
          <w:rPr>
            <w:noProof/>
            <w:webHidden/>
          </w:rPr>
          <w:fldChar w:fldCharType="separate"/>
        </w:r>
        <w:r w:rsidR="00567747">
          <w:rPr>
            <w:noProof/>
            <w:webHidden/>
          </w:rPr>
          <w:t>239</w:t>
        </w:r>
        <w:r w:rsidR="004E46CE">
          <w:rPr>
            <w:noProof/>
            <w:webHidden/>
          </w:rPr>
          <w:fldChar w:fldCharType="end"/>
        </w:r>
      </w:hyperlink>
    </w:p>
    <w:p w14:paraId="125FE492" w14:textId="51A4FA78" w:rsidR="004E46CE" w:rsidRDefault="00567747">
      <w:pPr>
        <w:pStyle w:val="TableofFigures"/>
        <w:tabs>
          <w:tab w:val="right" w:leader="dot" w:pos="9350"/>
        </w:tabs>
        <w:rPr>
          <w:rFonts w:asciiTheme="minorHAnsi" w:eastAsiaTheme="minorEastAsia" w:hAnsiTheme="minorHAnsi" w:cstheme="minorBidi"/>
          <w:noProof/>
          <w:sz w:val="22"/>
          <w:szCs w:val="22"/>
        </w:rPr>
      </w:pPr>
      <w:hyperlink w:anchor="_Toc116675205" w:history="1">
        <w:r w:rsidR="004E46CE" w:rsidRPr="00301C17">
          <w:rPr>
            <w:rStyle w:val="Hyperlink"/>
            <w:noProof/>
          </w:rPr>
          <w:t>Table 2</w:t>
        </w:r>
        <w:r w:rsidR="004E46CE" w:rsidRPr="00301C17">
          <w:rPr>
            <w:rStyle w:val="Hyperlink"/>
            <w:bCs/>
            <w:noProof/>
          </w:rPr>
          <w:t>. Geographical and health profile tables of participant counties: Aged 65 years (all genders) and over population projections by 2040 in Knox, Blount, and Sevier Counties as of July 2019</w:t>
        </w:r>
        <w:r w:rsidR="004E46CE">
          <w:rPr>
            <w:noProof/>
            <w:webHidden/>
          </w:rPr>
          <w:tab/>
        </w:r>
        <w:r w:rsidR="004E46CE">
          <w:rPr>
            <w:noProof/>
            <w:webHidden/>
          </w:rPr>
          <w:fldChar w:fldCharType="begin"/>
        </w:r>
        <w:r w:rsidR="004E46CE">
          <w:rPr>
            <w:noProof/>
            <w:webHidden/>
          </w:rPr>
          <w:instrText xml:space="preserve"> PAGEREF _Toc116675205 \h </w:instrText>
        </w:r>
        <w:r w:rsidR="004E46CE">
          <w:rPr>
            <w:noProof/>
            <w:webHidden/>
          </w:rPr>
        </w:r>
        <w:r w:rsidR="004E46CE">
          <w:rPr>
            <w:noProof/>
            <w:webHidden/>
          </w:rPr>
          <w:fldChar w:fldCharType="separate"/>
        </w:r>
        <w:r>
          <w:rPr>
            <w:noProof/>
            <w:webHidden/>
          </w:rPr>
          <w:t>239</w:t>
        </w:r>
        <w:r w:rsidR="004E46CE">
          <w:rPr>
            <w:noProof/>
            <w:webHidden/>
          </w:rPr>
          <w:fldChar w:fldCharType="end"/>
        </w:r>
      </w:hyperlink>
    </w:p>
    <w:p w14:paraId="03D05D0E" w14:textId="77848DEC" w:rsidR="004E46CE" w:rsidRDefault="00567747">
      <w:pPr>
        <w:pStyle w:val="TableofFigures"/>
        <w:tabs>
          <w:tab w:val="right" w:leader="dot" w:pos="9350"/>
        </w:tabs>
        <w:rPr>
          <w:rFonts w:asciiTheme="minorHAnsi" w:eastAsiaTheme="minorEastAsia" w:hAnsiTheme="minorHAnsi" w:cstheme="minorBidi"/>
          <w:noProof/>
          <w:sz w:val="22"/>
          <w:szCs w:val="22"/>
        </w:rPr>
      </w:pPr>
      <w:hyperlink w:anchor="_Toc116675206" w:history="1">
        <w:r w:rsidR="004E46CE" w:rsidRPr="00301C17">
          <w:rPr>
            <w:rStyle w:val="Hyperlink"/>
            <w:noProof/>
          </w:rPr>
          <w:t>Table 3</w:t>
        </w:r>
        <w:r w:rsidR="004E46CE" w:rsidRPr="00301C17">
          <w:rPr>
            <w:rStyle w:val="Hyperlink"/>
            <w:bCs/>
            <w:noProof/>
          </w:rPr>
          <w:t>. Geographical and health profile tables of participant counties: County-Level Snapshot - Selected County Indicators</w:t>
        </w:r>
        <w:r w:rsidR="004E46CE">
          <w:rPr>
            <w:noProof/>
            <w:webHidden/>
          </w:rPr>
          <w:tab/>
        </w:r>
        <w:r w:rsidR="004E46CE">
          <w:rPr>
            <w:noProof/>
            <w:webHidden/>
          </w:rPr>
          <w:fldChar w:fldCharType="begin"/>
        </w:r>
        <w:r w:rsidR="004E46CE">
          <w:rPr>
            <w:noProof/>
            <w:webHidden/>
          </w:rPr>
          <w:instrText xml:space="preserve"> PAGEREF _Toc116675206 \h </w:instrText>
        </w:r>
        <w:r w:rsidR="004E46CE">
          <w:rPr>
            <w:noProof/>
            <w:webHidden/>
          </w:rPr>
        </w:r>
        <w:r w:rsidR="004E46CE">
          <w:rPr>
            <w:noProof/>
            <w:webHidden/>
          </w:rPr>
          <w:fldChar w:fldCharType="separate"/>
        </w:r>
        <w:r>
          <w:rPr>
            <w:noProof/>
            <w:webHidden/>
          </w:rPr>
          <w:t>241</w:t>
        </w:r>
        <w:r w:rsidR="004E46CE">
          <w:rPr>
            <w:noProof/>
            <w:webHidden/>
          </w:rPr>
          <w:fldChar w:fldCharType="end"/>
        </w:r>
      </w:hyperlink>
    </w:p>
    <w:p w14:paraId="6B8E9569" w14:textId="0EA2939D" w:rsidR="004E46CE" w:rsidRDefault="00567747">
      <w:pPr>
        <w:pStyle w:val="TableofFigures"/>
        <w:tabs>
          <w:tab w:val="right" w:leader="dot" w:pos="9350"/>
        </w:tabs>
        <w:rPr>
          <w:rFonts w:asciiTheme="minorHAnsi" w:eastAsiaTheme="minorEastAsia" w:hAnsiTheme="minorHAnsi" w:cstheme="minorBidi"/>
          <w:noProof/>
          <w:sz w:val="22"/>
          <w:szCs w:val="22"/>
        </w:rPr>
      </w:pPr>
      <w:hyperlink w:anchor="_Toc116675207" w:history="1">
        <w:r w:rsidR="004E46CE" w:rsidRPr="00301C17">
          <w:rPr>
            <w:rStyle w:val="Hyperlink"/>
            <w:noProof/>
          </w:rPr>
          <w:t>Table 4. Participant City / Town Residences (Disclosed) (minus East Tennessee cities / towns)</w:t>
        </w:r>
        <w:r w:rsidR="004E46CE">
          <w:rPr>
            <w:noProof/>
            <w:webHidden/>
          </w:rPr>
          <w:tab/>
        </w:r>
        <w:r w:rsidR="004E46CE">
          <w:rPr>
            <w:noProof/>
            <w:webHidden/>
          </w:rPr>
          <w:fldChar w:fldCharType="begin"/>
        </w:r>
        <w:r w:rsidR="004E46CE">
          <w:rPr>
            <w:noProof/>
            <w:webHidden/>
          </w:rPr>
          <w:instrText xml:space="preserve"> PAGEREF _Toc116675207 \h </w:instrText>
        </w:r>
        <w:r w:rsidR="004E46CE">
          <w:rPr>
            <w:noProof/>
            <w:webHidden/>
          </w:rPr>
        </w:r>
        <w:r w:rsidR="004E46CE">
          <w:rPr>
            <w:noProof/>
            <w:webHidden/>
          </w:rPr>
          <w:fldChar w:fldCharType="separate"/>
        </w:r>
        <w:r>
          <w:rPr>
            <w:noProof/>
            <w:webHidden/>
          </w:rPr>
          <w:t>242</w:t>
        </w:r>
        <w:r w:rsidR="004E46CE">
          <w:rPr>
            <w:noProof/>
            <w:webHidden/>
          </w:rPr>
          <w:fldChar w:fldCharType="end"/>
        </w:r>
      </w:hyperlink>
    </w:p>
    <w:p w14:paraId="5806C73E" w14:textId="07546450" w:rsidR="004E46CE" w:rsidRDefault="00567747">
      <w:pPr>
        <w:pStyle w:val="TableofFigures"/>
        <w:tabs>
          <w:tab w:val="right" w:leader="dot" w:pos="9350"/>
        </w:tabs>
        <w:rPr>
          <w:rFonts w:asciiTheme="minorHAnsi" w:eastAsiaTheme="minorEastAsia" w:hAnsiTheme="minorHAnsi" w:cstheme="minorBidi"/>
          <w:noProof/>
          <w:sz w:val="22"/>
          <w:szCs w:val="22"/>
        </w:rPr>
      </w:pPr>
      <w:hyperlink w:anchor="_Toc116675208" w:history="1">
        <w:r w:rsidR="004E46CE" w:rsidRPr="00301C17">
          <w:rPr>
            <w:rStyle w:val="Hyperlink"/>
            <w:noProof/>
          </w:rPr>
          <w:t>Table 5</w:t>
        </w:r>
        <w:r w:rsidR="004E46CE" w:rsidRPr="00301C17">
          <w:rPr>
            <w:rStyle w:val="Hyperlink"/>
            <w:bCs/>
            <w:noProof/>
          </w:rPr>
          <w:t>. Participant’s perceptions of whether place mattered in their healthcare experiences</w:t>
        </w:r>
        <w:r w:rsidR="004E46CE">
          <w:rPr>
            <w:noProof/>
            <w:webHidden/>
          </w:rPr>
          <w:tab/>
        </w:r>
        <w:r w:rsidR="004E46CE">
          <w:rPr>
            <w:noProof/>
            <w:webHidden/>
          </w:rPr>
          <w:fldChar w:fldCharType="begin"/>
        </w:r>
        <w:r w:rsidR="004E46CE">
          <w:rPr>
            <w:noProof/>
            <w:webHidden/>
          </w:rPr>
          <w:instrText xml:space="preserve"> PAGEREF _Toc116675208 \h </w:instrText>
        </w:r>
        <w:r w:rsidR="004E46CE">
          <w:rPr>
            <w:noProof/>
            <w:webHidden/>
          </w:rPr>
        </w:r>
        <w:r w:rsidR="004E46CE">
          <w:rPr>
            <w:noProof/>
            <w:webHidden/>
          </w:rPr>
          <w:fldChar w:fldCharType="separate"/>
        </w:r>
        <w:r>
          <w:rPr>
            <w:noProof/>
            <w:webHidden/>
          </w:rPr>
          <w:t>243</w:t>
        </w:r>
        <w:r w:rsidR="004E46CE">
          <w:rPr>
            <w:noProof/>
            <w:webHidden/>
          </w:rPr>
          <w:fldChar w:fldCharType="end"/>
        </w:r>
      </w:hyperlink>
    </w:p>
    <w:p w14:paraId="17167728" w14:textId="463C2BBB" w:rsidR="004E46CE" w:rsidRDefault="00567747">
      <w:pPr>
        <w:pStyle w:val="TableofFigures"/>
        <w:tabs>
          <w:tab w:val="right" w:leader="dot" w:pos="9350"/>
        </w:tabs>
        <w:rPr>
          <w:rFonts w:asciiTheme="minorHAnsi" w:eastAsiaTheme="minorEastAsia" w:hAnsiTheme="minorHAnsi" w:cstheme="minorBidi"/>
          <w:noProof/>
          <w:sz w:val="22"/>
          <w:szCs w:val="22"/>
        </w:rPr>
      </w:pPr>
      <w:hyperlink w:anchor="_Toc116675209" w:history="1">
        <w:r w:rsidR="004E46CE" w:rsidRPr="00301C17">
          <w:rPr>
            <w:rStyle w:val="Hyperlink"/>
            <w:noProof/>
          </w:rPr>
          <w:t>Table 6</w:t>
        </w:r>
        <w:r w:rsidR="004E46CE" w:rsidRPr="00301C17">
          <w:rPr>
            <w:rStyle w:val="Hyperlink"/>
            <w:bCs/>
            <w:noProof/>
          </w:rPr>
          <w:t>. Participants’ Recommendations to Policy and Decision Makers</w:t>
        </w:r>
        <w:r w:rsidR="004E46CE">
          <w:rPr>
            <w:noProof/>
            <w:webHidden/>
          </w:rPr>
          <w:tab/>
        </w:r>
        <w:r w:rsidR="004E46CE">
          <w:rPr>
            <w:noProof/>
            <w:webHidden/>
          </w:rPr>
          <w:fldChar w:fldCharType="begin"/>
        </w:r>
        <w:r w:rsidR="004E46CE">
          <w:rPr>
            <w:noProof/>
            <w:webHidden/>
          </w:rPr>
          <w:instrText xml:space="preserve"> PAGEREF _Toc116675209 \h </w:instrText>
        </w:r>
        <w:r w:rsidR="004E46CE">
          <w:rPr>
            <w:noProof/>
            <w:webHidden/>
          </w:rPr>
        </w:r>
        <w:r w:rsidR="004E46CE">
          <w:rPr>
            <w:noProof/>
            <w:webHidden/>
          </w:rPr>
          <w:fldChar w:fldCharType="separate"/>
        </w:r>
        <w:r>
          <w:rPr>
            <w:noProof/>
            <w:webHidden/>
          </w:rPr>
          <w:t>245</w:t>
        </w:r>
        <w:r w:rsidR="004E46CE">
          <w:rPr>
            <w:noProof/>
            <w:webHidden/>
          </w:rPr>
          <w:fldChar w:fldCharType="end"/>
        </w:r>
      </w:hyperlink>
    </w:p>
    <w:p w14:paraId="0ACEE9DB" w14:textId="53E60702" w:rsidR="00B43A3E" w:rsidRPr="00424BD3" w:rsidRDefault="004F35F0" w:rsidP="000126EE">
      <w:pPr>
        <w:numPr>
          <w:ilvl w:val="12"/>
          <w:numId w:val="0"/>
        </w:numPr>
        <w:spacing w:after="0" w:line="480" w:lineRule="auto"/>
        <w:jc w:val="center"/>
        <w:rPr>
          <w:rFonts w:cs="Arial"/>
        </w:rPr>
      </w:pPr>
      <w:r w:rsidRPr="00424BD3">
        <w:rPr>
          <w:rFonts w:ascii="Times New Roman" w:eastAsia="Times New Roman" w:hAnsi="Times New Roman" w:cs="Times New Roman"/>
          <w:szCs w:val="24"/>
        </w:rPr>
        <w:fldChar w:fldCharType="end"/>
      </w:r>
    </w:p>
    <w:p w14:paraId="124A043F" w14:textId="56BC8ECD" w:rsidR="001D2269" w:rsidRPr="00424BD3" w:rsidRDefault="001E5A95" w:rsidP="00237A36">
      <w:pPr>
        <w:spacing w:after="0" w:line="480" w:lineRule="auto"/>
        <w:rPr>
          <w:rFonts w:cs="Arial"/>
          <w:b/>
          <w:bCs/>
          <w:szCs w:val="24"/>
        </w:rPr>
        <w:sectPr w:rsidR="001D2269" w:rsidRPr="00424BD3" w:rsidSect="004D4B71">
          <w:headerReference w:type="default" r:id="rId13"/>
          <w:pgSz w:w="12240" w:h="15840"/>
          <w:pgMar w:top="1440" w:right="1440" w:bottom="1440" w:left="1440" w:header="720" w:footer="720" w:gutter="0"/>
          <w:pgNumType w:fmt="lowerRoman"/>
          <w:cols w:space="720"/>
          <w:docGrid w:linePitch="360"/>
        </w:sectPr>
      </w:pPr>
      <w:r w:rsidRPr="00424BD3">
        <w:br w:type="page"/>
      </w:r>
    </w:p>
    <w:p w14:paraId="16F25F84" w14:textId="77777777" w:rsidR="00C90622" w:rsidRPr="00424BD3" w:rsidRDefault="008844E4" w:rsidP="00C90622">
      <w:pPr>
        <w:pStyle w:val="Heading1"/>
        <w:spacing w:before="0" w:line="480" w:lineRule="auto"/>
        <w:jc w:val="center"/>
        <w:rPr>
          <w:rFonts w:ascii="Arial" w:hAnsi="Arial" w:cs="Arial"/>
          <w:b/>
          <w:bCs/>
          <w:color w:val="auto"/>
          <w:sz w:val="24"/>
          <w:szCs w:val="24"/>
        </w:rPr>
      </w:pPr>
      <w:bookmarkStart w:id="0" w:name="_Toc118232275"/>
      <w:r w:rsidRPr="00424BD3">
        <w:rPr>
          <w:rFonts w:ascii="Arial" w:hAnsi="Arial" w:cs="Arial"/>
          <w:b/>
          <w:bCs/>
          <w:color w:val="auto"/>
          <w:sz w:val="24"/>
          <w:szCs w:val="24"/>
        </w:rPr>
        <w:lastRenderedPageBreak/>
        <w:t>CHAPTER ONE</w:t>
      </w:r>
      <w:bookmarkEnd w:id="0"/>
    </w:p>
    <w:p w14:paraId="19443AD4" w14:textId="133FF04C" w:rsidR="008844E4" w:rsidRPr="00424BD3" w:rsidRDefault="008844E4" w:rsidP="00C90622">
      <w:pPr>
        <w:pStyle w:val="Heading1"/>
        <w:spacing w:before="0" w:line="480" w:lineRule="auto"/>
        <w:jc w:val="center"/>
        <w:rPr>
          <w:rFonts w:ascii="Arial" w:hAnsi="Arial" w:cs="Arial"/>
          <w:b/>
          <w:bCs/>
          <w:color w:val="auto"/>
          <w:sz w:val="24"/>
          <w:szCs w:val="24"/>
        </w:rPr>
      </w:pPr>
      <w:bookmarkStart w:id="1" w:name="_Toc118232276"/>
      <w:r w:rsidRPr="00424BD3">
        <w:rPr>
          <w:rFonts w:ascii="Arial" w:hAnsi="Arial" w:cs="Arial"/>
          <w:b/>
          <w:bCs/>
          <w:color w:val="auto"/>
          <w:sz w:val="24"/>
          <w:szCs w:val="24"/>
        </w:rPr>
        <w:t>INTRODUCTION AND GENERAL INFORMATION</w:t>
      </w:r>
      <w:bookmarkEnd w:id="1"/>
    </w:p>
    <w:p w14:paraId="699189AB" w14:textId="77777777" w:rsidR="008844E4" w:rsidRPr="00424BD3" w:rsidRDefault="008844E4" w:rsidP="000126EE">
      <w:pPr>
        <w:spacing w:after="0" w:line="480" w:lineRule="auto"/>
        <w:rPr>
          <w:rFonts w:cs="Arial"/>
          <w:szCs w:val="24"/>
        </w:rPr>
      </w:pPr>
    </w:p>
    <w:p w14:paraId="0F5B425F" w14:textId="2503A8A1" w:rsidR="008844E4" w:rsidRPr="00424BD3" w:rsidRDefault="008844E4" w:rsidP="000126EE">
      <w:pPr>
        <w:spacing w:after="0" w:line="480" w:lineRule="auto"/>
        <w:ind w:firstLine="720"/>
        <w:rPr>
          <w:rFonts w:cs="Arial"/>
          <w:szCs w:val="24"/>
        </w:rPr>
      </w:pPr>
      <w:r w:rsidRPr="00424BD3">
        <w:rPr>
          <w:rFonts w:cs="Arial"/>
          <w:szCs w:val="24"/>
        </w:rPr>
        <w:t>In this dissertation you</w:t>
      </w:r>
      <w:r w:rsidR="00CC0833" w:rsidRPr="00424BD3">
        <w:rPr>
          <w:rFonts w:cs="Arial"/>
          <w:szCs w:val="24"/>
        </w:rPr>
        <w:t xml:space="preserve"> will</w:t>
      </w:r>
      <w:r w:rsidRPr="00424BD3">
        <w:rPr>
          <w:rFonts w:cs="Arial"/>
          <w:szCs w:val="24"/>
        </w:rPr>
        <w:t xml:space="preserve"> meet twelve women: Anita (now </w:t>
      </w:r>
      <w:r w:rsidR="00202F3F" w:rsidRPr="00424BD3">
        <w:rPr>
          <w:rFonts w:cs="Arial"/>
          <w:szCs w:val="24"/>
        </w:rPr>
        <w:t xml:space="preserve">age </w:t>
      </w:r>
      <w:r w:rsidRPr="00424BD3">
        <w:rPr>
          <w:rFonts w:cs="Arial"/>
          <w:szCs w:val="24"/>
        </w:rPr>
        <w:t xml:space="preserve">76), Mary (now </w:t>
      </w:r>
      <w:r w:rsidR="00202F3F" w:rsidRPr="00424BD3">
        <w:rPr>
          <w:rFonts w:cs="Arial"/>
          <w:szCs w:val="24"/>
        </w:rPr>
        <w:t xml:space="preserve">age </w:t>
      </w:r>
      <w:r w:rsidRPr="00424BD3">
        <w:rPr>
          <w:rFonts w:cs="Arial"/>
          <w:szCs w:val="24"/>
        </w:rPr>
        <w:t>75), Sharon, Margaret, and Ruth (all now</w:t>
      </w:r>
      <w:r w:rsidR="00202F3F" w:rsidRPr="00424BD3">
        <w:rPr>
          <w:rFonts w:cs="Arial"/>
          <w:szCs w:val="24"/>
        </w:rPr>
        <w:t xml:space="preserve"> age</w:t>
      </w:r>
      <w:r w:rsidRPr="00424BD3">
        <w:rPr>
          <w:rFonts w:cs="Arial"/>
          <w:szCs w:val="24"/>
        </w:rPr>
        <w:t xml:space="preserve"> 71), Deborah and Sylvia (both now </w:t>
      </w:r>
      <w:r w:rsidR="00202F3F" w:rsidRPr="00424BD3">
        <w:rPr>
          <w:rFonts w:cs="Arial"/>
          <w:szCs w:val="24"/>
        </w:rPr>
        <w:t xml:space="preserve">age </w:t>
      </w:r>
      <w:r w:rsidRPr="00424BD3">
        <w:rPr>
          <w:rFonts w:cs="Arial"/>
          <w:szCs w:val="24"/>
        </w:rPr>
        <w:t xml:space="preserve">70), Peggy and Barbara (both now </w:t>
      </w:r>
      <w:r w:rsidR="00202F3F" w:rsidRPr="00424BD3">
        <w:rPr>
          <w:rFonts w:cs="Arial"/>
          <w:szCs w:val="24"/>
        </w:rPr>
        <w:t xml:space="preserve">age </w:t>
      </w:r>
      <w:r w:rsidRPr="00424BD3">
        <w:rPr>
          <w:rFonts w:cs="Arial"/>
          <w:szCs w:val="24"/>
        </w:rPr>
        <w:t xml:space="preserve">69), Kathryn (now </w:t>
      </w:r>
      <w:r w:rsidR="00202F3F" w:rsidRPr="00424BD3">
        <w:rPr>
          <w:rFonts w:cs="Arial"/>
          <w:szCs w:val="24"/>
        </w:rPr>
        <w:t xml:space="preserve">age </w:t>
      </w:r>
      <w:r w:rsidRPr="00424BD3">
        <w:rPr>
          <w:rFonts w:cs="Arial"/>
          <w:szCs w:val="24"/>
        </w:rPr>
        <w:t xml:space="preserve">68), Carolyn (now </w:t>
      </w:r>
      <w:r w:rsidR="00202F3F" w:rsidRPr="00424BD3">
        <w:rPr>
          <w:rFonts w:cs="Arial"/>
          <w:szCs w:val="24"/>
        </w:rPr>
        <w:t xml:space="preserve">age </w:t>
      </w:r>
      <w:r w:rsidRPr="00424BD3">
        <w:rPr>
          <w:rFonts w:cs="Arial"/>
          <w:szCs w:val="24"/>
        </w:rPr>
        <w:t xml:space="preserve">67), and Cynthia (now </w:t>
      </w:r>
      <w:r w:rsidR="00202F3F" w:rsidRPr="00424BD3">
        <w:rPr>
          <w:rFonts w:cs="Arial"/>
          <w:szCs w:val="24"/>
        </w:rPr>
        <w:t xml:space="preserve">age </w:t>
      </w:r>
      <w:r w:rsidRPr="00424BD3">
        <w:rPr>
          <w:rFonts w:cs="Arial"/>
          <w:szCs w:val="24"/>
        </w:rPr>
        <w:t>66)</w:t>
      </w:r>
      <w:r w:rsidR="00202F3F" w:rsidRPr="00846A04">
        <w:rPr>
          <w:rStyle w:val="FootnoteReference"/>
        </w:rPr>
        <w:footnoteReference w:id="1"/>
      </w:r>
      <w:r w:rsidRPr="00424BD3">
        <w:rPr>
          <w:rFonts w:cs="Arial"/>
          <w:szCs w:val="24"/>
        </w:rPr>
        <w:t>. They are older women living ‘ordinary’ lives in East Tennessee, and, like millions of other older women across the United States</w:t>
      </w:r>
      <w:r w:rsidR="00634177" w:rsidRPr="00424BD3">
        <w:rPr>
          <w:rFonts w:cs="Arial"/>
          <w:szCs w:val="24"/>
        </w:rPr>
        <w:t>, t</w:t>
      </w:r>
      <w:r w:rsidRPr="00424BD3">
        <w:rPr>
          <w:rFonts w:cs="Arial"/>
          <w:szCs w:val="24"/>
        </w:rPr>
        <w:t xml:space="preserve">hey have overcome incredible familial, individual, social, cultural, and geopolitical challenges to reach older age. They have traveled and worked around the </w:t>
      </w:r>
      <w:r w:rsidR="00ED04D8" w:rsidRPr="00424BD3">
        <w:rPr>
          <w:rFonts w:cs="Arial"/>
          <w:szCs w:val="24"/>
        </w:rPr>
        <w:t>U.S.</w:t>
      </w:r>
      <w:r w:rsidRPr="00424BD3">
        <w:rPr>
          <w:rFonts w:cs="Arial"/>
          <w:szCs w:val="24"/>
        </w:rPr>
        <w:t xml:space="preserve"> and the world, created careers in male dominated industries, started their own businesses, completed their education</w:t>
      </w:r>
      <w:r w:rsidR="001F583F" w:rsidRPr="00424BD3">
        <w:rPr>
          <w:rFonts w:cs="Arial"/>
          <w:szCs w:val="24"/>
        </w:rPr>
        <w:t xml:space="preserve"> ranging</w:t>
      </w:r>
      <w:r w:rsidRPr="00424BD3">
        <w:rPr>
          <w:rFonts w:cs="Arial"/>
          <w:szCs w:val="24"/>
        </w:rPr>
        <w:t xml:space="preserve"> from high school to PhD, married, divorced, raised families, lost parents, spouses</w:t>
      </w:r>
      <w:r w:rsidR="00DC6FD9">
        <w:rPr>
          <w:rFonts w:cs="Arial"/>
          <w:szCs w:val="24"/>
        </w:rPr>
        <w:t>,</w:t>
      </w:r>
      <w:r w:rsidRPr="00424BD3">
        <w:rPr>
          <w:rFonts w:cs="Arial"/>
          <w:szCs w:val="24"/>
        </w:rPr>
        <w:t xml:space="preserve"> and children, become caretakers of family members, fought battles for </w:t>
      </w:r>
      <w:r w:rsidR="00EA72D3" w:rsidRPr="00424BD3">
        <w:rPr>
          <w:rFonts w:cs="Arial"/>
          <w:szCs w:val="24"/>
        </w:rPr>
        <w:t xml:space="preserve">the </w:t>
      </w:r>
      <w:r w:rsidRPr="00424BD3">
        <w:rPr>
          <w:rFonts w:cs="Arial"/>
          <w:szCs w:val="24"/>
        </w:rPr>
        <w:t xml:space="preserve">healthcare of their loved ones, and contributed their time, effort, and skills to volunteering in and supporting their communities. They poured themselves into the places in which they lived, </w:t>
      </w:r>
      <w:r w:rsidR="009B36EC" w:rsidRPr="00424BD3">
        <w:rPr>
          <w:rFonts w:cs="Arial"/>
          <w:szCs w:val="24"/>
        </w:rPr>
        <w:t xml:space="preserve">some </w:t>
      </w:r>
      <w:r w:rsidRPr="00424BD3">
        <w:rPr>
          <w:rFonts w:cs="Arial"/>
          <w:szCs w:val="24"/>
        </w:rPr>
        <w:t xml:space="preserve">doing all of this while growing up in the Jim Crow </w:t>
      </w:r>
      <w:r w:rsidR="003D5650" w:rsidRPr="00424BD3">
        <w:rPr>
          <w:rFonts w:cs="Arial"/>
          <w:szCs w:val="24"/>
        </w:rPr>
        <w:t xml:space="preserve">American </w:t>
      </w:r>
      <w:r w:rsidR="001A18E0" w:rsidRPr="00424BD3">
        <w:rPr>
          <w:rFonts w:cs="Arial"/>
          <w:szCs w:val="24"/>
        </w:rPr>
        <w:t>S</w:t>
      </w:r>
      <w:r w:rsidR="003D5650" w:rsidRPr="00424BD3">
        <w:rPr>
          <w:rFonts w:cs="Arial"/>
          <w:szCs w:val="24"/>
        </w:rPr>
        <w:t>out</w:t>
      </w:r>
      <w:r w:rsidR="0046433E" w:rsidRPr="00424BD3">
        <w:rPr>
          <w:rFonts w:cs="Arial"/>
          <w:szCs w:val="24"/>
        </w:rPr>
        <w:t>h</w:t>
      </w:r>
      <w:r w:rsidR="0046433E" w:rsidRPr="00846A04">
        <w:rPr>
          <w:rStyle w:val="FootnoteReference"/>
        </w:rPr>
        <w:footnoteReference w:id="2"/>
      </w:r>
      <w:r w:rsidR="00EA72D3" w:rsidRPr="00424BD3">
        <w:rPr>
          <w:rFonts w:cs="Arial"/>
          <w:szCs w:val="24"/>
        </w:rPr>
        <w:t xml:space="preserve"> </w:t>
      </w:r>
      <w:r w:rsidRPr="00424BD3">
        <w:rPr>
          <w:rFonts w:cs="Arial"/>
          <w:szCs w:val="24"/>
        </w:rPr>
        <w:t xml:space="preserve">and living through the imposed norms, discrimination, and systems designed to limit women’s rights in </w:t>
      </w:r>
      <w:r w:rsidR="007A4C09" w:rsidRPr="00424BD3">
        <w:rPr>
          <w:rFonts w:cs="Arial"/>
          <w:szCs w:val="24"/>
        </w:rPr>
        <w:t xml:space="preserve">the </w:t>
      </w:r>
      <w:r w:rsidRPr="00424BD3">
        <w:rPr>
          <w:rFonts w:cs="Arial"/>
          <w:szCs w:val="24"/>
        </w:rPr>
        <w:t>mid-</w:t>
      </w:r>
      <w:r w:rsidR="007A4C09" w:rsidRPr="00424BD3">
        <w:rPr>
          <w:rFonts w:cs="Arial"/>
          <w:szCs w:val="24"/>
        </w:rPr>
        <w:t>20</w:t>
      </w:r>
      <w:r w:rsidR="007A4C09" w:rsidRPr="00424BD3">
        <w:rPr>
          <w:rFonts w:cs="Arial"/>
          <w:szCs w:val="24"/>
          <w:vertAlign w:val="superscript"/>
        </w:rPr>
        <w:t>th</w:t>
      </w:r>
      <w:r w:rsidR="007A4C09" w:rsidRPr="00424BD3">
        <w:rPr>
          <w:rFonts w:cs="Arial"/>
          <w:szCs w:val="24"/>
        </w:rPr>
        <w:t xml:space="preserve"> </w:t>
      </w:r>
      <w:r w:rsidR="00DC6FD9">
        <w:rPr>
          <w:rFonts w:cs="Arial"/>
          <w:szCs w:val="24"/>
        </w:rPr>
        <w:t>c</w:t>
      </w:r>
      <w:r w:rsidRPr="00424BD3">
        <w:rPr>
          <w:rFonts w:cs="Arial"/>
          <w:szCs w:val="24"/>
        </w:rPr>
        <w:t xml:space="preserve">entury United States. In other words, they did this in communities and a country they loved that did not necessarily love them </w:t>
      </w:r>
      <w:r w:rsidRPr="00424BD3">
        <w:rPr>
          <w:rFonts w:cs="Arial"/>
          <w:szCs w:val="24"/>
        </w:rPr>
        <w:lastRenderedPageBreak/>
        <w:t xml:space="preserve">back, especially </w:t>
      </w:r>
      <w:r w:rsidR="00C44833" w:rsidRPr="00424BD3">
        <w:rPr>
          <w:rFonts w:cs="Arial"/>
          <w:szCs w:val="24"/>
        </w:rPr>
        <w:t xml:space="preserve">minoritized </w:t>
      </w:r>
      <w:r w:rsidRPr="00424BD3">
        <w:rPr>
          <w:rFonts w:cs="Arial"/>
          <w:szCs w:val="24"/>
        </w:rPr>
        <w:t>women. In fact, through that lens, some might call older women extraordinary. I do.</w:t>
      </w:r>
    </w:p>
    <w:p w14:paraId="3B0DFF31" w14:textId="5C3CC3C9" w:rsidR="008844E4" w:rsidRPr="00424BD3" w:rsidRDefault="008844E4" w:rsidP="000126EE">
      <w:pPr>
        <w:spacing w:after="0" w:line="480" w:lineRule="auto"/>
        <w:ind w:firstLine="720"/>
        <w:rPr>
          <w:rFonts w:cs="Arial"/>
          <w:szCs w:val="24"/>
        </w:rPr>
      </w:pPr>
      <w:r w:rsidRPr="00424BD3">
        <w:rPr>
          <w:rFonts w:cs="Arial"/>
          <w:szCs w:val="24"/>
        </w:rPr>
        <w:t xml:space="preserve">Much has changed in their lifetimes. Yet, their experience today is that of getting older in a country that </w:t>
      </w:r>
      <w:r w:rsidR="004C2859" w:rsidRPr="00424BD3">
        <w:rPr>
          <w:rFonts w:cs="Arial"/>
          <w:szCs w:val="24"/>
        </w:rPr>
        <w:t xml:space="preserve">has never </w:t>
      </w:r>
      <w:r w:rsidRPr="00424BD3">
        <w:rPr>
          <w:rFonts w:cs="Arial"/>
          <w:szCs w:val="24"/>
        </w:rPr>
        <w:t>consider</w:t>
      </w:r>
      <w:r w:rsidR="004C2859" w:rsidRPr="00424BD3">
        <w:rPr>
          <w:rFonts w:cs="Arial"/>
          <w:szCs w:val="24"/>
        </w:rPr>
        <w:t>ed</w:t>
      </w:r>
      <w:r w:rsidRPr="00424BD3">
        <w:rPr>
          <w:rFonts w:cs="Arial"/>
          <w:szCs w:val="24"/>
        </w:rPr>
        <w:t xml:space="preserve"> healthcare a human right </w:t>
      </w:r>
      <w:r w:rsidRPr="00424BD3">
        <w:rPr>
          <w:rFonts w:cs="Arial"/>
        </w:rPr>
        <w:t>(Heeb et al., 2021)</w:t>
      </w:r>
      <w:r w:rsidRPr="00424BD3">
        <w:rPr>
          <w:rFonts w:cs="Arial"/>
          <w:szCs w:val="24"/>
        </w:rPr>
        <w:t xml:space="preserve">, of living in a state that </w:t>
      </w:r>
      <w:r w:rsidR="004C2859" w:rsidRPr="00424BD3">
        <w:rPr>
          <w:rFonts w:cs="Arial"/>
          <w:szCs w:val="24"/>
        </w:rPr>
        <w:t>does</w:t>
      </w:r>
      <w:r w:rsidRPr="00424BD3">
        <w:rPr>
          <w:rFonts w:cs="Arial"/>
          <w:szCs w:val="24"/>
        </w:rPr>
        <w:t xml:space="preserve"> not accept federal funding to fill gaps in insurance coverage that would allow many of them to receive financial support </w:t>
      </w:r>
      <w:r w:rsidR="005700F7" w:rsidRPr="00424BD3">
        <w:rPr>
          <w:rFonts w:cs="Arial"/>
          <w:szCs w:val="24"/>
        </w:rPr>
        <w:t xml:space="preserve">/ </w:t>
      </w:r>
      <w:r w:rsidRPr="00424BD3">
        <w:rPr>
          <w:rFonts w:cs="Arial"/>
          <w:szCs w:val="24"/>
        </w:rPr>
        <w:t xml:space="preserve">resources they currently don’t have </w:t>
      </w:r>
      <w:r w:rsidRPr="00424BD3">
        <w:rPr>
          <w:rFonts w:cs="Arial"/>
        </w:rPr>
        <w:t>(Park, 2021; Rosenbaum et al., 2016)</w:t>
      </w:r>
      <w:r w:rsidRPr="00424BD3">
        <w:rPr>
          <w:rFonts w:cs="Arial"/>
          <w:szCs w:val="24"/>
        </w:rPr>
        <w:t xml:space="preserve">, and who face extraordinary pressuring and stigmatizing geopolitical and social norms that exacerbate the health inequities they </w:t>
      </w:r>
      <w:r w:rsidR="007802F1" w:rsidRPr="00424BD3">
        <w:rPr>
          <w:rFonts w:cs="Arial"/>
          <w:szCs w:val="24"/>
        </w:rPr>
        <w:t xml:space="preserve">may </w:t>
      </w:r>
      <w:r w:rsidRPr="00424BD3">
        <w:rPr>
          <w:rFonts w:cs="Arial"/>
          <w:szCs w:val="24"/>
        </w:rPr>
        <w:t xml:space="preserve">face as older women in southern Appalachia </w:t>
      </w:r>
      <w:r w:rsidRPr="00424BD3">
        <w:rPr>
          <w:rFonts w:cs="Arial"/>
          <w:szCs w:val="24"/>
        </w:rPr>
        <w:fldChar w:fldCharType="begin"/>
      </w:r>
      <w:r w:rsidR="00D52B29">
        <w:rPr>
          <w:rFonts w:cs="Arial"/>
          <w:szCs w:val="24"/>
        </w:rPr>
        <w:instrText xml:space="preserve"> ADDIN ZOTERO_ITEM CSL_CITATION {"citationID":"3uqd05oV","properties":{"formattedCitation":"(Arber, 2006; Bierman &amp; Clancy, 2001; CAB, 2017; McGuire et al., 2008; Miller &amp; Vasan, 2021a; Velez et al., 2019; WHO, 2007)","plainCitation":"(Arber, 2006; Bierman &amp; Clancy, 2001; CAB, 2017; McGuire et al., 2008; Miller &amp; Vasan, 2021a; Velez et al., 2019; WHO, 2007)","noteIndex":0},"citationItems":[{"id":583,"uris":["http://zotero.org/users/4946941/items/65XXARN7"],"itemData":{"id":583,"type":"chapter","container-title":"Ageing and diversity: Multiple pathways and cultural migrations","event-place":"Britol","page":"61-76","publisher":"Policy Press","publisher-place":"Britol","title":"Gender trajectories: How age and marital status influence patterns of gender inequality in later life","author":[{"family":"Arber","given":"Sara"}],"issued":{"date-parts":[["2006"]]}}},{"id":605,"uris":["http://zotero.org/users/4946941/items/I97EFADJ"],"itemData":{"id":605,"type":"article-journal","abstract":"Older women experience a high burden of chronic illness, disability, and comorbidity, and this burden is highest among socioeconomically disadvantaged and minority women. The consequences of a mismatch between the organization, delivery, and financing of health care for older women and their actual needs fall disproportionately on low-income and minority women. New sources of data, such as the Medicare Health Outcomes Survey, a new quality measure for Medicare+Choice plans, will provide valuable information to practitioners about the health and functioning of older women in general and about socioeconomically disadvantaged and minority women in particular. This information can be used to develop and implement interventions to improve the quality and outcomes of care for vulnerable subgroups of older women. There is cause for optimism that by improving the quality of clinical preventive services and the management of common chronic conditions and geriatric syndromes it will be possible to improve functional health outcomes, prevent or postpone disability, and extend active life expectancy for all older women while making progress toward eliminating health disparities among the most disadvantaged.","container-title":"Journal of the American Medical Women's Association (1972)","ISSN":"1551-8221","issue":"4","journalAbbreviation":"J Am Med Womens Assoc (1972)","language":"eng","note":"PMID: 11759783","page":"155-9, 188","source":"Europe PMC","title":"Health disparities among older women: identifying opportunities to improve quality of care and functional health outcomes","title-short":"Health disparities among older women","volume":"56","author":[{"family":"Bierman","given":"A S"},{"family":"Clancy","given":"C M"}],"issued":{"date-parts":[["2001",1,1]]}}},{"id":930,"uris":["http://zotero.org/users/4946941/items/YP85Q6HX"],"itemData":{"id":930,"type":"document","language":"https://www.ageing-better.org.uk/sites/default/files/2017-12/Inequalities%20insight%20report.pdf","publisher":"Centre for Ageing Better (CAB)","title":"Inequalities in Later Life. The issue and the implications for policy and practice.","author":[{"family":"CAB","given":""}],"issued":{"date-parts":[["2017"]]}}},{"id":731,"uris":["http://zotero.org/users/4946941/items/N6KN4GF3"],"itemData":{"id":731,"type":"article-journal","container-title":"Nursing &amp; Health Sciences","DOI":"10.1111/j.1442-2018.2007.00336.x","issue":"1","language":"en","page":"11–16","title":"Ageism revisited: A study measuring ageism in East Tennessee, USA","volume":"10","author":[{"family":"McGuire","given":"S.L."},{"family":"Klein","given":"D.A."},{"family":"Chen","given":"S.L."}],"issued":{"date-parts":[["2008"]]}}},{"id":1175,"uris":["http://zotero.org/users/4946941/items/I555ZXT2"],"itemData":{"id":1175,"type":"article-journal","abstract":"Rural-urban differences in morbidity and mortality across the United States have been well documented and termed the “rural mortality penalty”. However, research studies frequently treat rural areas as homogeneous and often do not account for geospatial variability in rural health risks by both county, state, region, race, and sex within the United States. Additionally, people living in the rural South of the US have higher rates of morbidity and mortality compared to both their urban counterparts and other rural areas. Of those living in southern rural communities, people of color experience higher rates of death and disease compared to white populations. Although there is a wealth of research that uses individual-level behaviors to explain rural-urban health disparities, there is less focus on how community and structural factors influence these differences. This review focuses on the “southern rural health penalty”, a term coined by the authors, which refers to the high rate of mortality and morbidity in southern rural areas in the USA compared to both urban areas and non-southern rural places. We use macrosocial determinants of health to explain possible reasons for the “southern rural health penalty”. This review can guide future research on rural health between southern and non-southern populations in the US and examine if macrosocial determinants of health can explain health disparities within southern rural populations.","container-title":"Social Science &amp; Medicine","DOI":"10.1016/j.socscimed.2020.113443","ISSN":"0277-9536","journalAbbreviation":"Social Science &amp; Medicine","language":"en","page":"113443","source":"ScienceDirect","title":"The southern rural health and mortality penalty: A review of regional health inequities in the United States","title-short":"The southern rural health and mortality penalty","volume":"268","author":[{"family":"Miller","given":"Charlotte E."},{"family":"Vasan","given":"Ramachandran S."}],"issued":{"date-parts":[["2021",1,1]]}}},{"id":854,"uris":["http://zotero.org/users/4946941/items/9LK9FFXH"],"itemData":{"id":854,"type":"article-journal","container-title":"Data in brief","language":"en","page":"103811","title":"Data on the association between age at natural menopause and physical function in older women from the International Mobility in Aging Study (IMIAS","volume":"23","author":[{"family":"Velez","given":"M.P."},{"family":"Rosendaal","given":"N."},{"family":"Alvarado","given":"B."},{"family":"Câmara","given":"S."},{"family":"Belanger","given":"E."},{"family":"Pirkle","given":"C.M."}],"issued":{"date-parts":[["2019"]]}}},{"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gender","URL":"https://apps.who.int/iris/bitstream/handle/10665/43810/9789241563529_eng.pdf","author":[{"family":"WHO","given":""}],"issued":{"date-parts":[["2007"]]}},"label":"page"}],"schema":"https://github.com/citation-style-language/schema/raw/master/csl-citation.json"} </w:instrText>
      </w:r>
      <w:r w:rsidRPr="00424BD3">
        <w:rPr>
          <w:rFonts w:cs="Arial"/>
          <w:szCs w:val="24"/>
        </w:rPr>
        <w:fldChar w:fldCharType="separate"/>
      </w:r>
      <w:r w:rsidR="0046301F" w:rsidRPr="0046301F">
        <w:rPr>
          <w:rFonts w:cs="Arial"/>
        </w:rPr>
        <w:t>(Arber, 2006; Bierman &amp; Clancy, 2001; CAB, 2017; McGuire et al., 2008; Miller &amp; Vasan, 2021a; Velez et al., 2019; WHO, 2007)</w:t>
      </w:r>
      <w:r w:rsidRPr="00424BD3">
        <w:rPr>
          <w:rFonts w:cs="Arial"/>
          <w:szCs w:val="24"/>
        </w:rPr>
        <w:fldChar w:fldCharType="end"/>
      </w:r>
      <w:r w:rsidRPr="00424BD3">
        <w:rPr>
          <w:rFonts w:cs="Arial"/>
          <w:szCs w:val="24"/>
        </w:rPr>
        <w:t>.</w:t>
      </w:r>
    </w:p>
    <w:p w14:paraId="2303DBFC" w14:textId="78FF4BBD" w:rsidR="008844E4" w:rsidRPr="00424BD3" w:rsidRDefault="009E6CFF" w:rsidP="000126EE">
      <w:pPr>
        <w:spacing w:after="0" w:line="480" w:lineRule="auto"/>
        <w:ind w:firstLine="720"/>
        <w:rPr>
          <w:rFonts w:cs="Arial"/>
          <w:szCs w:val="24"/>
        </w:rPr>
      </w:pPr>
      <w:r w:rsidRPr="00424BD3">
        <w:rPr>
          <w:rFonts w:cs="Arial"/>
          <w:szCs w:val="24"/>
        </w:rPr>
        <w:t xml:space="preserve">This study was </w:t>
      </w:r>
      <w:r w:rsidR="008844E4" w:rsidRPr="00424BD3">
        <w:rPr>
          <w:rFonts w:cs="Arial"/>
          <w:szCs w:val="24"/>
        </w:rPr>
        <w:t>undert</w:t>
      </w:r>
      <w:r w:rsidRPr="00424BD3">
        <w:rPr>
          <w:rFonts w:cs="Arial"/>
          <w:szCs w:val="24"/>
        </w:rPr>
        <w:t>aken</w:t>
      </w:r>
      <w:r w:rsidR="008844E4" w:rsidRPr="00424BD3">
        <w:rPr>
          <w:rFonts w:cs="Arial"/>
          <w:szCs w:val="24"/>
        </w:rPr>
        <w:t xml:space="preserve"> in order to gather and examine these women’s situated experiences of the circumstances in which they were born, grew up</w:t>
      </w:r>
      <w:r w:rsidR="00D721B4">
        <w:rPr>
          <w:rFonts w:cs="Arial"/>
          <w:szCs w:val="24"/>
        </w:rPr>
        <w:t>,</w:t>
      </w:r>
      <w:r w:rsidR="008844E4" w:rsidRPr="00424BD3">
        <w:rPr>
          <w:rFonts w:cs="Arial"/>
          <w:szCs w:val="24"/>
        </w:rPr>
        <w:t xml:space="preserve"> and live</w:t>
      </w:r>
      <w:r w:rsidR="00420F33" w:rsidRPr="00424BD3">
        <w:rPr>
          <w:rFonts w:cs="Arial"/>
          <w:szCs w:val="24"/>
        </w:rPr>
        <w:t xml:space="preserve">, as well as </w:t>
      </w:r>
      <w:r w:rsidR="008844E4" w:rsidRPr="00424BD3">
        <w:rPr>
          <w:rFonts w:cs="Arial"/>
          <w:szCs w:val="24"/>
        </w:rPr>
        <w:t>to learn how they perceive those circumstances (i.e., determinants) in relation to their and their families’ health, illnesses</w:t>
      </w:r>
      <w:r w:rsidR="00D721B4">
        <w:rPr>
          <w:rFonts w:cs="Arial"/>
          <w:szCs w:val="24"/>
        </w:rPr>
        <w:t>,</w:t>
      </w:r>
      <w:r w:rsidR="008844E4" w:rsidRPr="00424BD3">
        <w:rPr>
          <w:rFonts w:cs="Arial"/>
          <w:szCs w:val="24"/>
        </w:rPr>
        <w:t xml:space="preserve"> and deaths. </w:t>
      </w:r>
      <w:r w:rsidR="00DE327D" w:rsidRPr="00424BD3">
        <w:rPr>
          <w:rFonts w:cs="Arial"/>
          <w:szCs w:val="24"/>
        </w:rPr>
        <w:t xml:space="preserve">One purpose was to learn </w:t>
      </w:r>
      <w:r w:rsidR="008844E4" w:rsidRPr="00424BD3">
        <w:rPr>
          <w:rFonts w:cs="Arial"/>
          <w:szCs w:val="24"/>
        </w:rPr>
        <w:t xml:space="preserve">what they knew about the social determinants of health and the systemic factors impacting their health inequities as well as how these determinants had played out genealogically across their families. </w:t>
      </w:r>
      <w:r w:rsidR="00DE327D" w:rsidRPr="00424BD3">
        <w:rPr>
          <w:rFonts w:cs="Arial"/>
          <w:szCs w:val="24"/>
        </w:rPr>
        <w:t xml:space="preserve">Another purpose was to learn </w:t>
      </w:r>
      <w:r w:rsidR="008844E4" w:rsidRPr="00424BD3">
        <w:rPr>
          <w:rFonts w:cs="Arial"/>
          <w:szCs w:val="24"/>
        </w:rPr>
        <w:t>what they wanted policymakers and decisionmakers to know about them, and what they need. It turns out, that what these women wanted, more than anything, was to be heard - to have someone listen to what they are going through and what they have endured, what they historically needed and need today regarding their health, how joy and tragedy entered and impacted their and their families’ health, and how other people (and systems) have treated them. The</w:t>
      </w:r>
      <w:r w:rsidR="00DC6FD9">
        <w:rPr>
          <w:rFonts w:cs="Arial"/>
          <w:szCs w:val="24"/>
        </w:rPr>
        <w:t xml:space="preserve">y </w:t>
      </w:r>
      <w:r w:rsidR="00DC6FD9">
        <w:rPr>
          <w:rFonts w:cs="Arial"/>
          <w:szCs w:val="24"/>
        </w:rPr>
        <w:lastRenderedPageBreak/>
        <w:t xml:space="preserve">were asked </w:t>
      </w:r>
      <w:r w:rsidR="008844E4" w:rsidRPr="00424BD3">
        <w:rPr>
          <w:rFonts w:cs="Arial"/>
          <w:szCs w:val="24"/>
        </w:rPr>
        <w:t>to tell</w:t>
      </w:r>
      <w:r w:rsidR="00305B7A" w:rsidRPr="00424BD3">
        <w:rPr>
          <w:rFonts w:cs="Arial"/>
          <w:szCs w:val="24"/>
        </w:rPr>
        <w:t xml:space="preserve">, </w:t>
      </w:r>
      <w:r w:rsidR="008844E4" w:rsidRPr="00424BD3">
        <w:rPr>
          <w:rFonts w:cs="Arial"/>
          <w:szCs w:val="24"/>
        </w:rPr>
        <w:t>in-depth</w:t>
      </w:r>
      <w:r w:rsidR="00305B7A" w:rsidRPr="00424BD3">
        <w:rPr>
          <w:rFonts w:cs="Arial"/>
          <w:szCs w:val="24"/>
        </w:rPr>
        <w:t xml:space="preserve">, </w:t>
      </w:r>
      <w:r w:rsidR="008844E4" w:rsidRPr="00424BD3">
        <w:rPr>
          <w:rFonts w:cs="Arial"/>
          <w:szCs w:val="24"/>
        </w:rPr>
        <w:t xml:space="preserve">what they perceived and experienced of the health and mortality outcomes – of life and death - that have run through their families and that have led to the health inequities they have faced and continue to face. They want their elected representatives, their doctors, researchers, and those who have power over decisions which affect them, to also hear them and have these conversations with them. They have generational, </w:t>
      </w:r>
      <w:r w:rsidR="005909D6" w:rsidRPr="00424BD3">
        <w:rPr>
          <w:rFonts w:cs="Arial"/>
          <w:szCs w:val="24"/>
        </w:rPr>
        <w:t xml:space="preserve">accumulated, </w:t>
      </w:r>
      <w:r w:rsidR="008844E4" w:rsidRPr="00424BD3">
        <w:rPr>
          <w:rFonts w:cs="Arial"/>
          <w:szCs w:val="24"/>
        </w:rPr>
        <w:t>and intimate knowledge about health and mortality that should be incorporated into any policies, clinical care, or interventions affecting them. They</w:t>
      </w:r>
      <w:r w:rsidR="00043FC9" w:rsidRPr="00424BD3">
        <w:rPr>
          <w:rFonts w:cs="Arial"/>
          <w:szCs w:val="24"/>
        </w:rPr>
        <w:t xml:space="preserve"> are</w:t>
      </w:r>
      <w:r w:rsidR="008844E4" w:rsidRPr="00424BD3">
        <w:rPr>
          <w:rFonts w:cs="Arial"/>
          <w:szCs w:val="24"/>
        </w:rPr>
        <w:t xml:space="preserve"> right. </w:t>
      </w:r>
      <w:r w:rsidR="00043FC9" w:rsidRPr="00424BD3">
        <w:rPr>
          <w:rFonts w:cs="Arial"/>
          <w:szCs w:val="24"/>
        </w:rPr>
        <w:t>R</w:t>
      </w:r>
      <w:r w:rsidR="009D35C9" w:rsidRPr="00424BD3">
        <w:rPr>
          <w:rFonts w:cs="Arial"/>
          <w:szCs w:val="24"/>
        </w:rPr>
        <w:t>esearchers</w:t>
      </w:r>
      <w:r w:rsidR="008844E4" w:rsidRPr="00424BD3">
        <w:rPr>
          <w:rFonts w:cs="Arial"/>
          <w:szCs w:val="24"/>
        </w:rPr>
        <w:t xml:space="preserve"> should not only listen </w:t>
      </w:r>
      <w:r w:rsidR="009D35C9" w:rsidRPr="00424BD3">
        <w:rPr>
          <w:rFonts w:cs="Arial"/>
          <w:szCs w:val="24"/>
        </w:rPr>
        <w:t>but</w:t>
      </w:r>
      <w:r w:rsidR="008844E4" w:rsidRPr="00424BD3">
        <w:rPr>
          <w:rFonts w:cs="Arial"/>
          <w:szCs w:val="24"/>
        </w:rPr>
        <w:t xml:space="preserve"> should act upon and heed their recommendations.</w:t>
      </w:r>
    </w:p>
    <w:p w14:paraId="661B1C93" w14:textId="02FC0874" w:rsidR="008844E4" w:rsidRPr="00424BD3" w:rsidRDefault="008844E4" w:rsidP="000126EE">
      <w:pPr>
        <w:pStyle w:val="Heading2"/>
        <w:spacing w:before="0" w:line="480" w:lineRule="auto"/>
        <w:jc w:val="center"/>
        <w:rPr>
          <w:rFonts w:ascii="Arial" w:hAnsi="Arial" w:cs="Arial"/>
          <w:b/>
          <w:bCs/>
          <w:color w:val="auto"/>
          <w:sz w:val="24"/>
          <w:szCs w:val="24"/>
        </w:rPr>
      </w:pPr>
      <w:bookmarkStart w:id="2" w:name="_Toc118232277"/>
      <w:r w:rsidRPr="00424BD3">
        <w:rPr>
          <w:rFonts w:ascii="Arial" w:hAnsi="Arial" w:cs="Arial"/>
          <w:b/>
          <w:bCs/>
          <w:color w:val="auto"/>
          <w:sz w:val="24"/>
          <w:szCs w:val="24"/>
        </w:rPr>
        <w:t>Background</w:t>
      </w:r>
      <w:bookmarkEnd w:id="2"/>
    </w:p>
    <w:p w14:paraId="39241EED" w14:textId="52770412" w:rsidR="008844E4" w:rsidRPr="00424BD3" w:rsidRDefault="008844E4" w:rsidP="000126EE">
      <w:pPr>
        <w:spacing w:after="0" w:line="480" w:lineRule="auto"/>
        <w:ind w:firstLine="720"/>
        <w:rPr>
          <w:rFonts w:cs="Arial"/>
          <w:szCs w:val="24"/>
        </w:rPr>
      </w:pPr>
      <w:r w:rsidRPr="00424BD3">
        <w:rPr>
          <w:rFonts w:cs="Arial"/>
          <w:szCs w:val="24"/>
        </w:rPr>
        <w:t xml:space="preserve">Age is the most important determinant of health </w:t>
      </w:r>
      <w:r w:rsidRPr="00424BD3">
        <w:rPr>
          <w:rFonts w:cs="Arial"/>
          <w:szCs w:val="24"/>
        </w:rPr>
        <w:fldChar w:fldCharType="begin"/>
      </w:r>
      <w:r w:rsidR="00023341">
        <w:rPr>
          <w:rFonts w:cs="Arial"/>
          <w:szCs w:val="24"/>
        </w:rPr>
        <w:instrText xml:space="preserve"> ADDIN ZOTERO_ITEM CSL_CITATION {"citationID":"Ilffawl6","properties":{"formattedCitation":"(UNDESA, 2018)","plainCitation":"(UNDESA, 2018)","noteIndex":0},"citationItems":[{"id":841,"uris":["http://zotero.org/users/4946941/items/M8N62DK6"],"itemData":{"id":841,"type":"document","language":"en","publisher":"United Nations Department for Economic and Social Affairs, Programme on Aging (UNDESA)","title":"Inequities in Old Age. Health inequities exist in access to health care as well as outcomes","URL":"https://www.un.org/development/desa/ageing/wp-content/uploads/sites/24/2018/04/Health-Inequities-in-Old-Age.pdf","author":[{"family":"UNDESA","given":""}],"issued":{"date-parts":[["2018"]]}}}],"schema":"https://github.com/citation-style-language/schema/raw/master/csl-citation.json"} </w:instrText>
      </w:r>
      <w:r w:rsidRPr="00424BD3">
        <w:rPr>
          <w:rFonts w:cs="Arial"/>
          <w:szCs w:val="24"/>
        </w:rPr>
        <w:fldChar w:fldCharType="separate"/>
      </w:r>
      <w:r w:rsidRPr="00424BD3">
        <w:rPr>
          <w:rFonts w:cs="Arial"/>
        </w:rPr>
        <w:t>(UNDESA, 2018)</w:t>
      </w:r>
      <w:r w:rsidRPr="00424BD3">
        <w:rPr>
          <w:rFonts w:cs="Arial"/>
          <w:szCs w:val="24"/>
        </w:rPr>
        <w:fldChar w:fldCharType="end"/>
      </w:r>
      <w:r w:rsidRPr="00424BD3">
        <w:rPr>
          <w:rFonts w:cs="Arial"/>
          <w:szCs w:val="24"/>
        </w:rPr>
        <w:t xml:space="preserve">. Health inequities </w:t>
      </w:r>
      <w:r w:rsidR="00A75CDA" w:rsidRPr="00424BD3">
        <w:rPr>
          <w:rFonts w:cs="Arial"/>
          <w:szCs w:val="24"/>
        </w:rPr>
        <w:t xml:space="preserve">evident </w:t>
      </w:r>
      <w:r w:rsidRPr="00424BD3">
        <w:rPr>
          <w:rFonts w:cs="Arial"/>
          <w:szCs w:val="24"/>
        </w:rPr>
        <w:t>in old age not only exist due to the intersectional disadvantages long noted in the social determinants of health, but also, in the accumulated effects of these disadvantages over the life course. Combined with socially stigmatizing ageist attitudes and beliefs, laws</w:t>
      </w:r>
      <w:r w:rsidR="00CD5E2E">
        <w:rPr>
          <w:rFonts w:cs="Arial"/>
          <w:szCs w:val="24"/>
        </w:rPr>
        <w:t>,</w:t>
      </w:r>
      <w:r w:rsidRPr="00424BD3">
        <w:rPr>
          <w:rFonts w:cs="Arial"/>
          <w:szCs w:val="24"/>
        </w:rPr>
        <w:t xml:space="preserve"> and policies that are often inadequate</w:t>
      </w:r>
      <w:r w:rsidR="005833D9" w:rsidRPr="00424BD3">
        <w:rPr>
          <w:rFonts w:cs="Arial"/>
          <w:szCs w:val="24"/>
        </w:rPr>
        <w:t xml:space="preserve"> for their </w:t>
      </w:r>
      <w:r w:rsidR="00CA7B5F" w:rsidRPr="00424BD3">
        <w:rPr>
          <w:rFonts w:cs="Arial"/>
          <w:szCs w:val="24"/>
        </w:rPr>
        <w:t xml:space="preserve">health </w:t>
      </w:r>
      <w:r w:rsidR="005833D9" w:rsidRPr="00424BD3">
        <w:rPr>
          <w:rFonts w:cs="Arial"/>
          <w:szCs w:val="24"/>
        </w:rPr>
        <w:t>needs</w:t>
      </w:r>
      <w:r w:rsidRPr="00424BD3">
        <w:rPr>
          <w:rFonts w:cs="Arial"/>
          <w:szCs w:val="24"/>
        </w:rPr>
        <w:t xml:space="preserve">, and practices which marginalize the aged, older people face unique health equity challenges </w:t>
      </w:r>
      <w:r w:rsidRPr="00424BD3">
        <w:rPr>
          <w:rFonts w:cs="Arial"/>
          <w:szCs w:val="24"/>
        </w:rPr>
        <w:fldChar w:fldCharType="begin"/>
      </w:r>
      <w:r w:rsidR="00AF24F8">
        <w:rPr>
          <w:rFonts w:cs="Arial"/>
          <w:szCs w:val="24"/>
        </w:rPr>
        <w:instrText xml:space="preserve"> ADDIN ZOTERO_ITEM CSL_CITATION {"citationID":"zXtNtmSv","properties":{"formattedCitation":"(Afshar et al., 2015; UNDESA, 2018)","plainCitation":"(Afshar et al., 2015; UNDESA, 2018)","noteIndex":0},"citationItems":[{"id":"giaU6Iqh/a1VCyQae","uris":["http://zotero.org/users/4946941/items/JL2VE2FT"],"itemData":{"id":54,"type":"article-journal","abstract":"Multimorbidity defined as the “the coexistence of two or more chronic diseases” in one individual, is increasing in prevalence globally. The aim of this study is to compare the prevalence of multimorbidity across low and middle-income countries (LMICs), and to investigate patterns by age and education, as a proxy for socio-economic status (SES).","container-title":"BMC Public Health","DOI":"10.1186/s12889-015-2008-7","ISSN":"1471-2458","issue":"1","journalAbbreviation":"BMC Public Health","page":"776","source":"BioMed Central","title":"Multimorbidity and the inequalities of global ageing: a cross-sectional study of 28 countries using the World Health Surveys","title-short":"Multimorbidity and the inequalities of global ageing","URL":"https://doi.org/10.1186/s12889-015-2008-7","volume":"15","author":[{"family":"Afshar","given":"Sara"},{"family":"Roderick","given":"Paul J."},{"family":"Kowal","given":"Paul"},{"family":"Dimitrov","given":"Borislav D."},{"family":"Hill","given":"Allan G."}],"accessed":{"date-parts":[["2022",7,13]]},"issued":{"date-parts":[["2015",8,13]]}}},{"id":841,"uris":["http://zotero.org/users/4946941/items/M8N62DK6"],"itemData":{"id":841,"type":"document","language":"en","publisher":"United Nations Department for Economic and Social Affairs, Programme on Aging (UNDESA)","title":"Inequities in Old Age. Health inequities exist in access to health care as well as outcomes","URL":"https://www.un.org/development/desa/ageing/wp-content/uploads/sites/24/2018/04/Health-Inequities-in-Old-Age.pdf","author":[{"family":"UNDESA","given":""}],"issued":{"date-parts":[["2018"]]}}}],"schema":"https://github.com/citation-style-language/schema/raw/master/csl-citation.json"} </w:instrText>
      </w:r>
      <w:r w:rsidRPr="00424BD3">
        <w:rPr>
          <w:rFonts w:cs="Arial"/>
          <w:szCs w:val="24"/>
        </w:rPr>
        <w:fldChar w:fldCharType="separate"/>
      </w:r>
      <w:r w:rsidRPr="00424BD3">
        <w:rPr>
          <w:rFonts w:cs="Arial"/>
        </w:rPr>
        <w:t>(Afshar et al., 2015; UNDESA, 2018)</w:t>
      </w:r>
      <w:r w:rsidRPr="00424BD3">
        <w:rPr>
          <w:rFonts w:cs="Arial"/>
          <w:szCs w:val="24"/>
        </w:rPr>
        <w:fldChar w:fldCharType="end"/>
      </w:r>
      <w:r w:rsidR="00090727">
        <w:rPr>
          <w:rFonts w:cs="Arial"/>
          <w:szCs w:val="24"/>
        </w:rPr>
        <w:t>.</w:t>
      </w:r>
    </w:p>
    <w:p w14:paraId="39C336AD" w14:textId="07A42BF1" w:rsidR="008844E4" w:rsidRPr="00424BD3" w:rsidRDefault="007E51A4" w:rsidP="000126EE">
      <w:pPr>
        <w:spacing w:after="0" w:line="480" w:lineRule="auto"/>
        <w:ind w:firstLine="720"/>
        <w:rPr>
          <w:rFonts w:cs="Arial"/>
          <w:szCs w:val="24"/>
        </w:rPr>
      </w:pPr>
      <w:r>
        <w:rPr>
          <w:rFonts w:cs="Arial"/>
          <w:szCs w:val="24"/>
        </w:rPr>
        <w:t>W</w:t>
      </w:r>
      <w:r w:rsidRPr="00424BD3">
        <w:rPr>
          <w:rFonts w:cs="Arial"/>
          <w:szCs w:val="24"/>
        </w:rPr>
        <w:t xml:space="preserve">omen make up the majority </w:t>
      </w:r>
      <w:r>
        <w:rPr>
          <w:rFonts w:cs="Arial"/>
          <w:szCs w:val="24"/>
        </w:rPr>
        <w:t>of</w:t>
      </w:r>
      <w:r w:rsidR="008844E4" w:rsidRPr="00424BD3">
        <w:rPr>
          <w:rFonts w:cs="Arial"/>
          <w:szCs w:val="24"/>
        </w:rPr>
        <w:t xml:space="preserve"> people aged 65 </w:t>
      </w:r>
      <w:r w:rsidR="00930AF7" w:rsidRPr="00424BD3">
        <w:rPr>
          <w:rFonts w:cs="Arial"/>
          <w:szCs w:val="24"/>
        </w:rPr>
        <w:t xml:space="preserve">years </w:t>
      </w:r>
      <w:r w:rsidR="008844E4" w:rsidRPr="00424BD3">
        <w:rPr>
          <w:rFonts w:cs="Arial"/>
          <w:szCs w:val="24"/>
        </w:rPr>
        <w:t xml:space="preserve">and over, and this is especially true for those in the oldest age categories </w:t>
      </w:r>
      <w:r w:rsidR="008844E4" w:rsidRPr="00424BD3">
        <w:rPr>
          <w:rFonts w:cs="Arial"/>
          <w:szCs w:val="24"/>
        </w:rPr>
        <w:fldChar w:fldCharType="begin"/>
      </w:r>
      <w:r w:rsidR="00023341">
        <w:rPr>
          <w:rFonts w:cs="Arial"/>
          <w:szCs w:val="24"/>
        </w:rPr>
        <w:instrText xml:space="preserve"> ADDIN ZOTERO_ITEM CSL_CITATION {"citationID":"eT7a4X7J","properties":{"formattedCitation":"(UNDESA, 2020)","plainCitation":"(UNDESA, 2020)","noteIndex":0},"citationItems":[{"id":843,"uris":["http://zotero.org/users/4946941/items/5R6P4F9S"],"itemData":{"id":843,"type":"document","language":"en","publisher":"United Nations Department for Economic and Social Affairs (UNDESA)","title":"World Population Aging 2020 Highlights: Living arrangements of older persons (ST/ESA/SER.A/451","URL":"https://www.un.org/development/desa/pd/sites/www.un.org.development.desa.pd/files/undesa_pd-2020_world_population_aging_highlights.pdf","author":[{"family":"UNDESA","given":""}],"issued":{"date-parts":[["2020"]]}}}],"schema":"https://github.com/citation-style-language/schema/raw/master/csl-citation.json"} </w:instrText>
      </w:r>
      <w:r w:rsidR="008844E4" w:rsidRPr="00424BD3">
        <w:rPr>
          <w:rFonts w:cs="Arial"/>
          <w:szCs w:val="24"/>
        </w:rPr>
        <w:fldChar w:fldCharType="separate"/>
      </w:r>
      <w:r w:rsidR="008844E4" w:rsidRPr="00424BD3">
        <w:rPr>
          <w:rFonts w:cs="Arial"/>
        </w:rPr>
        <w:t>(UNDESA, 2020)</w:t>
      </w:r>
      <w:r w:rsidR="008844E4" w:rsidRPr="00424BD3">
        <w:rPr>
          <w:rFonts w:cs="Arial"/>
          <w:szCs w:val="24"/>
        </w:rPr>
        <w:fldChar w:fldCharType="end"/>
      </w:r>
      <w:r w:rsidR="008844E4" w:rsidRPr="00424BD3">
        <w:rPr>
          <w:rFonts w:cs="Arial"/>
          <w:szCs w:val="24"/>
        </w:rPr>
        <w:t xml:space="preserve">. Older women live longer lives, but they do not necessarily live healthier lives than older men </w:t>
      </w:r>
      <w:r w:rsidR="008844E4" w:rsidRPr="00424BD3">
        <w:rPr>
          <w:rFonts w:cs="Arial"/>
          <w:szCs w:val="24"/>
        </w:rPr>
        <w:fldChar w:fldCharType="begin"/>
      </w:r>
      <w:r w:rsidR="00F57C1F">
        <w:rPr>
          <w:rFonts w:cs="Arial"/>
          <w:szCs w:val="24"/>
        </w:rPr>
        <w:instrText xml:space="preserve"> ADDIN ZOTERO_ITEM CSL_CITATION {"citationID":"HnYbfm7t","properties":{"formattedCitation":"(EuroHealthNet, 2017)","plainCitation":"(EuroHealthNet, 2017)","noteIndex":0},"citationItems":[{"id":656,"uris":["http://zotero.org/users/4946941/items/MCEY4LNY"],"itemData":{"id":656,"type":"document","language":"en","publisher":"EuroHealthNet","title":"Making the Link: Gender Equity and Health","URL":"https://eurohealthnet.eu/wp-content/uploads/documents/2021/210303_PolicyPrecis_Gender_WebLayout.pdf","author":[{"literal":"EuroHealthNet"}],"issued":{"date-parts":[["2017"]]}}}],"schema":"https://github.com/citation-style-language/schema/raw/master/csl-citation.json"} </w:instrText>
      </w:r>
      <w:r w:rsidR="008844E4" w:rsidRPr="00424BD3">
        <w:rPr>
          <w:rFonts w:cs="Arial"/>
          <w:szCs w:val="24"/>
        </w:rPr>
        <w:fldChar w:fldCharType="separate"/>
      </w:r>
      <w:r w:rsidR="008844E4" w:rsidRPr="00424BD3">
        <w:rPr>
          <w:rFonts w:cs="Arial"/>
        </w:rPr>
        <w:t>(EuroHealthNet, 2017)</w:t>
      </w:r>
      <w:r w:rsidR="008844E4" w:rsidRPr="00424BD3">
        <w:rPr>
          <w:rFonts w:cs="Arial"/>
          <w:szCs w:val="24"/>
        </w:rPr>
        <w:fldChar w:fldCharType="end"/>
      </w:r>
      <w:r w:rsidR="008844E4" w:rsidRPr="00424BD3">
        <w:rPr>
          <w:rFonts w:cs="Arial"/>
          <w:szCs w:val="24"/>
        </w:rPr>
        <w:t xml:space="preserve">. They are also affected by factors such as stigmatization, the double jeopardy effects of sexism and ageism </w:t>
      </w:r>
      <w:r w:rsidR="008844E4" w:rsidRPr="00424BD3">
        <w:rPr>
          <w:rFonts w:cs="Arial"/>
          <w:szCs w:val="24"/>
        </w:rPr>
        <w:fldChar w:fldCharType="begin"/>
      </w:r>
      <w:r w:rsidR="0046301F">
        <w:rPr>
          <w:rFonts w:cs="Arial"/>
          <w:szCs w:val="24"/>
        </w:rPr>
        <w:instrText xml:space="preserve"> ADDIN ZOTERO_ITEM CSL_CITATION {"citationID":"JV6KhBQc","properties":{"formattedCitation":"(Sen, 2001; WHO, 2007)","plainCitation":"(Sen, 2001; WHO, 2007)","noteIndex":0},"citationItems":[{"id":794,"uris":["http://zotero.org/users/4946941/items/ZB3HLW2K"],"itemData":{"id":794,"type":"article-journal","container-title":"New Republic","issue":"12","language":"en","title":"The Many Faces of Gender Inequality","URL":"https://www.sas.upenn.edu/~dludden/MANY%20FACES%20OF%20GENDER%20INEQUALITY.htm","volume":"225","author":[{"family":"Sen","given":"Amartya"}],"issued":{"date-parts":[["2001"]]}}},{"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008844E4" w:rsidRPr="00424BD3">
        <w:rPr>
          <w:rFonts w:cs="Arial"/>
          <w:szCs w:val="24"/>
        </w:rPr>
        <w:fldChar w:fldCharType="separate"/>
      </w:r>
      <w:r w:rsidR="008844E4" w:rsidRPr="00424BD3">
        <w:rPr>
          <w:rFonts w:cs="Arial"/>
        </w:rPr>
        <w:t>(Sen, 2001; WHO, 2007)</w:t>
      </w:r>
      <w:r w:rsidR="008844E4" w:rsidRPr="00424BD3">
        <w:rPr>
          <w:rFonts w:cs="Arial"/>
          <w:szCs w:val="24"/>
        </w:rPr>
        <w:fldChar w:fldCharType="end"/>
      </w:r>
      <w:r w:rsidR="008844E4" w:rsidRPr="00424BD3">
        <w:rPr>
          <w:rFonts w:cs="Arial"/>
          <w:szCs w:val="24"/>
        </w:rPr>
        <w:t xml:space="preserve">, other disparities within the social determinants of health, and a lack of policies directed at </w:t>
      </w:r>
      <w:r w:rsidR="008844E4" w:rsidRPr="00424BD3">
        <w:rPr>
          <w:rFonts w:cs="Arial"/>
          <w:szCs w:val="24"/>
        </w:rPr>
        <w:lastRenderedPageBreak/>
        <w:t xml:space="preserve">alleviating intersectional inequities for older women </w:t>
      </w:r>
      <w:r w:rsidR="008844E4" w:rsidRPr="00424BD3">
        <w:rPr>
          <w:rFonts w:cs="Arial"/>
          <w:szCs w:val="24"/>
        </w:rPr>
        <w:fldChar w:fldCharType="begin"/>
      </w:r>
      <w:r w:rsidR="0046301F">
        <w:rPr>
          <w:rFonts w:cs="Arial"/>
          <w:szCs w:val="24"/>
        </w:rPr>
        <w:instrText xml:space="preserve"> ADDIN ZOTERO_ITEM CSL_CITATION {"citationID":"zzi9I8kj","properties":{"formattedCitation":"(Sen, 2001; WHO, 2007)","plainCitation":"(Sen, 2001; WHO, 2007)","noteIndex":0},"citationItems":[{"id":794,"uris":["http://zotero.org/users/4946941/items/ZB3HLW2K"],"itemData":{"id":794,"type":"article-journal","container-title":"New Republic","issue":"12","language":"en","title":"The Many Faces of Gender Inequality","URL":"https://www.sas.upenn.edu/~dludden/MANY%20FACES%20OF%20GENDER%20INEQUALITY.htm","volume":"225","author":[{"family":"Sen","given":"Amartya"}],"issued":{"date-parts":[["2001"]]}}},{"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008844E4" w:rsidRPr="00424BD3">
        <w:rPr>
          <w:rFonts w:cs="Arial"/>
          <w:szCs w:val="24"/>
        </w:rPr>
        <w:fldChar w:fldCharType="separate"/>
      </w:r>
      <w:r w:rsidR="008844E4" w:rsidRPr="00424BD3">
        <w:rPr>
          <w:rFonts w:cs="Arial"/>
        </w:rPr>
        <w:t>(Sen, 2001; WHO, 2007)</w:t>
      </w:r>
      <w:r w:rsidR="008844E4" w:rsidRPr="00424BD3">
        <w:rPr>
          <w:rFonts w:cs="Arial"/>
          <w:szCs w:val="24"/>
        </w:rPr>
        <w:fldChar w:fldCharType="end"/>
      </w:r>
      <w:r w:rsidR="008844E4" w:rsidRPr="00424BD3">
        <w:rPr>
          <w:rFonts w:cs="Arial"/>
          <w:szCs w:val="24"/>
        </w:rPr>
        <w:t xml:space="preserve">, irrespective of country, region, city, or state / province </w:t>
      </w:r>
      <w:r w:rsidR="008844E4" w:rsidRPr="00424BD3">
        <w:rPr>
          <w:rFonts w:cs="Arial"/>
          <w:szCs w:val="24"/>
        </w:rPr>
        <w:fldChar w:fldCharType="begin"/>
      </w:r>
      <w:r w:rsidR="0046301F">
        <w:rPr>
          <w:rFonts w:cs="Arial"/>
          <w:szCs w:val="24"/>
        </w:rPr>
        <w:instrText xml:space="preserve"> ADDIN ZOTERO_ITEM CSL_CITATION {"citationID":"op4uX93t","properties":{"formattedCitation":"(Carmel, 2019; Morgan et al., 2018; WHO, 2007)","plainCitation":"(Carmel, 2019; Morgan et al., 2018; WHO, 2007)","noteIndex":0},"citationItems":[{"id":626,"uris":["http://zotero.org/users/4946941/items/BPX5Q9UW"],"itemData":{"id":626,"type":"article-journal","container-title":"Frontiers in Medicine","DOI":"10.3389/fmed.2019.00218","language":"en","title":"Health and Well-Being in Late Life: Gender Differences Worldwide","URL":"https://doi.org/10.3389/fmed.2019.00218","volume":"6","author":[{"family":"Carmel","given":"S."}],"issued":{"date-parts":[["2019"]]}}},{"id":739,"uris":["http://zotero.org/users/4946941/items/JFLMTWSY"],"itemData":{"id":739,"type":"article-journal","container-title":"Health Research Policy and Systems","issue":"1","language":"en","page":"1–12","title":"Gendered health systems: evidence from low-and middle-income countries","volume":"16","author":[{"family":"Morgan","given":"R."},{"family":"Ayiasi","given":"R.M."},{"family":"Barman","given":"D."},{"family":"Buzuzi","given":"S."},{"family":"Ssemugabo","given":"C."},{"family":"Ezumah","given":"N."},{"family":"George","given":"A."},{"family":"Hawkins","given":"K."},{"family":"Hao","given":"X."},{"family":"King","given":"R."},{"family":"Liu","given":"T."},{"family":"Molyneux","given":"S."},{"family":"Muraya","given":"K."},{"family":"Musoke","given":"D."},{"family":"Nyamhanga","given":"T."},{"family":"B.","given":"Ros"},{"family":"Tani","given":"K."},{"family":"Theobald","given":"S."},{"family":"Vong","given":"S."},{"family":"Waldman","given":"L."}],"issued":{"date-parts":[["2018"]]}}},{"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008844E4" w:rsidRPr="00424BD3">
        <w:rPr>
          <w:rFonts w:cs="Arial"/>
          <w:szCs w:val="24"/>
        </w:rPr>
        <w:fldChar w:fldCharType="separate"/>
      </w:r>
      <w:r w:rsidR="008844E4" w:rsidRPr="00424BD3">
        <w:rPr>
          <w:rFonts w:cs="Arial"/>
        </w:rPr>
        <w:t>(Carmel, 2019; Morgan et al., 2018; WHO, 2007)</w:t>
      </w:r>
      <w:r w:rsidR="008844E4" w:rsidRPr="00424BD3">
        <w:rPr>
          <w:rFonts w:cs="Arial"/>
          <w:szCs w:val="24"/>
        </w:rPr>
        <w:fldChar w:fldCharType="end"/>
      </w:r>
      <w:r w:rsidR="008844E4" w:rsidRPr="00424BD3">
        <w:rPr>
          <w:rFonts w:cs="Arial"/>
          <w:szCs w:val="24"/>
        </w:rPr>
        <w:t xml:space="preserve">. </w:t>
      </w:r>
    </w:p>
    <w:p w14:paraId="111556C1" w14:textId="3627C928" w:rsidR="008844E4" w:rsidRPr="00424BD3" w:rsidRDefault="008844E4" w:rsidP="000126EE">
      <w:pPr>
        <w:spacing w:after="0" w:line="480" w:lineRule="auto"/>
        <w:ind w:firstLine="720"/>
        <w:rPr>
          <w:rFonts w:cs="Arial"/>
          <w:szCs w:val="24"/>
        </w:rPr>
      </w:pPr>
      <w:r w:rsidRPr="00424BD3">
        <w:rPr>
          <w:rFonts w:cs="Arial"/>
          <w:szCs w:val="24"/>
        </w:rPr>
        <w:t>While health equity research is making strides in capturing and sharing older women’s lived health inequity experiences, more research needs to be done, especially through a health geographies lens which locates the experience of this demographic group in specific contexts and places, to translate those experiences into awareness raising, participant-led research, policy recommendations</w:t>
      </w:r>
      <w:r w:rsidR="00C7626D">
        <w:rPr>
          <w:rFonts w:cs="Arial"/>
          <w:szCs w:val="24"/>
        </w:rPr>
        <w:t>,</w:t>
      </w:r>
      <w:r w:rsidRPr="00424BD3">
        <w:rPr>
          <w:rFonts w:cs="Arial"/>
          <w:szCs w:val="24"/>
        </w:rPr>
        <w:t xml:space="preserve"> and attainable empowerment steps to allow older women, as individuals, to participate in health inequities mitigation policies and intervention processes more fully. Studies on older women and health have tended to focus on quantitative measures of older populations’ health outcomes and the impact of or recommendations for socioeconomic or health policies. </w:t>
      </w:r>
      <w:r w:rsidR="00091A4C" w:rsidRPr="00424BD3">
        <w:t xml:space="preserve">There are some notable early exceptions, including, but not limited to, </w:t>
      </w:r>
      <w:r w:rsidR="00091A4C" w:rsidRPr="00424BD3">
        <w:fldChar w:fldCharType="begin"/>
      </w:r>
      <w:r w:rsidR="00990F3A">
        <w:instrText xml:space="preserve"> ADDIN ZOTERO_ITEM CSL_CITATION {"citationID":"btyYbzXY","properties":{"formattedCitation":"(Tannenbaum et al., 2005)","plainCitation":"(Tannenbaum et al., 2005)","noteIndex":0},"citationItems":[{"id":811,"uris":["http://zotero.org/users/4946941/items/QLPRZK8X"],"itemData":{"id":811,"type":"article-journal","container-title":"Cmaj","issue":"2","language":"en","page":"153–159","title":"Older women's health priorities and perceptions of care delivery: results of the WOW health survey","volume":"173","author":[{"family":"Tannenbaum","given":"C."},{"family":"Mayo","given":"N."},{"family":"Ducharme","given":"F."}],"issued":{"date-parts":[["2005"]]}}}],"schema":"https://github.com/citation-style-language/schema/raw/master/csl-citation.json"} </w:instrText>
      </w:r>
      <w:r w:rsidR="00091A4C" w:rsidRPr="00424BD3">
        <w:fldChar w:fldCharType="separate"/>
      </w:r>
      <w:r w:rsidR="00091A4C" w:rsidRPr="00424BD3">
        <w:rPr>
          <w:rFonts w:ascii="Calibri" w:hAnsi="Calibri" w:cs="Calibri"/>
        </w:rPr>
        <w:t>(</w:t>
      </w:r>
      <w:r w:rsidR="00091A4C" w:rsidRPr="00424BD3">
        <w:rPr>
          <w:rFonts w:cs="Arial"/>
        </w:rPr>
        <w:t>Tannenbaum et al., 2005</w:t>
      </w:r>
      <w:r w:rsidR="00091A4C" w:rsidRPr="00424BD3">
        <w:rPr>
          <w:rFonts w:ascii="Calibri" w:hAnsi="Calibri" w:cs="Calibri"/>
        </w:rPr>
        <w:t>)</w:t>
      </w:r>
      <w:r w:rsidR="00091A4C" w:rsidRPr="00424BD3">
        <w:fldChar w:fldCharType="end"/>
      </w:r>
      <w:r w:rsidR="00091A4C" w:rsidRPr="00424BD3">
        <w:t xml:space="preserve">, whose research on the Canadian Wellbeing of Women (WOW) survey focused on older women’s perceptions about care delivery; the Nun Study </w:t>
      </w:r>
      <w:r w:rsidR="00091A4C" w:rsidRPr="00424BD3">
        <w:fldChar w:fldCharType="begin"/>
      </w:r>
      <w:r w:rsidR="00990F3A">
        <w:instrText xml:space="preserve"> ADDIN ZOTERO_ITEM CSL_CITATION {"citationID":"SVv052hD","properties":{"formattedCitation":"(S. M. Butler &amp; Snowdon, 1996)","plainCitation":"(S. M. Butler &amp; Snowdon, 1996)","noteIndex":0},"citationItems":[{"id":621,"uris":["http://zotero.org/users/4946941/items/N4D9YQEG"],"itemData":{"id":621,"type":"article-journal","container-title":"The Journals of Gerontology Series B: Psychological Sciences and Social Sciences","issue":"4","language":"en","page":"201– 208","title":"Trends in mortality in older women: findings from the Nun Study","volume":"51","author":[{"family":"Butler","given":"S.M."},{"family":"Snowdon","given":"D.A."}],"issued":{"date-parts":[["1996"]]}}}],"schema":"https://github.com/citation-style-language/schema/raw/master/csl-citation.json"} </w:instrText>
      </w:r>
      <w:r w:rsidR="00091A4C" w:rsidRPr="00424BD3">
        <w:fldChar w:fldCharType="separate"/>
      </w:r>
      <w:r w:rsidR="00091A4C" w:rsidRPr="00424BD3">
        <w:rPr>
          <w:rFonts w:ascii="Calibri" w:hAnsi="Calibri" w:cs="Calibri"/>
        </w:rPr>
        <w:t>(</w:t>
      </w:r>
      <w:r w:rsidR="00091A4C" w:rsidRPr="00424BD3">
        <w:rPr>
          <w:rFonts w:cs="Arial"/>
        </w:rPr>
        <w:t>S. M. Butler &amp; Snowdon, 1996</w:t>
      </w:r>
      <w:r w:rsidR="00091A4C" w:rsidRPr="00424BD3">
        <w:rPr>
          <w:rFonts w:ascii="Calibri" w:hAnsi="Calibri" w:cs="Calibri"/>
        </w:rPr>
        <w:t>)</w:t>
      </w:r>
      <w:r w:rsidR="00091A4C" w:rsidRPr="00424BD3">
        <w:fldChar w:fldCharType="end"/>
      </w:r>
      <w:r w:rsidR="00091A4C" w:rsidRPr="00424BD3">
        <w:t xml:space="preserve">, a longitudinal study of several aspects of aging of women aged 75 </w:t>
      </w:r>
      <w:r w:rsidR="005516C6" w:rsidRPr="00424BD3">
        <w:t xml:space="preserve">years </w:t>
      </w:r>
      <w:r w:rsidR="00091A4C" w:rsidRPr="00424BD3">
        <w:t xml:space="preserve">and older; Mitchell’s qualitative study of older women’s perceptions of health and aging in relation to control </w:t>
      </w:r>
      <w:r w:rsidR="00091A4C" w:rsidRPr="00424BD3">
        <w:fldChar w:fldCharType="begin"/>
      </w:r>
      <w:r w:rsidR="00990F3A">
        <w:instrText xml:space="preserve"> ADDIN ZOTERO_ITEM CSL_CITATION {"citationID":"ww1yyhHy","properties":{"formattedCitation":"(Mitchell, 1996)","plainCitation":"(Mitchell, 1996)","noteIndex":0},"citationItems":[{"id":735,"uris":["http://zotero.org/users/4946941/items/NVPJWG32"],"itemData":{"id":735,"type":"article-journal","container-title":"Health Education Journal","DOI":"10.1177/001789699605500302","issue":"3","language":"en","page":"267–274","title":"A qualitative study of older women’s perceptions of control, health and aging","volume":"55","author":[{"family":"Mitchell","given":"G."}],"issued":{"date-parts":[["1996"]]}}}],"schema":"https://github.com/citation-style-language/schema/raw/master/csl-citation.json"} </w:instrText>
      </w:r>
      <w:r w:rsidR="00091A4C" w:rsidRPr="00424BD3">
        <w:fldChar w:fldCharType="separate"/>
      </w:r>
      <w:r w:rsidR="00091A4C" w:rsidRPr="00424BD3">
        <w:rPr>
          <w:rFonts w:ascii="Calibri" w:hAnsi="Calibri" w:cs="Calibri"/>
        </w:rPr>
        <w:t>(</w:t>
      </w:r>
      <w:r w:rsidR="00091A4C" w:rsidRPr="00424BD3">
        <w:rPr>
          <w:rFonts w:cs="Arial"/>
        </w:rPr>
        <w:t>Mitchell, 1996</w:t>
      </w:r>
      <w:r w:rsidR="00091A4C" w:rsidRPr="00424BD3">
        <w:rPr>
          <w:rFonts w:ascii="Calibri" w:hAnsi="Calibri" w:cs="Calibri"/>
        </w:rPr>
        <w:t>)</w:t>
      </w:r>
      <w:r w:rsidR="00091A4C" w:rsidRPr="00424BD3">
        <w:fldChar w:fldCharType="end"/>
      </w:r>
      <w:r w:rsidR="00091A4C" w:rsidRPr="00424BD3">
        <w:t xml:space="preserve">; and the research on aging women conducted by the WHO and other major health organizations </w:t>
      </w:r>
      <w:r w:rsidR="00091A4C" w:rsidRPr="00424BD3">
        <w:fldChar w:fldCharType="begin"/>
      </w:r>
      <w:r w:rsidR="0046301F">
        <w:instrText xml:space="preserve"> ADDIN ZOTERO_ITEM CSL_CITATION {"citationID":"aOpanUNe","properties":{"formattedCitation":"(WHO, 2007)","plainCitation":"(WHO, 2007)","noteIndex":0},"citationItems":[{"id":865,"uris":["http://zotero.org/users/4946941/items/VQ4WB5EF"],"itemData":{"id":865,"type":"document","language":"en","note":"publisher-place: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00091A4C" w:rsidRPr="00424BD3">
        <w:fldChar w:fldCharType="separate"/>
      </w:r>
      <w:r w:rsidR="00091A4C" w:rsidRPr="00424BD3">
        <w:rPr>
          <w:rFonts w:cs="Arial"/>
        </w:rPr>
        <w:t>(WHO, 2007</w:t>
      </w:r>
      <w:r w:rsidR="00091A4C" w:rsidRPr="00424BD3">
        <w:rPr>
          <w:rFonts w:ascii="Calibri" w:hAnsi="Calibri" w:cs="Calibri"/>
        </w:rPr>
        <w:t>)</w:t>
      </w:r>
      <w:r w:rsidR="00091A4C" w:rsidRPr="00424BD3">
        <w:fldChar w:fldCharType="end"/>
      </w:r>
      <w:r w:rsidR="00091A4C" w:rsidRPr="00424BD3">
        <w:t xml:space="preserve">. </w:t>
      </w:r>
      <w:r w:rsidRPr="00424BD3">
        <w:rPr>
          <w:rFonts w:cs="Arial"/>
          <w:szCs w:val="24"/>
        </w:rPr>
        <w:t xml:space="preserve">Recently, gerontological and other researchers, have started to fill this research gap across a range of health issues </w:t>
      </w:r>
      <w:r w:rsidRPr="00424BD3">
        <w:rPr>
          <w:rFonts w:cs="Arial"/>
          <w:szCs w:val="24"/>
        </w:rPr>
        <w:fldChar w:fldCharType="begin"/>
      </w:r>
      <w:r w:rsidR="00990F3A">
        <w:rPr>
          <w:rFonts w:cs="Arial"/>
          <w:szCs w:val="24"/>
        </w:rPr>
        <w:instrText xml:space="preserve"> ADDIN ZOTERO_ITEM CSL_CITATION {"citationID":"Q7LhZylq","properties":{"formattedCitation":"(Carmel, 2019; S. R. Meyer et al., 2020; Tuohy &amp; Cooney, 2019; van Ee et al., 2019; Wang et al., 2020)","plainCitation":"(Carmel, 2019; S. R. Meyer et al., 2020; Tuohy &amp; Cooney, 2019; van Ee et al., 2019; Wang et al., 2020)","noteIndex":0},"citationItems":[{"id":626,"uris":["http://zotero.org/users/4946941/items/BPX5Q9UW"],"itemData":{"id":626,"type":"article-journal","container-title":"Frontiers in Medicine","DOI":"10.3389/fmed.2019.00218","language":"en","title":"Health and Well-Being in Late Life: Gender Differences Worldwide","URL":"https://doi.org/10.3389/fmed.2019.00218","volume":"6","author":[{"family":"Carmel","given":"S."}],"issued":{"date-parts":[["2019"]]}}},{"id":734,"uris":["http://zotero.org/users/4946941/items/E8JA5GKF"],"itemData":{"id":734,"type":"article-journal","container-title":"PLOS ONE","DOI":"10.1371/journal.pone.0239560","issue":"9","language":"en","page":"0239560","title":"Violence against older women: A systematic review of qualitative literature","volume":"15","author":[{"family":"Meyer","given":"S.R."},{"family":"Lasater","given":"M.E."},{"family":"García-Moreno","given":"C."}],"issued":{"date-parts":[["2020"]]}}},{"id":836,"uris":["http://zotero.org/users/4946941/items/RMM5RXAX"],"itemData":{"id":836,"type":"article-journal","container-title":"Gerontology and Geriatric Medicine","DOI":"10.1177/2333721419834308","language":"it","page":"2333721419834308","title":"Older women’s experiences of aging and health: An interpretive phenomenological study","volume":"5","author":[{"family":"Tuohy","given":"D."},{"family":"Cooney","given":"A."}],"issued":{"date-parts":[["2019"]]}}},{"id":887,"uris":["http://zotero.org/users/4946941/items/YIW4IWTE"],"itemData":{"id":887,"type":"article-journal","container-title":"Cancer Nursing","DOI":"10.1097/NCC.0000000000000575","ISSN":"1538-9804, 0162-220X","issue":"3","journalAbbreviation":"Cancer Nurs","language":"en","page":"190-197","source":"DOI.org (Crossref)","title":"Open Wounds and Healed Scars: A Qualitative Study of Elderly Women's Experiences With Breast Cancer","title-short":"Open Wounds and Healed Scars","volume":"42","author":[{"family":"Ee","given":"Birgit","non-dropping-particle":"van"},{"family":"Smits","given":"Carolien"},{"family":"Honkoop","given":"Aafke"},{"family":"Kamper","given":"Ad"},{"family":"Slaets","given":"Joris"},{"family":"Hagedoorn","given":"Mariët"}],"issued":{"date-parts":[["2019",5]]}}},{"id":858,"uris":["http://zotero.org/users/4946941/items/BW3PEVIR"],"itemData":{"id":858,"type":"article-journal","container-title":"JAMA Network Open","DOI":"10.1001/jamanetworkopen.2020.17129","issue":"9","language":"en","page":"2017129","title":"Patient Perspectives on Treatment Options for Older Women With Hormone Receptor–Positive Breast Cancer","volume":"3","author":[{"family":"Wang","given":"T."},{"family":"Mott","given":"N."},{"family":"Miller","given":"J."},{"family":"Berlin","given":"N.L."},{"family":"Hawley","given":"S."},{"family":"Jagsi","given":"R."},{"family":"Dossett","given":"L.A."}],"issued":{"date-parts":[["2020"]]}}}],"schema":"https://github.com/citation-style-language/schema/raw/master/csl-citation.json"} </w:instrText>
      </w:r>
      <w:r w:rsidRPr="00424BD3">
        <w:rPr>
          <w:rFonts w:cs="Arial"/>
          <w:szCs w:val="24"/>
        </w:rPr>
        <w:fldChar w:fldCharType="separate"/>
      </w:r>
      <w:r w:rsidR="00F50CF1" w:rsidRPr="00424BD3">
        <w:rPr>
          <w:rFonts w:cs="Arial"/>
        </w:rPr>
        <w:t>(Carmel, 2019; S. R. Meyer et al., 2020; Tuohy &amp; Cooney, 2019; van Ee et al., 2019; Wang et al., 2020)</w:t>
      </w:r>
      <w:r w:rsidRPr="00424BD3">
        <w:rPr>
          <w:rFonts w:cs="Arial"/>
          <w:szCs w:val="24"/>
        </w:rPr>
        <w:fldChar w:fldCharType="end"/>
      </w:r>
      <w:r w:rsidRPr="00424BD3">
        <w:rPr>
          <w:rFonts w:cs="Arial"/>
          <w:szCs w:val="24"/>
        </w:rPr>
        <w:t xml:space="preserve">. Yet, qualitative studies specifically focusing on older women and health remain lacking in the field of health geography. This research will seek to add to </w:t>
      </w:r>
      <w:r w:rsidRPr="00424BD3">
        <w:rPr>
          <w:rFonts w:cs="Arial"/>
          <w:szCs w:val="24"/>
        </w:rPr>
        <w:lastRenderedPageBreak/>
        <w:t xml:space="preserve">the body of health geography research </w:t>
      </w:r>
      <w:r w:rsidR="00824994" w:rsidRPr="00424BD3">
        <w:rPr>
          <w:rFonts w:cs="Arial"/>
          <w:szCs w:val="24"/>
        </w:rPr>
        <w:t>examining</w:t>
      </w:r>
      <w:r w:rsidRPr="00424BD3">
        <w:rPr>
          <w:rFonts w:cs="Arial"/>
          <w:szCs w:val="24"/>
        </w:rPr>
        <w:t xml:space="preserve"> older women’s perceptions and experiences of health inequities and policies and interventions impacting older women’s health. </w:t>
      </w:r>
    </w:p>
    <w:p w14:paraId="43A4F862" w14:textId="1D7D3FC9" w:rsidR="00A03EA7" w:rsidRPr="00424BD3" w:rsidRDefault="008844E4" w:rsidP="00A03EA7">
      <w:pPr>
        <w:spacing w:after="0" w:line="480" w:lineRule="auto"/>
        <w:ind w:firstLine="720"/>
        <w:rPr>
          <w:rFonts w:cs="Arial"/>
          <w:szCs w:val="24"/>
        </w:rPr>
      </w:pPr>
      <w:r w:rsidRPr="00424BD3">
        <w:rPr>
          <w:rFonts w:cs="Arial"/>
          <w:szCs w:val="24"/>
        </w:rPr>
        <w:t xml:space="preserve">Pearce </w:t>
      </w:r>
      <w:r w:rsidRPr="00424BD3">
        <w:rPr>
          <w:rFonts w:cs="Arial"/>
          <w:szCs w:val="24"/>
        </w:rPr>
        <w:fldChar w:fldCharType="begin"/>
      </w:r>
      <w:r w:rsidR="00990F3A">
        <w:rPr>
          <w:rFonts w:cs="Arial"/>
          <w:szCs w:val="24"/>
        </w:rPr>
        <w:instrText xml:space="preserve"> ADDIN ZOTERO_ITEM CSL_CITATION {"citationID":"mSU346Nm","properties":{"formattedCitation":"(2012, p. 2)","plainCitation":"(2012, p. 2)","noteIndex":0},"citationItems":[{"id":775,"uris":["http://zotero.org/users/4946941/items/US4THAS3"],"itemData":{"id":775,"type":"article-journal","container-title":"Social Science and Medicine","issue":"11","language":"en","title":"The ‘blemish of place’: stigma, geography and health inequalities. A commentary on Tabuchi, Fukuhara &amp; Iso","URL":"https://www.pure.ed.ac.uk/ws/files/11576353/PDF_BlemishofPlace.pdf","volume":"75","author":[{"family":"Pearce","given":"J."}],"issued":{"date-parts":[["2012"]]}},"locator":"2","suppress-author":true}],"schema":"https://github.com/citation-style-language/schema/raw/master/csl-citation.json"} </w:instrText>
      </w:r>
      <w:r w:rsidRPr="00424BD3">
        <w:rPr>
          <w:rFonts w:cs="Arial"/>
          <w:szCs w:val="24"/>
        </w:rPr>
        <w:fldChar w:fldCharType="separate"/>
      </w:r>
      <w:r w:rsidRPr="00424BD3">
        <w:rPr>
          <w:rFonts w:cs="Arial"/>
        </w:rPr>
        <w:t>(2012, p. 2)</w:t>
      </w:r>
      <w:r w:rsidRPr="00424BD3">
        <w:rPr>
          <w:rFonts w:cs="Arial"/>
          <w:szCs w:val="24"/>
        </w:rPr>
        <w:fldChar w:fldCharType="end"/>
      </w:r>
      <w:r w:rsidRPr="00424BD3">
        <w:rPr>
          <w:rFonts w:cs="Arial"/>
          <w:szCs w:val="24"/>
        </w:rPr>
        <w:t xml:space="preserve">, in referencing Takahashi </w:t>
      </w:r>
      <w:r w:rsidRPr="00424BD3">
        <w:rPr>
          <w:rFonts w:cs="Arial"/>
          <w:szCs w:val="24"/>
        </w:rPr>
        <w:fldChar w:fldCharType="begin"/>
      </w:r>
      <w:r w:rsidR="00990F3A">
        <w:rPr>
          <w:rFonts w:cs="Arial"/>
          <w:szCs w:val="24"/>
        </w:rPr>
        <w:instrText xml:space="preserve"> ADDIN ZOTERO_ITEM CSL_CITATION {"citationID":"QznkDGQa","properties":{"formattedCitation":"(1997)","plainCitation":"(1997)","noteIndex":0},"citationItems":[{"id":810,"uris":["http://zotero.org/users/4946941/items/I6ZE6R6L"],"itemData":{"id":810,"type":"article-journal","container-title":"Social Science and Medicine","DOI":"10.1016/S0277-9536(96)00432-7","issue":"6","language":"en","page":"903–914","title":"The socio-spatial stigmatization of homelessness and HIV/AIDS: toward an explanation of the NIMBY syndrome","volume":"45","author":[{"family":"Takahashi","given":"L.M."}],"issued":{"date-parts":[["1997"]]}},"suppress-author":true}],"schema":"https://github.com/citation-style-language/schema/raw/master/csl-citation.json"} </w:instrText>
      </w:r>
      <w:r w:rsidRPr="00424BD3">
        <w:rPr>
          <w:rFonts w:cs="Arial"/>
          <w:szCs w:val="24"/>
        </w:rPr>
        <w:fldChar w:fldCharType="separate"/>
      </w:r>
      <w:r w:rsidRPr="00424BD3">
        <w:rPr>
          <w:rFonts w:cs="Arial"/>
        </w:rPr>
        <w:t>(1997)</w:t>
      </w:r>
      <w:r w:rsidRPr="00424BD3">
        <w:rPr>
          <w:rFonts w:cs="Arial"/>
          <w:szCs w:val="24"/>
        </w:rPr>
        <w:fldChar w:fldCharType="end"/>
      </w:r>
      <w:r w:rsidRPr="00424BD3">
        <w:rPr>
          <w:rFonts w:cs="Arial"/>
          <w:szCs w:val="24"/>
        </w:rPr>
        <w:t xml:space="preserve"> stated, “</w:t>
      </w:r>
      <w:r w:rsidR="007A6449">
        <w:rPr>
          <w:rFonts w:cs="Arial"/>
          <w:szCs w:val="24"/>
        </w:rPr>
        <w:t>I</w:t>
      </w:r>
      <w:r w:rsidRPr="00424BD3">
        <w:rPr>
          <w:rFonts w:cs="Arial"/>
          <w:szCs w:val="24"/>
        </w:rPr>
        <w:t xml:space="preserve">t is argued that places can inherit the stigma attached to the groups who occupy those spaces”, and, in doing so, shape population health. Not only have the older women in this study experienced historical inequity, but living in East Tennessee (located in the middle of </w:t>
      </w:r>
      <w:r w:rsidR="00B55E2E" w:rsidRPr="00424BD3">
        <w:rPr>
          <w:rFonts w:cs="Arial"/>
          <w:szCs w:val="24"/>
        </w:rPr>
        <w:t xml:space="preserve">what </w:t>
      </w:r>
      <w:r w:rsidRPr="00424BD3">
        <w:rPr>
          <w:rFonts w:cs="Arial"/>
          <w:szCs w:val="24"/>
        </w:rPr>
        <w:fldChar w:fldCharType="begin"/>
      </w:r>
      <w:r w:rsidR="00990F3A">
        <w:rPr>
          <w:rFonts w:cs="Arial"/>
          <w:szCs w:val="24"/>
        </w:rPr>
        <w:instrText xml:space="preserve"> ADDIN ZOTERO_ITEM CSL_CITATION {"citationID":"Z8IRDTFI","properties":{"formattedCitation":"(Fenelon, 2013)","plainCitation":"(Fenelon, 2013)","noteIndex":0},"citationItems":[{"id":663,"uris":["http://zotero.org/users/4946941/items/BS8W89LP"],"itemData":{"id":663,"type":"article-journal","container-title":"Population and Development Review","issue":"4","language":"en","page":"611–634","title":"Geographic Divergence in Mortality in the United States","volume":"39","author":[{"family":"Fenelon","given":"A."}],"issued":{"date-parts":[["2013"]]}}}],"schema":"https://github.com/citation-style-language/schema/raw/master/csl-citation.json"} </w:instrText>
      </w:r>
      <w:r w:rsidRPr="00424BD3">
        <w:rPr>
          <w:rFonts w:cs="Arial"/>
          <w:szCs w:val="24"/>
        </w:rPr>
        <w:fldChar w:fldCharType="separate"/>
      </w:r>
      <w:r w:rsidRPr="00424BD3">
        <w:rPr>
          <w:rFonts w:cs="Arial"/>
        </w:rPr>
        <w:t>(Fenelon, 2013)</w:t>
      </w:r>
      <w:r w:rsidRPr="00424BD3">
        <w:rPr>
          <w:rFonts w:cs="Arial"/>
          <w:szCs w:val="24"/>
        </w:rPr>
        <w:fldChar w:fldCharType="end"/>
      </w:r>
      <w:r w:rsidR="00B55E2E" w:rsidRPr="00424BD3">
        <w:rPr>
          <w:rFonts w:cs="Arial"/>
          <w:szCs w:val="24"/>
        </w:rPr>
        <w:t xml:space="preserve"> calls the worst of “Southern Disadvantage” states</w:t>
      </w:r>
      <w:r w:rsidR="00020355" w:rsidRPr="00846A04">
        <w:rPr>
          <w:rStyle w:val="FootnoteReference"/>
        </w:rPr>
        <w:footnoteReference w:id="3"/>
      </w:r>
      <w:r w:rsidR="00A05120" w:rsidRPr="00424BD3">
        <w:rPr>
          <w:rFonts w:cs="Arial"/>
          <w:szCs w:val="24"/>
        </w:rPr>
        <w:t>)</w:t>
      </w:r>
      <w:r w:rsidRPr="00424BD3">
        <w:rPr>
          <w:rFonts w:cs="Arial"/>
          <w:szCs w:val="24"/>
        </w:rPr>
        <w:t xml:space="preserve"> has situated them in a region steeped in geographically-based, place-rooted discrimination </w:t>
      </w:r>
      <w:r w:rsidRPr="00424BD3">
        <w:rPr>
          <w:rFonts w:cs="Arial"/>
          <w:szCs w:val="24"/>
        </w:rPr>
        <w:fldChar w:fldCharType="begin"/>
      </w:r>
      <w:r w:rsidR="00990F3A">
        <w:rPr>
          <w:rFonts w:cs="Arial"/>
          <w:szCs w:val="24"/>
        </w:rPr>
        <w:instrText xml:space="preserve"> ADDIN ZOTERO_ITEM CSL_CITATION {"citationID":"gsIrGfqi","properties":{"formattedCitation":"(Fifolt &amp; McCormick, 2020; Hsiung, 2014)","plainCitation":"(Fifolt &amp; McCormick, 2020; Hsiung, 2014)","noteIndex":0},"citationItems":[{"id":667,"uris":["http://zotero.org/users/4946941/items/77LWD2D8"],"itemData":{"id":667,"type":"article-journal","container-title":"Pedagogy in Health Promotion","DOI":"10.1177/2373379919839076","issue":"2","language":"en","page":"102–112","title":"Advancing Public Health Education Through Place-Based Learning:“On the Road in the Deep South”","volume":"6","author":[{"family":"Fifolt","given":"M."},{"family":"McCormick","given":"L.C."}],"issued":{"date-parts":[["2020"]]}}},{"id":690,"uris":["http://zotero.org/users/4946941/items/TCTFE8FB"],"itemData":{"id":690,"type":"book","language":"en","publisher":"University Press of Kentucky","title":"Two worlds in the Tennessee mountains: Exploring the origins of Appalachian stereotypes","author":[{"family":"Hsiung","given":"D.C."}],"issued":{"date-parts":[["2014"]]}}}],"schema":"https://github.com/citation-style-language/schema/raw/master/csl-citation.json"} </w:instrText>
      </w:r>
      <w:r w:rsidRPr="00424BD3">
        <w:rPr>
          <w:rFonts w:cs="Arial"/>
          <w:szCs w:val="24"/>
        </w:rPr>
        <w:fldChar w:fldCharType="separate"/>
      </w:r>
      <w:r w:rsidRPr="00424BD3">
        <w:rPr>
          <w:rFonts w:cs="Arial"/>
        </w:rPr>
        <w:t>(Fifolt &amp; McCormick, 2020; Hsiung, 2014)</w:t>
      </w:r>
      <w:r w:rsidRPr="00424BD3">
        <w:rPr>
          <w:rFonts w:cs="Arial"/>
          <w:szCs w:val="24"/>
        </w:rPr>
        <w:fldChar w:fldCharType="end"/>
      </w:r>
      <w:r w:rsidRPr="00424BD3">
        <w:rPr>
          <w:rFonts w:cs="Arial"/>
          <w:szCs w:val="24"/>
        </w:rPr>
        <w:t xml:space="preserve">. </w:t>
      </w:r>
      <w:r w:rsidR="00A03EA7" w:rsidRPr="00424BD3">
        <w:rPr>
          <w:rFonts w:cs="Arial"/>
          <w:szCs w:val="24"/>
        </w:rPr>
        <w:t xml:space="preserve">Comparing older women’s health perceptions and experiences through a geographic / spatial lens is important because research shows that health inequity is greatly influenced by geographical factors. In fact, </w:t>
      </w:r>
      <w:r w:rsidR="00A03EA7" w:rsidRPr="00424BD3">
        <w:rPr>
          <w:rFonts w:cs="Arial"/>
          <w:szCs w:val="24"/>
        </w:rPr>
        <w:fldChar w:fldCharType="begin"/>
      </w:r>
      <w:r w:rsidR="00990F3A">
        <w:rPr>
          <w:rFonts w:cs="Arial"/>
          <w:szCs w:val="24"/>
        </w:rPr>
        <w:instrText xml:space="preserve"> ADDIN ZOTERO_ITEM CSL_CITATION {"citationID":"mf19g8Pc","properties":{"formattedCitation":"(Arora et al., 2016)","plainCitation":"(Arora et al., 2016)","noteIndex":0},"citationItems":[{"id":584,"uris":["http://zotero.org/users/4946941/items/3BDPA5LL"],"itemData":{"id":584,"type":"article-journal","abstract":"Geographic disparities in life expectancy are substantial and not fully explained by differences in race and socioeconomic status. To develop policies that address these inequalities, it is essential to identify other factors that account for this variation. In this study we investigated whether population well-being—a comprehensive measure of physical, mental, and social health—helps explain geographic variation in life expectancy. At the county level, we found that for every 1-standard-deviation (4.2-point) increase in the well-being score, life expectancy was 1.9 years higher for females and 2.6 years higher for males. Life expectancy and well-being remained positively associated, even after race, poverty, and education were controlled for. In addition, well-being partially mediated the established associations of race, poverty, and education with life expectancy. These findings highlight well-being as an important metric of a population’s health and longevity and as a promising focus for intervention.","container-title":"Health Affairs","DOI":"10.1377/hlthaff.2016.0715","ISSN":"0278-2715","issue":"11","note":"publisher: Health Affairs","page":"2075-2082","source":"healthaffairs.org (Atypon)","title":"Population Well-Being Measures Help Explain Geographic Disparities In Life Expectancy At The County Level","volume":"35","author":[{"family":"Arora","given":"Anita"},{"family":"Spatz","given":"Erica"},{"family":"Herrin","given":"Jeph"},{"family":"Riley","given":"Carley"},{"family":"Roy","given":"Brita"},{"family":"Kell","given":"Kenneth"},{"family":"Coberley","given":"Carter"},{"family":"Rula","given":"Elizabeth"},{"family":"Krumholz","given":"Harlan M."}],"issued":{"date-parts":[["2016",11]]}}}],"schema":"https://github.com/citation-style-language/schema/raw/master/csl-citation.json"} </w:instrText>
      </w:r>
      <w:r w:rsidR="00A03EA7" w:rsidRPr="00424BD3">
        <w:rPr>
          <w:rFonts w:cs="Arial"/>
          <w:szCs w:val="24"/>
        </w:rPr>
        <w:fldChar w:fldCharType="separate"/>
      </w:r>
      <w:r w:rsidR="00A03EA7" w:rsidRPr="00424BD3">
        <w:rPr>
          <w:rFonts w:cs="Arial"/>
        </w:rPr>
        <w:t>(Arora et al., 2016)</w:t>
      </w:r>
      <w:r w:rsidR="00A03EA7" w:rsidRPr="00424BD3">
        <w:rPr>
          <w:rFonts w:cs="Arial"/>
          <w:szCs w:val="24"/>
        </w:rPr>
        <w:fldChar w:fldCharType="end"/>
      </w:r>
      <w:r w:rsidR="00A03EA7" w:rsidRPr="00424BD3">
        <w:rPr>
          <w:rFonts w:cs="Arial"/>
          <w:szCs w:val="24"/>
        </w:rPr>
        <w:t xml:space="preserve"> has stated that inequities in life expectancy, for example, are “not fully explained by differences in race and socioeconomic status” (p. 2075). This is indicative of environment’s inclusion as a social determinant of health, and the large body of literature on place-based health inequity research </w:t>
      </w:r>
      <w:r w:rsidR="00A03EA7" w:rsidRPr="00424BD3">
        <w:rPr>
          <w:rFonts w:cs="Arial"/>
          <w:szCs w:val="24"/>
        </w:rPr>
        <w:fldChar w:fldCharType="begin"/>
      </w:r>
      <w:r w:rsidR="00990F3A">
        <w:rPr>
          <w:rFonts w:cs="Arial"/>
          <w:szCs w:val="24"/>
        </w:rPr>
        <w:instrText xml:space="preserve"> ADDIN ZOTERO_ITEM CSL_CITATION {"citationID":"bqcrhTyB","properties":{"formattedCitation":"(Bambra et al., 2010; Marmot et al., 2012; Marmot &amp; Wilkinson, 2005; Montez et al., 2016; Wilkinson &amp; Marmot, 2003)","plainCitation":"(Bambra et al., 2010; Marmot et al., 2012; Marmot &amp; Wilkinson, 2005; Montez et al., 2016; Wilkinson &amp; Marmot, 2003)","noteIndex":0},"citationItems":[{"id":588,"uris":["http://zotero.org/users/4946941/items/4A29ZJ5Q"],"itemData":{"id":588,"type":"article-journal","abstract":"Background There is increasing pressure to tackle the wider social determinants of health through the implementation of appropriate interventions. However, turning these demands for better evidence about interventions around the social determinants of health into action requires identifying what we already know and highlighting areas for further development.\nMethods Systematic review methodology was used to identify systematic reviews (from 2000 to 2007, developed countries only) that described the health effects of any intervention based on the wider social determinants of health: water and sanitation, agriculture and food, access to health and social care services, unemployment and welfare, working conditions, housing and living environment, education, and transport.\nResults Thirty systematic reviews were identified. Generally, the effects of interventions on health inequalities were unclear. However, there is suggestive systematic review evidence that certain categories of intervention may impact positively on inequalities or on the health of specific disadvantaged groups, particularly interventions in the fields of housing and the work environment.\nConclusion Intervention studies that address inequalities in health are a priority area for future public health research.","container-title":"Journal of Epidemiology &amp; Community Health","DOI":"10.1136/jech.2008.082743","ISSN":"0143-005X, 1470-2738","issue":"4","language":"en","license":"© 2010, Published by the BMJ Publishing Group Limited For permission to use, (where not already granted under a licence) please go to http://group.bmj.com/group/rights-licensing/permissions.. This is an open-access article distributed under the terms of the Creative Commons Attribution Non-commercial License, which permits use, distribution, and reproduction in any medium, provided the original work is properly cited, the use is non commercial and is otherwise in compliance with the license. See: http://creativecommons.org/licenses/by-nc/2.0/ and http://creativecommons.org/licenses/by-nc/2.0/legalcode.","note":"publisher: BMJ Publishing Group Ltd\nsection: Review\nPMID: 19692738","page":"284-291","source":"jech.bmj.com","title":"Tackling the wider social determinants of health and health inequalities: evidence from systematic reviews","title-short":"Tackling the wider social determinants of health and health inequalities","volume":"64","author":[{"family":"Bambra","given":"C."},{"family":"Gibson","given":"M."},{"family":"Sowden","given":"A."},{"family":"Wright","given":"K."},{"family":"Whitehead","given":"M."},{"family":"Petticrew","given":"M."}],"issued":{"date-parts":[["2010",4,1]]}}},{"id":719,"uris":["http://zotero.org/users/4946941/items/PYIIA728"],"itemData":{"id":719,"type":"article-journal","container-title":"The lancet","issue":"9846","language":"en","page":"1011–1029","title":"WHO European review of social determinants of health and the health divide","volume":"380","author":[{"family":"Marmot","given":"M."},{"family":"Allen","given":"J."},{"family":"Bell","given":"R."},{"family":"Bloomer","given":"E."},{"family":"Goldblatt","given":"P."}],"issued":{"date-parts":[["2012"]]}}},{"id":718,"uris":["http://zotero.org/users/4946941/items/7487FR7C"],"itemData":{"id":718,"type":"book","language":"en","publisher":"OUP Oxford","title":"Social determinants of health","editor":[{"family":"Marmot","given":"M."},{"family":"Wilkinson","given":"R."}],"issued":{"date-parts":[["2005"]]}}},{"id":742,"uris":["http://zotero.org/users/4946941/items/P45WWNS7"],"itemData":{"id":742,"type":"article-journal","container-title":"SSM-population health","language":"en","page":"561–571","title":"Explaining inequities in women's mortality between US States","volume":"2","author":[{"family":"Montez","given":"J.K."},{"family":"Zajacova","given":"A."},{"family":"Hayward","given":"M.D."}],"issued":{"date-parts":[["2016"]]}}},{"id":861,"uris":["http://zotero.org/users/4946941/items/ZC4ELB7J"],"itemData":{"id":861,"type":"document","language":"en","title":"Social determinants of health: the solid facts. World Health Organization, Europe","URL":"https://www.euro.who.int/__data/assets/pdf_file/0005/98438/e81384.pdf","editor":[{"family":"Wilkinson","given":"R.G."},{"family":"Marmot","given":"M."}],"issued":{"date-parts":[["2003"]]}}}],"schema":"https://github.com/citation-style-language/schema/raw/master/csl-citation.json"} </w:instrText>
      </w:r>
      <w:r w:rsidR="00A03EA7" w:rsidRPr="00424BD3">
        <w:rPr>
          <w:rFonts w:cs="Arial"/>
          <w:szCs w:val="24"/>
        </w:rPr>
        <w:fldChar w:fldCharType="separate"/>
      </w:r>
      <w:r w:rsidR="00A03EA7" w:rsidRPr="00424BD3">
        <w:rPr>
          <w:rFonts w:cs="Arial"/>
        </w:rPr>
        <w:t>(Bambra et al., 2010; Marmot et al., 2012; Marmot &amp; Wilkinson, 2005; Montez et al., 2016; Wilkinson &amp; Marmot, 2003)</w:t>
      </w:r>
      <w:r w:rsidR="00A03EA7" w:rsidRPr="00424BD3">
        <w:rPr>
          <w:rFonts w:cs="Arial"/>
          <w:szCs w:val="24"/>
        </w:rPr>
        <w:fldChar w:fldCharType="end"/>
      </w:r>
      <w:r w:rsidR="00A03EA7" w:rsidRPr="00424BD3">
        <w:rPr>
          <w:rFonts w:cs="Arial"/>
          <w:szCs w:val="24"/>
        </w:rPr>
        <w:t xml:space="preserve"> demonstrated deep inequities in women’s mortality between U.S. states, with Tennessee having the third highest age-standardized annual probability of death for women aged 45-89 years in the US. Current research also identifies the American South as having “poorer health and mortality outcomes …with respect to many measures of health and well-being”, </w:t>
      </w:r>
      <w:r w:rsidR="00A03EA7" w:rsidRPr="00424BD3">
        <w:rPr>
          <w:rFonts w:cs="Arial"/>
          <w:szCs w:val="24"/>
        </w:rPr>
        <w:fldChar w:fldCharType="begin"/>
      </w:r>
      <w:r w:rsidR="00990F3A">
        <w:rPr>
          <w:rFonts w:cs="Arial"/>
          <w:szCs w:val="24"/>
        </w:rPr>
        <w:instrText xml:space="preserve"> ADDIN ZOTERO_ITEM CSL_CITATION {"citationID":"4Qsc4JjR","properties":{"formattedCitation":"(Fenelon, 2013)","plainCitation":"(Fenelon, 2013)","noteIndex":0},"citationItems":[{"id":663,"uris":["http://zotero.org/users/4946941/items/BS8W89LP"],"itemData":{"id":663,"type":"article-journal","container-title":"Population and Development Review","issue":"4","language":"en","page":"611–634","title":"Geographic Divergence in Mortality in the United States","volume":"39","author":[{"family":"Fenelon","given":"A."}],"issued":{"date-parts":[["2013"]]}}}],"schema":"https://github.com/citation-style-language/schema/raw/master/csl-citation.json"} </w:instrText>
      </w:r>
      <w:r w:rsidR="00A03EA7" w:rsidRPr="00424BD3">
        <w:rPr>
          <w:rFonts w:cs="Arial"/>
          <w:szCs w:val="24"/>
        </w:rPr>
        <w:fldChar w:fldCharType="separate"/>
      </w:r>
      <w:r w:rsidR="00A03EA7" w:rsidRPr="00424BD3">
        <w:rPr>
          <w:rFonts w:cs="Arial"/>
        </w:rPr>
        <w:t>(Fenelon, 2013)</w:t>
      </w:r>
      <w:r w:rsidR="00A03EA7" w:rsidRPr="00424BD3">
        <w:rPr>
          <w:rFonts w:cs="Arial"/>
          <w:szCs w:val="24"/>
        </w:rPr>
        <w:fldChar w:fldCharType="end"/>
      </w:r>
      <w:r w:rsidR="00B967D8">
        <w:rPr>
          <w:rFonts w:cs="Arial"/>
          <w:szCs w:val="24"/>
        </w:rPr>
        <w:t>,</w:t>
      </w:r>
      <w:r w:rsidR="00A03EA7" w:rsidRPr="00424BD3">
        <w:rPr>
          <w:rFonts w:cs="Arial"/>
          <w:szCs w:val="24"/>
        </w:rPr>
        <w:t xml:space="preserve"> and that the “Southern </w:t>
      </w:r>
      <w:r w:rsidR="00A03EA7" w:rsidRPr="00424BD3">
        <w:rPr>
          <w:rFonts w:cs="Arial"/>
          <w:szCs w:val="24"/>
        </w:rPr>
        <w:lastRenderedPageBreak/>
        <w:t xml:space="preserve">disadvantage” phenomenon is at its worst in the Central Southern states of Alabama, Kentucky, Mississippi, and Tennessee, with rural areas in these four states being worst </w:t>
      </w:r>
      <w:r w:rsidR="00A03EA7" w:rsidRPr="00424BD3">
        <w:rPr>
          <w:rFonts w:cs="Arial"/>
          <w:szCs w:val="24"/>
        </w:rPr>
        <w:fldChar w:fldCharType="begin"/>
      </w:r>
      <w:r w:rsidR="00990F3A">
        <w:rPr>
          <w:rFonts w:cs="Arial"/>
          <w:szCs w:val="24"/>
        </w:rPr>
        <w:instrText xml:space="preserve"> ADDIN ZOTERO_ITEM CSL_CITATION {"citationID":"WeiViZB0","properties":{"formattedCitation":"(Dollar et al., 2020; Fenelon, 2013; Montez &amp; Berkman, 2014)","plainCitation":"(Dollar et al., 2020; Fenelon, 2013; Montez &amp; Berkman, 2014)","noteIndex":0},"citationItems":[{"id":647,"uris":["http://zotero.org/users/4946941/items/ANCTADYM"],"itemData":{"id":647,"type":"article-journal","container-title":"Demographic Research","DOI":"10.4054/demres.2020.42.11","language":"en","page":"343–382","title":"The persistent southern disadvantage in US early life mortality, 1965‒2014","volume":"42","author":[{"family":"Dollar","given":"N."},{"family":"Gutin","given":"I."},{"family":"Lawrence","given":"E.M."},{"family":"Braudt","given":"D.B."},{"family":"Fishman","given":"S.H."},{"family":"Rogers","given":"R.G."},{"family":"Hummer","given":"R.A."}],"issued":{"date-parts":[["2020"]]}}},{"id":663,"uris":["http://zotero.org/users/4946941/items/BS8W89LP"],"itemData":{"id":663,"type":"article-journal","container-title":"Population and Development Review","issue":"4","language":"en","page":"611–634","title":"Geographic Divergence in Mortality in the United States","volume":"39","author":[{"family":"Fenelon","given":"A."}],"issued":{"date-parts":[["2013"]]}}},{"id":736,"uris":["http://zotero.org/users/4946941/items/A3RWR9PI"],"itemData":{"id":736,"type":"article-journal","container-title":"American Journal of Public Health","DOI":"10.2105/AJPH.2013.301526","issue":"1","language":"en","page":"82– 90","title":"Trends in the educational gradient of mortality among US adults aged 45 to 84 years: Bringing regional context into the explanation","volume":"104","author":[{"family":"Montez","given":"J.K."},{"family":"Berkman","given":"LF"}],"issued":{"date-parts":[["2014"]]}}}],"schema":"https://github.com/citation-style-language/schema/raw/master/csl-citation.json"} </w:instrText>
      </w:r>
      <w:r w:rsidR="00A03EA7" w:rsidRPr="00424BD3">
        <w:rPr>
          <w:rFonts w:cs="Arial"/>
          <w:szCs w:val="24"/>
        </w:rPr>
        <w:fldChar w:fldCharType="separate"/>
      </w:r>
      <w:r w:rsidR="00A03EA7" w:rsidRPr="00424BD3">
        <w:rPr>
          <w:rFonts w:cs="Arial"/>
        </w:rPr>
        <w:t>(Dollar et al., 2020; Fenelon, 2013; Montez &amp; Berkman, 2014)</w:t>
      </w:r>
      <w:r w:rsidR="00A03EA7" w:rsidRPr="00424BD3">
        <w:rPr>
          <w:rFonts w:cs="Arial"/>
          <w:szCs w:val="24"/>
        </w:rPr>
        <w:fldChar w:fldCharType="end"/>
      </w:r>
      <w:r w:rsidR="00A03EA7" w:rsidRPr="00424BD3">
        <w:rPr>
          <w:rFonts w:cs="Arial"/>
          <w:szCs w:val="24"/>
        </w:rPr>
        <w:t>.</w:t>
      </w:r>
    </w:p>
    <w:p w14:paraId="39DF6D66" w14:textId="5BF2B46F" w:rsidR="008844E4" w:rsidRPr="00424BD3" w:rsidRDefault="008844E4" w:rsidP="000126EE">
      <w:pPr>
        <w:spacing w:after="0" w:line="480" w:lineRule="auto"/>
        <w:ind w:firstLine="720"/>
        <w:rPr>
          <w:rFonts w:cs="Arial"/>
          <w:szCs w:val="24"/>
        </w:rPr>
      </w:pPr>
      <w:r w:rsidRPr="00424BD3">
        <w:rPr>
          <w:rFonts w:cs="Arial"/>
          <w:szCs w:val="24"/>
        </w:rPr>
        <w:t xml:space="preserve">Tennessee’s state and local legislatures, in part, have seemingly reacted by embracing a patriarchal neoliberal policymaking culture, having been swept up in the move towards ever-increasing faith-based conservatist politics </w:t>
      </w:r>
      <w:r w:rsidRPr="00424BD3">
        <w:rPr>
          <w:rFonts w:cs="Arial"/>
          <w:szCs w:val="24"/>
        </w:rPr>
        <w:fldChar w:fldCharType="begin"/>
      </w:r>
      <w:r w:rsidR="00990F3A">
        <w:rPr>
          <w:rFonts w:cs="Arial"/>
          <w:szCs w:val="24"/>
        </w:rPr>
        <w:instrText xml:space="preserve"> ADDIN ZOTERO_ITEM CSL_CITATION {"citationID":"8cpzp8at","properties":{"formattedCitation":"(Elisha, 2008; Sager &amp; Bentele, 2016)","plainCitation":"(Elisha, 2008; Sager &amp; Bentele, 2016)","noteIndex":0},"citationItems":[{"id":652,"uris":["http://zotero.org/users/4946941/items/L5E4BM28"],"itemData":{"id":652,"type":"article-journal","container-title":"Cultural Anthropology","DOI":"10.1111/j.1548-1360.2008.00006.x","issue":"1","language":"en","page":"154–189","title":"Moral ambitions of grace: The paradox of compassion and accountability in Evangelical faith</w:instrText>
      </w:r>
      <w:r w:rsidR="00990F3A">
        <w:rPr>
          <w:rFonts w:ascii="Cambria Math" w:hAnsi="Cambria Math" w:cs="Cambria Math"/>
          <w:szCs w:val="24"/>
        </w:rPr>
        <w:instrText>‐</w:instrText>
      </w:r>
      <w:r w:rsidR="00990F3A">
        <w:rPr>
          <w:rFonts w:cs="Arial"/>
          <w:szCs w:val="24"/>
        </w:rPr>
        <w:instrText xml:space="preserve">based activism","volume":"23","author":[{"family":"Elisha","given":"O."}],"issued":{"date-parts":[["2008"]]}}},{"id":790,"uris":["http://zotero.org/users/4946941/items/QABZMU9B"],"itemData":{"id":790,"type":"article-journal","container-title":"Religions","DOI":"10.3390/rel7060071","issue":"6","language":"en","page":"71","title":"Coopting the state: The conservative evangelical movement and state-level institutionalization, passage, and diffusion of faith-based initiatives","volume":"7","author":[{"family":"Sager","given":"R."},{"family":"Bentele","given":"K."}],"issued":{"date-parts":[["2016"]]}}}],"schema":"https://github.com/citation-style-language/schema/raw/master/csl-citation.json"} </w:instrText>
      </w:r>
      <w:r w:rsidRPr="00424BD3">
        <w:rPr>
          <w:rFonts w:cs="Arial"/>
          <w:szCs w:val="24"/>
        </w:rPr>
        <w:fldChar w:fldCharType="separate"/>
      </w:r>
      <w:r w:rsidRPr="00424BD3">
        <w:rPr>
          <w:rFonts w:cs="Arial"/>
        </w:rPr>
        <w:t>(Elisha, 2008; Sager &amp; Bentele, 2016)</w:t>
      </w:r>
      <w:r w:rsidRPr="00424BD3">
        <w:rPr>
          <w:rFonts w:cs="Arial"/>
          <w:szCs w:val="24"/>
        </w:rPr>
        <w:fldChar w:fldCharType="end"/>
      </w:r>
      <w:r w:rsidRPr="00424BD3">
        <w:rPr>
          <w:rFonts w:cs="Arial"/>
          <w:szCs w:val="24"/>
        </w:rPr>
        <w:t>. Charles</w:t>
      </w:r>
      <w:r w:rsidR="0087508F">
        <w:rPr>
          <w:rFonts w:cs="Arial"/>
          <w:szCs w:val="24"/>
        </w:rPr>
        <w:t xml:space="preserve"> et al.</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DRpnhn4F","properties":{"formattedCitation":"(2018)","plainCitation":"(2018)","noteIndex":0},"citationItems":[{"id":633,"uris":["http://zotero.org/users/4946941/items/RJPEN5FD"],"itemData":{"id":633,"type":"article-journal","container-title":"discrimination","DOI":"10.3386/w24904","issue":"w24904)","language":"en","note":"publisher: National Bureau of Economic Research","title":"The effects of sexism on American women: The role of norms vs","author":[{"family":"Charles","given":"K.K."},{"family":"Guryan","given":"J."},{"family":"Pan","given":"J."}],"issued":{"date-parts":[["2018"]]}},"suppress-author":true}],"schema":"https://github.com/citation-style-language/schema/raw/master/csl-citation.json"} </w:instrText>
      </w:r>
      <w:r w:rsidRPr="00424BD3">
        <w:rPr>
          <w:rFonts w:cs="Arial"/>
          <w:szCs w:val="24"/>
        </w:rPr>
        <w:fldChar w:fldCharType="separate"/>
      </w:r>
      <w:r w:rsidRPr="00424BD3">
        <w:rPr>
          <w:rFonts w:cs="Arial"/>
        </w:rPr>
        <w:t>(2018)</w:t>
      </w:r>
      <w:r w:rsidRPr="00424BD3">
        <w:rPr>
          <w:rFonts w:cs="Arial"/>
          <w:szCs w:val="24"/>
        </w:rPr>
        <w:fldChar w:fldCharType="end"/>
      </w:r>
      <w:r w:rsidRPr="00424BD3">
        <w:rPr>
          <w:rFonts w:cs="Arial"/>
          <w:szCs w:val="24"/>
        </w:rPr>
        <w:t xml:space="preserve"> argue that this means that regardless of whether women are born in Tennessee or relocate to Tennessee, they will face the highest level of sexism and misogynistic attitudes towards women in the U.S., on par with only four other states</w:t>
      </w:r>
      <w:r w:rsidR="00EC15EE" w:rsidRPr="00424BD3">
        <w:rPr>
          <w:rFonts w:cs="Arial"/>
          <w:szCs w:val="24"/>
        </w:rPr>
        <w:t>: Arkansas, Utah, Alabama, and West Virginia</w:t>
      </w:r>
      <w:r w:rsidRPr="00424BD3">
        <w:rPr>
          <w:rFonts w:cs="Arial"/>
          <w:szCs w:val="24"/>
        </w:rPr>
        <w:t xml:space="preserve">. </w:t>
      </w:r>
    </w:p>
    <w:p w14:paraId="4B74B7B3" w14:textId="38A71657" w:rsidR="008844E4" w:rsidRPr="00424BD3" w:rsidRDefault="008844E4" w:rsidP="000126EE">
      <w:pPr>
        <w:spacing w:after="0" w:line="480" w:lineRule="auto"/>
        <w:ind w:firstLine="720"/>
        <w:rPr>
          <w:rFonts w:cs="Arial"/>
          <w:szCs w:val="24"/>
        </w:rPr>
      </w:pPr>
      <w:r w:rsidRPr="00424BD3">
        <w:rPr>
          <w:rFonts w:cs="Arial"/>
          <w:szCs w:val="24"/>
        </w:rPr>
        <w:t xml:space="preserve">This has created a policy and intervention </w:t>
      </w:r>
      <w:r w:rsidR="00C04A05" w:rsidRPr="00424BD3">
        <w:rPr>
          <w:rFonts w:cs="Arial"/>
          <w:szCs w:val="24"/>
        </w:rPr>
        <w:t>context</w:t>
      </w:r>
      <w:r w:rsidRPr="00424BD3">
        <w:rPr>
          <w:rFonts w:cs="Arial"/>
          <w:szCs w:val="24"/>
        </w:rPr>
        <w:t xml:space="preserve"> at odds with eradicating the inequities they face </w:t>
      </w:r>
      <w:r w:rsidRPr="00424BD3">
        <w:rPr>
          <w:rFonts w:cs="Arial"/>
          <w:szCs w:val="24"/>
        </w:rPr>
        <w:fldChar w:fldCharType="begin"/>
      </w:r>
      <w:r w:rsidR="00990F3A">
        <w:rPr>
          <w:rFonts w:cs="Arial"/>
          <w:szCs w:val="24"/>
        </w:rPr>
        <w:instrText xml:space="preserve"> ADDIN ZOTERO_ITEM CSL_CITATION {"citationID":"EuRToMXh","properties":{"formattedCitation":"(Deakin, 2021; Navarro, 2020; Rotarou &amp; Sakellariou, 2017)","plainCitation":"(Deakin, 2021; Navarro, 2020; Rotarou &amp; Sakellariou, 2017)","noteIndex":0},"citationItems":[{"id":644,"uris":["http://zotero.org/users/4946941/items/UHECG9KC"],"itemData":{"id":644,"type":"document","language":"en","title":"Employment and Wage Policies in a Post-Neoliberal World","URL":"https://link.springer.com/chapter/10.1007%2F978-3-030-56735-4_8","author":[{"family":"Deakin","given":"S."}],"issued":{"date-parts":[["2021"]]}}},{"id":752,"uris":["http://zotero.org/users/4946941/items/9DUHUEHW"],"itemData":{"id":752,"type":"book","language":"en","publisher":"Routledge","title":"Neoliberalism, globalization, and inequities: Consequences for health and quality of life","author":[{"family":"Navarro","given":"V."}],"issued":{"date-parts":[["2020"]]}}},{"id":787,"uris":["http://zotero.org/users/4946941/items/ZSY62QMZ"],"itemData":{"id":787,"type":"article-journal","container-title":"Health policy","language":"en","page":"495–503","title":"Neoliberal reforms in health systems and the construction of long-lasting inequities in health care: A case study from Chile","volume":"121 5","author":[{"family":"Rotarou","given":"E.S."},{"family":"Sakellariou","given":"D."}],"issued":{"date-parts":[["2017"]]}}}],"schema":"https://github.com/citation-style-language/schema/raw/master/csl-citation.json"} </w:instrText>
      </w:r>
      <w:r w:rsidRPr="00424BD3">
        <w:rPr>
          <w:rFonts w:cs="Arial"/>
          <w:szCs w:val="24"/>
        </w:rPr>
        <w:fldChar w:fldCharType="separate"/>
      </w:r>
      <w:r w:rsidRPr="00424BD3">
        <w:rPr>
          <w:rFonts w:cs="Arial"/>
        </w:rPr>
        <w:t>(Deakin, 2021; Navarro, 2020; Rotarou &amp; Sakellariou, 2017)</w:t>
      </w:r>
      <w:r w:rsidRPr="00424BD3">
        <w:rPr>
          <w:rFonts w:cs="Arial"/>
          <w:szCs w:val="24"/>
        </w:rPr>
        <w:fldChar w:fldCharType="end"/>
      </w:r>
      <w:r w:rsidRPr="00424BD3">
        <w:rPr>
          <w:rFonts w:cs="Arial"/>
          <w:szCs w:val="24"/>
        </w:rPr>
        <w:t xml:space="preserve">. The cumulative effect of this reality </w:t>
      </w:r>
      <w:r w:rsidR="00940CE0" w:rsidRPr="00424BD3">
        <w:rPr>
          <w:rFonts w:cs="Arial"/>
          <w:szCs w:val="24"/>
        </w:rPr>
        <w:t>is</w:t>
      </w:r>
      <w:r w:rsidRPr="00424BD3">
        <w:rPr>
          <w:rFonts w:cs="Arial"/>
          <w:szCs w:val="24"/>
        </w:rPr>
        <w:t xml:space="preserve"> the consistent ranking of Tennessee in the lowest categories for several outcomes as well as for retiree or older American’s health with increased impacts on older women </w:t>
      </w:r>
      <w:r w:rsidRPr="00424BD3">
        <w:rPr>
          <w:rFonts w:cs="Arial"/>
          <w:szCs w:val="24"/>
        </w:rPr>
        <w:fldChar w:fldCharType="begin"/>
      </w:r>
      <w:r w:rsidR="00023341">
        <w:rPr>
          <w:rFonts w:cs="Arial"/>
          <w:szCs w:val="24"/>
        </w:rPr>
        <w:instrText xml:space="preserve"> ADDIN ZOTERO_ITEM CSL_CITATION {"citationID":"wljazNyt","properties":{"formattedCitation":"(Hoover et al., 2020; LaPick, 2021; McCann, 2021a a, 2021b b; Melton, 2018; Pellegrin, 2018a a; UHF, 2021)","plainCitation":"(Hoover et al., 2020; LaPick, 2021; McCann, 2021a a, 2021b b; Melton, 2018; Pellegrin, 2018a a; UHF, 2021)","noteIndex":0},"citationItems":[{"id":689,"uris":["http://zotero.org/users/4946941/items/3982SXY8"],"itemData":{"id":689,"type":"article-journal","container-title":"Journal of Appalachian health","issue":"1","language":"en","page":"47–53","title":"Appalachian Environmental Health Literacy: Building Knowledge and Skills to Protect Health","volume":"2","author":[{"family":"Hoover","given":"A.G."},{"family":"Koempel","given":"A."},{"family":"Christian","given":"W.J."},{"family":"Tumlin","given":"K.I."},{"family":"Pennell","given":"K.G."},{"family":"Evans","given":"S."},{"family":"McAlister","given":"M."},{"family":"Ormsbee","given":"L.E."},{"family":"Brewer","given":"D."}],"issued":{"date-parts":[["2020"]]}}},{"id":711,"uris":["http://zotero.org/users/4946941/items/HMMQRAQH"],"itemData":{"id":711,"type":"document","language":"en","note":"type: MedicareGuide.","title":"Best and Worst States for Elderly Healthcare","URL":"https://medicareguide.com/best-states-for-elderly-healthcare-340840","author":[{"family":"LaPick","given":"M."}],"issued":{"date-parts":[["2021"]]}}},{"id":724,"uris":["http://zotero.org/users/4946941/items/MMVF663T"],"itemData":{"id":724,"type":"document","language":"en","note":"type: WalletHub.","publisher":"WalletHub","title":"a. Best &amp; Worst States for Health Care","URL":"https://wallethub.com/edu/states-with-best-health-care/23457","author":[{"family":"McCann","given":"A."}],"issued":{"date-parts":[["2021"]]}},"suffix":"a"},{"id":726,"uris":["http://zotero.org/users/4946941/items/II63VP5A"],"itemData":{"id":726,"type":"document","language":"en","note":"type: WalletHub.","publisher":"WalletHub","title":"b. Best States to Retire","URL":"https://wallethub.com/edu/best-and-worst-states-to-retire/18592","author":[{"family":"McCann","given":"A."}],"issued":{"date-parts":[["2021"]]}},"suffix":"b"},{"id":732,"uris":["http://zotero.org/users/4946941/items/5QAGRKWN"],"itemData":{"id":732,"type":"document","language":"en","title":"Where you Live Affects How Long You Live. The Sycamore Institute","URL":"https://www.sycamoreinstitutetn.org/where-you-live-affects-how-long-you-live/","author":[{"family":"Melton","given":"C."}],"issued":{"date-parts":[["2018"]]}}},{"id":759,"uris":["http://zotero.org/users/4946941/items/3AIFSXLC"],"itemData":{"id":759,"type":"document","language":"en","publisher":"The Sycamore Institute","title":"a. Healthy Debate 2018: Health and Well-Being in Tennessee.","URL":"https://www.sycamoreinstitutetn.org/healthy-debate-wellbeing/","author":[{"family":"Pellegrin","given":"M."}],"issued":{"date-parts":[["2018"]]}},"suffix":"a"},{"id":837,"uris":["http://zotero.org/users/4946941/items/MB6VETR5"],"itemData":{"id":837,"type":"document","language":"en","publisher":"United Health Foundation (UHF)","title":"America’s Health Rankings Senior Report","URL":"https://assets.americashealthrankings.org/app/uploads/2021-senior-report-%E2%80%93-state-summaries.pdf","author":[{"family":"UHF","given":""}],"issued":{"date-parts":[["2021"]]}}}],"schema":"https://github.com/citation-style-language/schema/raw/master/csl-citation.json"} </w:instrText>
      </w:r>
      <w:r w:rsidRPr="00424BD3">
        <w:rPr>
          <w:rFonts w:cs="Arial"/>
          <w:szCs w:val="24"/>
        </w:rPr>
        <w:fldChar w:fldCharType="separate"/>
      </w:r>
      <w:r w:rsidR="001F2B17" w:rsidRPr="00424BD3">
        <w:rPr>
          <w:rFonts w:cs="Arial"/>
        </w:rPr>
        <w:t>(Hoover et al., 2020; LaPick, 2021; McCann, 2021a a, 2021b b; Melton, 2018; Pellegrin, 2018a a; UHF, 2021)</w:t>
      </w:r>
      <w:r w:rsidRPr="00424BD3">
        <w:rPr>
          <w:rFonts w:cs="Arial"/>
          <w:szCs w:val="24"/>
        </w:rPr>
        <w:fldChar w:fldCharType="end"/>
      </w:r>
      <w:r w:rsidR="00EC15EE" w:rsidRPr="00424BD3">
        <w:rPr>
          <w:rFonts w:cs="Arial"/>
          <w:szCs w:val="24"/>
        </w:rPr>
        <w:t>.</w:t>
      </w:r>
      <w:r w:rsidRPr="00424BD3">
        <w:rPr>
          <w:rFonts w:cs="Arial"/>
          <w:szCs w:val="24"/>
        </w:rPr>
        <w:t xml:space="preserve"> </w:t>
      </w:r>
      <w:r w:rsidR="00EC15EE" w:rsidRPr="00424BD3">
        <w:t xml:space="preserve">These include: the third worst state in the U.S. for women across several health factors </w:t>
      </w:r>
      <w:r w:rsidR="00EC15EE" w:rsidRPr="00424BD3">
        <w:fldChar w:fldCharType="begin"/>
      </w:r>
      <w:r w:rsidR="00A62929">
        <w:instrText xml:space="preserve"> ADDIN ZOTERO_ITEM CSL_CITATION {"citationID":"FGOqhAMO","properties":{"formattedCitation":"(IFWPR, 2015)","plainCitation":"(IFWPR, 2015)","noteIndex":0},"citationItems":[{"id":691,"uris":["http://zotero.org/users/4946941/items/S4NJX5Q5"],"itemData":{"id":691,"type":"document","language":"en","publisher":"Institute for Women’s Policy Research (IFWPR)","title":"The Best and Worst States Overall for Women in 2015","URL":"https://statusofwomendata.org/national-trends/best-worst-states/","author":[{"family":"IFWPR","given":""}],"issued":{"date-parts":[["2015"]]}}}],"schema":"https://github.com/citation-style-language/schema/raw/master/csl-citation.json"} </w:instrText>
      </w:r>
      <w:r w:rsidR="00EC15EE" w:rsidRPr="00424BD3">
        <w:fldChar w:fldCharType="separate"/>
      </w:r>
      <w:r w:rsidR="00EC15EE" w:rsidRPr="00424BD3">
        <w:rPr>
          <w:rFonts w:ascii="Calibri" w:hAnsi="Calibri" w:cs="Calibri"/>
        </w:rPr>
        <w:t>(</w:t>
      </w:r>
      <w:r w:rsidR="00EC15EE" w:rsidRPr="00424BD3">
        <w:rPr>
          <w:rFonts w:cs="Arial"/>
        </w:rPr>
        <w:t>IFWPR, 2015</w:t>
      </w:r>
      <w:r w:rsidR="00EC15EE" w:rsidRPr="00424BD3">
        <w:rPr>
          <w:rFonts w:ascii="Calibri" w:hAnsi="Calibri" w:cs="Calibri"/>
        </w:rPr>
        <w:t>)</w:t>
      </w:r>
      <w:r w:rsidR="00EC15EE" w:rsidRPr="00424BD3">
        <w:fldChar w:fldCharType="end"/>
      </w:r>
      <w:r w:rsidR="00EC15EE" w:rsidRPr="00424BD3">
        <w:t xml:space="preserve">; as the fifth </w:t>
      </w:r>
      <w:r w:rsidR="00DC33B5" w:rsidRPr="00424BD3">
        <w:t xml:space="preserve">worst </w:t>
      </w:r>
      <w:r w:rsidR="00EC15EE" w:rsidRPr="00424BD3">
        <w:t xml:space="preserve">state for women’s life expectancy at birth in 2021 </w:t>
      </w:r>
      <w:r w:rsidR="00EC15EE" w:rsidRPr="00424BD3">
        <w:fldChar w:fldCharType="begin"/>
      </w:r>
      <w:r w:rsidR="00990F3A">
        <w:instrText xml:space="preserve"> ADDIN ZOTERO_ITEM CSL_CITATION {"citationID":"Kc9WSLDD","properties":{"formattedCitation":"(McCann, 2021c c)","plainCitation":"(McCann, 2021c c)","dontUpdate":true,"noteIndex":0},"citationItems":[{"id":728,"uris":["http://zotero.org/users/4946941/items/IX45VZCX"],"itemData":{"id":728,"type":"document","language":"en","note":"type: WalletHub.","title":"c). Best &amp; Worst States for Women","URL":"https://wallethub.com/edu/best-and-worst-states-for-women/10728","author":[{"family":"McCann","given":"A."}],"issued":{"date-parts":[["2021"]]}},"suffix":"c"}],"schema":"https://github.com/citation-style-language/schema/raw/master/csl-citation.json"} </w:instrText>
      </w:r>
      <w:r w:rsidR="00EC15EE" w:rsidRPr="00424BD3">
        <w:fldChar w:fldCharType="separate"/>
      </w:r>
      <w:r w:rsidR="00EC15EE" w:rsidRPr="00424BD3">
        <w:rPr>
          <w:rFonts w:ascii="Calibri" w:hAnsi="Calibri" w:cs="Calibri"/>
        </w:rPr>
        <w:t>(</w:t>
      </w:r>
      <w:r w:rsidR="00EC15EE" w:rsidRPr="00424BD3">
        <w:rPr>
          <w:rFonts w:cs="Arial"/>
        </w:rPr>
        <w:t>McCann, 2021c</w:t>
      </w:r>
      <w:r w:rsidR="00EC15EE" w:rsidRPr="00424BD3">
        <w:rPr>
          <w:rFonts w:ascii="Calibri" w:hAnsi="Calibri" w:cs="Calibri"/>
        </w:rPr>
        <w:t>)</w:t>
      </w:r>
      <w:r w:rsidR="00EC15EE" w:rsidRPr="00424BD3">
        <w:fldChar w:fldCharType="end"/>
      </w:r>
      <w:r w:rsidR="00EC15EE" w:rsidRPr="00424BD3">
        <w:t>; regarding the health of its older citizens, as 44th out of the 50 states for consistently higher premature deaths than the rest of the US between 2011 and 2019.</w:t>
      </w:r>
      <w:r w:rsidR="00EC15EE" w:rsidRPr="00424BD3">
        <w:fldChar w:fldCharType="begin"/>
      </w:r>
      <w:r w:rsidR="00023341">
        <w:instrText xml:space="preserve"> ADDIN ZOTERO_ITEM CSL_CITATION {"citationID":"YkFIDgPV","properties":{"formattedCitation":"(UHF, 2021)","plainCitation":"(UHF, 2021)","noteIndex":0},"citationItems":[{"id":837,"uris":["http://zotero.org/users/4946941/items/MB6VETR5"],"itemData":{"id":837,"type":"document","language":"en","publisher":"United Health Foundation (UHF)","title":"America’s Health Rankings Senior Report","URL":"https://assets.americashealthrankings.org/app/uploads/2021-senior-report-%E2%80%93-state-summaries.pdf","author":[{"family":"UHF","given":""}],"issued":{"date-parts":[["2021"]]}}}],"schema":"https://github.com/citation-style-language/schema/raw/master/csl-citation.json"} </w:instrText>
      </w:r>
      <w:r w:rsidR="00EC15EE" w:rsidRPr="00424BD3">
        <w:fldChar w:fldCharType="separate"/>
      </w:r>
      <w:r w:rsidR="00EC15EE" w:rsidRPr="00424BD3">
        <w:rPr>
          <w:rFonts w:ascii="Calibri" w:hAnsi="Calibri" w:cs="Calibri"/>
        </w:rPr>
        <w:t>(</w:t>
      </w:r>
      <w:r w:rsidR="00EC15EE" w:rsidRPr="00424BD3">
        <w:rPr>
          <w:rFonts w:cs="Arial"/>
        </w:rPr>
        <w:t>UHF, 2021</w:t>
      </w:r>
      <w:r w:rsidR="00EC15EE" w:rsidRPr="00424BD3">
        <w:rPr>
          <w:rFonts w:ascii="Calibri" w:hAnsi="Calibri" w:cs="Calibri"/>
        </w:rPr>
        <w:t>)</w:t>
      </w:r>
      <w:r w:rsidR="00EC15EE" w:rsidRPr="00424BD3">
        <w:fldChar w:fldCharType="end"/>
      </w:r>
      <w:r w:rsidR="00EC15EE" w:rsidRPr="00424BD3">
        <w:t>; as 45</w:t>
      </w:r>
      <w:r w:rsidR="00EC15EE" w:rsidRPr="00424BD3">
        <w:rPr>
          <w:vertAlign w:val="superscript"/>
        </w:rPr>
        <w:t>th</w:t>
      </w:r>
      <w:r w:rsidR="00FA20A7">
        <w:rPr>
          <w:vertAlign w:val="superscript"/>
        </w:rPr>
        <w:t xml:space="preserve"> </w:t>
      </w:r>
      <w:r w:rsidR="00EC15EE" w:rsidRPr="00424BD3">
        <w:t>for community support expenditures for those aged 60</w:t>
      </w:r>
      <w:r w:rsidR="00AF05B4" w:rsidRPr="00424BD3">
        <w:t xml:space="preserve"> years</w:t>
      </w:r>
      <w:r w:rsidR="00EC15EE" w:rsidRPr="00424BD3">
        <w:t xml:space="preserve"> and over; 48</w:t>
      </w:r>
      <w:r w:rsidR="00EC15EE" w:rsidRPr="00424BD3">
        <w:rPr>
          <w:vertAlign w:val="superscript"/>
        </w:rPr>
        <w:t>th</w:t>
      </w:r>
      <w:r w:rsidR="00EC15EE" w:rsidRPr="00424BD3">
        <w:t xml:space="preserve"> for the number of home health care workers per 1,000 adults aged 65 </w:t>
      </w:r>
      <w:r w:rsidR="00930AF7" w:rsidRPr="00424BD3">
        <w:t xml:space="preserve">years </w:t>
      </w:r>
      <w:r w:rsidR="00EC15EE" w:rsidRPr="00424BD3">
        <w:t>and over with a disability; 42</w:t>
      </w:r>
      <w:r w:rsidR="00EC15EE" w:rsidRPr="00424BD3">
        <w:rPr>
          <w:vertAlign w:val="superscript"/>
        </w:rPr>
        <w:t>nd</w:t>
      </w:r>
      <w:r w:rsidR="00EC15EE" w:rsidRPr="00424BD3">
        <w:t xml:space="preserve"> for hospice care for the percentage of Medicare decedents; 49</w:t>
      </w:r>
      <w:r w:rsidR="00EC15EE" w:rsidRPr="00424BD3">
        <w:rPr>
          <w:vertAlign w:val="superscript"/>
        </w:rPr>
        <w:t>th</w:t>
      </w:r>
      <w:r w:rsidR="00EC15EE" w:rsidRPr="00424BD3">
        <w:t xml:space="preserve"> for those </w:t>
      </w:r>
      <w:r w:rsidR="00EC15EE" w:rsidRPr="00424BD3">
        <w:lastRenderedPageBreak/>
        <w:t xml:space="preserve">65 </w:t>
      </w:r>
      <w:r w:rsidR="00DE79AA" w:rsidRPr="00424BD3">
        <w:t xml:space="preserve">years </w:t>
      </w:r>
      <w:r w:rsidR="00EC15EE" w:rsidRPr="00424BD3">
        <w:t>and over who smoke; 43</w:t>
      </w:r>
      <w:r w:rsidR="00EC15EE" w:rsidRPr="00424BD3">
        <w:rPr>
          <w:vertAlign w:val="superscript"/>
        </w:rPr>
        <w:t>rd</w:t>
      </w:r>
      <w:r w:rsidR="00EC15EE" w:rsidRPr="00424BD3">
        <w:t xml:space="preserve"> for those 65 </w:t>
      </w:r>
      <w:r w:rsidR="00DE79AA" w:rsidRPr="00424BD3">
        <w:t xml:space="preserve">years </w:t>
      </w:r>
      <w:r w:rsidR="00EC15EE" w:rsidRPr="00424BD3">
        <w:t>and over in fair or better health with physical inactivity; 46</w:t>
      </w:r>
      <w:r w:rsidR="00EC15EE" w:rsidRPr="00424BD3">
        <w:rPr>
          <w:vertAlign w:val="superscript"/>
        </w:rPr>
        <w:t>th</w:t>
      </w:r>
      <w:r w:rsidR="00EC15EE" w:rsidRPr="00424BD3">
        <w:t xml:space="preserve"> for percentage of those 65 </w:t>
      </w:r>
      <w:r w:rsidR="00DE79AA" w:rsidRPr="00424BD3">
        <w:t xml:space="preserve">years </w:t>
      </w:r>
      <w:r w:rsidR="00EC15EE" w:rsidRPr="00424BD3">
        <w:t>and over in frequent mental distress; and 47</w:t>
      </w:r>
      <w:r w:rsidR="00EC15EE" w:rsidRPr="00424BD3">
        <w:rPr>
          <w:vertAlign w:val="superscript"/>
        </w:rPr>
        <w:t>th</w:t>
      </w:r>
      <w:r w:rsidR="00EC15EE" w:rsidRPr="00424BD3">
        <w:t xml:space="preserve"> for those in frequent physical distress </w:t>
      </w:r>
      <w:r w:rsidR="00EC15EE" w:rsidRPr="00424BD3">
        <w:fldChar w:fldCharType="begin"/>
      </w:r>
      <w:r w:rsidR="00023341">
        <w:instrText xml:space="preserve"> ADDIN ZOTERO_ITEM CSL_CITATION {"citationID":"OqKIJDLV","properties":{"formattedCitation":"(UHF, 2021)","plainCitation":"(UHF, 2021)","noteIndex":0},"citationItems":[{"id":837,"uris":["http://zotero.org/users/4946941/items/MB6VETR5"],"itemData":{"id":837,"type":"document","language":"en","publisher":"United Health Foundation (UHF)","title":"America’s Health Rankings Senior Report","URL":"https://assets.americashealthrankings.org/app/uploads/2021-senior-report-%E2%80%93-state-summaries.pdf","author":[{"family":"UHF","given":""}],"issued":{"date-parts":[["2021"]]}}}],"schema":"https://github.com/citation-style-language/schema/raw/master/csl-citation.json"} </w:instrText>
      </w:r>
      <w:r w:rsidR="00EC15EE" w:rsidRPr="00424BD3">
        <w:fldChar w:fldCharType="separate"/>
      </w:r>
      <w:r w:rsidR="00EC15EE" w:rsidRPr="00424BD3">
        <w:rPr>
          <w:rFonts w:ascii="Calibri" w:hAnsi="Calibri" w:cs="Calibri"/>
        </w:rPr>
        <w:t>(</w:t>
      </w:r>
      <w:r w:rsidR="00EC15EE" w:rsidRPr="00424BD3">
        <w:rPr>
          <w:rFonts w:cs="Arial"/>
        </w:rPr>
        <w:t>UHF, 2021</w:t>
      </w:r>
      <w:r w:rsidR="00EC15EE" w:rsidRPr="00424BD3">
        <w:rPr>
          <w:rFonts w:ascii="Calibri" w:hAnsi="Calibri" w:cs="Calibri"/>
        </w:rPr>
        <w:t>)</w:t>
      </w:r>
      <w:r w:rsidR="00EC15EE" w:rsidRPr="00424BD3">
        <w:fldChar w:fldCharType="end"/>
      </w:r>
      <w:r w:rsidR="00EC15EE" w:rsidRPr="00424BD3">
        <w:t xml:space="preserve">. </w:t>
      </w:r>
      <w:r w:rsidR="00ED780E" w:rsidRPr="00424BD3">
        <w:t xml:space="preserve">Tables </w:t>
      </w:r>
      <w:r w:rsidR="008612C2" w:rsidRPr="00424BD3">
        <w:t xml:space="preserve">1-3 in </w:t>
      </w:r>
      <w:r w:rsidR="009F3F26" w:rsidRPr="00424BD3">
        <w:t>Appendix 1 shows a</w:t>
      </w:r>
      <w:r w:rsidR="00EC15EE" w:rsidRPr="00424BD3">
        <w:t xml:space="preserve"> more in-depth review of health rankings and outcomes for the participant counties represented in this study. </w:t>
      </w:r>
    </w:p>
    <w:p w14:paraId="4CA7FACC" w14:textId="48888CBD" w:rsidR="008844E4" w:rsidRPr="00424BD3" w:rsidRDefault="008844E4" w:rsidP="000126EE">
      <w:pPr>
        <w:pStyle w:val="Heading2"/>
        <w:spacing w:before="0" w:line="480" w:lineRule="auto"/>
        <w:jc w:val="center"/>
        <w:rPr>
          <w:rFonts w:ascii="Arial" w:hAnsi="Arial" w:cs="Arial"/>
          <w:b/>
          <w:bCs/>
          <w:color w:val="auto"/>
          <w:sz w:val="24"/>
          <w:szCs w:val="24"/>
        </w:rPr>
      </w:pPr>
      <w:bookmarkStart w:id="3" w:name="_Toc118232278"/>
      <w:r w:rsidRPr="00424BD3">
        <w:rPr>
          <w:rFonts w:ascii="Arial" w:hAnsi="Arial" w:cs="Arial"/>
          <w:b/>
          <w:bCs/>
          <w:color w:val="auto"/>
          <w:sz w:val="24"/>
          <w:szCs w:val="24"/>
        </w:rPr>
        <w:t>Problem</w:t>
      </w:r>
      <w:bookmarkEnd w:id="3"/>
    </w:p>
    <w:p w14:paraId="44916E92" w14:textId="65E2EDF6" w:rsidR="008844E4" w:rsidRPr="00424BD3" w:rsidRDefault="008844E4" w:rsidP="000126EE">
      <w:pPr>
        <w:spacing w:after="0" w:line="480" w:lineRule="auto"/>
        <w:ind w:firstLine="720"/>
        <w:rPr>
          <w:rFonts w:cs="Arial"/>
          <w:szCs w:val="24"/>
        </w:rPr>
      </w:pPr>
      <w:r w:rsidRPr="00424BD3">
        <w:rPr>
          <w:rFonts w:cs="Arial"/>
          <w:szCs w:val="24"/>
        </w:rPr>
        <w:t xml:space="preserve">While there are numerous federal, state, and local policies and interventions designed to support older people, most are inadequate to meet the specific needs and wants of older women, especially those women who fall into the gap of assistance ineligibility and who are at low and lower-middle levels of income in the USA </w:t>
      </w:r>
      <w:r w:rsidRPr="00424BD3">
        <w:rPr>
          <w:rFonts w:cs="Arial"/>
          <w:szCs w:val="24"/>
        </w:rPr>
        <w:fldChar w:fldCharType="begin"/>
      </w:r>
      <w:r w:rsidR="00A62929">
        <w:rPr>
          <w:rFonts w:cs="Arial"/>
          <w:szCs w:val="24"/>
        </w:rPr>
        <w:instrText xml:space="preserve"> ADDIN ZOTERO_ITEM CSL_CITATION {"citationID":"9ujQmYP9","properties":{"formattedCitation":"(Garfield et al., 2021; KFF, 2013; Morton &amp; Dunn, n.d.)","plainCitation":"(Garfield et al., 2021; KFF, 2013; Morton &amp; Dunn, n.d.)","noteIndex":0},"citationItems":[{"id":670,"uris":["http://zotero.org/users/4946941/items/Q962X4MG"],"itemData":{"id":670,"type":"document","language":"en","title":"The Coverage Gap: Uninsured Poor Adults in States that Do No Expand Medicaid. Kaiser Family Foundation","URL":"https://www.kff.org/medicaid/issue-brief/the-coverage-gap-uninsured-poor-adults-in-states-that-do-not-expand-medicaid/","author":[{"family":"Garfield","given":"R."},{"family":"Orgera","given":"K."},{"family":"Damico","given":"A."}],"issued":{"date-parts":[["2021"]]}}},{"id":695,"uris":["http://zotero.org/users/4946941/items/WGFSF2YM"],"itemData":{"id":695,"type":"document","language":"en","publisher":"Kaiser Family Foundation (KFF)","title":"Medicare’s Role for Older Women","URL":"https://www.kff.org/womens-health-policy/fact-sheet/medicares-role-for-older-women/","author":[{"family":"KFF","given":""}],"issued":{"date-parts":[["2013"]]}}},{"id":737,"uris":["http://zotero.org/users/4946941/items/M95M89XY"],"itemData":{"id":737,"type":"document","language":"en","publisher":"The Stern Center for Evidence-Based Policy.University of Pittsburg Health Policy Institute","title":"Addressing the Health Needs of an Aging America.","URL":"https://www.healthpolicyinstitute.pitt.edu/sites/default/files/SternCtrAddressingNeeds.pdf","author":[{"family":"Morton","given":"Sally"},{"family":"Dunn","given":"William"}],"issued":{"literal":"n.d."}}}],"schema":"https://github.com/citation-style-language/schema/raw/master/csl-citation.json"} </w:instrText>
      </w:r>
      <w:r w:rsidRPr="00424BD3">
        <w:rPr>
          <w:rFonts w:cs="Arial"/>
          <w:szCs w:val="24"/>
        </w:rPr>
        <w:fldChar w:fldCharType="separate"/>
      </w:r>
      <w:r w:rsidRPr="00424BD3">
        <w:rPr>
          <w:rFonts w:cs="Arial"/>
        </w:rPr>
        <w:t>(Garfield et al., 2021; KFF, 2013; Morton &amp; Dunn, n.d.)</w:t>
      </w:r>
      <w:r w:rsidRPr="00424BD3">
        <w:rPr>
          <w:rFonts w:cs="Arial"/>
          <w:szCs w:val="24"/>
        </w:rPr>
        <w:fldChar w:fldCharType="end"/>
      </w:r>
      <w:r w:rsidR="004005E4">
        <w:rPr>
          <w:rFonts w:cs="Arial"/>
          <w:szCs w:val="24"/>
        </w:rPr>
        <w:t xml:space="preserve"> </w:t>
      </w:r>
      <w:r w:rsidRPr="00424BD3">
        <w:rPr>
          <w:rFonts w:cs="Arial"/>
          <w:szCs w:val="24"/>
        </w:rPr>
        <w:t xml:space="preserve">This is due, in part, to how policies and interventions are shaped (or in the case of federal policies, how they are blocked or adapted) by state decision-makers who are antagonistic to federal government oversight of health policy. Additionally, patriarchal norms and beliefs, as well as culturally conservative and libertarian neoliberal ideas regarding health—such as individual responsibility, market primacy, and limited government intervention—are prominent in the area and often strongly internalized by older women. </w:t>
      </w:r>
      <w:r w:rsidRPr="00424BD3">
        <w:rPr>
          <w:rFonts w:cs="Arial"/>
          <w:szCs w:val="24"/>
        </w:rPr>
        <w:fldChar w:fldCharType="begin"/>
      </w:r>
      <w:r w:rsidR="00990F3A">
        <w:rPr>
          <w:rFonts w:cs="Arial"/>
          <w:szCs w:val="24"/>
        </w:rPr>
        <w:instrText xml:space="preserve"> ADDIN ZOTERO_ITEM CSL_CITATION {"citationID":"e0Ahz22T","properties":{"formattedCitation":"(Cruikshank, 2013; Rubinstein &amp; Medeiros, 2015; Tincknell, 2011)","plainCitation":"(Cruikshank, 2013; Rubinstein &amp; Medeiros, 2015; Tincknell, 2011)","noteIndex":0},"citationItems":[{"id":642,"uris":["http://zotero.org/users/4946941/items/MU5IA34Q"],"itemData":{"id":642,"type":"book","language":"en","publisher":"Rowman &amp; Littlefield Publishers","title":"Learning to be old: Gender, culture, and aging","author":[{"family":"Cruikshank","given":"M."}],"issued":{"date-parts":[["2013"]]}}},{"id":789,"uris":["http://zotero.org/users/4946941/items/M9P64CW7"],"itemData":{"id":789,"type":"article-journal","container-title":"The gerontologist","DOI":"10.1093/geront/gnu080","issue":"1","language":"en","page":"34–42","title":"Successful aging,” gerontological theory and neoliberalism: A qualitative critique","volume":"55","author":[{"family":"Rubinstein","given":"R.L."},{"family":"Medeiros","given":"K."}],"issued":{"date-parts":[["2015"]]}}},{"id":834,"uris":["http://zotero.org/users/4946941/items/96WSF658"],"itemData":{"id":834,"type":"chapter","container-title":"New Femininities","event-place":"London","language":"en","note":"DOI: 10.1057/9780230294523_6","page":"83–95","publisher":"Palgrave Macmillan","publisher-place":"London","title":"Scourging the abject body: Ten years younger and fragmented femininity under neoliberalism","author":[{"family":"Tincknell","given":"E."}],"issued":{"date-parts":[["2011"]]}}}],"schema":"https://github.com/citation-style-language/schema/raw/master/csl-citation.json"} </w:instrText>
      </w:r>
      <w:r w:rsidRPr="00424BD3">
        <w:rPr>
          <w:rFonts w:cs="Arial"/>
          <w:szCs w:val="24"/>
        </w:rPr>
        <w:fldChar w:fldCharType="separate"/>
      </w:r>
      <w:r w:rsidRPr="00424BD3">
        <w:rPr>
          <w:rFonts w:cs="Arial"/>
        </w:rPr>
        <w:t>(Cruikshank, 2013; Rubinstein &amp; Medeiros, 2015; Tincknell, 2011)</w:t>
      </w:r>
      <w:r w:rsidRPr="00424BD3">
        <w:rPr>
          <w:rFonts w:cs="Arial"/>
          <w:szCs w:val="24"/>
        </w:rPr>
        <w:fldChar w:fldCharType="end"/>
      </w:r>
      <w:r w:rsidRPr="00424BD3">
        <w:rPr>
          <w:rFonts w:cs="Arial"/>
          <w:szCs w:val="24"/>
        </w:rPr>
        <w:t xml:space="preserve">. These and many other structural and individual causes exacerbate older women’s health inequities in Appalachian regions </w:t>
      </w:r>
      <w:r w:rsidRPr="00424BD3">
        <w:rPr>
          <w:rFonts w:cs="Arial"/>
          <w:szCs w:val="24"/>
        </w:rPr>
        <w:fldChar w:fldCharType="begin"/>
      </w:r>
      <w:r w:rsidR="00990F3A">
        <w:rPr>
          <w:rFonts w:cs="Arial"/>
          <w:szCs w:val="24"/>
        </w:rPr>
        <w:instrText xml:space="preserve"> ADDIN ZOTERO_ITEM CSL_CITATION {"citationID":"7VGMd1LR","properties":{"formattedCitation":"(Rubinstein &amp; Medeiros, 2015)","plainCitation":"(Rubinstein &amp; Medeiros, 2015)","noteIndex":0},"citationItems":[{"id":789,"uris":["http://zotero.org/users/4946941/items/M9P64CW7"],"itemData":{"id":789,"type":"article-journal","container-title":"The gerontologist","DOI":"10.1093/geront/gnu080","issue":"1","language":"en","page":"34–42","title":"Successful aging,” gerontological theory and neoliberalism: A qualitative critique","volume":"55","author":[{"family":"Rubinstein","given":"R.L."},{"family":"Medeiros","given":"K."}],"issued":{"date-parts":[["2015"]]}}}],"schema":"https://github.com/citation-style-language/schema/raw/master/csl-citation.json"} </w:instrText>
      </w:r>
      <w:r w:rsidRPr="00424BD3">
        <w:rPr>
          <w:rFonts w:cs="Arial"/>
          <w:szCs w:val="24"/>
        </w:rPr>
        <w:fldChar w:fldCharType="separate"/>
      </w:r>
      <w:r w:rsidRPr="00424BD3">
        <w:rPr>
          <w:rFonts w:cs="Arial"/>
        </w:rPr>
        <w:t>(Rubinstein &amp; Medeiros, 2015)</w:t>
      </w:r>
      <w:r w:rsidRPr="00424BD3">
        <w:rPr>
          <w:rFonts w:cs="Arial"/>
          <w:szCs w:val="24"/>
        </w:rPr>
        <w:fldChar w:fldCharType="end"/>
      </w:r>
      <w:r w:rsidRPr="00424BD3">
        <w:rPr>
          <w:rFonts w:cs="Arial"/>
          <w:szCs w:val="24"/>
        </w:rPr>
        <w:t>.</w:t>
      </w:r>
      <w:r w:rsidR="00586B9A">
        <w:rPr>
          <w:rFonts w:cs="Arial"/>
          <w:szCs w:val="24"/>
        </w:rPr>
        <w:t xml:space="preserve"> </w:t>
      </w:r>
      <w:r w:rsidRPr="00424BD3">
        <w:rPr>
          <w:rFonts w:cs="Arial"/>
          <w:szCs w:val="24"/>
        </w:rPr>
        <w:t xml:space="preserve">While health equity research is making strides in capturing and sharing older women’s lived health inequity experiences </w:t>
      </w:r>
      <w:r w:rsidRPr="00424BD3">
        <w:rPr>
          <w:rFonts w:cs="Arial"/>
          <w:szCs w:val="24"/>
        </w:rPr>
        <w:fldChar w:fldCharType="begin"/>
      </w:r>
      <w:r w:rsidR="0046301F">
        <w:rPr>
          <w:rFonts w:cs="Arial"/>
          <w:szCs w:val="24"/>
        </w:rPr>
        <w:instrText xml:space="preserve"> ADDIN ZOTERO_ITEM CSL_CITATION {"citationID":"pN0wHnLd","properties":{"formattedCitation":"(Arber, 2006; Bierman &amp; Clancy, 2001; EuroHealthNet, 2017; S. R. Meyer et al., 2020; Mitchell, 1996; E. Phelan &amp; LoGerfo, 2005; Phillips &amp; Carver, 2015; Rostad et al., 2009; Sen, 2001; Tannenbaum et al., 2005; Tuohy &amp; Cooney, 2019; Wang et al., 2020; WHO, 2007; Young et al., 2019)","plainCitation":"(Arber, 2006; Bierman &amp; Clancy, 2001; EuroHealthNet, 2017; S. R. Meyer et al., 2020; Mitchell, 1996; E. Phelan &amp; LoGerfo, 2005; Phillips &amp; Carver, 2015; Rostad et al., 2009; Sen, 2001; Tannenbaum et al., 2005; Tuohy &amp; Cooney, 2019; Wang et al., 2020; WHO, 2007; Young et al., 2019)","noteIndex":0},"citationItems":[{"id":583,"uris":["http://zotero.org/users/4946941/items/65XXARN7"],"itemData":{"id":583,"type":"chapter","container-title":"Ageing and diversity: Multiple pathways and cultural migrations","event-place":"Britol","page":"61-76","publisher":"Policy Press","publisher-place":"Britol","title":"Gender trajectories: How age and marital status influence patterns of gender inequality in later life","author":[{"family":"Arber","given":"Sara"}],"issued":{"date-parts":[["2006"]]}}},{"id":605,"uris":["http://zotero.org/users/4946941/items/I97EFADJ"],"itemData":{"id":605,"type":"article-journal","abstract":"Older women experience a high burden of chronic illness, disability, and comorbidity, and this burden is highest among socioeconomically disadvantaged and minority women. The consequences of a mismatch between the organization, delivery, and financing of health care for older women and their actual needs fall disproportionately on low-income and minority women. New sources of data, such as the Medicare Health Outcomes Survey, a new quality measure for Medicare+Choice plans, will provide valuable information to practitioners about the health and functioning of older women in general and about socioeconomically disadvantaged and minority women in particular. This information can be used to develop and implement interventions to improve the quality and outcomes of care for vulnerable subgroups of older women. There is cause for optimism that by improving the quality of clinical preventive services and the management of common chronic conditions and geriatric syndromes it will be possible to improve functional health outcomes, prevent or postpone disability, and extend active life expectancy for all older women while making progress toward eliminating health disparities among the most disadvantaged.","container-title":"Journal of the American Medical Women's Association (1972)","ISSN":"1551-8221","issue":"4","journalAbbreviation":"J Am Med Womens Assoc (1972)","language":"eng","note":"PMID: 11759783","page":"155-9, 188","source":"Europe PMC","title":"Health disparities among older women: identifying opportunities to improve quality of care and functional health outcomes","title-short":"Health disparities among older women","volume":"56","author":[{"family":"Bierman","given":"A S"},{"family":"Clancy","given":"C M"}],"issued":{"date-parts":[["2001",1,1]]}}},{"id":656,"uris":["http://zotero.org/users/4946941/items/MCEY4LNY"],"itemData":{"id":656,"type":"document","language":"en","publisher":"EuroHealthNet","title":"Making the Link: Gender Equity and Health","URL":"https://eurohealthnet.eu/wp-content/uploads/documents/2021/210303_PolicyPrecis_Gender_WebLayout.pdf","author":[{"literal":"EuroHealthNet"}],"issued":{"date-parts":[["2017"]]}}},{"id":734,"uris":["http://zotero.org/users/4946941/items/E8JA5GKF"],"itemData":{"id":734,"type":"article-journal","container-title":"PLOS ONE","DOI":"10.1371/journal.pone.0239560","issue":"9","language":"en","page":"0239560","title":"Violence against older women: A systematic review of qualitative literature","volume":"15","author":[{"family":"Meyer","given":"S.R."},{"family":"Lasater","given":"M.E."},{"family":"García-Moreno","given":"C."}],"issued":{"date-parts":[["2020"]]}}},{"id":735,"uris":["http://zotero.org/users/4946941/items/NVPJWG32"],"itemData":{"id":735,"type":"article-journal","container-title":"Health Education Journal","DOI":"10.1177/001789699605500302","issue":"3","language":"en","page":"267–274","title":"A qualitative study of older women’s perceptions of control, health and aging","volume":"55","author":[{"family":"Mitchell","given":"G."}],"issued":{"date-parts":[["1996"]]}}},{"id":770,"uris":["http://zotero.org/users/4946941/items/A8ZM7MRY"],"itemData":{"id":770,"type":"article-journal","container-title":"Cmaj","issue":"2","language":"en","page":"165–166","title":"New insights into the health priorities and needs of older women","volume":"173","author":[{"family":"Phelan","given":"E."},{"family":"LoGerfo","given":"J."}],"issued":{"date-parts":[["2005"]]}}},{"id":772,"uris":["http://zotero.org/users/4946941/items/89Q7BL7W"],"itemData":{"id":772,"type":"article-journal","container-title":"PLoS One","issue":"4","language":"en","page":"0120762","title":"Early parental loss and self-rated health of older women and men: a population-based, multi-country study","volume":"10","author":[{"family":"Phillips","given":"S.P."},{"family":"Carver","given":"L."}],"issued":{"date-parts":[["2015"]]}}},{"id":785,"uris":["http://zotero.org/users/4946941/items/B7DRLXXC"],"itemData":{"id":785,"type":"article-journal","container-title":"European Journal of Aging","issue":"1","language":"en","page":"39–47","title":"Socioeconomic inequities in health in older women","volume":"6","author":[{"family":"Rostad","given":"B."},{"family":"Deeg","given":"D.J."},{"family":"Schei","given":"B."}],"issued":{"date-parts":[["2009"]]}}},{"id":794,"uris":["http://zotero.org/users/4946941/items/ZB3HLW2K"],"itemData":{"id":794,"type":"article-journal","container-title":"New Republic","issue":"12","language":"en","title":"The Many Faces of Gender Inequality","URL":"https://www.sas.upenn.edu/~dludden/MANY%20FACES%20OF%20GENDER%20INEQUALITY.htm","volume":"225","author":[{"family":"Sen","given":"Amartya"}],"issued":{"date-parts":[["2001"]]}}},{"id":811,"uris":["http://zotero.org/users/4946941/items/QLPRZK8X"],"itemData":{"id":811,"type":"article-journal","container-title":"Cmaj","issue":"2","language":"en","page":"153–159","title":"Older women's health priorities and perceptions of care delivery: results of the WOW health survey","volume":"173","author":[{"family":"Tannenbaum","given":"C."},{"family":"Mayo","given":"N."},{"family":"Ducharme","given":"F."}],"issued":{"date-parts":[["2005"]]}}},{"id":836,"uris":["http://zotero.org/users/4946941/items/RMM5RXAX"],"itemData":{"id":836,"type":"article-journal","container-title":"Gerontology and Geriatric Medicine","DOI":"10.1177/2333721419834308","language":"it","page":"2333721419834308","title":"Older women’s experiences of aging and health: An interpretive phenomenological study","volume":"5","author":[{"family":"Tuohy","given":"D."},{"family":"Cooney","given":"A."}],"issued":{"date-parts":[["2019"]]}}},{"id":858,"uris":["http://zotero.org/users/4946941/items/BW3PEVIR"],"itemData":{"id":858,"type":"article-journal","container-title":"JAMA Network Open","DOI":"10.1001/jamanetworkopen.2020.17129","issue":"9","language":"en","page":"2017129","title":"Patient Perspectives on Treatment Options for Older Women With Hormone Receptor–Positive Breast Cancer","volume":"3","author":[{"family":"Wang","given":"T."},{"family":"Mott","given":"N."},{"family":"Miller","given":"J."},{"family":"Berlin","given":"N.L."},{"family":"Hawley","given":"S."},{"family":"Jagsi","given":"R."},{"family":"Dossett","given":"L.A."}],"issued":{"date-parts":[["2020"]]}}},{"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id":871,"uris":["http://zotero.org/users/4946941/items/A2CQQKQ2"],"itemData":{"id":871,"type":"article-journal","container-title":"Feminism &amp; Psychology","DOI":"10.1177/0959353518815704","issue":"3","language":"en","page":"337–356","title":"Do mad people get endo or does endo make you mad?”: Clinicians’ discursive constructions of Medicine and women with endometriosis","volume":"29","author":[{"family":"Young","given":"K."},{"family":"Fisher","given":"J."},{"family":"Kirkman","given":"M."}],"issued":{"date-parts":[["2019"]]}}}],"schema":"https://github.com/citation-style-language/schema/raw/master/csl-citation.json"} </w:instrText>
      </w:r>
      <w:r w:rsidRPr="00424BD3">
        <w:rPr>
          <w:rFonts w:cs="Arial"/>
          <w:szCs w:val="24"/>
        </w:rPr>
        <w:fldChar w:fldCharType="separate"/>
      </w:r>
      <w:r w:rsidR="001F2B17" w:rsidRPr="00424BD3">
        <w:rPr>
          <w:rFonts w:cs="Arial"/>
        </w:rPr>
        <w:t xml:space="preserve">(Arber, 2006; Bierman &amp; Clancy, 2001; EuroHealthNet, 2017; S. R. Meyer et al., 2020; Mitchell, 1996; E. Phelan &amp; LoGerfo, 2005; Phillips &amp; Carver, 2015; Rostad et al., 2009; Sen, 2001; </w:t>
      </w:r>
      <w:r w:rsidR="001F2B17" w:rsidRPr="00424BD3">
        <w:rPr>
          <w:rFonts w:cs="Arial"/>
        </w:rPr>
        <w:lastRenderedPageBreak/>
        <w:t>Tannenbaum et al., 2005; Tuohy &amp; Cooney, 2019; Wang et al., 2020; WHO, 2007; Young et al., 2019)</w:t>
      </w:r>
      <w:r w:rsidRPr="00424BD3">
        <w:rPr>
          <w:rFonts w:cs="Arial"/>
          <w:szCs w:val="24"/>
        </w:rPr>
        <w:fldChar w:fldCharType="end"/>
      </w:r>
      <w:r w:rsidRPr="00424BD3">
        <w:rPr>
          <w:rFonts w:cs="Arial"/>
          <w:szCs w:val="24"/>
        </w:rPr>
        <w:t xml:space="preserve">, there remains a gap in relation to women’s perceptions and experiences of policies and interventions designed to mitigate the health inequities they face </w:t>
      </w:r>
      <w:r w:rsidRPr="00424BD3">
        <w:rPr>
          <w:rFonts w:cs="Arial"/>
          <w:szCs w:val="24"/>
        </w:rPr>
        <w:fldChar w:fldCharType="begin"/>
      </w:r>
      <w:r w:rsidR="00990F3A">
        <w:rPr>
          <w:rFonts w:cs="Arial"/>
          <w:szCs w:val="24"/>
        </w:rPr>
        <w:instrText xml:space="preserve"> ADDIN ZOTERO_ITEM CSL_CITATION {"citationID":"8VRsck3F","properties":{"formattedCitation":"(Chrisler et al., 2016)","plainCitation":"(Chrisler et al., 2016)","noteIndex":0},"citationItems":[{"id":634,"uris":["http://zotero.org/users/4946941/items/X352X869"],"itemData":{"id":634,"type":"article-journal","container-title":"Journal of Social Issues","issue":"1","language":"en","page":"86–104","title":"Ageism can be hazardous to women's health: Ageism, sexism, and stereotypes of older women in the healthcare system","volume":"72","author":[{"family":"Chrisler","given":"J.C."},{"family":"Barney","given":"A."},{"family":"Palatino","given":"B."}],"issued":{"date-parts":[["2016"]]}}}],"schema":"https://github.com/citation-style-language/schema/raw/master/csl-citation.json"} </w:instrText>
      </w:r>
      <w:r w:rsidRPr="00424BD3">
        <w:rPr>
          <w:rFonts w:cs="Arial"/>
          <w:szCs w:val="24"/>
        </w:rPr>
        <w:fldChar w:fldCharType="separate"/>
      </w:r>
      <w:r w:rsidRPr="00424BD3">
        <w:rPr>
          <w:rFonts w:cs="Arial"/>
        </w:rPr>
        <w:t>(Chrisler et al., 2016)</w:t>
      </w:r>
      <w:r w:rsidRPr="00424BD3">
        <w:rPr>
          <w:rFonts w:cs="Arial"/>
          <w:szCs w:val="24"/>
        </w:rPr>
        <w:fldChar w:fldCharType="end"/>
      </w:r>
      <w:r w:rsidRPr="00424BD3">
        <w:rPr>
          <w:rFonts w:cs="Arial"/>
          <w:szCs w:val="24"/>
        </w:rPr>
        <w:t xml:space="preserve">. This is particularly true within health geography research, which brings a particular focus on the cogency of place, where research in this area is lacking. </w:t>
      </w:r>
    </w:p>
    <w:p w14:paraId="1A4BC2A4" w14:textId="77EC6D4B" w:rsidR="008844E4" w:rsidRPr="00424BD3" w:rsidRDefault="008844E4" w:rsidP="000126EE">
      <w:pPr>
        <w:pStyle w:val="Heading2"/>
        <w:spacing w:before="0" w:line="480" w:lineRule="auto"/>
        <w:jc w:val="center"/>
        <w:rPr>
          <w:rFonts w:ascii="Arial" w:hAnsi="Arial" w:cs="Arial"/>
          <w:b/>
          <w:bCs/>
          <w:color w:val="auto"/>
          <w:sz w:val="24"/>
          <w:szCs w:val="24"/>
        </w:rPr>
      </w:pPr>
      <w:bookmarkStart w:id="4" w:name="_Toc118232279"/>
      <w:r w:rsidRPr="00424BD3">
        <w:rPr>
          <w:rFonts w:ascii="Arial" w:hAnsi="Arial" w:cs="Arial"/>
          <w:b/>
          <w:bCs/>
          <w:color w:val="auto"/>
          <w:sz w:val="24"/>
          <w:szCs w:val="24"/>
        </w:rPr>
        <w:t xml:space="preserve">Theoretical </w:t>
      </w:r>
      <w:r w:rsidR="004A23C0">
        <w:rPr>
          <w:rFonts w:ascii="Arial" w:hAnsi="Arial" w:cs="Arial"/>
          <w:b/>
          <w:bCs/>
          <w:color w:val="auto"/>
          <w:sz w:val="24"/>
          <w:szCs w:val="24"/>
        </w:rPr>
        <w:t>F</w:t>
      </w:r>
      <w:r w:rsidRPr="00424BD3">
        <w:rPr>
          <w:rFonts w:ascii="Arial" w:hAnsi="Arial" w:cs="Arial"/>
          <w:b/>
          <w:bCs/>
          <w:color w:val="auto"/>
          <w:sz w:val="24"/>
          <w:szCs w:val="24"/>
        </w:rPr>
        <w:t>ramework</w:t>
      </w:r>
      <w:bookmarkEnd w:id="4"/>
    </w:p>
    <w:p w14:paraId="6776BAC2" w14:textId="48641675" w:rsidR="008844E4" w:rsidRPr="00424BD3" w:rsidRDefault="00B14574" w:rsidP="000126EE">
      <w:pPr>
        <w:spacing w:after="0" w:line="480" w:lineRule="auto"/>
        <w:ind w:firstLine="720"/>
        <w:rPr>
          <w:rFonts w:cs="Arial"/>
          <w:szCs w:val="24"/>
        </w:rPr>
      </w:pPr>
      <w:r w:rsidRPr="00424BD3">
        <w:rPr>
          <w:rFonts w:cs="Arial"/>
          <w:szCs w:val="24"/>
        </w:rPr>
        <w:t>The theoretical framework for this dissertation is</w:t>
      </w:r>
      <w:r w:rsidR="008844E4" w:rsidRPr="00424BD3">
        <w:rPr>
          <w:rFonts w:cs="Arial"/>
          <w:szCs w:val="24"/>
        </w:rPr>
        <w:t xml:space="preserve"> Krieger’s ecosocial theory which links the social and biological determinants of health and the nature of embodiment </w:t>
      </w:r>
      <w:r w:rsidR="008844E4" w:rsidRPr="00424BD3">
        <w:rPr>
          <w:rFonts w:cs="Arial"/>
          <w:szCs w:val="24"/>
        </w:rPr>
        <w:fldChar w:fldCharType="begin"/>
      </w:r>
      <w:r w:rsidR="00990F3A">
        <w:rPr>
          <w:rFonts w:cs="Arial"/>
          <w:szCs w:val="24"/>
        </w:rPr>
        <w:instrText xml:space="preserve"> ADDIN ZOTERO_ITEM CSL_CITATION {"citationID":"YZTX0a2X","properties":{"formattedCitation":"(Krieger, 1994, 2001, 2012, 2021)","plainCitation":"(Krieger, 1994, 2001, 2012, 2021)","noteIndex":0},"citationItems":[{"id":905,"uris":["http://zotero.org/users/4946941/items/BFE7AEJK"],"itemData":{"id":905,"type":"article-journal","abstract":"‘Multiple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causation","volume":"39","author":[{"family":"Krieger","given":"Nancy"}],"issued":{"date-parts":[["1994",10,1]]}}},{"id":904,"uris":["http://zotero.org/users/4946941/items/FF5NBNQJ"],"itemData":{"id":904,"type":"article-journal","abstract":"‘Both thinking and facts are changeable, if only because changes in thinking manifest themselves in changed facts. Conversely, fundamentally new facts can be discovered only through new thinking.’ Ludwick Fleck (1935) Genesis and Development of a Scientific Fact.1,pp.50–51‘Once we recognize the state of the art is a social product, we are freer to look critically at the agenda of our science, its conceptual framework, and accepted methodologies, and to make conscious research choices.’ Richard Levins and Richard Lewontin (1987) The Dialectical Biologist.2,p.286","container-title":"International Journal of Epidemiology","DOI":"10.1093/ije/30.4.668","ISSN":"0300-5771","issue":"4","journalAbbreviation":"International Journal of Epidemiology","page":"668-677","source":"Silverchair","title":"Theories for social epidemiology in the 21st century: an ecosocial perspective","title-short":"Theories for social epidemiology in the 21st century","volume":"30","author":[{"family":"Krieger","given":"Nancy"}],"issued":{"date-parts":[["2001",8,1]]}}},{"id":897,"uris":["http://zotero.org/users/4946941/items/S62TE74T"],"itemData":{"id":897,"type":"article-journal","container-title":"American Journal of Public Health","issue":"5","page":"936-944","title":"Methods for the Scientific Study of Discrimination and Health: An Ecosocial Approach","volume":"102","author":[{"family":"Krieger","given":"Nancy"}],"issued":{"date-parts":[["2012"]]}}},{"id":1320,"uris":["http://zotero.org/users/4946941/items/9QDS3PCA"],"itemData":{"id":1320,"type":"book","abstract":"From public health luminary Nancy Krieger comes a revolutionary way of addressing health justice and the embodied truths of lived experience. Since the 1700s, fierce debates in medicine and public health have centered around whether sources of ill health can be attributed to either the individual or the surrounding body politic. But what if instead health researchers measure--and policies address--how people biologically embody theirsocietal and ecological context? Ecosocial Theory, Embodied Truths, and the People's Health represents a daring new foray into analyzing how population patterns of health reveal the intersections of lived experience and biology in historical context. Expanding on Nancy Krieger's original ecosocial theory of disease distribution, this volume lays new theoretical groundwork about embodiment and health justice through concrete and novel examples involving pathways such as workplace discrimination, relationship abuse, Jim Crow, police violence, pesticides, fracking, green space, and climate change. It offers a crucialcounterargument to dominant biomedical and public health narratives attributing causality to either innate biology or decontextualized health behaviors and provides a key step forward towards understanding and addressing the structural drivers of health inequities and health justice. Bridging insights from politics, history, sociology, ecology, biology, and public health, Ecosocial Theory, Embodied Truths, and the People's Health presents a bold new framework to transform biomedical and population health thinking, practice, and policies and to advance health equity across adeeply threatened planet.","ISBN":"978-0-19-751072-8","language":"en","note":"Google-Books-ID: 6n0_EAAAQBAJ","number-of-pages":"353","publisher":"Oxford University Press","source":"Google Books","title":"Ecosocial Theory, Embodied Truths, and the People's Health","author":[{"family":"Krieger","given":"Nancy"}],"issued":{"date-parts":[["2021"]]}}}],"schema":"https://github.com/citation-style-language/schema/raw/master/csl-citation.json"} </w:instrText>
      </w:r>
      <w:r w:rsidR="008844E4" w:rsidRPr="00424BD3">
        <w:rPr>
          <w:rFonts w:cs="Arial"/>
          <w:szCs w:val="24"/>
        </w:rPr>
        <w:fldChar w:fldCharType="separate"/>
      </w:r>
      <w:r w:rsidR="00165A92" w:rsidRPr="00424BD3">
        <w:rPr>
          <w:rFonts w:cs="Arial"/>
        </w:rPr>
        <w:t>(Krieger, 1994, 2001, 2012, 2021)</w:t>
      </w:r>
      <w:r w:rsidR="008844E4" w:rsidRPr="00424BD3">
        <w:rPr>
          <w:rFonts w:cs="Arial"/>
          <w:szCs w:val="24"/>
        </w:rPr>
        <w:fldChar w:fldCharType="end"/>
      </w:r>
      <w:r w:rsidR="008844E4" w:rsidRPr="00424BD3">
        <w:rPr>
          <w:rFonts w:cs="Arial"/>
          <w:szCs w:val="24"/>
        </w:rPr>
        <w:t xml:space="preserve"> as the theoretical framework for this dissertation. In </w:t>
      </w:r>
      <w:r w:rsidR="008A638A" w:rsidRPr="00424BD3">
        <w:rPr>
          <w:rFonts w:cs="Arial"/>
          <w:szCs w:val="24"/>
        </w:rPr>
        <w:t>ecosocial</w:t>
      </w:r>
      <w:r w:rsidR="008844E4" w:rsidRPr="00424BD3">
        <w:rPr>
          <w:rFonts w:cs="Arial"/>
          <w:szCs w:val="24"/>
        </w:rPr>
        <w:t xml:space="preserve"> theory, health may best be understood through the lens of embodiment – the incorporation of the social and environmental world into individual’s bodies. This is done by looking at the intersectional and spatio-temporal scales of pathways of embodiment, of agency and accountability of disease patterning (systematic, structural), and of the cumulative interplay of outcomes of health on individual’s life-course histories and experiences. These interplays can occur intergenerationally as well as at global, national, societal, familial</w:t>
      </w:r>
      <w:r w:rsidR="00EB0A8F">
        <w:rPr>
          <w:rFonts w:cs="Arial"/>
          <w:szCs w:val="24"/>
        </w:rPr>
        <w:t>,</w:t>
      </w:r>
      <w:r w:rsidR="008844E4" w:rsidRPr="00424BD3">
        <w:rPr>
          <w:rFonts w:cs="Arial"/>
          <w:szCs w:val="24"/>
        </w:rPr>
        <w:t xml:space="preserve"> and molecular scale </w:t>
      </w:r>
      <w:r w:rsidR="008844E4" w:rsidRPr="00424BD3">
        <w:rPr>
          <w:rFonts w:cs="Arial"/>
          <w:szCs w:val="24"/>
        </w:rPr>
        <w:fldChar w:fldCharType="begin"/>
      </w:r>
      <w:r w:rsidR="00990F3A">
        <w:rPr>
          <w:rFonts w:cs="Arial"/>
          <w:szCs w:val="24"/>
        </w:rPr>
        <w:instrText xml:space="preserve"> ADDIN ZOTERO_ITEM CSL_CITATION {"citationID":"QaQbsLJN","properties":{"formattedCitation":"(Krieger, 1994, 2001, 2012)","plainCitation":"(Krieger, 1994, 2001, 2012)","noteIndex":0},"citationItems":[{"id":905,"uris":["http://zotero.org/users/4946941/items/BFE7AEJK"],"itemData":{"id":905,"type":"article-journal","abstract":"‘Multiple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causation","volume":"39","author":[{"family":"Krieger","given":"Nancy"}],"issued":{"date-parts":[["1994",10,1]]}}},{"id":904,"uris":["http://zotero.org/users/4946941/items/FF5NBNQJ"],"itemData":{"id":904,"type":"article-journal","abstract":"‘Both thinking and facts are changeable, if only because changes in thinking manifest themselves in changed facts. Conversely, fundamentally new facts can be discovered only through new thinking.’ Ludwick Fleck (1935) Genesis and Development of a Scientific Fact.1,pp.50–51‘Once we recognize the state of the art is a social product, we are freer to look critically at the agenda of our science, its conceptual framework, and accepted methodologies, and to make conscious research choices.’ Richard Levins and Richard Lewontin (1987) The Dialectical Biologist.2,p.286","container-title":"International Journal of Epidemiology","DOI":"10.1093/ije/30.4.668","ISSN":"0300-5771","issue":"4","journalAbbreviation":"International Journal of Epidemiology","page":"668-677","source":"Silverchair","title":"Theories for social epidemiology in the 21st century: an ecosocial perspective","title-short":"Theories for social epidemiology in the 21st century","volume":"30","author":[{"family":"Krieger","given":"Nancy"}],"issued":{"date-parts":[["2001",8,1]]}}},{"id":897,"uris":["http://zotero.org/users/4946941/items/S62TE74T"],"itemData":{"id":897,"type":"article-journal","container-title":"American Journal of Public Health","issue":"5","page":"936-944","title":"Methods for the Scientific Study of Discrimination and Health: An Ecosocial Approach","volume":"102","author":[{"family":"Krieger","given":"Nancy"}],"issued":{"date-parts":[["2012"]]}}}],"schema":"https://github.com/citation-style-language/schema/raw/master/csl-citation.json"} </w:instrText>
      </w:r>
      <w:r w:rsidR="008844E4" w:rsidRPr="00424BD3">
        <w:rPr>
          <w:rFonts w:cs="Arial"/>
          <w:szCs w:val="24"/>
        </w:rPr>
        <w:fldChar w:fldCharType="separate"/>
      </w:r>
      <w:r w:rsidR="005A776D" w:rsidRPr="00424BD3">
        <w:rPr>
          <w:rFonts w:cs="Arial"/>
        </w:rPr>
        <w:t>(Krieger, 1994, 2001, 2012)</w:t>
      </w:r>
      <w:r w:rsidR="008844E4" w:rsidRPr="00424BD3">
        <w:rPr>
          <w:rFonts w:cs="Arial"/>
          <w:szCs w:val="24"/>
        </w:rPr>
        <w:fldChar w:fldCharType="end"/>
      </w:r>
      <w:r w:rsidR="008844E4" w:rsidRPr="00424BD3">
        <w:rPr>
          <w:rFonts w:cs="Arial"/>
          <w:szCs w:val="24"/>
        </w:rPr>
        <w:t xml:space="preserve">. Because this dissertation focuses on intersectional inequities and is interdisciplinary in nature, </w:t>
      </w:r>
      <w:r w:rsidR="008A638A" w:rsidRPr="00424BD3">
        <w:rPr>
          <w:rFonts w:cs="Arial"/>
          <w:szCs w:val="24"/>
        </w:rPr>
        <w:t>ecosocial</w:t>
      </w:r>
      <w:r w:rsidR="008844E4" w:rsidRPr="00424BD3">
        <w:rPr>
          <w:rFonts w:cs="Arial"/>
          <w:szCs w:val="24"/>
        </w:rPr>
        <w:t xml:space="preserve"> theory is well suited as a framework underpinning this study. </w:t>
      </w:r>
    </w:p>
    <w:p w14:paraId="50E7929F" w14:textId="2B2F01D9" w:rsidR="008844E4" w:rsidRPr="00424BD3" w:rsidRDefault="008844E4" w:rsidP="000126EE">
      <w:pPr>
        <w:pStyle w:val="Heading2"/>
        <w:spacing w:before="0" w:line="480" w:lineRule="auto"/>
        <w:jc w:val="center"/>
        <w:rPr>
          <w:rFonts w:ascii="Arial" w:hAnsi="Arial" w:cs="Arial"/>
          <w:b/>
          <w:bCs/>
          <w:color w:val="auto"/>
          <w:sz w:val="24"/>
          <w:szCs w:val="24"/>
        </w:rPr>
      </w:pPr>
      <w:bookmarkStart w:id="5" w:name="_Toc118232280"/>
      <w:r w:rsidRPr="00424BD3">
        <w:rPr>
          <w:rFonts w:ascii="Arial" w:hAnsi="Arial" w:cs="Arial"/>
          <w:b/>
          <w:bCs/>
          <w:color w:val="auto"/>
          <w:sz w:val="24"/>
          <w:szCs w:val="24"/>
        </w:rPr>
        <w:t>Focus</w:t>
      </w:r>
      <w:bookmarkEnd w:id="5"/>
    </w:p>
    <w:p w14:paraId="1B9C263C" w14:textId="7D937D6B" w:rsidR="0051069E" w:rsidRPr="00424BD3" w:rsidRDefault="008844E4" w:rsidP="000126EE">
      <w:pPr>
        <w:spacing w:after="0" w:line="480" w:lineRule="auto"/>
        <w:ind w:firstLine="720"/>
        <w:rPr>
          <w:rFonts w:cs="Arial"/>
          <w:szCs w:val="24"/>
        </w:rPr>
      </w:pPr>
      <w:r w:rsidRPr="00424BD3">
        <w:rPr>
          <w:rFonts w:cs="Arial"/>
          <w:szCs w:val="24"/>
        </w:rPr>
        <w:t xml:space="preserve">This paper draws on qualitative research, conducted in the summer of 2021, in which 12 women, aged 65 years and older who live in East Tennessee in and around </w:t>
      </w:r>
      <w:r w:rsidRPr="00424BD3">
        <w:rPr>
          <w:rFonts w:cs="Arial"/>
          <w:szCs w:val="24"/>
        </w:rPr>
        <w:lastRenderedPageBreak/>
        <w:t>the counties of Blount, Knox, and Sevier, were interviewed about their perceptions and experiences of health ineq</w:t>
      </w:r>
      <w:r w:rsidR="00E6791C" w:rsidRPr="00424BD3">
        <w:rPr>
          <w:rFonts w:cs="Arial"/>
          <w:szCs w:val="24"/>
        </w:rPr>
        <w:t>uities</w:t>
      </w:r>
      <w:r w:rsidR="009409C1" w:rsidRPr="00424BD3">
        <w:rPr>
          <w:rFonts w:cs="Arial"/>
          <w:szCs w:val="24"/>
        </w:rPr>
        <w:t>, as defined above,</w:t>
      </w:r>
      <w:r w:rsidRPr="00424BD3">
        <w:rPr>
          <w:rFonts w:cs="Arial"/>
          <w:szCs w:val="24"/>
        </w:rPr>
        <w:t xml:space="preserve"> in the region. </w:t>
      </w:r>
    </w:p>
    <w:p w14:paraId="5EF0B80C" w14:textId="789A658C" w:rsidR="008844E4" w:rsidRPr="00424BD3" w:rsidRDefault="008844E4" w:rsidP="000126EE">
      <w:pPr>
        <w:spacing w:after="0" w:line="480" w:lineRule="auto"/>
        <w:ind w:firstLine="720"/>
        <w:rPr>
          <w:rFonts w:cs="Arial"/>
          <w:szCs w:val="24"/>
        </w:rPr>
      </w:pPr>
      <w:r w:rsidRPr="00424BD3">
        <w:rPr>
          <w:rFonts w:cs="Arial"/>
          <w:szCs w:val="24"/>
        </w:rPr>
        <w:t xml:space="preserve">Focusing on structural health inequities, policies, perceptions, and personal experiences, this research asks: </w:t>
      </w:r>
    </w:p>
    <w:p w14:paraId="53D19FD7" w14:textId="148D8618" w:rsidR="008844E4" w:rsidRPr="00424BD3" w:rsidRDefault="008844E4" w:rsidP="000126EE">
      <w:pPr>
        <w:pStyle w:val="Heading2"/>
        <w:spacing w:before="0" w:line="480" w:lineRule="auto"/>
        <w:jc w:val="center"/>
        <w:rPr>
          <w:rFonts w:ascii="Arial" w:hAnsi="Arial" w:cs="Arial"/>
          <w:b/>
          <w:bCs/>
          <w:color w:val="auto"/>
          <w:sz w:val="24"/>
          <w:szCs w:val="24"/>
        </w:rPr>
      </w:pPr>
      <w:bookmarkStart w:id="6" w:name="_Toc118232281"/>
      <w:r w:rsidRPr="00424BD3">
        <w:rPr>
          <w:rFonts w:ascii="Arial" w:hAnsi="Arial" w:cs="Arial"/>
          <w:b/>
          <w:bCs/>
          <w:color w:val="auto"/>
          <w:sz w:val="24"/>
          <w:szCs w:val="24"/>
        </w:rPr>
        <w:t xml:space="preserve">Research </w:t>
      </w:r>
      <w:r w:rsidR="004A23C0">
        <w:rPr>
          <w:rFonts w:ascii="Arial" w:hAnsi="Arial" w:cs="Arial"/>
          <w:b/>
          <w:bCs/>
          <w:color w:val="auto"/>
          <w:sz w:val="24"/>
          <w:szCs w:val="24"/>
        </w:rPr>
        <w:t>Q</w:t>
      </w:r>
      <w:r w:rsidRPr="00424BD3">
        <w:rPr>
          <w:rFonts w:ascii="Arial" w:hAnsi="Arial" w:cs="Arial"/>
          <w:b/>
          <w:bCs/>
          <w:color w:val="auto"/>
          <w:sz w:val="24"/>
          <w:szCs w:val="24"/>
        </w:rPr>
        <w:t>uestions</w:t>
      </w:r>
      <w:bookmarkEnd w:id="6"/>
    </w:p>
    <w:p w14:paraId="2BEDE222" w14:textId="77777777" w:rsidR="008844E4" w:rsidRPr="00424BD3" w:rsidRDefault="008844E4" w:rsidP="000126EE">
      <w:pPr>
        <w:spacing w:after="0" w:line="480" w:lineRule="auto"/>
        <w:ind w:firstLine="720"/>
        <w:rPr>
          <w:rFonts w:cs="Arial"/>
          <w:szCs w:val="24"/>
        </w:rPr>
      </w:pPr>
      <w:r w:rsidRPr="00424BD3">
        <w:rPr>
          <w:rFonts w:cs="Arial"/>
          <w:szCs w:val="24"/>
        </w:rPr>
        <w:t xml:space="preserve">For older women in East Tennessee, </w:t>
      </w:r>
    </w:p>
    <w:p w14:paraId="600902D3" w14:textId="1704E49E" w:rsidR="008844E4" w:rsidRPr="00424BD3" w:rsidRDefault="008844E4" w:rsidP="000126EE">
      <w:pPr>
        <w:pStyle w:val="ListParagraph"/>
        <w:numPr>
          <w:ilvl w:val="1"/>
          <w:numId w:val="1"/>
        </w:numPr>
        <w:spacing w:after="0" w:line="480" w:lineRule="auto"/>
        <w:rPr>
          <w:rFonts w:ascii="Arial" w:hAnsi="Arial" w:cs="Arial"/>
          <w:sz w:val="24"/>
          <w:szCs w:val="24"/>
        </w:rPr>
      </w:pPr>
      <w:r w:rsidRPr="00424BD3">
        <w:rPr>
          <w:rFonts w:ascii="Arial" w:hAnsi="Arial" w:cs="Arial"/>
          <w:sz w:val="24"/>
          <w:szCs w:val="24"/>
        </w:rPr>
        <w:t>how are perceptions of and lived experiences with health inequities</w:t>
      </w:r>
      <w:r w:rsidR="00CC4CE9" w:rsidRPr="00424BD3">
        <w:rPr>
          <w:rFonts w:ascii="Arial" w:hAnsi="Arial" w:cs="Arial"/>
          <w:sz w:val="24"/>
          <w:szCs w:val="24"/>
        </w:rPr>
        <w:t xml:space="preserve"> at the intersection</w:t>
      </w:r>
      <w:r w:rsidR="004A4F84" w:rsidRPr="00424BD3">
        <w:rPr>
          <w:rFonts w:ascii="Arial" w:hAnsi="Arial" w:cs="Arial"/>
          <w:sz w:val="24"/>
          <w:szCs w:val="24"/>
        </w:rPr>
        <w:t>s</w:t>
      </w:r>
      <w:r w:rsidR="00CC4CE9" w:rsidRPr="00424BD3">
        <w:rPr>
          <w:rFonts w:ascii="Arial" w:hAnsi="Arial" w:cs="Arial"/>
          <w:sz w:val="24"/>
          <w:szCs w:val="24"/>
        </w:rPr>
        <w:t xml:space="preserve"> of age, gender, race, </w:t>
      </w:r>
      <w:r w:rsidR="00857BF8" w:rsidRPr="00424BD3">
        <w:rPr>
          <w:rFonts w:ascii="Arial" w:hAnsi="Arial" w:cs="Arial"/>
          <w:sz w:val="24"/>
          <w:szCs w:val="24"/>
        </w:rPr>
        <w:t>and socioeconomic</w:t>
      </w:r>
      <w:r w:rsidR="00591C03" w:rsidRPr="00424BD3">
        <w:rPr>
          <w:rFonts w:ascii="Arial" w:hAnsi="Arial" w:cs="Arial"/>
          <w:sz w:val="24"/>
          <w:szCs w:val="24"/>
        </w:rPr>
        <w:t xml:space="preserve"> </w:t>
      </w:r>
      <w:r w:rsidR="004A4F84" w:rsidRPr="00424BD3">
        <w:rPr>
          <w:rFonts w:ascii="Arial" w:hAnsi="Arial" w:cs="Arial"/>
          <w:sz w:val="24"/>
          <w:szCs w:val="24"/>
        </w:rPr>
        <w:t>status</w:t>
      </w:r>
      <w:r w:rsidRPr="00424BD3">
        <w:rPr>
          <w:rFonts w:ascii="Arial" w:hAnsi="Arial" w:cs="Arial"/>
          <w:sz w:val="24"/>
          <w:szCs w:val="24"/>
        </w:rPr>
        <w:t>, and the social determinants (SD</w:t>
      </w:r>
      <w:r w:rsidR="004A4F84" w:rsidRPr="00424BD3">
        <w:rPr>
          <w:rFonts w:ascii="Arial" w:hAnsi="Arial" w:cs="Arial"/>
          <w:sz w:val="24"/>
          <w:szCs w:val="24"/>
        </w:rPr>
        <w:t>O</w:t>
      </w:r>
      <w:r w:rsidRPr="00424BD3">
        <w:rPr>
          <w:rFonts w:ascii="Arial" w:hAnsi="Arial" w:cs="Arial"/>
          <w:sz w:val="24"/>
          <w:szCs w:val="24"/>
        </w:rPr>
        <w:t>H) thereof, situated in their genealogical (familial) and</w:t>
      </w:r>
      <w:r w:rsidR="005254F9" w:rsidRPr="00424BD3">
        <w:rPr>
          <w:rFonts w:ascii="Arial" w:hAnsi="Arial" w:cs="Arial"/>
          <w:sz w:val="24"/>
          <w:szCs w:val="24"/>
        </w:rPr>
        <w:t xml:space="preserve"> geographic</w:t>
      </w:r>
      <w:r w:rsidR="004A4F84" w:rsidRPr="00424BD3">
        <w:rPr>
          <w:rFonts w:ascii="Arial" w:hAnsi="Arial" w:cs="Arial"/>
          <w:sz w:val="24"/>
          <w:szCs w:val="24"/>
        </w:rPr>
        <w:t xml:space="preserve"> </w:t>
      </w:r>
      <w:r w:rsidRPr="00424BD3">
        <w:rPr>
          <w:rFonts w:ascii="Arial" w:hAnsi="Arial" w:cs="Arial"/>
          <w:sz w:val="24"/>
          <w:szCs w:val="24"/>
        </w:rPr>
        <w:t xml:space="preserve">health and mortality outcomes histories and </w:t>
      </w:r>
    </w:p>
    <w:p w14:paraId="54BE35A3" w14:textId="77777777" w:rsidR="008844E4" w:rsidRPr="00424BD3" w:rsidRDefault="008844E4" w:rsidP="000126EE">
      <w:pPr>
        <w:pStyle w:val="ListParagraph"/>
        <w:numPr>
          <w:ilvl w:val="1"/>
          <w:numId w:val="1"/>
        </w:numPr>
        <w:spacing w:after="0" w:line="480" w:lineRule="auto"/>
        <w:rPr>
          <w:rFonts w:ascii="Arial" w:hAnsi="Arial" w:cs="Arial"/>
          <w:sz w:val="24"/>
          <w:szCs w:val="24"/>
        </w:rPr>
      </w:pPr>
      <w:r w:rsidRPr="00424BD3">
        <w:rPr>
          <w:rFonts w:ascii="Arial" w:hAnsi="Arial" w:cs="Arial"/>
          <w:sz w:val="24"/>
          <w:szCs w:val="24"/>
        </w:rPr>
        <w:t>how are their perceptions and experiences of health inequities and their familial mortality outcomes histories characterized by the geopolitical and social norms in which they live?</w:t>
      </w:r>
    </w:p>
    <w:p w14:paraId="04009737" w14:textId="741E8A72" w:rsidR="008844E4" w:rsidRPr="00424BD3" w:rsidRDefault="008844E4" w:rsidP="000126EE">
      <w:pPr>
        <w:spacing w:after="0" w:line="480" w:lineRule="auto"/>
        <w:ind w:firstLine="720"/>
        <w:rPr>
          <w:rFonts w:cs="Arial"/>
          <w:szCs w:val="24"/>
        </w:rPr>
      </w:pPr>
      <w:r w:rsidRPr="00424BD3">
        <w:rPr>
          <w:rFonts w:cs="Arial"/>
          <w:szCs w:val="24"/>
        </w:rPr>
        <w:t xml:space="preserve">This study examines several </w:t>
      </w:r>
      <w:r w:rsidR="005845CA" w:rsidRPr="00424BD3">
        <w:rPr>
          <w:rFonts w:cs="Arial"/>
          <w:szCs w:val="24"/>
        </w:rPr>
        <w:t xml:space="preserve">possible </w:t>
      </w:r>
      <w:r w:rsidRPr="00424BD3">
        <w:rPr>
          <w:rFonts w:cs="Arial"/>
          <w:szCs w:val="24"/>
        </w:rPr>
        <w:t xml:space="preserve">factors </w:t>
      </w:r>
      <w:r w:rsidR="005845CA" w:rsidRPr="00424BD3">
        <w:rPr>
          <w:rFonts w:cs="Arial"/>
          <w:szCs w:val="24"/>
        </w:rPr>
        <w:t>to</w:t>
      </w:r>
      <w:r w:rsidRPr="00424BD3">
        <w:rPr>
          <w:rFonts w:cs="Arial"/>
          <w:szCs w:val="24"/>
        </w:rPr>
        <w:t xml:space="preserve"> answer these questions including: </w:t>
      </w:r>
    </w:p>
    <w:p w14:paraId="25B5D094" w14:textId="785422E4" w:rsidR="008844E4" w:rsidRPr="00424BD3" w:rsidRDefault="008844E4" w:rsidP="000126EE">
      <w:pPr>
        <w:pStyle w:val="ListParagraph"/>
        <w:numPr>
          <w:ilvl w:val="0"/>
          <w:numId w:val="2"/>
        </w:numPr>
        <w:spacing w:after="0" w:line="480" w:lineRule="auto"/>
        <w:rPr>
          <w:rFonts w:ascii="Arial" w:hAnsi="Arial" w:cs="Arial"/>
          <w:b/>
          <w:sz w:val="24"/>
          <w:szCs w:val="24"/>
        </w:rPr>
      </w:pPr>
      <w:r w:rsidRPr="00424BD3">
        <w:rPr>
          <w:rFonts w:ascii="Arial" w:hAnsi="Arial" w:cs="Arial"/>
          <w:sz w:val="24"/>
          <w:szCs w:val="24"/>
        </w:rPr>
        <w:t>Federal, state</w:t>
      </w:r>
      <w:r w:rsidR="00E90E89" w:rsidRPr="00424BD3">
        <w:rPr>
          <w:rFonts w:ascii="Arial" w:hAnsi="Arial" w:cs="Arial"/>
          <w:sz w:val="24"/>
          <w:szCs w:val="24"/>
        </w:rPr>
        <w:t>,</w:t>
      </w:r>
      <w:r w:rsidRPr="00424BD3">
        <w:rPr>
          <w:rFonts w:ascii="Arial" w:hAnsi="Arial" w:cs="Arial"/>
          <w:sz w:val="24"/>
          <w:szCs w:val="24"/>
        </w:rPr>
        <w:t xml:space="preserve"> and local policy and intervention impact on older women in East Tennessee</w:t>
      </w:r>
    </w:p>
    <w:p w14:paraId="4B0F8F10" w14:textId="58DA9B3E" w:rsidR="008844E4" w:rsidRPr="00424BD3" w:rsidRDefault="008844E4" w:rsidP="000126EE">
      <w:pPr>
        <w:pStyle w:val="ListParagraph"/>
        <w:numPr>
          <w:ilvl w:val="0"/>
          <w:numId w:val="2"/>
        </w:numPr>
        <w:spacing w:after="0" w:line="480" w:lineRule="auto"/>
        <w:rPr>
          <w:rFonts w:ascii="Arial" w:hAnsi="Arial" w:cs="Arial"/>
          <w:sz w:val="24"/>
          <w:szCs w:val="24"/>
        </w:rPr>
      </w:pPr>
      <w:r w:rsidRPr="00424BD3">
        <w:rPr>
          <w:rFonts w:ascii="Arial" w:hAnsi="Arial" w:cs="Arial"/>
          <w:sz w:val="24"/>
          <w:szCs w:val="24"/>
        </w:rPr>
        <w:t xml:space="preserve">Social norming and health narratives, particularly ageism, sexism, health marginalization of older women, health promotion and the rise of the </w:t>
      </w:r>
      <w:r w:rsidR="00C451AE" w:rsidRPr="00424BD3">
        <w:rPr>
          <w:rFonts w:ascii="Arial" w:hAnsi="Arial" w:cs="Arial"/>
          <w:sz w:val="24"/>
          <w:szCs w:val="24"/>
        </w:rPr>
        <w:t>health</w:t>
      </w:r>
      <w:r w:rsidRPr="00424BD3">
        <w:rPr>
          <w:rFonts w:ascii="Arial" w:hAnsi="Arial" w:cs="Arial"/>
          <w:sz w:val="24"/>
          <w:szCs w:val="24"/>
        </w:rPr>
        <w:t xml:space="preserve"> behavior / individual responsibility narrative</w:t>
      </w:r>
    </w:p>
    <w:p w14:paraId="2EF035BA" w14:textId="77777777" w:rsidR="008844E4" w:rsidRPr="00424BD3" w:rsidRDefault="008844E4" w:rsidP="000126EE">
      <w:pPr>
        <w:pStyle w:val="ListParagraph"/>
        <w:numPr>
          <w:ilvl w:val="0"/>
          <w:numId w:val="2"/>
        </w:numPr>
        <w:spacing w:after="0" w:line="480" w:lineRule="auto"/>
        <w:rPr>
          <w:rFonts w:ascii="Arial" w:hAnsi="Arial" w:cs="Arial"/>
          <w:sz w:val="24"/>
          <w:szCs w:val="24"/>
        </w:rPr>
      </w:pPr>
      <w:r w:rsidRPr="00424BD3">
        <w:rPr>
          <w:rFonts w:ascii="Arial" w:hAnsi="Arial" w:cs="Arial"/>
          <w:sz w:val="24"/>
          <w:szCs w:val="24"/>
        </w:rPr>
        <w:t>Older women and health norm internalization</w:t>
      </w:r>
    </w:p>
    <w:p w14:paraId="5049DD09" w14:textId="77777777" w:rsidR="008844E4" w:rsidRPr="00424BD3" w:rsidRDefault="008844E4" w:rsidP="000126EE">
      <w:pPr>
        <w:pStyle w:val="ListParagraph"/>
        <w:numPr>
          <w:ilvl w:val="0"/>
          <w:numId w:val="2"/>
        </w:numPr>
        <w:spacing w:after="0" w:line="480" w:lineRule="auto"/>
        <w:rPr>
          <w:rFonts w:ascii="Arial" w:hAnsi="Arial" w:cs="Arial"/>
          <w:sz w:val="24"/>
          <w:szCs w:val="24"/>
        </w:rPr>
      </w:pPr>
      <w:r w:rsidRPr="00424BD3">
        <w:rPr>
          <w:rFonts w:ascii="Arial" w:hAnsi="Arial" w:cs="Arial"/>
          <w:sz w:val="24"/>
          <w:szCs w:val="24"/>
        </w:rPr>
        <w:t>Stigmatization, marginalization, and “low control”</w:t>
      </w:r>
    </w:p>
    <w:p w14:paraId="3CB19283" w14:textId="77777777" w:rsidR="008844E4" w:rsidRPr="00424BD3" w:rsidRDefault="008844E4" w:rsidP="000126EE">
      <w:pPr>
        <w:pStyle w:val="ListParagraph"/>
        <w:numPr>
          <w:ilvl w:val="0"/>
          <w:numId w:val="2"/>
        </w:numPr>
        <w:spacing w:after="0" w:line="480" w:lineRule="auto"/>
        <w:rPr>
          <w:rFonts w:ascii="Arial" w:hAnsi="Arial" w:cs="Arial"/>
          <w:sz w:val="24"/>
          <w:szCs w:val="24"/>
        </w:rPr>
      </w:pPr>
      <w:r w:rsidRPr="00424BD3">
        <w:rPr>
          <w:rFonts w:ascii="Arial" w:hAnsi="Arial" w:cs="Arial"/>
          <w:sz w:val="24"/>
          <w:szCs w:val="24"/>
        </w:rPr>
        <w:t>Familial role in health inequities</w:t>
      </w:r>
    </w:p>
    <w:p w14:paraId="034E892E" w14:textId="777FA4F2" w:rsidR="008844E4" w:rsidRPr="00424BD3" w:rsidRDefault="008844E4" w:rsidP="000126EE">
      <w:pPr>
        <w:pStyle w:val="ListParagraph"/>
        <w:numPr>
          <w:ilvl w:val="1"/>
          <w:numId w:val="2"/>
        </w:numPr>
        <w:spacing w:after="0" w:line="480" w:lineRule="auto"/>
        <w:rPr>
          <w:rFonts w:ascii="Arial" w:hAnsi="Arial" w:cs="Arial"/>
          <w:sz w:val="24"/>
          <w:szCs w:val="24"/>
        </w:rPr>
      </w:pPr>
      <w:r w:rsidRPr="00424BD3">
        <w:rPr>
          <w:rFonts w:ascii="Arial" w:hAnsi="Arial" w:cs="Arial"/>
          <w:sz w:val="24"/>
          <w:szCs w:val="24"/>
        </w:rPr>
        <w:lastRenderedPageBreak/>
        <w:t xml:space="preserve">While </w:t>
      </w:r>
      <w:r w:rsidR="008A638A" w:rsidRPr="00424BD3">
        <w:rPr>
          <w:rFonts w:ascii="Arial" w:hAnsi="Arial" w:cs="Arial"/>
          <w:sz w:val="24"/>
          <w:szCs w:val="24"/>
        </w:rPr>
        <w:t>ecosocial</w:t>
      </w:r>
      <w:r w:rsidRPr="00424BD3">
        <w:rPr>
          <w:rFonts w:ascii="Arial" w:hAnsi="Arial" w:cs="Arial"/>
          <w:sz w:val="24"/>
          <w:szCs w:val="24"/>
        </w:rPr>
        <w:t xml:space="preserve"> theory is the primary theoretical framework for this dissertation, because the role of family is imperative to the factors examined in this study, a very brief look at several foundational theoretical frameworks of the familial role in health inequities is also included: </w:t>
      </w:r>
      <w:r w:rsidR="008A638A" w:rsidRPr="00424BD3">
        <w:rPr>
          <w:rFonts w:ascii="Arial" w:hAnsi="Arial" w:cs="Arial"/>
          <w:sz w:val="24"/>
          <w:szCs w:val="24"/>
        </w:rPr>
        <w:t>ecosocial</w:t>
      </w:r>
      <w:r w:rsidRPr="00424BD3">
        <w:rPr>
          <w:rFonts w:ascii="Arial" w:hAnsi="Arial" w:cs="Arial"/>
          <w:sz w:val="24"/>
          <w:szCs w:val="24"/>
        </w:rPr>
        <w:t xml:space="preserve"> theory; family systems theoretical approach; life course approach; fundamental cause framework; intersectionality theory – including family systems; family diversity perspectives; family-composition based health disparities; family social contagion; and downstream</w:t>
      </w:r>
      <w:r w:rsidR="0014216C">
        <w:rPr>
          <w:rFonts w:ascii="Arial" w:hAnsi="Arial" w:cs="Arial"/>
          <w:sz w:val="24"/>
          <w:szCs w:val="24"/>
        </w:rPr>
        <w:t xml:space="preserve"> </w:t>
      </w:r>
      <w:r w:rsidRPr="00424BD3">
        <w:rPr>
          <w:rFonts w:ascii="Arial" w:hAnsi="Arial" w:cs="Arial"/>
          <w:sz w:val="24"/>
          <w:szCs w:val="24"/>
        </w:rPr>
        <w:t>/</w:t>
      </w:r>
      <w:r w:rsidR="0014216C">
        <w:rPr>
          <w:rFonts w:ascii="Arial" w:hAnsi="Arial" w:cs="Arial"/>
          <w:sz w:val="24"/>
          <w:szCs w:val="24"/>
        </w:rPr>
        <w:t xml:space="preserve"> </w:t>
      </w:r>
      <w:r w:rsidRPr="00424BD3">
        <w:rPr>
          <w:rFonts w:ascii="Arial" w:hAnsi="Arial" w:cs="Arial"/>
          <w:sz w:val="24"/>
          <w:szCs w:val="24"/>
        </w:rPr>
        <w:t>upstream effects of health education</w:t>
      </w:r>
    </w:p>
    <w:p w14:paraId="76F1582A" w14:textId="77777777" w:rsidR="008844E4" w:rsidRPr="00424BD3" w:rsidRDefault="008844E4" w:rsidP="000126EE">
      <w:pPr>
        <w:pStyle w:val="ListParagraph"/>
        <w:numPr>
          <w:ilvl w:val="0"/>
          <w:numId w:val="2"/>
        </w:numPr>
        <w:spacing w:after="0" w:line="480" w:lineRule="auto"/>
        <w:rPr>
          <w:rFonts w:ascii="Arial" w:hAnsi="Arial" w:cs="Arial"/>
          <w:sz w:val="24"/>
          <w:szCs w:val="24"/>
        </w:rPr>
      </w:pPr>
      <w:r w:rsidRPr="00424BD3">
        <w:rPr>
          <w:rFonts w:ascii="Arial" w:hAnsi="Arial" w:cs="Arial"/>
          <w:sz w:val="24"/>
          <w:szCs w:val="24"/>
        </w:rPr>
        <w:t xml:space="preserve">Family health history and genealogies of older women’s familial health and mortality outcomes </w:t>
      </w:r>
    </w:p>
    <w:p w14:paraId="23D034C7" w14:textId="77777777" w:rsidR="008844E4" w:rsidRPr="00424BD3" w:rsidRDefault="008844E4" w:rsidP="000126EE">
      <w:pPr>
        <w:pStyle w:val="ListParagraph"/>
        <w:numPr>
          <w:ilvl w:val="0"/>
          <w:numId w:val="2"/>
        </w:numPr>
        <w:spacing w:after="0" w:line="480" w:lineRule="auto"/>
        <w:rPr>
          <w:rFonts w:ascii="Arial" w:hAnsi="Arial" w:cs="Arial"/>
          <w:sz w:val="24"/>
          <w:szCs w:val="24"/>
        </w:rPr>
      </w:pPr>
      <w:r w:rsidRPr="00424BD3">
        <w:rPr>
          <w:rFonts w:ascii="Arial" w:hAnsi="Arial" w:cs="Arial"/>
          <w:sz w:val="24"/>
          <w:szCs w:val="24"/>
        </w:rPr>
        <w:t>Place and older women’s health inequities</w:t>
      </w:r>
    </w:p>
    <w:p w14:paraId="6EBB083F" w14:textId="708A6A03" w:rsidR="008844E4" w:rsidRPr="00424BD3" w:rsidRDefault="008844E4" w:rsidP="000126EE">
      <w:pPr>
        <w:spacing w:after="0" w:line="480" w:lineRule="auto"/>
        <w:ind w:firstLine="720"/>
        <w:rPr>
          <w:rFonts w:cs="Arial"/>
          <w:szCs w:val="24"/>
        </w:rPr>
      </w:pPr>
      <w:r w:rsidRPr="00424BD3">
        <w:rPr>
          <w:rFonts w:cs="Arial"/>
          <w:szCs w:val="24"/>
        </w:rPr>
        <w:t xml:space="preserve">Those aged 65 years and over are the fastest growing population in the United States </w:t>
      </w:r>
      <w:r w:rsidRPr="00424BD3">
        <w:rPr>
          <w:rFonts w:cs="Arial"/>
          <w:szCs w:val="24"/>
        </w:rPr>
        <w:fldChar w:fldCharType="begin"/>
      </w:r>
      <w:r w:rsidR="00990F3A">
        <w:rPr>
          <w:rFonts w:cs="Arial"/>
          <w:szCs w:val="24"/>
        </w:rPr>
        <w:instrText xml:space="preserve"> ADDIN ZOTERO_ITEM CSL_CITATION {"citationID":"F1XLPgso","properties":{"formattedCitation":"(Roberts et al., 2018)","plainCitation":"(Roberts et al., 2018)","noteIndex":0},"citationItems":[{"id":779,"uris":["http://zotero.org/users/4946941/items/46MHVEEG"],"itemData":{"id":779,"type":"document","language":"en","publisher":"United States Census Bureau","title":"Most older adults lived in households with computer and internet access. A snapshot of the fast-growing US older population","URL":"www.census.gov/library/stories/2018/10/snapshot-fast-growing-us-olderpopulation.html.","author":[{"family":"Roberts","given":"A."},{"family":"Ogunwole","given":"S."},{"family":"Blakeslee","given":"L."},{"family":"Rabe","given":"M."}],"issued":{"date-parts":[["2018"]]}}}],"schema":"https://github.com/citation-style-language/schema/raw/master/csl-citation.json"} </w:instrText>
      </w:r>
      <w:r w:rsidRPr="00424BD3">
        <w:rPr>
          <w:rFonts w:cs="Arial"/>
          <w:szCs w:val="24"/>
        </w:rPr>
        <w:fldChar w:fldCharType="separate"/>
      </w:r>
      <w:r w:rsidRPr="00424BD3">
        <w:rPr>
          <w:rFonts w:cs="Arial"/>
        </w:rPr>
        <w:t>(Roberts et al., 2018)</w:t>
      </w:r>
      <w:r w:rsidRPr="00424BD3">
        <w:rPr>
          <w:rFonts w:cs="Arial"/>
          <w:szCs w:val="24"/>
        </w:rPr>
        <w:fldChar w:fldCharType="end"/>
      </w:r>
      <w:r w:rsidRPr="00424BD3">
        <w:rPr>
          <w:rFonts w:cs="Arial"/>
          <w:szCs w:val="24"/>
        </w:rPr>
        <w:t xml:space="preserve">. This paper argues for the need for policies and interventions that are co-created, sustainable, fit-for-purpose, participant-led, place and population-based, and intersectional in order to support our oldest members of society </w:t>
      </w:r>
      <w:r w:rsidRPr="00424BD3">
        <w:rPr>
          <w:rFonts w:cs="Arial"/>
          <w:szCs w:val="24"/>
        </w:rPr>
        <w:fldChar w:fldCharType="begin"/>
      </w:r>
      <w:r w:rsidR="00990F3A">
        <w:rPr>
          <w:rFonts w:cs="Arial"/>
          <w:szCs w:val="24"/>
        </w:rPr>
        <w:instrText xml:space="preserve"> ADDIN ZOTERO_ITEM CSL_CITATION {"citationID":"73Dzl9LZ","properties":{"formattedCitation":"(R. M. Li et al., 2017; Sharp et al., 2020)","plainCitation":"(R. M. Li et al., 2017; Sharp et al., 2020)","noteIndex":0},"citationItems":[{"id":715,"uris":["http://zotero.org/users/4946941/items/ER2CR6N9"],"itemData":{"id":715,"type":"document","language":"en","publisher":"National Institute on Aging. National Institutes of Health. U.S. Department of health and Human Services. U.S. Department of State","title":"Why Population Aging Matters. A Global Perspective","URL":"https://www.nia.nih.gov/sites/default/files/2017-06/WPAM.pdf","editor":[{"family":"Li","given":"R.M."},{"family":"Iadarola","given":"A.C."},{"family":"Maisano","given":"C.C."}],"issued":{"date-parts":[["2017"]]}}},{"id":802,"uris":["http://zotero.org/users/4946941/items/DVHDFHID"],"itemData":{"id":802,"type":"article-journal","container-title":"Health Expectations","DOI":"10.1111/hex.13041","issue":"4","language":"en","page":"802–812","title":"Public acceptability of public health policy to improve population health: A population</w:instrText>
      </w:r>
      <w:r w:rsidR="00990F3A">
        <w:rPr>
          <w:rFonts w:ascii="Cambria Math" w:hAnsi="Cambria Math" w:cs="Cambria Math"/>
          <w:szCs w:val="24"/>
        </w:rPr>
        <w:instrText>‐</w:instrText>
      </w:r>
      <w:r w:rsidR="00990F3A">
        <w:rPr>
          <w:rFonts w:cs="Arial"/>
          <w:szCs w:val="24"/>
        </w:rPr>
        <w:instrText xml:space="preserve">based survey","volume":"23","author":[{"family":"Sharp","given":"C.A."},{"family":"Bellis","given":"M.A."},{"family":"Hughes","given":"K."},{"family":"Ford","given":"K."},{"family":"Lemma","given":"L.C."}],"issued":{"date-parts":[["2020"]]}}}],"schema":"https://github.com/citation-style-language/schema/raw/master/csl-citation.json"} </w:instrText>
      </w:r>
      <w:r w:rsidRPr="00424BD3">
        <w:rPr>
          <w:rFonts w:cs="Arial"/>
          <w:szCs w:val="24"/>
        </w:rPr>
        <w:fldChar w:fldCharType="separate"/>
      </w:r>
      <w:r w:rsidR="00290509" w:rsidRPr="00424BD3">
        <w:rPr>
          <w:rFonts w:cs="Arial"/>
        </w:rPr>
        <w:t>(R. M. Li et al., 2017; Sharp et al., 2020)</w:t>
      </w:r>
      <w:r w:rsidRPr="00424BD3">
        <w:rPr>
          <w:rFonts w:cs="Arial"/>
          <w:szCs w:val="24"/>
        </w:rPr>
        <w:fldChar w:fldCharType="end"/>
      </w:r>
      <w:r w:rsidRPr="00424BD3">
        <w:rPr>
          <w:rFonts w:cs="Arial"/>
          <w:szCs w:val="24"/>
        </w:rPr>
        <w:t xml:space="preserve"> – what </w:t>
      </w:r>
      <w:r w:rsidRPr="00424BD3">
        <w:rPr>
          <w:rFonts w:cs="Arial"/>
          <w:szCs w:val="24"/>
        </w:rPr>
        <w:fldChar w:fldCharType="begin"/>
      </w:r>
      <w:r w:rsidR="00990F3A">
        <w:rPr>
          <w:rFonts w:cs="Arial"/>
          <w:szCs w:val="24"/>
        </w:rPr>
        <w:instrText xml:space="preserve"> ADDIN ZOTERO_ITEM CSL_CITATION {"citationID":"WBbWDWza","properties":{"formattedCitation":"(Coelho, 2021)","plainCitation":"(Coelho, 2021)","noteIndex":0},"citationItems":[{"id":902,"uris":["http://zotero.org/users/4946941/items/P7KZH67V"],"itemData":{"id":902,"type":"webpage","container-title":"Care for Your Mind","title":"Patients Need to Be Involved in Policy-Making","URL":"https://careforyourmind.org/patients-need-to-be-involved-in-policy-making-2/","author":[{"family":"Coelho","given":"Tony"}],"accessed":{"date-parts":[["2022",7,15]]},"issued":{"date-parts":[["2021"]]}}}],"schema":"https://github.com/citation-style-language/schema/raw/master/csl-citation.json"} </w:instrText>
      </w:r>
      <w:r w:rsidRPr="00424BD3">
        <w:rPr>
          <w:rFonts w:cs="Arial"/>
          <w:szCs w:val="24"/>
        </w:rPr>
        <w:fldChar w:fldCharType="separate"/>
      </w:r>
      <w:r w:rsidRPr="00424BD3">
        <w:rPr>
          <w:rFonts w:cs="Arial"/>
        </w:rPr>
        <w:t>(Coelho, 2021)</w:t>
      </w:r>
      <w:r w:rsidRPr="00424BD3">
        <w:rPr>
          <w:rFonts w:cs="Arial"/>
          <w:szCs w:val="24"/>
        </w:rPr>
        <w:fldChar w:fldCharType="end"/>
      </w:r>
      <w:r w:rsidRPr="00424BD3">
        <w:rPr>
          <w:rFonts w:cs="Arial"/>
          <w:szCs w:val="24"/>
        </w:rPr>
        <w:t xml:space="preserve"> calls </w:t>
      </w:r>
      <w:r w:rsidRPr="00424BD3">
        <w:rPr>
          <w:rFonts w:cs="Arial"/>
          <w:bCs/>
          <w:szCs w:val="24"/>
        </w:rPr>
        <w:t>patient-led policymaking.</w:t>
      </w:r>
      <w:r w:rsidRPr="00424BD3">
        <w:rPr>
          <w:rFonts w:cs="Arial"/>
          <w:szCs w:val="24"/>
        </w:rPr>
        <w:t xml:space="preserve"> This paper will contribute to efforts to translate older women’s experiences into health inequity mitigation policy recommendations designed to address the needs and wants of older women. By doing so, it will add to the body of policy and intervention recommendations, particularly in health geography, which address appropriate and effective measures, resources</w:t>
      </w:r>
      <w:r w:rsidR="00C10C24">
        <w:rPr>
          <w:rFonts w:cs="Arial"/>
          <w:szCs w:val="24"/>
        </w:rPr>
        <w:t>,</w:t>
      </w:r>
      <w:r w:rsidRPr="00424BD3">
        <w:rPr>
          <w:rFonts w:cs="Arial"/>
          <w:szCs w:val="24"/>
        </w:rPr>
        <w:t xml:space="preserve"> and services to mitigate situated health inequities for older women. </w:t>
      </w:r>
    </w:p>
    <w:p w14:paraId="043F719C" w14:textId="2D3CC4D9" w:rsidR="00CB770D" w:rsidRPr="00424BD3" w:rsidRDefault="008844E4" w:rsidP="000126EE">
      <w:pPr>
        <w:spacing w:after="0" w:line="480" w:lineRule="auto"/>
        <w:ind w:firstLine="720"/>
        <w:rPr>
          <w:rFonts w:cs="Arial"/>
          <w:szCs w:val="24"/>
        </w:rPr>
      </w:pPr>
      <w:r w:rsidRPr="00424BD3">
        <w:rPr>
          <w:rFonts w:cs="Arial"/>
          <w:bCs/>
          <w:iCs/>
          <w:szCs w:val="24"/>
        </w:rPr>
        <w:lastRenderedPageBreak/>
        <w:t>The health policy and intervention needs and wants expressed by the women in this study are framed by the geopolitical, cultural</w:t>
      </w:r>
      <w:r w:rsidR="00173385">
        <w:rPr>
          <w:rFonts w:cs="Arial"/>
          <w:bCs/>
          <w:iCs/>
          <w:szCs w:val="24"/>
        </w:rPr>
        <w:t>,</w:t>
      </w:r>
      <w:r w:rsidRPr="00424BD3">
        <w:rPr>
          <w:rFonts w:cs="Arial"/>
          <w:bCs/>
          <w:iCs/>
          <w:szCs w:val="24"/>
        </w:rPr>
        <w:t xml:space="preserve"> and geographical environments in which they reside. In East Tennessee (and Tennessee overall), this includes the primacy of neoliberal and paternalistic principles. Neoliberalism emphasizes inequality, diminishes concepts of social justice or ties these concepts to free market principles. Additionally, it restructures economic, employment, and institutional resources to favor business interests, privatization, deregulation, redistribution of wealth towards the rich, and less government involvement and oversight </w:t>
      </w:r>
      <w:r w:rsidRPr="00424BD3">
        <w:rPr>
          <w:rFonts w:cs="Arial"/>
          <w:bCs/>
          <w:iCs/>
          <w:szCs w:val="24"/>
        </w:rPr>
        <w:fldChar w:fldCharType="begin"/>
      </w:r>
      <w:r w:rsidR="00990F3A">
        <w:rPr>
          <w:rFonts w:cs="Arial"/>
          <w:bCs/>
          <w:iCs/>
          <w:szCs w:val="24"/>
        </w:rPr>
        <w:instrText xml:space="preserve"> ADDIN ZOTERO_ITEM CSL_CITATION {"citationID":"EKCXNHGW","properties":{"formattedCitation":"(C. Collins et al., 2016)","plainCitation":"(C. Collins et al., 2016)","noteIndex":0},"citationItems":[{"id":638,"uris":["http://zotero.org/users/4946941/items/XPZ3GQN9"],"itemData":{"id":638,"type":"chapter","container-title":"Health inequalities: Critical perspectives","language":"en","page":"124–137","title":"Neoliberalism and health inequalities","author":[{"family":"Collins","given":"C."},{"family":"McCartney","given":"G."},{"family":"Garnham","given":"L."}],"issued":{"date-parts":[["2016"]]}}}],"schema":"https://github.com/citation-style-language/schema/raw/master/csl-citation.json"} </w:instrText>
      </w:r>
      <w:r w:rsidRPr="00424BD3">
        <w:rPr>
          <w:rFonts w:cs="Arial"/>
          <w:bCs/>
          <w:iCs/>
          <w:szCs w:val="24"/>
        </w:rPr>
        <w:fldChar w:fldCharType="separate"/>
      </w:r>
      <w:r w:rsidR="001F2B17" w:rsidRPr="00424BD3">
        <w:rPr>
          <w:rFonts w:cs="Arial"/>
        </w:rPr>
        <w:t>(C. Collins et al., 2016)</w:t>
      </w:r>
      <w:r w:rsidRPr="00424BD3">
        <w:rPr>
          <w:rFonts w:cs="Arial"/>
          <w:bCs/>
          <w:iCs/>
          <w:szCs w:val="24"/>
        </w:rPr>
        <w:fldChar w:fldCharType="end"/>
      </w:r>
      <w:r w:rsidRPr="00424BD3">
        <w:rPr>
          <w:rFonts w:cs="Arial"/>
          <w:szCs w:val="24"/>
        </w:rPr>
        <w:t xml:space="preserve">. It also often normalizes, in many societies, including the United States, a culture of individual responsibility which for health inequities is often equated to personal fault for ill health </w:t>
      </w:r>
      <w:r w:rsidRPr="00424BD3">
        <w:rPr>
          <w:rFonts w:cs="Arial"/>
          <w:szCs w:val="24"/>
        </w:rPr>
        <w:fldChar w:fldCharType="begin"/>
      </w:r>
      <w:r w:rsidR="00990F3A">
        <w:rPr>
          <w:rFonts w:cs="Arial"/>
          <w:szCs w:val="24"/>
        </w:rPr>
        <w:instrText xml:space="preserve"> ADDIN ZOTERO_ITEM CSL_CITATION {"citationID":"AP15SxyZ","properties":{"formattedCitation":"(Sparke, 2016)","plainCitation":"(Sparke, 2016)","noteIndex":0},"citationItems":[{"id":805,"uris":["http://zotero.org/users/4946941/items/3UQYAR7G"],"itemData":{"id":805,"type":"chapter","container-title":"Handbook of neoliberalism","language":"en","page":"265–279","publisher":"Routledge","title":"Health and the embodiment of neoliberalism: pathologies of political economy from climate change and austerity to personal responsibility","author":[{"family":"Sparke","given":"M."}],"issued":{"date-parts":[["2016"]]}}}],"schema":"https://github.com/citation-style-language/schema/raw/master/csl-citation.json"} </w:instrText>
      </w:r>
      <w:r w:rsidRPr="00424BD3">
        <w:rPr>
          <w:rFonts w:cs="Arial"/>
          <w:szCs w:val="24"/>
        </w:rPr>
        <w:fldChar w:fldCharType="separate"/>
      </w:r>
      <w:r w:rsidRPr="00424BD3">
        <w:rPr>
          <w:rFonts w:cs="Arial"/>
        </w:rPr>
        <w:t>(Sparke, 2016)</w:t>
      </w:r>
      <w:r w:rsidRPr="00424BD3">
        <w:rPr>
          <w:rFonts w:cs="Arial"/>
          <w:szCs w:val="24"/>
        </w:rPr>
        <w:fldChar w:fldCharType="end"/>
      </w:r>
      <w:r w:rsidRPr="00424BD3">
        <w:rPr>
          <w:rFonts w:cs="Arial"/>
          <w:szCs w:val="24"/>
        </w:rPr>
        <w:t xml:space="preserve">, and incorporates </w:t>
      </w:r>
      <w:r w:rsidRPr="00424BD3">
        <w:rPr>
          <w:rFonts w:cs="Arial"/>
          <w:bCs/>
          <w:iCs/>
          <w:szCs w:val="24"/>
        </w:rPr>
        <w:t xml:space="preserve">the issues of gender legacy / gender penalty / gender disadvantage. These include women’s historical legacy of poverty; </w:t>
      </w:r>
      <w:r w:rsidR="003D6356" w:rsidRPr="00424BD3">
        <w:rPr>
          <w:rFonts w:cs="Arial"/>
          <w:bCs/>
          <w:iCs/>
          <w:szCs w:val="24"/>
        </w:rPr>
        <w:t>inequitable</w:t>
      </w:r>
      <w:r w:rsidRPr="00424BD3">
        <w:rPr>
          <w:rFonts w:cs="Arial"/>
          <w:bCs/>
          <w:iCs/>
          <w:szCs w:val="24"/>
        </w:rPr>
        <w:t xml:space="preserve"> and less pay / income; financial stress; less earning capacity and contribution to and from social security and pensions due to traditional care roles; and less housing security. This creates a “privileging of profitability over human needs” </w:t>
      </w:r>
      <w:r w:rsidRPr="00424BD3">
        <w:rPr>
          <w:rFonts w:cs="Arial"/>
          <w:bCs/>
          <w:iCs/>
          <w:szCs w:val="24"/>
        </w:rPr>
        <w:fldChar w:fldCharType="begin"/>
      </w:r>
      <w:r w:rsidR="00990F3A">
        <w:rPr>
          <w:rFonts w:cs="Arial"/>
          <w:bCs/>
          <w:iCs/>
          <w:szCs w:val="24"/>
        </w:rPr>
        <w:instrText xml:space="preserve"> ADDIN ZOTERO_ITEM CSL_CITATION {"citationID":"APNOMtJd","properties":{"formattedCitation":"(Darab et al., 2018, p. 538)","plainCitation":"(Darab et al., 2018, p. 538)","noteIndex":0},"citationItems":[{"id":643,"uris":["http://zotero.org/users/4946941/items/9FVEQQQL"],"itemData":{"id":643,"type":"article-journal","container-title":"Housing Studies","DOI":"10.1080/02673037.2017.1359501","issue":"4","language":"en","page":"525–543","title":"What women want: single older women and their housing preferences","volume":"33","author":[{"family":"Darab","given":"S."},{"family":"Hartman","given":"Y."},{"family":"Holdsworth","given":"L."}],"issued":{"date-parts":[["2018"]]}},"locator":"538"}],"schema":"https://github.com/citation-style-language/schema/raw/master/csl-citation.json"} </w:instrText>
      </w:r>
      <w:r w:rsidRPr="00424BD3">
        <w:rPr>
          <w:rFonts w:cs="Arial"/>
          <w:bCs/>
          <w:iCs/>
          <w:szCs w:val="24"/>
        </w:rPr>
        <w:fldChar w:fldCharType="separate"/>
      </w:r>
      <w:r w:rsidRPr="00424BD3">
        <w:rPr>
          <w:rFonts w:cs="Arial"/>
        </w:rPr>
        <w:t>(Darab et al., 2018, p. 538)</w:t>
      </w:r>
      <w:r w:rsidRPr="00424BD3">
        <w:rPr>
          <w:rFonts w:cs="Arial"/>
          <w:bCs/>
          <w:iCs/>
          <w:szCs w:val="24"/>
        </w:rPr>
        <w:fldChar w:fldCharType="end"/>
      </w:r>
      <w:r w:rsidRPr="00424BD3">
        <w:rPr>
          <w:rFonts w:cs="Arial"/>
          <w:bCs/>
          <w:iCs/>
          <w:szCs w:val="24"/>
        </w:rPr>
        <w:t xml:space="preserve">. </w:t>
      </w:r>
      <w:r w:rsidRPr="00424BD3">
        <w:rPr>
          <w:rFonts w:cs="Arial"/>
          <w:szCs w:val="24"/>
        </w:rPr>
        <w:t xml:space="preserve">These long-term and structural conditions can have devastating consequences on the mitigation of older women’s health inequities, especially those who are most vulnerable, not only due to neoliberal policymaking but also because of older women’s possible internalization of these principles </w:t>
      </w:r>
      <w:r w:rsidRPr="00424BD3">
        <w:rPr>
          <w:rFonts w:cs="Arial"/>
          <w:szCs w:val="24"/>
        </w:rPr>
        <w:fldChar w:fldCharType="begin"/>
      </w:r>
      <w:r w:rsidR="00990F3A">
        <w:rPr>
          <w:rFonts w:cs="Arial"/>
          <w:szCs w:val="24"/>
        </w:rPr>
        <w:instrText xml:space="preserve"> ADDIN ZOTERO_ITEM CSL_CITATION {"citationID":"MTw4TAWX","properties":{"formattedCitation":"(B. J. Brown &amp; Baker, 2012)","plainCitation":"(B. J. Brown &amp; Baker, 2012)","noteIndex":0},"citationItems":[{"id":615,"uris":["http://zotero.org/users/4946941/items/4LTMXLWF"],"itemData":{"id":615,"type":"book","abstract":"The individual has never been more important in society – in almost every sphere of public and private life, the individual is sovereign. Yet the importance and apparent power assigned to the individual is not all that it seems. As 'Responsible Citizens' investigates via its UK-based case studies, this emphasis on the individual has gone hand in hand with a rise in subtle authoritarianism, which has insinuated itself into the government of the population. Whilst present throughout the public services, this authoritarianism is most conspicuous in the health and social welfare sectors, such that a kind of 'governance through responsibility' is today enforced upon the population.","ISBN":"978-0-85728-458-7","language":"en","note":"Google-Books-ID: 9CMVA6poG24C","number-of-pages":"227","publisher":"Anthem Press","source":"Google Books","title":"Responsible Citizens: Individuals, Health, and Policy Under Neoliberalism","title-short":"Responsible Citizens","author":[{"family":"Brown","given":"Brian J."},{"family":"Baker","given":"Sally"}],"issued":{"date-parts":[["2012"]]}}}],"schema":"https://github.com/citation-style-language/schema/raw/master/csl-citation.json"} </w:instrText>
      </w:r>
      <w:r w:rsidRPr="00424BD3">
        <w:rPr>
          <w:rFonts w:cs="Arial"/>
          <w:szCs w:val="24"/>
        </w:rPr>
        <w:fldChar w:fldCharType="separate"/>
      </w:r>
      <w:r w:rsidR="001F2B17" w:rsidRPr="00424BD3">
        <w:rPr>
          <w:rFonts w:cs="Arial"/>
        </w:rPr>
        <w:t xml:space="preserve">(B. J. </w:t>
      </w:r>
      <w:r w:rsidR="000B0F8C" w:rsidRPr="00424BD3">
        <w:rPr>
          <w:rFonts w:cs="Arial"/>
        </w:rPr>
        <w:t>Brown</w:t>
      </w:r>
      <w:r w:rsidR="001F2B17" w:rsidRPr="00424BD3">
        <w:rPr>
          <w:rFonts w:cs="Arial"/>
        </w:rPr>
        <w:t xml:space="preserve"> &amp; Baker, 2012)</w:t>
      </w:r>
      <w:r w:rsidRPr="00424BD3">
        <w:rPr>
          <w:rFonts w:cs="Arial"/>
          <w:szCs w:val="24"/>
        </w:rPr>
        <w:fldChar w:fldCharType="end"/>
      </w:r>
      <w:r w:rsidRPr="00424BD3">
        <w:rPr>
          <w:rFonts w:cs="Arial"/>
          <w:szCs w:val="24"/>
        </w:rPr>
        <w:t xml:space="preserve">. This paper </w:t>
      </w:r>
      <w:r w:rsidR="00177DDA" w:rsidRPr="00424BD3">
        <w:rPr>
          <w:rFonts w:cs="Arial"/>
          <w:szCs w:val="24"/>
        </w:rPr>
        <w:t>has implications for</w:t>
      </w:r>
      <w:r w:rsidRPr="00424BD3">
        <w:rPr>
          <w:rFonts w:cs="Arial"/>
          <w:szCs w:val="24"/>
        </w:rPr>
        <w:t xml:space="preserve"> research on the health inequities </w:t>
      </w:r>
      <w:r w:rsidR="00CB770D" w:rsidRPr="00424BD3">
        <w:rPr>
          <w:rFonts w:cs="Arial"/>
          <w:szCs w:val="24"/>
        </w:rPr>
        <w:t xml:space="preserve">experienced by </w:t>
      </w:r>
      <w:r w:rsidRPr="00424BD3">
        <w:rPr>
          <w:rFonts w:cs="Arial"/>
          <w:szCs w:val="24"/>
        </w:rPr>
        <w:t>older women</w:t>
      </w:r>
      <w:r w:rsidR="00CB770D" w:rsidRPr="00424BD3">
        <w:rPr>
          <w:rFonts w:cs="Arial"/>
          <w:szCs w:val="24"/>
        </w:rPr>
        <w:t>,</w:t>
      </w:r>
      <w:r w:rsidRPr="00424BD3">
        <w:rPr>
          <w:rFonts w:cs="Arial"/>
          <w:szCs w:val="24"/>
        </w:rPr>
        <w:t xml:space="preserve"> and </w:t>
      </w:r>
      <w:r w:rsidR="00CB770D" w:rsidRPr="00424BD3">
        <w:rPr>
          <w:rFonts w:cs="Arial"/>
          <w:szCs w:val="24"/>
        </w:rPr>
        <w:t xml:space="preserve">for </w:t>
      </w:r>
      <w:r w:rsidRPr="00424BD3">
        <w:rPr>
          <w:rFonts w:cs="Arial"/>
          <w:szCs w:val="24"/>
        </w:rPr>
        <w:t xml:space="preserve">policymaking and interventions </w:t>
      </w:r>
      <w:r w:rsidR="00CB770D" w:rsidRPr="00424BD3">
        <w:rPr>
          <w:rFonts w:cs="Arial"/>
          <w:szCs w:val="24"/>
        </w:rPr>
        <w:t>to address these.</w:t>
      </w:r>
    </w:p>
    <w:p w14:paraId="22F49EF4" w14:textId="3693FF5E" w:rsidR="008844E4" w:rsidRPr="00424BD3" w:rsidRDefault="008844E4" w:rsidP="000126EE">
      <w:pPr>
        <w:spacing w:after="0" w:line="480" w:lineRule="auto"/>
        <w:ind w:firstLine="720"/>
        <w:rPr>
          <w:rFonts w:cs="Arial"/>
          <w:szCs w:val="24"/>
        </w:rPr>
      </w:pPr>
      <w:r w:rsidRPr="00424BD3">
        <w:rPr>
          <w:rFonts w:cs="Arial"/>
          <w:szCs w:val="24"/>
        </w:rPr>
        <w:t xml:space="preserve">This paper proceeds by first summarizing the literature on aging and older women’s health inequities. This includes a short synopsis of the unique challenges </w:t>
      </w:r>
      <w:r w:rsidRPr="00424BD3">
        <w:rPr>
          <w:rFonts w:cs="Arial"/>
          <w:szCs w:val="24"/>
        </w:rPr>
        <w:lastRenderedPageBreak/>
        <w:t xml:space="preserve">faced by older women within the historical context of health inequities and policymaking Also included are a look at the social determinants of ageism and gender-bias, and the impacts of stigma and discrimination on older women’s health inequities. A review of the place-based context and relevant major policies that impact older women in East Tennessee situates the responses by participants regarding their perceived health needs and demands. </w:t>
      </w:r>
      <w:r w:rsidR="00FD5105" w:rsidRPr="00424BD3">
        <w:rPr>
          <w:rFonts w:cs="Arial"/>
          <w:szCs w:val="24"/>
        </w:rPr>
        <w:t xml:space="preserve">This is followed by an </w:t>
      </w:r>
      <w:r w:rsidRPr="00424BD3">
        <w:rPr>
          <w:rFonts w:cs="Arial"/>
          <w:szCs w:val="24"/>
        </w:rPr>
        <w:t>examination of how the intersectional nature of those determinants lend themselves to the types of health inequities policymaking currently seen in the U.S., Tennessee</w:t>
      </w:r>
      <w:r w:rsidR="00EA0B26">
        <w:rPr>
          <w:rFonts w:cs="Arial"/>
          <w:szCs w:val="24"/>
        </w:rPr>
        <w:t>,</w:t>
      </w:r>
      <w:r w:rsidRPr="00424BD3">
        <w:rPr>
          <w:rFonts w:cs="Arial"/>
          <w:szCs w:val="24"/>
        </w:rPr>
        <w:t xml:space="preserve"> and the local East Tennessee counties of Blount, Knox, and Sevier, as well as the phenomenon of the internalization of cultural and geopolitical normative policies. An ecosocial theoretical framework is applied to a thematic analysis of the participants’ interviews and </w:t>
      </w:r>
      <w:r w:rsidR="00F87713">
        <w:rPr>
          <w:rFonts w:cs="Arial"/>
          <w:szCs w:val="24"/>
        </w:rPr>
        <w:t xml:space="preserve">my </w:t>
      </w:r>
      <w:r w:rsidRPr="00424BD3">
        <w:rPr>
          <w:rFonts w:cs="Arial"/>
          <w:szCs w:val="24"/>
        </w:rPr>
        <w:t xml:space="preserve">own field notes. </w:t>
      </w:r>
      <w:r w:rsidR="00F41825" w:rsidRPr="00424BD3">
        <w:rPr>
          <w:rFonts w:cs="Arial"/>
          <w:szCs w:val="24"/>
        </w:rPr>
        <w:t>A description of</w:t>
      </w:r>
      <w:r w:rsidRPr="00424BD3">
        <w:rPr>
          <w:rFonts w:cs="Arial"/>
          <w:szCs w:val="24"/>
        </w:rPr>
        <w:t xml:space="preserve"> the methodology used </w:t>
      </w:r>
      <w:r w:rsidR="00F41825" w:rsidRPr="00424BD3">
        <w:rPr>
          <w:rFonts w:cs="Arial"/>
          <w:szCs w:val="24"/>
        </w:rPr>
        <w:t xml:space="preserve">is provided </w:t>
      </w:r>
      <w:r w:rsidRPr="00424BD3">
        <w:rPr>
          <w:rFonts w:cs="Arial"/>
          <w:szCs w:val="24"/>
        </w:rPr>
        <w:t>and include</w:t>
      </w:r>
      <w:r w:rsidR="00F41825" w:rsidRPr="00424BD3">
        <w:rPr>
          <w:rFonts w:cs="Arial"/>
          <w:szCs w:val="24"/>
        </w:rPr>
        <w:t>s</w:t>
      </w:r>
      <w:r w:rsidRPr="00424BD3">
        <w:rPr>
          <w:rFonts w:cs="Arial"/>
          <w:szCs w:val="24"/>
        </w:rPr>
        <w:t xml:space="preserve"> a demographic overview of the participants. </w:t>
      </w:r>
      <w:r w:rsidR="00AF52CA" w:rsidRPr="00424BD3">
        <w:rPr>
          <w:rFonts w:cs="Arial"/>
          <w:szCs w:val="24"/>
        </w:rPr>
        <w:t xml:space="preserve">A comparison </w:t>
      </w:r>
      <w:r w:rsidR="00EC5DB5" w:rsidRPr="00424BD3">
        <w:rPr>
          <w:rFonts w:cs="Arial"/>
          <w:szCs w:val="24"/>
        </w:rPr>
        <w:t xml:space="preserve">is undertaken </w:t>
      </w:r>
      <w:r w:rsidR="00AF52CA" w:rsidRPr="00424BD3">
        <w:rPr>
          <w:rFonts w:cs="Arial"/>
          <w:szCs w:val="24"/>
        </w:rPr>
        <w:t>of</w:t>
      </w:r>
      <w:r w:rsidRPr="00424BD3">
        <w:rPr>
          <w:rFonts w:cs="Arial"/>
          <w:szCs w:val="24"/>
        </w:rPr>
        <w:t xml:space="preserve"> the policies and interventions currently in place with the perceptions, wants, needs, and experiences of the women involved in the study. Finally, </w:t>
      </w:r>
      <w:r w:rsidR="00D07FAC" w:rsidRPr="00424BD3">
        <w:rPr>
          <w:rFonts w:cs="Arial"/>
          <w:szCs w:val="24"/>
        </w:rPr>
        <w:t>a comparison of the</w:t>
      </w:r>
      <w:r w:rsidRPr="00424BD3">
        <w:rPr>
          <w:rFonts w:cs="Arial"/>
          <w:szCs w:val="24"/>
        </w:rPr>
        <w:t xml:space="preserve"> policy gaps at the gender, socioeconomic, and age intersections which impact older women’s health inequities. This is followed by the participants’ </w:t>
      </w:r>
      <w:r w:rsidR="009F565B" w:rsidRPr="00424BD3">
        <w:rPr>
          <w:rFonts w:cs="Arial"/>
          <w:szCs w:val="24"/>
        </w:rPr>
        <w:t>recommendation</w:t>
      </w:r>
      <w:r w:rsidR="00CF6F95" w:rsidRPr="00424BD3">
        <w:rPr>
          <w:rFonts w:cs="Arial"/>
          <w:szCs w:val="24"/>
        </w:rPr>
        <w:t>s</w:t>
      </w:r>
      <w:r w:rsidRPr="00424BD3">
        <w:rPr>
          <w:rFonts w:cs="Arial"/>
          <w:szCs w:val="24"/>
        </w:rPr>
        <w:t xml:space="preserve"> of what they </w:t>
      </w:r>
      <w:r w:rsidR="009F565B" w:rsidRPr="00424BD3">
        <w:rPr>
          <w:rFonts w:cs="Arial"/>
          <w:szCs w:val="24"/>
        </w:rPr>
        <w:t>believe would inform</w:t>
      </w:r>
      <w:r w:rsidRPr="00424BD3">
        <w:rPr>
          <w:rFonts w:cs="Arial"/>
          <w:szCs w:val="24"/>
        </w:rPr>
        <w:t xml:space="preserve"> policies and interventions to help mitigate the impact of the health inequities they </w:t>
      </w:r>
      <w:r w:rsidR="006B714C" w:rsidRPr="00424BD3">
        <w:rPr>
          <w:rFonts w:cs="Arial"/>
          <w:szCs w:val="24"/>
        </w:rPr>
        <w:t>experience</w:t>
      </w:r>
      <w:r w:rsidRPr="00424BD3">
        <w:rPr>
          <w:rFonts w:cs="Arial"/>
          <w:szCs w:val="24"/>
        </w:rPr>
        <w:t>.</w:t>
      </w:r>
    </w:p>
    <w:p w14:paraId="1D82C924" w14:textId="6E0E23F4" w:rsidR="008844E4" w:rsidRPr="00424BD3" w:rsidRDefault="008844E4" w:rsidP="000126EE">
      <w:pPr>
        <w:pStyle w:val="Heading2"/>
        <w:spacing w:before="0" w:line="480" w:lineRule="auto"/>
        <w:jc w:val="center"/>
        <w:rPr>
          <w:rFonts w:ascii="Arial" w:hAnsi="Arial" w:cs="Arial"/>
          <w:b/>
          <w:bCs/>
          <w:color w:val="auto"/>
          <w:sz w:val="24"/>
          <w:szCs w:val="24"/>
        </w:rPr>
      </w:pPr>
      <w:bookmarkStart w:id="7" w:name="_Toc118232282"/>
      <w:r w:rsidRPr="00424BD3">
        <w:rPr>
          <w:rFonts w:ascii="Arial" w:hAnsi="Arial" w:cs="Arial"/>
          <w:b/>
          <w:bCs/>
          <w:color w:val="auto"/>
          <w:sz w:val="24"/>
          <w:szCs w:val="24"/>
        </w:rPr>
        <w:t xml:space="preserve">Key </w:t>
      </w:r>
      <w:r w:rsidR="00CD1A83">
        <w:rPr>
          <w:rFonts w:ascii="Arial" w:hAnsi="Arial" w:cs="Arial"/>
          <w:b/>
          <w:bCs/>
          <w:color w:val="auto"/>
          <w:sz w:val="24"/>
          <w:szCs w:val="24"/>
        </w:rPr>
        <w:t>T</w:t>
      </w:r>
      <w:r w:rsidRPr="00424BD3">
        <w:rPr>
          <w:rFonts w:ascii="Arial" w:hAnsi="Arial" w:cs="Arial"/>
          <w:b/>
          <w:bCs/>
          <w:color w:val="auto"/>
          <w:sz w:val="24"/>
          <w:szCs w:val="24"/>
        </w:rPr>
        <w:t xml:space="preserve">erms / </w:t>
      </w:r>
      <w:r w:rsidR="00CD1A83">
        <w:rPr>
          <w:rFonts w:ascii="Arial" w:hAnsi="Arial" w:cs="Arial"/>
          <w:b/>
          <w:bCs/>
          <w:color w:val="auto"/>
          <w:sz w:val="24"/>
          <w:szCs w:val="24"/>
        </w:rPr>
        <w:t>D</w:t>
      </w:r>
      <w:r w:rsidRPr="00424BD3">
        <w:rPr>
          <w:rFonts w:ascii="Arial" w:hAnsi="Arial" w:cs="Arial"/>
          <w:b/>
          <w:bCs/>
          <w:color w:val="auto"/>
          <w:sz w:val="24"/>
          <w:szCs w:val="24"/>
        </w:rPr>
        <w:t>efinitions</w:t>
      </w:r>
      <w:bookmarkEnd w:id="7"/>
    </w:p>
    <w:p w14:paraId="3B03B6BF" w14:textId="47F93F1C" w:rsidR="00561ECC" w:rsidRPr="00424BD3" w:rsidRDefault="008844E4" w:rsidP="00292FE8">
      <w:pPr>
        <w:spacing w:after="0" w:line="480" w:lineRule="auto"/>
        <w:ind w:firstLine="720"/>
        <w:rPr>
          <w:rFonts w:ascii="Calibri" w:eastAsia="Times New Roman" w:hAnsi="Calibri" w:cs="Calibri"/>
          <w:color w:val="000000"/>
          <w:szCs w:val="24"/>
        </w:rPr>
      </w:pPr>
      <w:r w:rsidRPr="00424BD3">
        <w:rPr>
          <w:rFonts w:cs="Arial"/>
          <w:szCs w:val="24"/>
        </w:rPr>
        <w:t xml:space="preserve">Older women are defined here as those aged 65 years and over </w:t>
      </w:r>
      <w:r w:rsidRPr="00424BD3">
        <w:rPr>
          <w:rFonts w:cs="Arial"/>
          <w:szCs w:val="24"/>
        </w:rPr>
        <w:fldChar w:fldCharType="begin"/>
      </w:r>
      <w:r w:rsidR="00111343">
        <w:rPr>
          <w:rFonts w:cs="Arial"/>
          <w:szCs w:val="24"/>
        </w:rPr>
        <w:instrText xml:space="preserve"> ADDIN ZOTERO_ITEM CSL_CITATION {"citationID":"opccadkB","properties":{"formattedCitation":"(CDC, 2015)","plainCitation":"(CDC, 2015)","noteIndex":0},"citationItems":[{"id":627,"uris":["http://zotero.org/users/4946941/items/MY273QN3"],"itemData":{"id":627,"type":"document","language":"en","publisher":"Centers for Disease Control and Prevention (CDC)","title":"Chronic Disease Indicators: Indicator Definitions - Older Adults","URL":"https://www.cdc.gov/cdi/definitions/older-adults.html","author":[{"family":"CDC","given":""}],"issued":{"date-parts":[["2015"]]}}}],"schema":"https://github.com/citation-style-language/schema/raw/master/csl-citation.json"} </w:instrText>
      </w:r>
      <w:r w:rsidRPr="00424BD3">
        <w:rPr>
          <w:rFonts w:cs="Arial"/>
          <w:szCs w:val="24"/>
        </w:rPr>
        <w:fldChar w:fldCharType="separate"/>
      </w:r>
      <w:r w:rsidRPr="00424BD3">
        <w:rPr>
          <w:rFonts w:cs="Arial"/>
        </w:rPr>
        <w:t>(CDC, 2015)</w:t>
      </w:r>
      <w:r w:rsidRPr="00424BD3">
        <w:rPr>
          <w:rFonts w:cs="Arial"/>
          <w:szCs w:val="24"/>
        </w:rPr>
        <w:fldChar w:fldCharType="end"/>
      </w:r>
      <w:r w:rsidRPr="00424BD3">
        <w:rPr>
          <w:rFonts w:cs="Arial"/>
          <w:szCs w:val="24"/>
        </w:rPr>
        <w:t xml:space="preserve">. This paper uses the term health inequities as opposed to health inequalities or health disparities unless </w:t>
      </w:r>
      <w:r w:rsidRPr="00424BD3">
        <w:rPr>
          <w:rFonts w:cs="Arial"/>
          <w:szCs w:val="24"/>
          <w:shd w:val="clear" w:color="auto" w:fill="FFFFFF"/>
        </w:rPr>
        <w:t>quoting a paper that uses inequalities or disparities</w:t>
      </w:r>
      <w:r w:rsidRPr="00424BD3">
        <w:rPr>
          <w:rFonts w:cs="Arial"/>
          <w:szCs w:val="24"/>
        </w:rPr>
        <w:t xml:space="preserve">. </w:t>
      </w:r>
    </w:p>
    <w:p w14:paraId="26940EDE" w14:textId="15877340" w:rsidR="00443889" w:rsidRPr="00424BD3" w:rsidRDefault="00443889" w:rsidP="00451D8A">
      <w:pPr>
        <w:pStyle w:val="Heading3"/>
        <w:spacing w:before="0" w:line="480" w:lineRule="auto"/>
        <w:rPr>
          <w:rStyle w:val="Heading4Char"/>
          <w:rFonts w:ascii="Arial" w:hAnsi="Arial" w:cs="Arial"/>
          <w:b/>
          <w:bCs/>
          <w:color w:val="auto"/>
        </w:rPr>
      </w:pPr>
      <w:bookmarkStart w:id="8" w:name="_Toc118232283"/>
      <w:r w:rsidRPr="00424BD3">
        <w:rPr>
          <w:rStyle w:val="Heading4Char"/>
          <w:rFonts w:ascii="Arial" w:hAnsi="Arial" w:cs="Arial"/>
          <w:b/>
          <w:bCs/>
          <w:color w:val="auto"/>
        </w:rPr>
        <w:lastRenderedPageBreak/>
        <w:t xml:space="preserve">Health </w:t>
      </w:r>
      <w:r w:rsidR="00792A61">
        <w:rPr>
          <w:rStyle w:val="Heading4Char"/>
          <w:rFonts w:ascii="Arial" w:hAnsi="Arial" w:cs="Arial"/>
          <w:b/>
          <w:bCs/>
          <w:color w:val="auto"/>
        </w:rPr>
        <w:t>E</w:t>
      </w:r>
      <w:r w:rsidR="0050486D" w:rsidRPr="00424BD3">
        <w:rPr>
          <w:rStyle w:val="Heading4Char"/>
          <w:rFonts w:ascii="Arial" w:hAnsi="Arial" w:cs="Arial"/>
          <w:b/>
          <w:bCs/>
          <w:color w:val="auto"/>
        </w:rPr>
        <w:t>quity</w:t>
      </w:r>
      <w:bookmarkEnd w:id="8"/>
    </w:p>
    <w:p w14:paraId="5A63E590" w14:textId="0A082F44" w:rsidR="00D21D2C" w:rsidRPr="00424BD3" w:rsidRDefault="00D21D2C" w:rsidP="00451D8A">
      <w:pPr>
        <w:spacing w:after="0" w:line="480" w:lineRule="auto"/>
        <w:ind w:firstLine="720"/>
        <w:rPr>
          <w:rFonts w:cs="Arial"/>
          <w:bCs/>
          <w:szCs w:val="24"/>
        </w:rPr>
      </w:pPr>
      <w:r w:rsidRPr="00424BD3">
        <w:rPr>
          <w:rStyle w:val="Heading4Char"/>
          <w:rFonts w:ascii="Arial" w:hAnsi="Arial" w:cs="Arial"/>
          <w:i w:val="0"/>
          <w:iCs w:val="0"/>
          <w:color w:val="auto"/>
        </w:rPr>
        <w:t>Health equity</w:t>
      </w:r>
      <w:r w:rsidRPr="00424BD3">
        <w:rPr>
          <w:rFonts w:cs="Arial"/>
          <w:bCs/>
          <w:szCs w:val="24"/>
        </w:rPr>
        <w:t xml:space="preserve"> is defined by the U.S. National Academy of Sciences, Engineering, and Medicine </w:t>
      </w:r>
      <w:r w:rsidR="00081726">
        <w:rPr>
          <w:rFonts w:cs="Arial"/>
          <w:bCs/>
          <w:szCs w:val="24"/>
        </w:rPr>
        <w:t xml:space="preserve">(NASEM) </w:t>
      </w:r>
      <w:r w:rsidRPr="00424BD3">
        <w:rPr>
          <w:rFonts w:cs="Arial"/>
          <w:bCs/>
          <w:szCs w:val="24"/>
        </w:rPr>
        <w:t xml:space="preserve">as the individual’s opportunity for full health potential and the prevention of socially defined circumstances that disadvantage individuals from taking full advantage of that opportunity </w:t>
      </w:r>
      <w:r w:rsidRPr="00424BD3">
        <w:rPr>
          <w:rFonts w:cs="Arial"/>
          <w:bCs/>
          <w:szCs w:val="24"/>
        </w:rPr>
        <w:fldChar w:fldCharType="begin"/>
      </w:r>
      <w:r w:rsidR="006065C8">
        <w:rPr>
          <w:rFonts w:cs="Arial"/>
          <w:bCs/>
          <w:szCs w:val="24"/>
        </w:rPr>
        <w:instrText xml:space="preserve"> ADDIN ZOTERO_ITEM CSL_CITATION {"citationID":"ZvRJwzTc","properties":{"formattedCitation":"(NASEM, 2017, p. xxiv)","plainCitation":"(NASEM, 2017, p. xxiv)","noteIndex":0},"citationItems":[{"id":744,"uris":["http://zotero.org/users/4946941/items/AYSEPIF5"],"itemData":{"id":744,"type":"document","language":"en","publisher":"National Academies of Sciences (NASEM), Engineering, and Medicine, National Academies Press","title":"Communities in action: Pathways to health equity","URL":"https://www-ncbi-nlm-nih-gov.proxy.lib.utk.edu/books/NBK425848/pdf/Bookshelf_NBK425848.pdf","author":[{"family":"NASEM","given":""}],"issued":{"date-parts":[["2017"]]}},"locator":"xxiv"}],"schema":"https://github.com/citation-style-language/schema/raw/master/csl-citation.json"} </w:instrText>
      </w:r>
      <w:r w:rsidRPr="00424BD3">
        <w:rPr>
          <w:rFonts w:cs="Arial"/>
          <w:bCs/>
          <w:szCs w:val="24"/>
        </w:rPr>
        <w:fldChar w:fldCharType="separate"/>
      </w:r>
      <w:r w:rsidRPr="00424BD3">
        <w:rPr>
          <w:rFonts w:cs="Arial"/>
        </w:rPr>
        <w:t>(NASEM, 2017, p. xxiv)</w:t>
      </w:r>
      <w:r w:rsidRPr="00424BD3">
        <w:rPr>
          <w:rFonts w:cs="Arial"/>
          <w:bCs/>
          <w:szCs w:val="24"/>
        </w:rPr>
        <w:fldChar w:fldCharType="end"/>
      </w:r>
      <w:r w:rsidRPr="00424BD3">
        <w:rPr>
          <w:rFonts w:cs="Arial"/>
          <w:bCs/>
          <w:szCs w:val="24"/>
        </w:rPr>
        <w:t xml:space="preserve">. The factors that bring about health inequity include structural, environmental, and socioeconomic factors that are </w:t>
      </w:r>
      <w:r w:rsidR="0050486D" w:rsidRPr="00424BD3">
        <w:rPr>
          <w:rFonts w:cs="Arial"/>
          <w:bCs/>
          <w:szCs w:val="24"/>
        </w:rPr>
        <w:t>inequitably</w:t>
      </w:r>
      <w:r w:rsidRPr="00424BD3">
        <w:rPr>
          <w:rFonts w:cs="Arial"/>
          <w:bCs/>
          <w:szCs w:val="24"/>
        </w:rPr>
        <w:t xml:space="preserve"> distributed in societies and, therefore, impact health. </w:t>
      </w:r>
      <w:r w:rsidRPr="00424BD3">
        <w:rPr>
          <w:rFonts w:cs="Arial"/>
          <w:bCs/>
          <w:szCs w:val="24"/>
        </w:rPr>
        <w:fldChar w:fldCharType="begin"/>
      </w:r>
      <w:r w:rsidR="006065C8">
        <w:rPr>
          <w:rFonts w:cs="Arial"/>
          <w:bCs/>
          <w:szCs w:val="24"/>
        </w:rPr>
        <w:instrText xml:space="preserve"> ADDIN ZOTERO_ITEM CSL_CITATION {"citationID":"bwCu9PnT","properties":{"formattedCitation":"(NASEM, 2017, p. 1)","plainCitation":"(NASEM, 2017, p. 1)","noteIndex":0},"citationItems":[{"id":744,"uris":["http://zotero.org/users/4946941/items/AYSEPIF5"],"itemData":{"id":744,"type":"document","language":"en","publisher":"National Academies of Sciences (NASEM), Engineering, and Medicine, National Academies Press","title":"Communities in action: Pathways to health equity","URL":"https://www-ncbi-nlm-nih-gov.proxy.lib.utk.edu/books/NBK425848/pdf/Bookshelf_NBK425848.pdf","author":[{"family":"NASEM","given":""}],"issued":{"date-parts":[["2017"]]}},"locator":"1"}],"schema":"https://github.com/citation-style-language/schema/raw/master/csl-citation.json"} </w:instrText>
      </w:r>
      <w:r w:rsidRPr="00424BD3">
        <w:rPr>
          <w:rFonts w:cs="Arial"/>
          <w:bCs/>
          <w:szCs w:val="24"/>
        </w:rPr>
        <w:fldChar w:fldCharType="separate"/>
      </w:r>
      <w:r w:rsidRPr="00424BD3">
        <w:rPr>
          <w:rFonts w:cs="Arial"/>
        </w:rPr>
        <w:t>(NASEM, 2017, p. 1)</w:t>
      </w:r>
      <w:r w:rsidRPr="00424BD3">
        <w:rPr>
          <w:rFonts w:cs="Arial"/>
          <w:bCs/>
          <w:szCs w:val="24"/>
        </w:rPr>
        <w:fldChar w:fldCharType="end"/>
      </w:r>
      <w:r w:rsidRPr="00424BD3">
        <w:rPr>
          <w:rFonts w:cs="Arial"/>
          <w:bCs/>
          <w:szCs w:val="24"/>
        </w:rPr>
        <w:t xml:space="preserve">. </w:t>
      </w:r>
    </w:p>
    <w:p w14:paraId="284FBD1C" w14:textId="60A18963" w:rsidR="0050486D" w:rsidRPr="00424BD3" w:rsidRDefault="0050486D" w:rsidP="00451D8A">
      <w:pPr>
        <w:pStyle w:val="Heading3"/>
        <w:spacing w:before="0" w:line="480" w:lineRule="auto"/>
        <w:rPr>
          <w:rFonts w:ascii="Arial" w:hAnsi="Arial" w:cs="Arial"/>
          <w:b/>
          <w:bCs/>
          <w:i/>
          <w:iCs/>
          <w:color w:val="auto"/>
          <w:shd w:val="clear" w:color="auto" w:fill="FFFFFF"/>
        </w:rPr>
      </w:pPr>
      <w:bookmarkStart w:id="9" w:name="_Toc118232284"/>
      <w:r w:rsidRPr="00424BD3">
        <w:rPr>
          <w:rFonts w:ascii="Arial" w:hAnsi="Arial" w:cs="Arial"/>
          <w:b/>
          <w:bCs/>
          <w:i/>
          <w:iCs/>
          <w:color w:val="auto"/>
          <w:shd w:val="clear" w:color="auto" w:fill="FFFFFF"/>
        </w:rPr>
        <w:t xml:space="preserve">Health </w:t>
      </w:r>
      <w:r w:rsidR="00792A61">
        <w:rPr>
          <w:rFonts w:ascii="Arial" w:hAnsi="Arial" w:cs="Arial"/>
          <w:b/>
          <w:bCs/>
          <w:i/>
          <w:iCs/>
          <w:color w:val="auto"/>
          <w:shd w:val="clear" w:color="auto" w:fill="FFFFFF"/>
        </w:rPr>
        <w:t>I</w:t>
      </w:r>
      <w:r w:rsidRPr="00424BD3">
        <w:rPr>
          <w:rFonts w:ascii="Arial" w:hAnsi="Arial" w:cs="Arial"/>
          <w:b/>
          <w:bCs/>
          <w:i/>
          <w:iCs/>
          <w:color w:val="auto"/>
          <w:shd w:val="clear" w:color="auto" w:fill="FFFFFF"/>
        </w:rPr>
        <w:t>nequities</w:t>
      </w:r>
      <w:bookmarkEnd w:id="9"/>
    </w:p>
    <w:p w14:paraId="70ACCEE8" w14:textId="5595000D" w:rsidR="00292FE8" w:rsidRPr="00424BD3" w:rsidRDefault="00292FE8" w:rsidP="00451D8A">
      <w:pPr>
        <w:spacing w:after="0" w:line="480" w:lineRule="auto"/>
        <w:ind w:firstLine="720"/>
        <w:rPr>
          <w:rFonts w:eastAsia="Times New Roman" w:cs="Arial"/>
          <w:color w:val="000000"/>
          <w:szCs w:val="24"/>
        </w:rPr>
      </w:pPr>
      <w:r w:rsidRPr="00424BD3">
        <w:rPr>
          <w:rFonts w:eastAsia="Times New Roman" w:cs="Arial"/>
          <w:color w:val="000000"/>
          <w:szCs w:val="24"/>
        </w:rPr>
        <w:t>Bravem</w:t>
      </w:r>
      <w:r w:rsidR="00047FFD" w:rsidRPr="00424BD3">
        <w:rPr>
          <w:rFonts w:eastAsia="Times New Roman" w:cs="Arial"/>
          <w:color w:val="000000"/>
          <w:szCs w:val="24"/>
        </w:rPr>
        <w:t>a</w:t>
      </w:r>
      <w:r w:rsidRPr="00424BD3">
        <w:rPr>
          <w:rFonts w:eastAsia="Times New Roman" w:cs="Arial"/>
          <w:color w:val="000000"/>
          <w:szCs w:val="24"/>
        </w:rPr>
        <w:t xml:space="preserve">n et al. </w:t>
      </w:r>
      <w:r w:rsidR="00695F3E">
        <w:rPr>
          <w:rFonts w:eastAsia="Times New Roman" w:cs="Arial"/>
          <w:color w:val="000000"/>
          <w:szCs w:val="24"/>
        </w:rPr>
        <w:fldChar w:fldCharType="begin"/>
      </w:r>
      <w:r w:rsidR="00695F3E">
        <w:rPr>
          <w:rFonts w:eastAsia="Times New Roman" w:cs="Arial"/>
          <w:color w:val="000000"/>
          <w:szCs w:val="24"/>
        </w:rPr>
        <w:instrText xml:space="preserve"> ADDIN ZOTERO_ITEM CSL_CITATION {"citationID":"OE6fKMYA","properties":{"formattedCitation":"(2018)","plainCitation":"(2018)","noteIndex":0},"citationItems":[{"id":989,"uris":["http://zotero.org/users/4946941/items/STES7ZMC"],"itemData":{"id":989,"type":"article-journal","container-title":"Behavioral Science &amp; Policy","DOI":"10.1353/bsp.2018.0000","ISSN":"2379-4615","issue":"1","journalAbbreviation":"Behavioral Science &amp; Policy","language":"en","page":"1-14","source":"DOI.org (Crossref)","title":"What is health equity?","volume":"4","author":[{"family":"Braveman","given":"Paula"},{"family":"Arkin","given":"Elaine"},{"family":"Orleans","given":"Tracy"},{"family":"Proctor","given":"Dwayne"},{"family":"Acker","given":"Julia"},{"family":"Plough","given":"Alonzo"}],"issued":{"date-parts":[["2018"]]}},"label":"page","suppress-author":true}],"schema":"https://github.com/citation-style-language/schema/raw/master/csl-citation.json"} </w:instrText>
      </w:r>
      <w:r w:rsidR="00695F3E">
        <w:rPr>
          <w:rFonts w:eastAsia="Times New Roman" w:cs="Arial"/>
          <w:color w:val="000000"/>
          <w:szCs w:val="24"/>
        </w:rPr>
        <w:fldChar w:fldCharType="separate"/>
      </w:r>
      <w:r w:rsidR="00695F3E" w:rsidRPr="00695F3E">
        <w:rPr>
          <w:rFonts w:cs="Arial"/>
        </w:rPr>
        <w:t>(2018)</w:t>
      </w:r>
      <w:r w:rsidR="00695F3E">
        <w:rPr>
          <w:rFonts w:eastAsia="Times New Roman" w:cs="Arial"/>
          <w:color w:val="000000"/>
          <w:szCs w:val="24"/>
        </w:rPr>
        <w:fldChar w:fldCharType="end"/>
      </w:r>
      <w:r w:rsidRPr="00424BD3">
        <w:rPr>
          <w:rFonts w:eastAsia="Times New Roman" w:cs="Arial"/>
          <w:color w:val="000000"/>
          <w:szCs w:val="24"/>
        </w:rPr>
        <w:t xml:space="preserve"> has pointed out that there are many definitions of health inequities.</w:t>
      </w:r>
      <w:r w:rsidRPr="00424BD3">
        <w:rPr>
          <w:rFonts w:cs="Arial"/>
          <w:bCs/>
          <w:szCs w:val="24"/>
          <w:shd w:val="clear" w:color="auto" w:fill="FFFFFF"/>
        </w:rPr>
        <w:t xml:space="preserve"> Health inequities</w:t>
      </w:r>
      <w:r w:rsidRPr="00424BD3">
        <w:rPr>
          <w:rFonts w:cs="Arial"/>
          <w:szCs w:val="24"/>
          <w:shd w:val="clear" w:color="auto" w:fill="FFFFFF"/>
        </w:rPr>
        <w:t xml:space="preserve"> is the term used by the World Health Organization </w:t>
      </w:r>
      <w:r w:rsidR="00081726">
        <w:rPr>
          <w:rFonts w:cs="Arial"/>
          <w:szCs w:val="24"/>
          <w:shd w:val="clear" w:color="auto" w:fill="FFFFFF"/>
        </w:rPr>
        <w:t xml:space="preserve">(WHO) </w:t>
      </w:r>
      <w:r w:rsidRPr="00424BD3">
        <w:rPr>
          <w:rFonts w:cs="Arial"/>
          <w:szCs w:val="24"/>
          <w:shd w:val="clear" w:color="auto" w:fill="FFFFFF"/>
        </w:rPr>
        <w:t xml:space="preserve">and are defined as </w:t>
      </w:r>
      <w:r w:rsidRPr="00424BD3">
        <w:rPr>
          <w:rFonts w:cs="Arial"/>
          <w:szCs w:val="24"/>
        </w:rPr>
        <w:t xml:space="preserve">systematic, unjust, preventable, and avoidable health status differences between groups of people </w:t>
      </w:r>
      <w:r w:rsidRPr="00424BD3">
        <w:rPr>
          <w:rFonts w:cs="Arial"/>
          <w:szCs w:val="24"/>
        </w:rPr>
        <w:fldChar w:fldCharType="begin"/>
      </w:r>
      <w:r w:rsidR="00023341">
        <w:rPr>
          <w:rFonts w:cs="Arial"/>
          <w:szCs w:val="24"/>
        </w:rPr>
        <w:instrText xml:space="preserve"> ADDIN ZOTERO_ITEM CSL_CITATION {"citationID":"13ey5r1j","properties":{"formattedCitation":"(WHO, 2017a)","plainCitation":"(WHO, 2017a)","noteIndex":0},"citationItems":[{"id":867,"uris":["http://zotero.org/users/4946941/items/IA4BP8PD"],"itemData":{"id":867,"type":"document","language":"en","note":"a","publisher":"World Health Organization (WHO)","title":"10 facts on health inequities","URL":"https://www.who.int/features/factfiles/health_inequities/en/","author":[{"family":"WHO","given":""}],"issued":{"date-parts":[["2017"]]}},"label":"page"}],"schema":"https://github.com/citation-style-language/schema/raw/master/csl-citation.json"} </w:instrText>
      </w:r>
      <w:r w:rsidRPr="00424BD3">
        <w:rPr>
          <w:rFonts w:cs="Arial"/>
          <w:szCs w:val="24"/>
        </w:rPr>
        <w:fldChar w:fldCharType="separate"/>
      </w:r>
      <w:r w:rsidRPr="00424BD3">
        <w:rPr>
          <w:rFonts w:cs="Arial"/>
        </w:rPr>
        <w:t>(WHO, 2017a)</w:t>
      </w:r>
      <w:r w:rsidRPr="00424BD3">
        <w:rPr>
          <w:rFonts w:cs="Arial"/>
          <w:szCs w:val="24"/>
        </w:rPr>
        <w:fldChar w:fldCharType="end"/>
      </w:r>
      <w:r w:rsidRPr="00424BD3">
        <w:rPr>
          <w:rFonts w:cs="Arial"/>
          <w:szCs w:val="24"/>
          <w:shd w:val="clear" w:color="auto" w:fill="FFFFFF"/>
        </w:rPr>
        <w:t>. The WHO includes in their definition systematic differences in health outcomes and the distribution of health resources and considers social conditions to include several place-based factors, such as where one is born, raised, lives, works</w:t>
      </w:r>
      <w:r w:rsidR="009816A4">
        <w:rPr>
          <w:rFonts w:cs="Arial"/>
          <w:szCs w:val="24"/>
          <w:shd w:val="clear" w:color="auto" w:fill="FFFFFF"/>
        </w:rPr>
        <w:t>,</w:t>
      </w:r>
      <w:r w:rsidRPr="00424BD3">
        <w:rPr>
          <w:rFonts w:cs="Arial"/>
          <w:szCs w:val="24"/>
          <w:shd w:val="clear" w:color="auto" w:fill="FFFFFF"/>
        </w:rPr>
        <w:t xml:space="preserve"> and ages </w:t>
      </w:r>
      <w:r w:rsidRPr="00424BD3">
        <w:rPr>
          <w:rFonts w:cs="Arial"/>
          <w:szCs w:val="24"/>
          <w:shd w:val="clear" w:color="auto" w:fill="FFFFFF"/>
        </w:rPr>
        <w:fldChar w:fldCharType="begin"/>
      </w:r>
      <w:r w:rsidR="00023341">
        <w:rPr>
          <w:rFonts w:cs="Arial"/>
          <w:szCs w:val="24"/>
          <w:shd w:val="clear" w:color="auto" w:fill="FFFFFF"/>
        </w:rPr>
        <w:instrText xml:space="preserve"> ADDIN ZOTERO_ITEM CSL_CITATION {"citationID":"RCbOvlcE","properties":{"formattedCitation":"(WHO, 2017a)","plainCitation":"(WHO, 2017a)","noteIndex":0},"citationItems":[{"id":867,"uris":["http://zotero.org/users/4946941/items/IA4BP8PD"],"itemData":{"id":867,"type":"document","language":"en","note":"a","publisher":"World Health Organization (WHO)","title":"10 facts on health inequities","URL":"https://www.who.int/features/factfiles/health_inequities/en/","author":[{"family":"WHO","given":""}],"issued":{"date-parts":[["2017"]]}},"label":"page"}],"schema":"https://github.com/citation-style-language/schema/raw/master/csl-citation.json"} </w:instrText>
      </w:r>
      <w:r w:rsidRPr="00424BD3">
        <w:rPr>
          <w:rFonts w:cs="Arial"/>
          <w:szCs w:val="24"/>
          <w:shd w:val="clear" w:color="auto" w:fill="FFFFFF"/>
        </w:rPr>
        <w:fldChar w:fldCharType="separate"/>
      </w:r>
      <w:r w:rsidRPr="00424BD3">
        <w:rPr>
          <w:rFonts w:cs="Arial"/>
        </w:rPr>
        <w:t>(WHO, 2017a)</w:t>
      </w:r>
      <w:r w:rsidRPr="00424BD3">
        <w:rPr>
          <w:rFonts w:cs="Arial"/>
          <w:szCs w:val="24"/>
          <w:shd w:val="clear" w:color="auto" w:fill="FFFFFF"/>
        </w:rPr>
        <w:fldChar w:fldCharType="end"/>
      </w:r>
      <w:r w:rsidRPr="00424BD3">
        <w:rPr>
          <w:rFonts w:cs="Arial"/>
          <w:szCs w:val="24"/>
          <w:shd w:val="clear" w:color="auto" w:fill="FFFFFF"/>
        </w:rPr>
        <w:t xml:space="preserve">. The </w:t>
      </w:r>
      <w:r w:rsidR="007F4AF0">
        <w:rPr>
          <w:rFonts w:cs="Arial"/>
          <w:szCs w:val="24"/>
          <w:shd w:val="clear" w:color="auto" w:fill="FFFFFF"/>
        </w:rPr>
        <w:t>Centers for Disease Control and Prevention (</w:t>
      </w:r>
      <w:r w:rsidRPr="00424BD3">
        <w:rPr>
          <w:rFonts w:cs="Arial"/>
          <w:szCs w:val="24"/>
          <w:shd w:val="clear" w:color="auto" w:fill="FFFFFF"/>
        </w:rPr>
        <w:t>CDC</w:t>
      </w:r>
      <w:r w:rsidR="007F4AF0">
        <w:rPr>
          <w:rFonts w:cs="Arial"/>
          <w:szCs w:val="24"/>
          <w:shd w:val="clear" w:color="auto" w:fill="FFFFFF"/>
        </w:rPr>
        <w:t>)</w:t>
      </w:r>
      <w:r w:rsidRPr="00424BD3">
        <w:rPr>
          <w:rFonts w:cs="Arial"/>
          <w:szCs w:val="24"/>
          <w:shd w:val="clear" w:color="auto" w:fill="FFFFFF"/>
        </w:rPr>
        <w:t xml:space="preserve"> provides a similar definition of health inequities </w:t>
      </w:r>
      <w:r w:rsidRPr="00424BD3">
        <w:rPr>
          <w:rFonts w:cs="Arial"/>
          <w:szCs w:val="24"/>
          <w:shd w:val="clear" w:color="auto" w:fill="FFFFFF"/>
        </w:rPr>
        <w:fldChar w:fldCharType="begin"/>
      </w:r>
      <w:r w:rsidR="00990F3A">
        <w:rPr>
          <w:rFonts w:cs="Arial"/>
          <w:szCs w:val="24"/>
          <w:shd w:val="clear" w:color="auto" w:fill="FFFFFF"/>
        </w:rPr>
        <w:instrText xml:space="preserve"> ADDIN ZOTERO_ITEM CSL_CITATION {"citationID":"mHKv9rj9","properties":{"formattedCitation":"(R. Klein &amp; Huang, n.d.)","plainCitation":"(R. Klein &amp; Huang, n.d.)","noteIndex":0},"citationItems":[{"id":698,"uris":["http://zotero.org/users/4946941/items/XBFIBI2H"],"itemData":{"id":698,"type":"document","language":"en","title":"Defining and measuring disparities, inequities, and inequities in the Healthy People initiative. National Center for Health Statistics, Center for Disease Control and Prevention","URL":"https://www.cdc.gov/nchs/ppt/nchs2010/41_klein.pdf","author":[{"family":"Klein","given":"R."},{"family":"Huang","given":"D."}],"issued":{"literal":"n.d."}}}],"schema":"https://github.com/citation-style-language/schema/raw/master/csl-citation.json"} </w:instrText>
      </w:r>
      <w:r w:rsidRPr="00424BD3">
        <w:rPr>
          <w:rFonts w:cs="Arial"/>
          <w:szCs w:val="24"/>
          <w:shd w:val="clear" w:color="auto" w:fill="FFFFFF"/>
        </w:rPr>
        <w:fldChar w:fldCharType="separate"/>
      </w:r>
      <w:r w:rsidRPr="00424BD3">
        <w:rPr>
          <w:rFonts w:cs="Arial"/>
        </w:rPr>
        <w:t>(R. Klein &amp; Huang, n.d.)</w:t>
      </w:r>
      <w:r w:rsidRPr="00424BD3">
        <w:rPr>
          <w:rFonts w:cs="Arial"/>
          <w:szCs w:val="24"/>
          <w:shd w:val="clear" w:color="auto" w:fill="FFFFFF"/>
        </w:rPr>
        <w:fldChar w:fldCharType="end"/>
      </w:r>
      <w:r w:rsidRPr="00424BD3">
        <w:rPr>
          <w:rFonts w:cs="Arial"/>
          <w:szCs w:val="24"/>
          <w:shd w:val="clear" w:color="auto" w:fill="FFFFFF"/>
        </w:rPr>
        <w:t xml:space="preserve">. </w:t>
      </w:r>
      <w:r w:rsidRPr="00424BD3">
        <w:rPr>
          <w:rFonts w:cs="Arial"/>
          <w:bCs/>
          <w:szCs w:val="24"/>
        </w:rPr>
        <w:t xml:space="preserve">The causes of health inequities include structural, environmental, and socioeconomic factors that are inequitably distributed in societies and thus unevenly impact health </w:t>
      </w:r>
      <w:r w:rsidRPr="00424BD3">
        <w:rPr>
          <w:rFonts w:cs="Arial"/>
          <w:bCs/>
          <w:szCs w:val="24"/>
        </w:rPr>
        <w:fldChar w:fldCharType="begin"/>
      </w:r>
      <w:r w:rsidR="006065C8">
        <w:rPr>
          <w:rFonts w:cs="Arial"/>
          <w:bCs/>
          <w:szCs w:val="24"/>
        </w:rPr>
        <w:instrText xml:space="preserve"> ADDIN ZOTERO_ITEM CSL_CITATION {"citationID":"wVdAj16o","properties":{"formattedCitation":"(NASEM, 2017)","plainCitation":"(NASEM, 2017)","noteIndex":0},"citationItems":[{"id":744,"uris":["http://zotero.org/users/4946941/items/AYSEPIF5"],"itemData":{"id":744,"type":"document","language":"en","publisher":"National Academies of Sciences (NASEM), Engineering, and Medicine, National Academies Press","title":"Communities in action: Pathways to health equity","URL":"https://www-ncbi-nlm-nih-gov.proxy.lib.utk.edu/books/NBK425848/pdf/Bookshelf_NBK425848.pdf","author":[{"family":"NASEM","given":""}],"issued":{"date-parts":[["2017"]]}}}],"schema":"https://github.com/citation-style-language/schema/raw/master/csl-citation.json"} </w:instrText>
      </w:r>
      <w:r w:rsidRPr="00424BD3">
        <w:rPr>
          <w:rFonts w:cs="Arial"/>
          <w:bCs/>
          <w:szCs w:val="24"/>
        </w:rPr>
        <w:fldChar w:fldCharType="separate"/>
      </w:r>
      <w:r w:rsidRPr="00424BD3">
        <w:rPr>
          <w:rFonts w:cs="Arial"/>
        </w:rPr>
        <w:t>(NASEM, 2017)</w:t>
      </w:r>
      <w:r w:rsidRPr="00424BD3">
        <w:rPr>
          <w:rFonts w:cs="Arial"/>
          <w:bCs/>
          <w:szCs w:val="24"/>
        </w:rPr>
        <w:fldChar w:fldCharType="end"/>
      </w:r>
      <w:r w:rsidRPr="00424BD3">
        <w:rPr>
          <w:rFonts w:cs="Arial"/>
          <w:bCs/>
          <w:szCs w:val="24"/>
        </w:rPr>
        <w:t>.</w:t>
      </w:r>
      <w:r w:rsidR="00F11156" w:rsidRPr="00424BD3">
        <w:rPr>
          <w:rFonts w:cs="Arial"/>
          <w:bCs/>
          <w:szCs w:val="24"/>
        </w:rPr>
        <w:t xml:space="preserve"> </w:t>
      </w:r>
      <w:r w:rsidRPr="00424BD3">
        <w:rPr>
          <w:rFonts w:eastAsia="Times New Roman" w:cs="Arial"/>
          <w:color w:val="000000"/>
          <w:szCs w:val="24"/>
        </w:rPr>
        <w:t>In this dissertation, health inequities are defined as the "systematic, avoidable</w:t>
      </w:r>
      <w:r w:rsidR="004B0A9F">
        <w:rPr>
          <w:rFonts w:eastAsia="Times New Roman" w:cs="Arial"/>
          <w:color w:val="000000"/>
          <w:szCs w:val="24"/>
        </w:rPr>
        <w:t>,</w:t>
      </w:r>
      <w:r w:rsidRPr="00424BD3">
        <w:rPr>
          <w:rFonts w:eastAsia="Times New Roman" w:cs="Arial"/>
          <w:color w:val="000000"/>
          <w:szCs w:val="24"/>
        </w:rPr>
        <w:t xml:space="preserve"> and unfair differences in health outcomes that can be observed between populations, between social groups within the same population, or as a gradient across a population ranked by social position"</w:t>
      </w:r>
      <w:r w:rsidR="007E4133">
        <w:rPr>
          <w:rFonts w:eastAsia="Times New Roman" w:cs="Arial"/>
          <w:color w:val="000000"/>
          <w:szCs w:val="24"/>
        </w:rPr>
        <w:t xml:space="preserve"> </w:t>
      </w:r>
      <w:r w:rsidRPr="00424BD3">
        <w:rPr>
          <w:rFonts w:eastAsia="Times New Roman" w:cs="Arial"/>
          <w:color w:val="000000"/>
          <w:szCs w:val="24"/>
        </w:rPr>
        <w:fldChar w:fldCharType="begin"/>
      </w:r>
      <w:r w:rsidR="00990F3A">
        <w:rPr>
          <w:rFonts w:eastAsia="Times New Roman" w:cs="Arial"/>
          <w:color w:val="000000"/>
          <w:szCs w:val="24"/>
        </w:rPr>
        <w:instrText xml:space="preserve"> ADDIN ZOTERO_ITEM CSL_CITATION {"citationID":"kNlm5win","properties":{"formattedCitation":"(McCartney et al., 2019)","plainCitation":"(McCartney et al., 2019)","noteIndex":0},"citationItems":[{"id":1557,"uris":["http://zotero.org/users/4946941/items/C9V5A5NI"],"itemData":{"id":1557,"type":"article-journal","abstract":"Objectives\nTo examine existing definitions of health and health inequalities and to synthesise the most useful of these using explicit rationale and the most parsimonious text.\nStudy design\nLiterature review and synthesis.\nMethods\nExisting definitions of health and health inequalities were identified, and their normative properties were extracted and then critically appraised. Using explicit reasoning, new definitions, synthesising the most useful aspects of existing definitions, were created.\nResults\nA definition of health as a structural, functional and emotional state that is compatible with effective life as an individual and as a member of society and a definition of health inequalities as the systematic, avoidable and unfair differences in health outcomes that can be observed between populations, between social groups within the same population or as a gradient across a population ranked by social position are proposed. Population health is a less commonly used term but can usefully be defined to encompass the average, distribution and inequalities in health within a society.\nConclusions\nClarifying what is meant by the terms health and health inequalities, and the assumptions, emphasis and values that different definitions contain, is important for public health research, practice and policy.","collection-title":"Special issue on Migration, Ethnicity, Race and Health","container-title":"Public Health","DOI":"10.1016/j.puhe.2019.03.023","ISSN":"0033-3506","journalAbbreviation":"Public Health","language":"en","page":"22-30","source":"ScienceDirect","title":"Defining health and health inequalities","volume":"172","author":[{"family":"McCartney","given":"G."},{"family":"Popham","given":"F."},{"family":"McMaster","given":"R."},{"family":"Cumbers","given":"A."}],"issued":{"date-parts":[["2019",7,1]]}}}],"schema":"https://github.com/citation-style-language/schema/raw/master/csl-citation.json"} </w:instrText>
      </w:r>
      <w:r w:rsidRPr="00424BD3">
        <w:rPr>
          <w:rFonts w:eastAsia="Times New Roman" w:cs="Arial"/>
          <w:color w:val="000000"/>
          <w:szCs w:val="24"/>
        </w:rPr>
        <w:fldChar w:fldCharType="separate"/>
      </w:r>
      <w:r w:rsidRPr="00424BD3">
        <w:rPr>
          <w:rFonts w:cs="Arial"/>
        </w:rPr>
        <w:t>(McCartney et al., 2019)</w:t>
      </w:r>
      <w:r w:rsidRPr="00424BD3">
        <w:rPr>
          <w:rFonts w:eastAsia="Times New Roman" w:cs="Arial"/>
          <w:color w:val="000000"/>
          <w:szCs w:val="24"/>
        </w:rPr>
        <w:fldChar w:fldCharType="end"/>
      </w:r>
      <w:r w:rsidRPr="00424BD3">
        <w:rPr>
          <w:rFonts w:eastAsia="Times New Roman" w:cs="Arial"/>
          <w:color w:val="000000"/>
          <w:szCs w:val="24"/>
        </w:rPr>
        <w:t xml:space="preserve">. Older women in East Tennessee (and the U.S.) can help us to see into the </w:t>
      </w:r>
      <w:r w:rsidRPr="00424BD3">
        <w:rPr>
          <w:rFonts w:eastAsia="Times New Roman" w:cs="Arial"/>
          <w:color w:val="000000"/>
          <w:szCs w:val="24"/>
        </w:rPr>
        <w:lastRenderedPageBreak/>
        <w:t>processes that create and prop up health inequities. Their life experiences and perceptions of the geopolitical, social</w:t>
      </w:r>
      <w:r w:rsidR="00566B1E">
        <w:rPr>
          <w:rFonts w:eastAsia="Times New Roman" w:cs="Arial"/>
          <w:color w:val="000000"/>
          <w:szCs w:val="24"/>
        </w:rPr>
        <w:t>,</w:t>
      </w:r>
      <w:r w:rsidRPr="00424BD3">
        <w:rPr>
          <w:rFonts w:eastAsia="Times New Roman" w:cs="Arial"/>
          <w:color w:val="000000"/>
          <w:szCs w:val="24"/>
        </w:rPr>
        <w:t xml:space="preserve"> and cultural norms and contexts in which they live can give us insights into how better to understand the impact these processes have on them. It should be noted that worse health outcomes are not experienced by all older women, and that health inequities may not be applicable to all age group differences in health outcomes, but older women have often been left out of academic research, public enquiry, policy and decision-making, and intervention design. Because of this and the stigma and discrimination, including gender-bias and sexism, racism, and ageism, they face in health and other areas of social life, it is imperative to include their experiences, thoughts, needs, desires, attitudes</w:t>
      </w:r>
      <w:r w:rsidR="00385697">
        <w:rPr>
          <w:rFonts w:eastAsia="Times New Roman" w:cs="Arial"/>
          <w:color w:val="000000"/>
          <w:szCs w:val="24"/>
        </w:rPr>
        <w:t>,</w:t>
      </w:r>
      <w:r w:rsidRPr="00424BD3">
        <w:rPr>
          <w:rFonts w:eastAsia="Times New Roman" w:cs="Arial"/>
          <w:color w:val="000000"/>
          <w:szCs w:val="24"/>
        </w:rPr>
        <w:t xml:space="preserve"> and beliefs when examining the processes involved in creating and sustaining health inequities.</w:t>
      </w:r>
    </w:p>
    <w:p w14:paraId="434678D1" w14:textId="4627206A" w:rsidR="00F11156" w:rsidRPr="00424BD3" w:rsidRDefault="00F11156" w:rsidP="00451D8A">
      <w:pPr>
        <w:pStyle w:val="Heading3"/>
        <w:spacing w:before="0" w:line="480" w:lineRule="auto"/>
        <w:rPr>
          <w:rStyle w:val="Heading4Char"/>
          <w:rFonts w:ascii="Arial" w:hAnsi="Arial" w:cs="Arial"/>
          <w:b/>
          <w:bCs/>
          <w:color w:val="auto"/>
        </w:rPr>
      </w:pPr>
      <w:bookmarkStart w:id="10" w:name="_Toc118232285"/>
      <w:r w:rsidRPr="00424BD3">
        <w:rPr>
          <w:rStyle w:val="Heading4Char"/>
          <w:rFonts w:ascii="Arial" w:hAnsi="Arial" w:cs="Arial"/>
          <w:b/>
          <w:bCs/>
          <w:color w:val="auto"/>
        </w:rPr>
        <w:t xml:space="preserve">Health </w:t>
      </w:r>
      <w:r w:rsidR="00792A61">
        <w:rPr>
          <w:rStyle w:val="Heading4Char"/>
          <w:rFonts w:ascii="Arial" w:hAnsi="Arial" w:cs="Arial"/>
          <w:b/>
          <w:bCs/>
          <w:color w:val="auto"/>
        </w:rPr>
        <w:t>I</w:t>
      </w:r>
      <w:r w:rsidRPr="00424BD3">
        <w:rPr>
          <w:rStyle w:val="Heading4Char"/>
          <w:rFonts w:ascii="Arial" w:hAnsi="Arial" w:cs="Arial"/>
          <w:b/>
          <w:bCs/>
          <w:color w:val="auto"/>
        </w:rPr>
        <w:t>nequalities</w:t>
      </w:r>
      <w:bookmarkEnd w:id="10"/>
    </w:p>
    <w:p w14:paraId="6698A97F" w14:textId="2CF50C97" w:rsidR="00F11156" w:rsidRPr="00424BD3" w:rsidRDefault="00F11156" w:rsidP="00451D8A">
      <w:pPr>
        <w:spacing w:after="0" w:line="480" w:lineRule="auto"/>
        <w:ind w:firstLine="720"/>
        <w:rPr>
          <w:rFonts w:cs="Arial"/>
          <w:szCs w:val="24"/>
          <w:shd w:val="clear" w:color="auto" w:fill="FFFFFF"/>
        </w:rPr>
      </w:pPr>
      <w:r w:rsidRPr="00424BD3">
        <w:rPr>
          <w:rStyle w:val="Heading4Char"/>
          <w:rFonts w:ascii="Arial" w:hAnsi="Arial" w:cs="Arial"/>
          <w:i w:val="0"/>
          <w:iCs w:val="0"/>
          <w:color w:val="auto"/>
        </w:rPr>
        <w:t>Health inequalities</w:t>
      </w:r>
      <w:r w:rsidRPr="00424BD3">
        <w:rPr>
          <w:rFonts w:cs="Arial"/>
          <w:szCs w:val="24"/>
        </w:rPr>
        <w:t xml:space="preserve"> are defined as systematic, unjust, preventable, and avoidable health status differences between groups of people based upon their socio-economic position </w:t>
      </w:r>
      <w:r w:rsidRPr="00424BD3">
        <w:rPr>
          <w:rFonts w:cs="Arial"/>
          <w:szCs w:val="24"/>
        </w:rPr>
        <w:fldChar w:fldCharType="begin"/>
      </w:r>
      <w:r w:rsidR="00990F3A">
        <w:rPr>
          <w:rFonts w:cs="Arial"/>
          <w:szCs w:val="24"/>
        </w:rPr>
        <w:instrText xml:space="preserve"> ADDIN ZOTERO_ITEM CSL_CITATION {"citationID":"xoTf9ngi","properties":{"formattedCitation":"(McCartney et al., 2013)","plainCitation":"(McCartney et al., 2013)","noteIndex":0},"citationItems":[{"id":730,"uris":["http://zotero.org/users/4946941/items/EYLGZGKH"],"itemData":{"id":730,"type":"article-journal","container-title":"Health Policy","DOI":"10.1016/j.healthpol.2013.05.021","language":"en","page":"3","title":"What (or who) causes health inequities: Theories, evidence and implications?","volume":"113","author":[{"family":"McCartney","given":"G."},{"family":"Collins","given":"C."},{"family":"Mackenzie","given":"M."}],"issued":{"date-parts":[["2013"]]}}}],"schema":"https://github.com/citation-style-language/schema/raw/master/csl-citation.json"} </w:instrText>
      </w:r>
      <w:r w:rsidRPr="00424BD3">
        <w:rPr>
          <w:rFonts w:cs="Arial"/>
          <w:szCs w:val="24"/>
        </w:rPr>
        <w:fldChar w:fldCharType="separate"/>
      </w:r>
      <w:r w:rsidRPr="00424BD3">
        <w:rPr>
          <w:rFonts w:cs="Arial"/>
        </w:rPr>
        <w:t>(McCartney et al., 2013)</w:t>
      </w:r>
      <w:r w:rsidRPr="00424BD3">
        <w:rPr>
          <w:rFonts w:cs="Arial"/>
          <w:szCs w:val="24"/>
        </w:rPr>
        <w:fldChar w:fldCharType="end"/>
      </w:r>
      <w:r w:rsidRPr="00424BD3">
        <w:rPr>
          <w:rFonts w:cs="Arial"/>
          <w:szCs w:val="24"/>
          <w:shd w:val="clear" w:color="auto" w:fill="FFFFFF"/>
        </w:rPr>
        <w:t xml:space="preserve">. </w:t>
      </w:r>
    </w:p>
    <w:p w14:paraId="64D27615" w14:textId="0AC79961" w:rsidR="00B05079" w:rsidRPr="00424BD3" w:rsidRDefault="00E65F16" w:rsidP="00451D8A">
      <w:pPr>
        <w:pStyle w:val="Heading3"/>
        <w:spacing w:before="0" w:line="480" w:lineRule="auto"/>
        <w:rPr>
          <w:rFonts w:ascii="Arial" w:hAnsi="Arial" w:cs="Arial"/>
          <w:b/>
          <w:bCs/>
          <w:i/>
          <w:iCs/>
          <w:color w:val="auto"/>
          <w:shd w:val="clear" w:color="auto" w:fill="FFFFFF"/>
        </w:rPr>
      </w:pPr>
      <w:bookmarkStart w:id="11" w:name="_Toc118232286"/>
      <w:r w:rsidRPr="00424BD3">
        <w:rPr>
          <w:rFonts w:ascii="Arial" w:hAnsi="Arial" w:cs="Arial"/>
          <w:b/>
          <w:bCs/>
          <w:i/>
          <w:iCs/>
          <w:color w:val="auto"/>
          <w:shd w:val="clear" w:color="auto" w:fill="FFFFFF"/>
        </w:rPr>
        <w:t>Health Disparities</w:t>
      </w:r>
      <w:bookmarkEnd w:id="11"/>
    </w:p>
    <w:p w14:paraId="1ACBE018" w14:textId="3AFF52B1" w:rsidR="00D21D2C" w:rsidRPr="00424BD3" w:rsidRDefault="00D21D2C" w:rsidP="00451D8A">
      <w:pPr>
        <w:spacing w:after="0" w:line="480" w:lineRule="auto"/>
        <w:ind w:firstLine="720"/>
        <w:rPr>
          <w:rFonts w:cs="Arial"/>
          <w:szCs w:val="24"/>
          <w:shd w:val="clear" w:color="auto" w:fill="FFFFFF"/>
        </w:rPr>
      </w:pPr>
      <w:r w:rsidRPr="00424BD3">
        <w:rPr>
          <w:rStyle w:val="Heading4Char"/>
          <w:rFonts w:ascii="Arial" w:hAnsi="Arial" w:cs="Arial"/>
          <w:i w:val="0"/>
          <w:iCs w:val="0"/>
          <w:color w:val="auto"/>
        </w:rPr>
        <w:t>Health disparities</w:t>
      </w:r>
      <w:r w:rsidRPr="00424BD3">
        <w:rPr>
          <w:rFonts w:cs="Arial"/>
          <w:szCs w:val="24"/>
          <w:shd w:val="clear" w:color="auto" w:fill="FFFFFF"/>
        </w:rPr>
        <w:t xml:space="preserve"> are defined by the CDC as “</w:t>
      </w:r>
      <w:r w:rsidRPr="00424BD3">
        <w:rPr>
          <w:rFonts w:cs="Arial"/>
          <w:szCs w:val="24"/>
        </w:rPr>
        <w:t xml:space="preserve">preventable differences in the burden of disease, injury, violence or in opportunities to achieve optimal health experienced by disadvantaged racial, ethnic, and other population groups, and communities. Health disparities exist in all age groups, including older adults </w:t>
      </w:r>
      <w:r w:rsidRPr="00424BD3">
        <w:rPr>
          <w:rFonts w:cs="Arial"/>
          <w:szCs w:val="24"/>
        </w:rPr>
        <w:fldChar w:fldCharType="begin"/>
      </w:r>
      <w:r w:rsidR="00111343">
        <w:rPr>
          <w:rFonts w:cs="Arial"/>
          <w:szCs w:val="24"/>
        </w:rPr>
        <w:instrText xml:space="preserve"> ADDIN ZOTERO_ITEM CSL_CITATION {"citationID":"ITDZBRCG","properties":{"formattedCitation":"(CDC, 2017)","plainCitation":"(CDC, 2017)","noteIndex":0},"citationItems":[{"id":629,"uris":["http://zotero.org/users/4946941/items/Z2WE9CFQ"],"itemData":{"id":629,"type":"webpage","container-title":"Centers for Disease Control and Prevention (CDC), Alzheimer's Disease and Healthy Aging","language":"en","title":"Health Disparities","URL":"https://www.cdc.gov/aging/disparities/index.htm","author":[{"family":"CDC","given":""}],"issued":{"date-parts":[["2017"]]}}}],"schema":"https://github.com/citation-style-language/schema/raw/master/csl-citation.json"} </w:instrText>
      </w:r>
      <w:r w:rsidRPr="00424BD3">
        <w:rPr>
          <w:rFonts w:cs="Arial"/>
          <w:szCs w:val="24"/>
        </w:rPr>
        <w:fldChar w:fldCharType="separate"/>
      </w:r>
      <w:r w:rsidRPr="00424BD3">
        <w:rPr>
          <w:rFonts w:cs="Arial"/>
        </w:rPr>
        <w:t>(CDC, 2017)</w:t>
      </w:r>
      <w:r w:rsidRPr="00424BD3">
        <w:rPr>
          <w:rFonts w:cs="Arial"/>
          <w:szCs w:val="24"/>
        </w:rPr>
        <w:fldChar w:fldCharType="end"/>
      </w:r>
      <w:r w:rsidRPr="00424BD3">
        <w:rPr>
          <w:rFonts w:cs="Arial"/>
          <w:szCs w:val="24"/>
        </w:rPr>
        <w:t xml:space="preserve">. </w:t>
      </w:r>
      <w:r w:rsidRPr="00424BD3">
        <w:rPr>
          <w:rFonts w:cs="Arial"/>
          <w:szCs w:val="24"/>
          <w:shd w:val="clear" w:color="auto" w:fill="FFFFFF"/>
        </w:rPr>
        <w:t>The U.S. National Academy of Sciences, Engineering, and Medicine</w:t>
      </w:r>
      <w:r w:rsidR="00334D7A">
        <w:rPr>
          <w:rFonts w:cs="Arial"/>
          <w:szCs w:val="24"/>
          <w:shd w:val="clear" w:color="auto" w:fill="FFFFFF"/>
        </w:rPr>
        <w:t xml:space="preserve"> (NASEM)</w:t>
      </w:r>
      <w:r w:rsidRPr="00424BD3">
        <w:rPr>
          <w:rFonts w:cs="Arial"/>
          <w:szCs w:val="24"/>
          <w:shd w:val="clear" w:color="auto" w:fill="FFFFFF"/>
        </w:rPr>
        <w:t xml:space="preserve"> defines health disparities as “differences among specific population groups that prevent the attainment of full health potential that can be measured by differences in incidence, </w:t>
      </w:r>
      <w:r w:rsidRPr="00424BD3">
        <w:rPr>
          <w:rFonts w:cs="Arial"/>
          <w:szCs w:val="24"/>
          <w:shd w:val="clear" w:color="auto" w:fill="FFFFFF"/>
        </w:rPr>
        <w:lastRenderedPageBreak/>
        <w:t xml:space="preserve">prevalence, mortality, burden of disease, and other adverse health conditions” </w:t>
      </w:r>
      <w:r w:rsidRPr="00424BD3">
        <w:rPr>
          <w:rFonts w:cs="Arial"/>
          <w:szCs w:val="24"/>
          <w:shd w:val="clear" w:color="auto" w:fill="FFFFFF"/>
        </w:rPr>
        <w:fldChar w:fldCharType="begin"/>
      </w:r>
      <w:r w:rsidR="006065C8">
        <w:rPr>
          <w:rFonts w:cs="Arial"/>
          <w:szCs w:val="24"/>
          <w:shd w:val="clear" w:color="auto" w:fill="FFFFFF"/>
        </w:rPr>
        <w:instrText xml:space="preserve"> ADDIN ZOTERO_ITEM CSL_CITATION {"citationID":"LFQhPkVI","properties":{"formattedCitation":"(NASEM, 2017, p. xxiii)","plainCitation":"(NASEM, 2017, p. xxiii)","noteIndex":0},"citationItems":[{"id":744,"uris":["http://zotero.org/users/4946941/items/AYSEPIF5"],"itemData":{"id":744,"type":"document","language":"en","publisher":"National Academies of Sciences (NASEM), Engineering, and Medicine, National Academies Press","title":"Communities in action: Pathways to health equity","URL":"https://www-ncbi-nlm-nih-gov.proxy.lib.utk.edu/books/NBK425848/pdf/Bookshelf_NBK425848.pdf","author":[{"family":"NASEM","given":""}],"issued":{"date-parts":[["2017"]]}},"locator":"xxiii"}],"schema":"https://github.com/citation-style-language/schema/raw/master/csl-citation.json"} </w:instrText>
      </w:r>
      <w:r w:rsidRPr="00424BD3">
        <w:rPr>
          <w:rFonts w:cs="Arial"/>
          <w:szCs w:val="24"/>
          <w:shd w:val="clear" w:color="auto" w:fill="FFFFFF"/>
        </w:rPr>
        <w:fldChar w:fldCharType="separate"/>
      </w:r>
      <w:r w:rsidRPr="00424BD3">
        <w:rPr>
          <w:rFonts w:cs="Arial"/>
        </w:rPr>
        <w:t>(NASEM, 2017, p. xxiii)</w:t>
      </w:r>
      <w:r w:rsidRPr="00424BD3">
        <w:rPr>
          <w:rFonts w:cs="Arial"/>
          <w:szCs w:val="24"/>
          <w:shd w:val="clear" w:color="auto" w:fill="FFFFFF"/>
        </w:rPr>
        <w:fldChar w:fldCharType="end"/>
      </w:r>
      <w:r w:rsidRPr="00424BD3">
        <w:rPr>
          <w:rFonts w:cs="Arial"/>
          <w:szCs w:val="24"/>
          <w:shd w:val="clear" w:color="auto" w:fill="FFFFFF"/>
        </w:rPr>
        <w:t>.</w:t>
      </w:r>
    </w:p>
    <w:p w14:paraId="411E1AB6" w14:textId="02C2E5FA" w:rsidR="00022218" w:rsidRPr="003531D8" w:rsidRDefault="00022218" w:rsidP="00451D8A">
      <w:pPr>
        <w:pStyle w:val="Heading3"/>
        <w:spacing w:before="0" w:line="480" w:lineRule="auto"/>
        <w:rPr>
          <w:rFonts w:ascii="Arial" w:hAnsi="Arial" w:cs="Arial"/>
          <w:color w:val="auto"/>
          <w:shd w:val="clear" w:color="auto" w:fill="FFFFFF"/>
        </w:rPr>
      </w:pPr>
      <w:bookmarkStart w:id="12" w:name="_Toc118232287"/>
      <w:r w:rsidRPr="003531D8">
        <w:rPr>
          <w:rFonts w:ascii="Arial" w:hAnsi="Arial" w:cs="Arial"/>
          <w:b/>
          <w:bCs/>
          <w:i/>
          <w:iCs/>
          <w:color w:val="auto"/>
          <w:shd w:val="clear" w:color="auto" w:fill="FFFFFF"/>
        </w:rPr>
        <w:t>Social Determinants of Health</w:t>
      </w:r>
      <w:bookmarkEnd w:id="12"/>
    </w:p>
    <w:p w14:paraId="2C1F05C4" w14:textId="7FC76B7A" w:rsidR="007757E4" w:rsidRPr="00424BD3" w:rsidRDefault="00551342" w:rsidP="00451D8A">
      <w:pPr>
        <w:spacing w:after="0" w:line="480" w:lineRule="auto"/>
        <w:ind w:firstLine="720"/>
      </w:pPr>
      <w:r w:rsidRPr="00424BD3">
        <w:t xml:space="preserve">The social determinants of health are </w:t>
      </w:r>
      <w:r w:rsidR="002F425D" w:rsidRPr="00424BD3">
        <w:t xml:space="preserve">“the conditions in which people are born, grow, work, live, and age” </w:t>
      </w:r>
      <w:r w:rsidR="002574E4">
        <w:fldChar w:fldCharType="begin"/>
      </w:r>
      <w:r w:rsidR="00023341">
        <w:instrText xml:space="preserve"> ADDIN ZOTERO_ITEM CSL_CITATION {"citationID":"kE7kfyO0","properties":{"formattedCitation":"(WHO, 2022, para. 1)","plainCitation":"(WHO, 2022, para. 1)","noteIndex":0},"citationItems":[{"id":1560,"uris":["http://zotero.org/users/4946941/items/RDRDLGID"],"itemData":{"id":1560,"type":"webpage","abstract":"Social determinants of health","container-title":"World Health Organization (WHO)","language":"en","title":"Social determinants of health","URL":"https://www.who.int/health-topics/social-determinants-of-health","author":[{"family":"WHO","given":""}],"accessed":{"date-parts":[["2022",9,8]]},"issued":{"date-parts":[["2022"]]}},"locator":"1","label":"paragraph"}],"schema":"https://github.com/citation-style-language/schema/raw/master/csl-citation.json"} </w:instrText>
      </w:r>
      <w:r w:rsidR="002574E4">
        <w:fldChar w:fldCharType="separate"/>
      </w:r>
      <w:r w:rsidR="002574E4" w:rsidRPr="002574E4">
        <w:rPr>
          <w:rFonts w:cs="Arial"/>
        </w:rPr>
        <w:t>(WHO, 2022, para. 1)</w:t>
      </w:r>
      <w:r w:rsidR="002574E4">
        <w:fldChar w:fldCharType="end"/>
      </w:r>
      <w:r w:rsidR="002574E4">
        <w:t xml:space="preserve">, </w:t>
      </w:r>
      <w:r w:rsidR="002F425D" w:rsidRPr="00424BD3">
        <w:t xml:space="preserve">and </w:t>
      </w:r>
      <w:r w:rsidR="006B64B3" w:rsidRPr="00424BD3">
        <w:t xml:space="preserve">these conditions are </w:t>
      </w:r>
      <w:r w:rsidR="00E77F6C" w:rsidRPr="00424BD3">
        <w:t xml:space="preserve">molded by systemic and structural </w:t>
      </w:r>
      <w:r w:rsidR="00601DEA" w:rsidRPr="00424BD3">
        <w:t xml:space="preserve">factors </w:t>
      </w:r>
      <w:r w:rsidR="00AD42BF" w:rsidRPr="00424BD3">
        <w:t xml:space="preserve">which then </w:t>
      </w:r>
      <w:r w:rsidR="00B01EB3" w:rsidRPr="00424BD3">
        <w:t xml:space="preserve">impact </w:t>
      </w:r>
      <w:r w:rsidR="00331906" w:rsidRPr="00424BD3">
        <w:t xml:space="preserve">people’s health outcomes </w:t>
      </w:r>
      <w:r w:rsidR="003864B1" w:rsidRPr="00424BD3">
        <w:fldChar w:fldCharType="begin"/>
      </w:r>
      <w:r w:rsidR="00023341">
        <w:instrText xml:space="preserve"> ADDIN ZOTERO_ITEM CSL_CITATION {"citationID":"4T6quydT","properties":{"formattedCitation":"(WHO, 2022)","plainCitation":"(WHO, 2022)","noteIndex":0},"citationItems":[{"id":1560,"uris":["http://zotero.org/users/4946941/items/RDRDLGID"],"itemData":{"id":1560,"type":"webpage","abstract":"Social determinants of health","container-title":"World Health Organization (WHO)","language":"en","title":"Social determinants of health","URL":"https://www.who.int/health-topics/social-determinants-of-health","author":[{"family":"WHO","given":""}],"accessed":{"date-parts":[["2022",9,8]]},"issued":{"date-parts":[["2022"]]}}}],"schema":"https://github.com/citation-style-language/schema/raw/master/csl-citation.json"} </w:instrText>
      </w:r>
      <w:r w:rsidR="003864B1" w:rsidRPr="00424BD3">
        <w:fldChar w:fldCharType="separate"/>
      </w:r>
      <w:r w:rsidR="003864B1" w:rsidRPr="00424BD3">
        <w:rPr>
          <w:rFonts w:cs="Arial"/>
        </w:rPr>
        <w:t>(WHO, 2022)</w:t>
      </w:r>
      <w:r w:rsidR="003864B1" w:rsidRPr="00424BD3">
        <w:fldChar w:fldCharType="end"/>
      </w:r>
      <w:r w:rsidR="00916E22" w:rsidRPr="00424BD3">
        <w:t>.</w:t>
      </w:r>
      <w:r w:rsidR="005566EE" w:rsidRPr="00424BD3">
        <w:t xml:space="preserve"> </w:t>
      </w:r>
    </w:p>
    <w:p w14:paraId="7780BDBE" w14:textId="77777777" w:rsidR="00CC5393" w:rsidRPr="00424BD3" w:rsidRDefault="00CC5393" w:rsidP="00451D8A">
      <w:pPr>
        <w:pStyle w:val="Heading3"/>
        <w:spacing w:before="0" w:line="480" w:lineRule="auto"/>
        <w:rPr>
          <w:rFonts w:ascii="Arial" w:hAnsi="Arial" w:cs="Arial"/>
          <w:b/>
          <w:bCs/>
          <w:i/>
          <w:iCs/>
          <w:color w:val="auto"/>
        </w:rPr>
      </w:pPr>
      <w:bookmarkStart w:id="13" w:name="_Toc108991349"/>
      <w:bookmarkStart w:id="14" w:name="_Toc118232288"/>
      <w:r w:rsidRPr="00424BD3">
        <w:rPr>
          <w:rFonts w:ascii="Arial" w:hAnsi="Arial" w:cs="Arial"/>
          <w:b/>
          <w:bCs/>
          <w:i/>
          <w:iCs/>
          <w:color w:val="auto"/>
        </w:rPr>
        <w:t>Healthy Life Expectancy</w:t>
      </w:r>
      <w:bookmarkEnd w:id="13"/>
      <w:bookmarkEnd w:id="14"/>
    </w:p>
    <w:p w14:paraId="28EE03A6" w14:textId="5557A466" w:rsidR="001C1CDA" w:rsidRPr="00424BD3" w:rsidRDefault="00CC5393" w:rsidP="00451D8A">
      <w:pPr>
        <w:spacing w:after="0" w:line="480" w:lineRule="auto"/>
        <w:ind w:firstLine="720"/>
        <w:rPr>
          <w:rFonts w:cs="Arial"/>
          <w:b/>
          <w:szCs w:val="24"/>
        </w:rPr>
      </w:pPr>
      <w:r w:rsidRPr="00424BD3">
        <w:rPr>
          <w:rFonts w:cs="Arial"/>
          <w:szCs w:val="24"/>
        </w:rPr>
        <w:t>Healthy life expectancy (HLE), as defined by the CDC, is a population health measure which combines mortality and morbidity (or health status) to “estimate years of life in good health at a given age”</w:t>
      </w:r>
      <w:r w:rsidR="00D47CB5">
        <w:rPr>
          <w:rFonts w:cs="Arial"/>
          <w:szCs w:val="24"/>
        </w:rPr>
        <w:t>,</w:t>
      </w:r>
      <w:r w:rsidRPr="00424BD3">
        <w:rPr>
          <w:rFonts w:cs="Arial"/>
          <w:szCs w:val="24"/>
        </w:rPr>
        <w:t xml:space="preserve"> and includes quantity and quality of life </w:t>
      </w:r>
      <w:r w:rsidRPr="00424BD3">
        <w:rPr>
          <w:rFonts w:cs="Arial"/>
          <w:szCs w:val="24"/>
        </w:rPr>
        <w:fldChar w:fldCharType="begin"/>
      </w:r>
      <w:r w:rsidR="00990F3A">
        <w:rPr>
          <w:rFonts w:cs="Arial"/>
          <w:szCs w:val="24"/>
        </w:rPr>
        <w:instrText xml:space="preserve"> ADDIN ZOTERO_ITEM CSL_CITATION {"citationID":"sZco0m5v","properties":{"formattedCitation":"(P. Meyer et al., 2013, p. 561)","plainCitation":"(P. Meyer et al., 2013, p. 561)","noteIndex":0},"citationItems":[{"id":1142,"uris":["http://zotero.org/users/4946941/items/EKMKNKVK"],"itemData":{"id":1142,"type":"document","publisher":"Europe PMC","title":"Introduction: CDC Health Disparities and Inequalities Report - United States, 2013. - Abstract - Europe PMC","URL":"https://europepmc.org/article/med/24264483","author":[{"family":"Meyer","given":"PA"},{"family":"Yoon","given":""},{"family":"Kaufman","given":"RB"},{"family":"CDC","given":""}],"accessed":{"date-parts":[["2022",7,17]]},"issued":{"date-parts":[["2013"]]}},"locator":"561"}],"schema":"https://github.com/citation-style-language/schema/raw/master/csl-citation.json"} </w:instrText>
      </w:r>
      <w:r w:rsidRPr="00424BD3">
        <w:rPr>
          <w:rFonts w:cs="Arial"/>
          <w:szCs w:val="24"/>
        </w:rPr>
        <w:fldChar w:fldCharType="separate"/>
      </w:r>
      <w:r w:rsidRPr="00424BD3">
        <w:rPr>
          <w:rFonts w:cs="Arial"/>
        </w:rPr>
        <w:t>(P. Meyer et al., 2013, p. 561)</w:t>
      </w:r>
      <w:r w:rsidRPr="00424BD3">
        <w:rPr>
          <w:rFonts w:cs="Arial"/>
          <w:szCs w:val="24"/>
        </w:rPr>
        <w:fldChar w:fldCharType="end"/>
      </w:r>
      <w:r w:rsidRPr="00424BD3">
        <w:rPr>
          <w:rFonts w:cs="Arial"/>
          <w:szCs w:val="24"/>
        </w:rPr>
        <w:t xml:space="preserve">. It differs from health-adjusted life expectancy (HALE) in that HALE refers to healthy life expectancy at birth </w:t>
      </w:r>
      <w:r w:rsidRPr="00424BD3">
        <w:rPr>
          <w:rFonts w:cs="Arial"/>
          <w:szCs w:val="24"/>
        </w:rPr>
        <w:fldChar w:fldCharType="begin"/>
      </w:r>
      <w:r w:rsidR="0046301F">
        <w:rPr>
          <w:rFonts w:cs="Arial"/>
          <w:szCs w:val="24"/>
        </w:rPr>
        <w:instrText xml:space="preserve"> ADDIN ZOTERO_ITEM CSL_CITATION {"citationID":"HBBEpFL6","properties":{"formattedCitation":"(UN, 2007; WHO, 2007)","plainCitation":"(UN, 2007; WHO, 2007)","noteIndex":0},"citationItems":[{"id":1144,"uris":["http://zotero.org/users/4946941/items/TDYVGASZ"],"itemData":{"id":1144,"type":"webpage","container-title":"United Nations (UN)","title":"Healthy Life Expectancy at Birth","URL":"https://www.un.org/esa/sustdev/natlinfo/indicators/methodology_sheets/health/health_life_expectancy.pdf","author":[{"family":"UN","given":""}],"issued":{"date-parts":[["2007"]]}}},{"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Pr="00424BD3">
        <w:rPr>
          <w:rFonts w:cs="Arial"/>
          <w:szCs w:val="24"/>
        </w:rPr>
        <w:fldChar w:fldCharType="separate"/>
      </w:r>
      <w:r w:rsidRPr="00424BD3">
        <w:rPr>
          <w:rFonts w:cs="Arial"/>
        </w:rPr>
        <w:t>(UN, 2007; WHO, 2007)</w:t>
      </w:r>
      <w:r w:rsidRPr="00424BD3">
        <w:rPr>
          <w:rFonts w:cs="Arial"/>
          <w:szCs w:val="24"/>
        </w:rPr>
        <w:fldChar w:fldCharType="end"/>
      </w:r>
      <w:r w:rsidRPr="00424BD3">
        <w:rPr>
          <w:rFonts w:cs="Arial"/>
          <w:szCs w:val="24"/>
        </w:rPr>
        <w:t>.</w:t>
      </w:r>
    </w:p>
    <w:p w14:paraId="3B49A3B2" w14:textId="77777777" w:rsidR="005264DC" w:rsidRPr="00424BD3" w:rsidRDefault="005264DC" w:rsidP="00451D8A">
      <w:pPr>
        <w:pStyle w:val="Heading3"/>
        <w:spacing w:before="0" w:line="480" w:lineRule="auto"/>
        <w:rPr>
          <w:rFonts w:ascii="Arial" w:hAnsi="Arial" w:cs="Arial"/>
          <w:b/>
          <w:bCs/>
          <w:i/>
          <w:iCs/>
          <w:color w:val="auto"/>
        </w:rPr>
      </w:pPr>
      <w:bookmarkStart w:id="15" w:name="_Toc108991350"/>
      <w:bookmarkStart w:id="16" w:name="_Toc118232289"/>
      <w:r w:rsidRPr="00424BD3">
        <w:rPr>
          <w:rFonts w:ascii="Arial" w:hAnsi="Arial" w:cs="Arial"/>
          <w:b/>
          <w:bCs/>
          <w:i/>
          <w:iCs/>
          <w:color w:val="auto"/>
        </w:rPr>
        <w:t>Mortality</w:t>
      </w:r>
      <w:bookmarkEnd w:id="15"/>
      <w:bookmarkEnd w:id="16"/>
    </w:p>
    <w:p w14:paraId="5AB92FDE" w14:textId="539BE97C" w:rsidR="005264DC" w:rsidRPr="00424BD3" w:rsidRDefault="005264DC" w:rsidP="00451D8A">
      <w:pPr>
        <w:spacing w:after="0" w:line="480" w:lineRule="auto"/>
        <w:ind w:firstLine="720"/>
        <w:rPr>
          <w:rFonts w:cs="Arial"/>
          <w:szCs w:val="24"/>
        </w:rPr>
      </w:pPr>
      <w:r w:rsidRPr="00424BD3">
        <w:rPr>
          <w:rFonts w:cs="Arial"/>
          <w:szCs w:val="24"/>
        </w:rPr>
        <w:t xml:space="preserve">Mortality measures a defined population’s frequency of death during a specific time interval </w:t>
      </w:r>
      <w:r w:rsidRPr="00424BD3">
        <w:rPr>
          <w:rFonts w:cs="Arial"/>
          <w:szCs w:val="24"/>
        </w:rPr>
        <w:fldChar w:fldCharType="begin"/>
      </w:r>
      <w:r w:rsidR="006B2E9B">
        <w:rPr>
          <w:rFonts w:cs="Arial"/>
          <w:szCs w:val="24"/>
        </w:rPr>
        <w:instrText xml:space="preserve"> ADDIN ZOTERO_ITEM CSL_CITATION {"citationID":"oENSKEn4","properties":{"formattedCitation":"(CDC, 2019)","plainCitation":"(CDC, 2019)","noteIndex":0},"citationItems":[{"id":1145,"uris":["http://zotero.org/users/4946941/items/JG7IJE6Y"],"itemData":{"id":1145,"type":"webpage","abstract":"Principles of Epidemiology in Public Health Practice, Third Edition\nAn Introduction to Applied Epidemiology and Biostatistics","container-title":"Centers for Disease Control and Prevention (CDC)","language":"en-us","title":"Principles of Epidemiology in Public Health Practice | Lesson 3 - Section 3","URL":"https://www.cdc.gov/csels/dsepd/ss1978/lesson3/section3.html","author":[{"family":"CDC","given":""}],"accessed":{"date-parts":[["2022",7,17]]},"issued":{"date-parts":[["2019"]]}}}],"schema":"https://github.com/citation-style-language/schema/raw/master/csl-citation.json"} </w:instrText>
      </w:r>
      <w:r w:rsidRPr="00424BD3">
        <w:rPr>
          <w:rFonts w:cs="Arial"/>
          <w:szCs w:val="24"/>
        </w:rPr>
        <w:fldChar w:fldCharType="separate"/>
      </w:r>
      <w:r w:rsidRPr="00424BD3">
        <w:rPr>
          <w:rFonts w:cs="Arial"/>
        </w:rPr>
        <w:t>(CDC, 2019)</w:t>
      </w:r>
      <w:r w:rsidRPr="00424BD3">
        <w:rPr>
          <w:rFonts w:cs="Arial"/>
          <w:szCs w:val="24"/>
        </w:rPr>
        <w:fldChar w:fldCharType="end"/>
      </w:r>
      <w:r w:rsidRPr="00424BD3">
        <w:rPr>
          <w:rFonts w:cs="Arial"/>
          <w:szCs w:val="24"/>
        </w:rPr>
        <w:t xml:space="preserve">. While mortality measures are applied across a range of populations (for example, cause-specific death rates, post-neonatal mortality, infant mortality, maternal mortality, age / sex / race -specific mortality, age-adjusted mortality, and more </w:t>
      </w:r>
      <w:r w:rsidRPr="00424BD3">
        <w:rPr>
          <w:rFonts w:cs="Arial"/>
          <w:szCs w:val="24"/>
        </w:rPr>
        <w:fldChar w:fldCharType="begin"/>
      </w:r>
      <w:r w:rsidR="006B2E9B">
        <w:rPr>
          <w:rFonts w:cs="Arial"/>
          <w:szCs w:val="24"/>
        </w:rPr>
        <w:instrText xml:space="preserve"> ADDIN ZOTERO_ITEM CSL_CITATION {"citationID":"zbuql0Tv","properties":{"formattedCitation":"(CDC, 2019)","plainCitation":"(CDC, 2019)","noteIndex":0},"citationItems":[{"id":1145,"uris":["http://zotero.org/users/4946941/items/JG7IJE6Y"],"itemData":{"id":1145,"type":"webpage","abstract":"Principles of Epidemiology in Public Health Practice, Third Edition\nAn Introduction to Applied Epidemiology and Biostatistics","container-title":"Centers for Disease Control and Prevention (CDC)","language":"en-us","title":"Principles of Epidemiology in Public Health Practice | Lesson 3 - Section 3","URL":"https://www.cdc.gov/csels/dsepd/ss1978/lesson3/section3.html","author":[{"family":"CDC","given":""}],"accessed":{"date-parts":[["2022",7,17]]},"issued":{"date-parts":[["2019"]]}}}],"schema":"https://github.com/citation-style-language/schema/raw/master/csl-citation.json"} </w:instrText>
      </w:r>
      <w:r w:rsidRPr="00424BD3">
        <w:rPr>
          <w:rFonts w:cs="Arial"/>
          <w:szCs w:val="24"/>
        </w:rPr>
        <w:fldChar w:fldCharType="separate"/>
      </w:r>
      <w:r w:rsidRPr="00424BD3">
        <w:rPr>
          <w:rFonts w:cs="Arial"/>
        </w:rPr>
        <w:t>(CDC, 2019)</w:t>
      </w:r>
      <w:r w:rsidRPr="00424BD3">
        <w:rPr>
          <w:rFonts w:cs="Arial"/>
          <w:szCs w:val="24"/>
        </w:rPr>
        <w:fldChar w:fldCharType="end"/>
      </w:r>
      <w:r w:rsidRPr="00424BD3">
        <w:rPr>
          <w:rFonts w:cs="Arial"/>
          <w:szCs w:val="24"/>
        </w:rPr>
        <w:t>, for the purposes of this research, the participants were asked how they defined mortality overall.</w:t>
      </w:r>
    </w:p>
    <w:p w14:paraId="1588A941" w14:textId="77777777" w:rsidR="00DA35E0" w:rsidRPr="00424BD3" w:rsidRDefault="00DA35E0" w:rsidP="00451D8A">
      <w:pPr>
        <w:pStyle w:val="Heading3"/>
        <w:spacing w:before="0" w:line="480" w:lineRule="auto"/>
        <w:rPr>
          <w:rFonts w:ascii="Arial" w:hAnsi="Arial" w:cs="Arial"/>
          <w:b/>
          <w:bCs/>
          <w:i/>
          <w:iCs/>
          <w:color w:val="auto"/>
        </w:rPr>
      </w:pPr>
      <w:bookmarkStart w:id="17" w:name="_Toc108991351"/>
      <w:bookmarkStart w:id="18" w:name="_Toc118232290"/>
      <w:r w:rsidRPr="00424BD3">
        <w:rPr>
          <w:rFonts w:ascii="Arial" w:hAnsi="Arial" w:cs="Arial"/>
          <w:b/>
          <w:bCs/>
          <w:i/>
          <w:iCs/>
          <w:color w:val="auto"/>
        </w:rPr>
        <w:t>Good Health</w:t>
      </w:r>
      <w:bookmarkEnd w:id="17"/>
      <w:bookmarkEnd w:id="18"/>
    </w:p>
    <w:p w14:paraId="2E002025" w14:textId="13E8E504" w:rsidR="00DA35E0" w:rsidRPr="00424BD3" w:rsidRDefault="00DA35E0" w:rsidP="00451D8A">
      <w:pPr>
        <w:spacing w:after="0" w:line="480" w:lineRule="auto"/>
        <w:ind w:firstLine="720"/>
        <w:rPr>
          <w:rFonts w:cs="Arial"/>
          <w:szCs w:val="24"/>
        </w:rPr>
      </w:pPr>
      <w:r w:rsidRPr="00424BD3">
        <w:rPr>
          <w:rFonts w:cs="Arial"/>
          <w:szCs w:val="24"/>
        </w:rPr>
        <w:t xml:space="preserve">Definitions of good health vary in health geography, medicine, and in public health. It is difficult to come to agreement on one definition of good health </w:t>
      </w:r>
      <w:r w:rsidRPr="00424BD3">
        <w:rPr>
          <w:rFonts w:cs="Arial"/>
          <w:szCs w:val="24"/>
        </w:rPr>
        <w:fldChar w:fldCharType="begin"/>
      </w:r>
      <w:r w:rsidR="00990F3A">
        <w:rPr>
          <w:rFonts w:cs="Arial"/>
          <w:szCs w:val="24"/>
        </w:rPr>
        <w:instrText xml:space="preserve"> ADDIN ZOTERO_ITEM CSL_CITATION {"citationID":"x8nnh9jj","properties":{"formattedCitation":"(Fred, 2013)","plainCitation":"(Fred, 2013)","noteIndex":0},"citationItems":[{"id":1147,"uris":["http://zotero.org/users/4946941/items/3FSIZRZD"],"itemData":{"id":1147,"type":"article-journal","container-title":"Texas Heart Institute Journal","ISSN":"0730-2347","issue":"1","journalAbbreviation":"Tex Heart Inst J","note":"PMID: 23468582\nPMCID: PMC3568287","page":"13-14","source":"PubMed Central","title":"In Good Health","volume":"40","author":[{"family":"Fred","given":"Herbert L."}],"issued":{"date-parts":[["2013"]]}}}],"schema":"https://github.com/citation-style-language/schema/raw/master/csl-citation.json"} </w:instrText>
      </w:r>
      <w:r w:rsidRPr="00424BD3">
        <w:rPr>
          <w:rFonts w:cs="Arial"/>
          <w:szCs w:val="24"/>
        </w:rPr>
        <w:fldChar w:fldCharType="separate"/>
      </w:r>
      <w:r w:rsidRPr="00424BD3">
        <w:rPr>
          <w:rFonts w:cs="Arial"/>
        </w:rPr>
        <w:t>(Fred, 2013)</w:t>
      </w:r>
      <w:r w:rsidRPr="00424BD3">
        <w:rPr>
          <w:rFonts w:cs="Arial"/>
          <w:szCs w:val="24"/>
        </w:rPr>
        <w:fldChar w:fldCharType="end"/>
      </w:r>
      <w:r w:rsidRPr="00424BD3">
        <w:rPr>
          <w:rFonts w:cs="Arial"/>
          <w:szCs w:val="24"/>
        </w:rPr>
        <w:t xml:space="preserve">. </w:t>
      </w:r>
      <w:r w:rsidRPr="00424BD3">
        <w:rPr>
          <w:rFonts w:cs="Arial"/>
          <w:szCs w:val="24"/>
        </w:rPr>
        <w:lastRenderedPageBreak/>
        <w:t>According to the WHO,</w:t>
      </w:r>
      <w:r w:rsidR="009655C4">
        <w:rPr>
          <w:rFonts w:cs="Arial"/>
          <w:szCs w:val="24"/>
        </w:rPr>
        <w:t xml:space="preserve"> good health</w:t>
      </w:r>
      <w:r w:rsidRPr="00424BD3">
        <w:rPr>
          <w:rFonts w:cs="Arial"/>
          <w:szCs w:val="24"/>
        </w:rPr>
        <w:t xml:space="preserve"> isn’t solely defined by absence of disease but consists of community member’s social and mental well-being </w:t>
      </w:r>
      <w:r w:rsidRPr="00424BD3">
        <w:rPr>
          <w:rFonts w:cs="Arial"/>
          <w:szCs w:val="24"/>
        </w:rPr>
        <w:fldChar w:fldCharType="begin"/>
      </w:r>
      <w:r w:rsidR="00023341">
        <w:rPr>
          <w:rFonts w:cs="Arial"/>
          <w:szCs w:val="24"/>
        </w:rPr>
        <w:instrText xml:space="preserve"> ADDIN ZOTERO_ITEM CSL_CITATION {"citationID":"xF8Ahh3S","properties":{"formattedCitation":"(Howard &amp; Bogh, 2002; WHO, 1946)","plainCitation":"(Howard &amp; Bogh, 2002; WHO, 1946)","noteIndex":0},"citationItems":[{"id":1151,"uris":["http://zotero.org/users/4946941/items/KBE4D5WY"],"itemData":{"id":1151,"type":"book","call-number":"RA771 .H69 2002","event-place":"Geneva","ISBN":"978-92-4-154553-2","note":"OCLC: ocm51008222","number-of-pages":"108","publisher":"World Health Organization","publisher-place":"Geneva","source":"Library of Congress ISBN","title":"Healthy villages: a guide for communities and community health workers","title-short":"Healthy villages","author":[{"family":"Howard","given":"Guy"},{"family":"Bogh","given":"Claus"}],"contributor":[{"family":"World Health Organization","given":""}],"issued":{"date-parts":[["2002"]]}}},{"id":1149,"uris":["http://zotero.org/users/4946941/items/W7RAKSGE"],"itemData":{"id":1149,"type":"webpage","abstract":"The Constitution was adopted by the International Health Conference held in New York 1946 and entered into force on 7 April 1948.","container-title":"World Health Organization (WHO)","language":"en","title":"Constitution of the World Health Organization","URL":"https://www.who.int/about/governance/constitution","author":[{"family":"WHO","given":""}],"accessed":{"date-parts":[["2022",7,17]]},"issued":{"date-parts":[["1946"]]}}}],"schema":"https://github.com/citation-style-language/schema/raw/master/csl-citation.json"} </w:instrText>
      </w:r>
      <w:r w:rsidRPr="00424BD3">
        <w:rPr>
          <w:rFonts w:cs="Arial"/>
          <w:szCs w:val="24"/>
        </w:rPr>
        <w:fldChar w:fldCharType="separate"/>
      </w:r>
      <w:r w:rsidRPr="00424BD3">
        <w:rPr>
          <w:rFonts w:cs="Arial"/>
        </w:rPr>
        <w:t>(Howard &amp; Bogh, 2002; WHO, 1946)</w:t>
      </w:r>
      <w:r w:rsidRPr="00424BD3">
        <w:rPr>
          <w:rFonts w:cs="Arial"/>
          <w:szCs w:val="24"/>
        </w:rPr>
        <w:fldChar w:fldCharType="end"/>
      </w:r>
      <w:r w:rsidRPr="00424BD3">
        <w:rPr>
          <w:rFonts w:cs="Arial"/>
          <w:szCs w:val="24"/>
        </w:rPr>
        <w:t xml:space="preserve">. Sartorius </w:t>
      </w:r>
      <w:r w:rsidRPr="00424BD3">
        <w:rPr>
          <w:rFonts w:cs="Arial"/>
          <w:szCs w:val="24"/>
        </w:rPr>
        <w:fldChar w:fldCharType="begin"/>
      </w:r>
      <w:r w:rsidR="00990F3A">
        <w:rPr>
          <w:rFonts w:cs="Arial"/>
          <w:szCs w:val="24"/>
        </w:rPr>
        <w:instrText xml:space="preserve"> ADDIN ZOTERO_ITEM CSL_CITATION {"citationID":"uQxcKZCD","properties":{"formattedCitation":"(2006)","plainCitation":"(2006)","noteIndex":0},"citationItems":[{"id":1154,"uris":["http://zotero.org/users/4946941/items/L9VS3E4T"],"itemData":{"id":1154,"type":"article-journal","container-title":"Croatian medical journal","ISSN":"0353-9504","issue":"4","journalAbbreviation":"Croat Med J","note":"PMID: 16909464\nPMCID: PMC2080455","page":"662-664","source":"PubMed Central","title":"The Meanings of Health and its Promotion","volume":"47","author":[{"family":"Sartorius","given":"Norman"}],"issued":{"date-parts":[["2006",8]]}},"suppress-author":true}],"schema":"https://github.com/citation-style-language/schema/raw/master/csl-citation.json"} </w:instrText>
      </w:r>
      <w:r w:rsidRPr="00424BD3">
        <w:rPr>
          <w:rFonts w:cs="Arial"/>
          <w:szCs w:val="24"/>
        </w:rPr>
        <w:fldChar w:fldCharType="separate"/>
      </w:r>
      <w:r w:rsidRPr="00424BD3">
        <w:rPr>
          <w:rFonts w:cs="Arial"/>
        </w:rPr>
        <w:t>(2006)</w:t>
      </w:r>
      <w:r w:rsidRPr="00424BD3">
        <w:rPr>
          <w:rFonts w:cs="Arial"/>
          <w:szCs w:val="24"/>
        </w:rPr>
        <w:fldChar w:fldCharType="end"/>
      </w:r>
      <w:r w:rsidRPr="00424BD3">
        <w:rPr>
          <w:rFonts w:cs="Arial"/>
          <w:szCs w:val="24"/>
        </w:rPr>
        <w:t xml:space="preserve"> added coping ability and an internal state of balance to these definitions. Indeed, recently, Fallon and Karlawish called for a change to the WHO’s / CDC’s definition of health altogether </w:t>
      </w:r>
      <w:r w:rsidRPr="00424BD3">
        <w:rPr>
          <w:rFonts w:cs="Arial"/>
          <w:szCs w:val="24"/>
        </w:rPr>
        <w:fldChar w:fldCharType="begin"/>
      </w:r>
      <w:r w:rsidR="00990F3A">
        <w:rPr>
          <w:rFonts w:cs="Arial"/>
          <w:szCs w:val="24"/>
        </w:rPr>
        <w:instrText xml:space="preserve"> ADDIN ZOTERO_ITEM CSL_CITATION {"citationID":"8GAeB8ma","properties":{"formattedCitation":"(2019)","plainCitation":"(2019)","noteIndex":0},"citationItems":[{"id":1152,"uris":["http://zotero.org/users/4946941/items/L8KNY2DE"],"itemData":{"id":1152,"type":"post-weblog","abstract":"Rather than pursuing the \"absence\" of disease, we need a more inclusive definition of health — one that works for more people.","container-title":"STAT","language":"en-US","title":"It's time to change the definition of 'health'","URL":"https://www.statnews.com/2019/07/17/change-definition-health/","author":[{"family":"Fallon","given":"Cara Kiernan"},{"family":"Karlawish","given":"Jason"}],"accessed":{"date-parts":[["2022",7,17]]},"issued":{"date-parts":[["2019",7,17]]}},"suppress-author":true}],"schema":"https://github.com/citation-style-language/schema/raw/master/csl-citation.json"} </w:instrText>
      </w:r>
      <w:r w:rsidRPr="00424BD3">
        <w:rPr>
          <w:rFonts w:cs="Arial"/>
          <w:szCs w:val="24"/>
        </w:rPr>
        <w:fldChar w:fldCharType="separate"/>
      </w:r>
      <w:r w:rsidRPr="00424BD3">
        <w:rPr>
          <w:rFonts w:cs="Arial"/>
        </w:rPr>
        <w:t>(2019)</w:t>
      </w:r>
      <w:r w:rsidRPr="00424BD3">
        <w:rPr>
          <w:rFonts w:cs="Arial"/>
          <w:szCs w:val="24"/>
        </w:rPr>
        <w:fldChar w:fldCharType="end"/>
      </w:r>
      <w:r w:rsidRPr="00424BD3">
        <w:rPr>
          <w:rFonts w:cs="Arial"/>
          <w:szCs w:val="24"/>
        </w:rPr>
        <w:t>.</w:t>
      </w:r>
    </w:p>
    <w:p w14:paraId="11696B06" w14:textId="77777777" w:rsidR="00AD79EF" w:rsidRPr="00424BD3" w:rsidRDefault="00AD79EF" w:rsidP="00451D8A">
      <w:pPr>
        <w:pStyle w:val="Heading3"/>
        <w:spacing w:before="0" w:line="480" w:lineRule="auto"/>
        <w:rPr>
          <w:rFonts w:ascii="Arial" w:hAnsi="Arial" w:cs="Arial"/>
          <w:b/>
          <w:bCs/>
          <w:i/>
          <w:iCs/>
          <w:color w:val="auto"/>
        </w:rPr>
      </w:pPr>
      <w:bookmarkStart w:id="19" w:name="_Toc108991352"/>
      <w:bookmarkStart w:id="20" w:name="_Toc118232291"/>
      <w:r w:rsidRPr="00424BD3">
        <w:rPr>
          <w:rFonts w:ascii="Arial" w:hAnsi="Arial" w:cs="Arial"/>
          <w:b/>
          <w:bCs/>
          <w:i/>
          <w:iCs/>
          <w:color w:val="auto"/>
        </w:rPr>
        <w:t>Poor Health</w:t>
      </w:r>
      <w:bookmarkEnd w:id="19"/>
      <w:bookmarkEnd w:id="20"/>
    </w:p>
    <w:p w14:paraId="4765A427" w14:textId="70E19D29" w:rsidR="00AD79EF" w:rsidRPr="00424BD3" w:rsidRDefault="00AD79EF" w:rsidP="00451D8A">
      <w:pPr>
        <w:spacing w:after="0" w:line="480" w:lineRule="auto"/>
        <w:ind w:firstLine="720"/>
        <w:rPr>
          <w:rFonts w:cs="Arial"/>
          <w:szCs w:val="24"/>
        </w:rPr>
      </w:pPr>
      <w:r w:rsidRPr="00424BD3">
        <w:rPr>
          <w:rFonts w:cs="Arial"/>
          <w:szCs w:val="24"/>
        </w:rPr>
        <w:t xml:space="preserve">There is no standardized definition of poor health. However, utilizing the </w:t>
      </w:r>
      <w:r w:rsidR="00B70E4F" w:rsidRPr="00424BD3">
        <w:rPr>
          <w:rFonts w:cs="Arial"/>
          <w:szCs w:val="24"/>
        </w:rPr>
        <w:t xml:space="preserve">definition </w:t>
      </w:r>
      <w:r w:rsidR="00B4425F" w:rsidRPr="00424BD3">
        <w:rPr>
          <w:rFonts w:cs="Arial"/>
          <w:szCs w:val="24"/>
        </w:rPr>
        <w:t xml:space="preserve">of good health (above) </w:t>
      </w:r>
      <w:r w:rsidR="00B70E4F" w:rsidRPr="00424BD3">
        <w:rPr>
          <w:rFonts w:cs="Arial"/>
          <w:szCs w:val="24"/>
        </w:rPr>
        <w:t xml:space="preserve">from the </w:t>
      </w:r>
      <w:r w:rsidRPr="00424BD3">
        <w:rPr>
          <w:rFonts w:cs="Arial"/>
          <w:szCs w:val="24"/>
        </w:rPr>
        <w:t xml:space="preserve">WHO’s </w:t>
      </w:r>
      <w:r w:rsidR="00B70E4F" w:rsidRPr="00424BD3">
        <w:rPr>
          <w:rFonts w:cs="Arial"/>
          <w:szCs w:val="24"/>
        </w:rPr>
        <w:t>con</w:t>
      </w:r>
      <w:r w:rsidR="00B4425F" w:rsidRPr="00424BD3">
        <w:rPr>
          <w:rFonts w:cs="Arial"/>
          <w:szCs w:val="24"/>
        </w:rPr>
        <w:t>stitution</w:t>
      </w:r>
      <w:r w:rsidRPr="00424BD3">
        <w:rPr>
          <w:rFonts w:cs="Arial"/>
          <w:szCs w:val="24"/>
        </w:rPr>
        <w:t xml:space="preserve">, poor health could be defined as an state of incomplete “physical, mental and social well-being” </w:t>
      </w:r>
      <w:r w:rsidRPr="00424BD3">
        <w:rPr>
          <w:rFonts w:cs="Arial"/>
          <w:szCs w:val="24"/>
        </w:rPr>
        <w:fldChar w:fldCharType="begin"/>
      </w:r>
      <w:r w:rsidR="00023341">
        <w:rPr>
          <w:rFonts w:cs="Arial"/>
          <w:szCs w:val="24"/>
        </w:rPr>
        <w:instrText xml:space="preserve"> ADDIN ZOTERO_ITEM CSL_CITATION {"citationID":"asL77D5E","properties":{"formattedCitation":"(WHO, 1946, p. 1)","plainCitation":"(WHO, 1946, p. 1)","noteIndex":0},"citationItems":[{"id":1149,"uris":["http://zotero.org/users/4946941/items/W7RAKSGE"],"itemData":{"id":1149,"type":"webpage","abstract":"The Constitution was adopted by the International Health Conference held in New York 1946 and entered into force on 7 April 1948.","container-title":"World Health Organization (WHO)","language":"en","title":"Constitution of the World Health Organization","URL":"https://www.who.int/about/governance/constitution","author":[{"family":"WHO","given":""}],"accessed":{"date-parts":[["2022",7,17]]},"issued":{"date-parts":[["1946"]]}},"locator":"1"}],"schema":"https://github.com/citation-style-language/schema/raw/master/csl-citation.json"} </w:instrText>
      </w:r>
      <w:r w:rsidRPr="00424BD3">
        <w:rPr>
          <w:rFonts w:cs="Arial"/>
          <w:szCs w:val="24"/>
        </w:rPr>
        <w:fldChar w:fldCharType="separate"/>
      </w:r>
      <w:r w:rsidRPr="00424BD3">
        <w:rPr>
          <w:rFonts w:cs="Arial"/>
        </w:rPr>
        <w:t>(WHO, 1946, p. 1)</w:t>
      </w:r>
      <w:r w:rsidRPr="00424BD3">
        <w:rPr>
          <w:rFonts w:cs="Arial"/>
          <w:szCs w:val="24"/>
        </w:rPr>
        <w:fldChar w:fldCharType="end"/>
      </w:r>
      <w:r w:rsidR="00733617">
        <w:rPr>
          <w:rFonts w:cs="Arial"/>
          <w:szCs w:val="24"/>
        </w:rPr>
        <w:t>,</w:t>
      </w:r>
      <w:r w:rsidRPr="00424BD3">
        <w:rPr>
          <w:rFonts w:cs="Arial"/>
          <w:szCs w:val="24"/>
        </w:rPr>
        <w:t xml:space="preserve"> and could or could not include disease or infirmity absence </w:t>
      </w:r>
      <w:r w:rsidRPr="00424BD3">
        <w:rPr>
          <w:rFonts w:cs="Arial"/>
          <w:szCs w:val="24"/>
        </w:rPr>
        <w:fldChar w:fldCharType="begin"/>
      </w:r>
      <w:r w:rsidR="00023341">
        <w:rPr>
          <w:rFonts w:cs="Arial"/>
          <w:szCs w:val="24"/>
        </w:rPr>
        <w:instrText xml:space="preserve"> ADDIN ZOTERO_ITEM CSL_CITATION {"citationID":"vpNFeTv2","properties":{"formattedCitation":"(WHO, 1946)","plainCitation":"(WHO, 1946)","noteIndex":0},"citationItems":[{"id":1149,"uris":["http://zotero.org/users/4946941/items/W7RAKSGE"],"itemData":{"id":1149,"type":"webpage","abstract":"The Constitution was adopted by the International Health Conference held in New York 1946 and entered into force on 7 April 1948.","container-title":"World Health Organization (WHO)","language":"en","title":"Constitution of the World Health Organization","URL":"https://www.who.int/about/governance/constitution","author":[{"family":"WHO","given":""}],"accessed":{"date-parts":[["2022",7,17]]},"issued":{"date-parts":[["1946"]]}}}],"schema":"https://github.com/citation-style-language/schema/raw/master/csl-citation.json"} </w:instrText>
      </w:r>
      <w:r w:rsidRPr="00424BD3">
        <w:rPr>
          <w:rFonts w:cs="Arial"/>
          <w:szCs w:val="24"/>
        </w:rPr>
        <w:fldChar w:fldCharType="separate"/>
      </w:r>
      <w:r w:rsidRPr="00424BD3">
        <w:rPr>
          <w:rFonts w:cs="Arial"/>
        </w:rPr>
        <w:t>(WHO, 1946)</w:t>
      </w:r>
      <w:r w:rsidRPr="00424BD3">
        <w:rPr>
          <w:rFonts w:cs="Arial"/>
          <w:szCs w:val="24"/>
        </w:rPr>
        <w:fldChar w:fldCharType="end"/>
      </w:r>
      <w:r w:rsidRPr="00424BD3">
        <w:rPr>
          <w:rFonts w:cs="Arial"/>
          <w:szCs w:val="24"/>
        </w:rPr>
        <w:t>. Some scholars and clinicians refer to ill health, explained by</w:t>
      </w:r>
      <w:r w:rsidR="00540B9C">
        <w:rPr>
          <w:rFonts w:cs="Arial"/>
          <w:szCs w:val="24"/>
        </w:rPr>
        <w:t xml:space="preserve"> Boyd</w:t>
      </w:r>
      <w:r w:rsidRPr="00424BD3">
        <w:rPr>
          <w:rFonts w:cs="Arial"/>
          <w:szCs w:val="24"/>
        </w:rPr>
        <w:t xml:space="preserve"> </w:t>
      </w:r>
      <w:r w:rsidRPr="00424BD3">
        <w:rPr>
          <w:rFonts w:cs="Arial"/>
          <w:szCs w:val="24"/>
        </w:rPr>
        <w:fldChar w:fldCharType="begin"/>
      </w:r>
      <w:r w:rsidR="00813F20">
        <w:rPr>
          <w:rFonts w:cs="Arial"/>
          <w:szCs w:val="24"/>
        </w:rPr>
        <w:instrText xml:space="preserve"> ADDIN ZOTERO_ITEM CSL_CITATION {"citationID":"YxiaeT3P","properties":{"formattedCitation":"(2000)","plainCitation":"(2000)","noteIndex":0},"citationItems":[{"id":1156,"uris":["http://zotero.org/users/4946941/items/NP93F8KM"],"itemData":{"id":1156,"type":"article-journal","container-title":"Medical Humanities","DOI":"10.1136/mh.26.1.9","ISSN":"10413545","issue":"1","page":"9-17","source":"DOI.org (Crossref)","title":"Disease, illness, sickness, health, healing and wholeness: exploring some elusive concepts","title-short":"Disease, illness, sickness, health, healing and wholeness","volume":"26","author":[{"family":"Boyd","given":"K. M"}],"issued":{"date-parts":[["2000",6,1]]}},"label":"page","suppress-author":true}],"schema":"https://github.com/citation-style-language/schema/raw/master/csl-citation.json"} </w:instrText>
      </w:r>
      <w:r w:rsidRPr="00424BD3">
        <w:rPr>
          <w:rFonts w:cs="Arial"/>
          <w:szCs w:val="24"/>
        </w:rPr>
        <w:fldChar w:fldCharType="separate"/>
      </w:r>
      <w:r w:rsidR="00813F20" w:rsidRPr="00813F20">
        <w:rPr>
          <w:rFonts w:cs="Arial"/>
        </w:rPr>
        <w:t>(2000)</w:t>
      </w:r>
      <w:r w:rsidRPr="00424BD3">
        <w:rPr>
          <w:rFonts w:cs="Arial"/>
          <w:szCs w:val="24"/>
        </w:rPr>
        <w:fldChar w:fldCharType="end"/>
      </w:r>
      <w:r w:rsidRPr="00424BD3">
        <w:rPr>
          <w:rFonts w:cs="Arial"/>
          <w:szCs w:val="24"/>
        </w:rPr>
        <w:t xml:space="preserve"> as an inner, personal experience of ‘unhealth’ whether it accompanies disease or not (p. 10). </w:t>
      </w:r>
    </w:p>
    <w:p w14:paraId="669C4ED2" w14:textId="7F1FF26F" w:rsidR="00DA35E0" w:rsidRPr="00424BD3" w:rsidRDefault="00AD79EF" w:rsidP="00451D8A">
      <w:pPr>
        <w:spacing w:after="0" w:line="480" w:lineRule="auto"/>
        <w:ind w:firstLine="720"/>
        <w:rPr>
          <w:rFonts w:cs="Arial"/>
          <w:szCs w:val="24"/>
        </w:rPr>
      </w:pPr>
      <w:r w:rsidRPr="00424BD3">
        <w:rPr>
          <w:rFonts w:cs="Arial"/>
          <w:szCs w:val="24"/>
        </w:rPr>
        <w:t xml:space="preserve">With this in mind, and in keeping with </w:t>
      </w:r>
      <w:r w:rsidR="00410F1C">
        <w:rPr>
          <w:rFonts w:cs="Arial"/>
          <w:szCs w:val="24"/>
        </w:rPr>
        <w:t xml:space="preserve">both </w:t>
      </w:r>
      <w:r w:rsidRPr="00424BD3">
        <w:rPr>
          <w:rFonts w:cs="Arial"/>
          <w:szCs w:val="24"/>
        </w:rPr>
        <w:t>the lack of consensus in the medical, research and public health fields on the definition of poor health, and most of the other ‘definitions’ related to health above, all of the women discussed poor health in terms of its component parts.</w:t>
      </w:r>
    </w:p>
    <w:p w14:paraId="7903AC0E" w14:textId="77777777" w:rsidR="007C4B9E" w:rsidRPr="00424BD3" w:rsidRDefault="007C4B9E" w:rsidP="00451D8A">
      <w:pPr>
        <w:pStyle w:val="Heading3"/>
        <w:spacing w:before="0" w:line="480" w:lineRule="auto"/>
        <w:rPr>
          <w:rFonts w:ascii="Arial" w:hAnsi="Arial" w:cs="Arial"/>
          <w:b/>
          <w:bCs/>
          <w:i/>
          <w:iCs/>
          <w:color w:val="auto"/>
        </w:rPr>
      </w:pPr>
      <w:bookmarkStart w:id="21" w:name="_Toc108991353"/>
      <w:bookmarkStart w:id="22" w:name="_Toc118232292"/>
      <w:r w:rsidRPr="00424BD3">
        <w:rPr>
          <w:rFonts w:ascii="Arial" w:hAnsi="Arial" w:cs="Arial"/>
          <w:b/>
          <w:bCs/>
          <w:i/>
          <w:iCs/>
          <w:color w:val="auto"/>
        </w:rPr>
        <w:t>Wellbeing</w:t>
      </w:r>
      <w:bookmarkEnd w:id="21"/>
      <w:bookmarkEnd w:id="22"/>
    </w:p>
    <w:p w14:paraId="789062EB" w14:textId="0E0752AA" w:rsidR="00AD79EF" w:rsidRDefault="007C4B9E" w:rsidP="001C5313">
      <w:pPr>
        <w:spacing w:after="0" w:line="480" w:lineRule="auto"/>
        <w:ind w:firstLine="720"/>
        <w:rPr>
          <w:rFonts w:cs="Arial"/>
          <w:szCs w:val="24"/>
        </w:rPr>
      </w:pPr>
      <w:r w:rsidRPr="00424BD3">
        <w:rPr>
          <w:rFonts w:cs="Arial"/>
          <w:szCs w:val="24"/>
        </w:rPr>
        <w:t xml:space="preserve">Wellbeing also has no standardized definition. Instead, it, too, is made up of component parts to help craft a more encompassing way of thinking about wellbeing in terms of health. The CDC has collated a set of aspects from a number of researchers and schools of thought, to include physical, economic, social, emotional, and psychological aspects of a person’s life, as well as life satisfaction, fulfillment and positive functioning in a number of ways </w:t>
      </w:r>
      <w:r w:rsidRPr="00424BD3">
        <w:rPr>
          <w:rFonts w:cs="Arial"/>
          <w:szCs w:val="24"/>
        </w:rPr>
        <w:fldChar w:fldCharType="begin"/>
      </w:r>
      <w:r w:rsidR="006B2E9B">
        <w:rPr>
          <w:rFonts w:cs="Arial"/>
          <w:szCs w:val="24"/>
        </w:rPr>
        <w:instrText xml:space="preserve"> ADDIN ZOTERO_ITEM CSL_CITATION {"citationID":"J1QlTpwQ","properties":{"formattedCitation":"(CDC, 2018)","plainCitation":"(CDC, 2018)","noteIndex":0},"citationItems":[{"id":1158,"uris":["http://zotero.org/users/4946941/items/9GKDPV3D"],"itemData":{"id":1158,"type":"webpage","container-title":"Centers for Disease Control and Prevention (CDC), Health-Related Quality of Life (HRQOL)","language":"en-us","title":"Well-Being Concepts","URL":"https://www.cdc.gov/hrqol/wellbeing.htm","author":[{"family":"CDC","given":""}],"accessed":{"date-parts":[["2022",7,17]]},"issued":{"date-parts":[["2018",11,5]]}}}],"schema":"https://github.com/citation-style-language/schema/raw/master/csl-citation.json"} </w:instrText>
      </w:r>
      <w:r w:rsidRPr="00424BD3">
        <w:rPr>
          <w:rFonts w:cs="Arial"/>
          <w:szCs w:val="24"/>
        </w:rPr>
        <w:fldChar w:fldCharType="separate"/>
      </w:r>
      <w:r w:rsidRPr="00424BD3">
        <w:rPr>
          <w:rFonts w:cs="Arial"/>
        </w:rPr>
        <w:t>(CDC, 2018)</w:t>
      </w:r>
      <w:r w:rsidRPr="00424BD3">
        <w:rPr>
          <w:rFonts w:cs="Arial"/>
          <w:szCs w:val="24"/>
        </w:rPr>
        <w:fldChar w:fldCharType="end"/>
      </w:r>
      <w:r w:rsidRPr="00424BD3">
        <w:rPr>
          <w:rFonts w:cs="Arial"/>
          <w:szCs w:val="24"/>
        </w:rPr>
        <w:t xml:space="preserve">. The Association of Faculties of </w:t>
      </w:r>
      <w:r w:rsidRPr="00424BD3">
        <w:rPr>
          <w:rFonts w:cs="Arial"/>
          <w:szCs w:val="24"/>
        </w:rPr>
        <w:lastRenderedPageBreak/>
        <w:t xml:space="preserve">Medicine of Canada </w:t>
      </w:r>
      <w:r w:rsidR="009E0277">
        <w:rPr>
          <w:rFonts w:cs="Arial"/>
          <w:szCs w:val="24"/>
        </w:rPr>
        <w:t xml:space="preserve">(AFMC) </w:t>
      </w:r>
      <w:r w:rsidRPr="00424BD3">
        <w:rPr>
          <w:rFonts w:cs="Arial"/>
          <w:szCs w:val="24"/>
        </w:rPr>
        <w:t xml:space="preserve">incorporated spiritual life as part of their wellbeing definition </w:t>
      </w:r>
      <w:r w:rsidRPr="00424BD3">
        <w:rPr>
          <w:rFonts w:cs="Arial"/>
          <w:szCs w:val="24"/>
        </w:rPr>
        <w:fldChar w:fldCharType="begin"/>
      </w:r>
      <w:r w:rsidR="00957967">
        <w:rPr>
          <w:rFonts w:cs="Arial"/>
          <w:szCs w:val="24"/>
        </w:rPr>
        <w:instrText xml:space="preserve"> ADDIN ZOTERO_ITEM CSL_CITATION {"citationID":"nFjz7PJo","properties":{"formattedCitation":"(AFMC, 2018)","plainCitation":"(AFMC, 2018)","noteIndex":0},"citationItems":[{"id":1160,"uris":["http://zotero.org/users/4946941/items/TFI7XRR5"],"itemData":{"id":1160,"type":"document","publisher":"The Association of Faculties of Medicine of Canada (AFMC)","title":"Chapter 1 Concepts of Health and Illness | AFMC Primer on Population Health","URL":"https://phprimer.afmc.ca/en/part-i/chapter-1/#_spiritualhealth","author":[{"family":"AFMC","given":""}],"accessed":{"date-parts":[["2022",7,17]]},"issued":{"date-parts":[["2018"]]}}}],"schema":"https://github.com/citation-style-language/schema/raw/master/csl-citation.json"} </w:instrText>
      </w:r>
      <w:r w:rsidRPr="00424BD3">
        <w:rPr>
          <w:rFonts w:cs="Arial"/>
          <w:szCs w:val="24"/>
        </w:rPr>
        <w:fldChar w:fldCharType="separate"/>
      </w:r>
      <w:r w:rsidRPr="00424BD3">
        <w:rPr>
          <w:rFonts w:cs="Arial"/>
        </w:rPr>
        <w:t>(AFMC, 2018)</w:t>
      </w:r>
      <w:r w:rsidRPr="00424BD3">
        <w:rPr>
          <w:rFonts w:cs="Arial"/>
          <w:szCs w:val="24"/>
        </w:rPr>
        <w:fldChar w:fldCharType="end"/>
      </w:r>
      <w:r w:rsidRPr="00424BD3">
        <w:rPr>
          <w:rFonts w:cs="Arial"/>
          <w:szCs w:val="24"/>
        </w:rPr>
        <w:t>.</w:t>
      </w:r>
    </w:p>
    <w:p w14:paraId="095E1AEE" w14:textId="75156A85" w:rsidR="00131AE1" w:rsidRDefault="00131AE1" w:rsidP="00C822CE">
      <w:pPr>
        <w:pStyle w:val="Heading3"/>
        <w:spacing w:before="0" w:line="480" w:lineRule="auto"/>
        <w:rPr>
          <w:rFonts w:ascii="Arial" w:hAnsi="Arial" w:cs="Arial"/>
          <w:b/>
          <w:bCs/>
          <w:i/>
          <w:iCs/>
          <w:color w:val="auto"/>
        </w:rPr>
      </w:pPr>
      <w:bookmarkStart w:id="23" w:name="_Toc118232293"/>
      <w:r>
        <w:rPr>
          <w:rFonts w:ascii="Arial" w:hAnsi="Arial" w:cs="Arial"/>
          <w:b/>
          <w:bCs/>
          <w:i/>
          <w:iCs/>
          <w:color w:val="auto"/>
        </w:rPr>
        <w:t>Geopolitical</w:t>
      </w:r>
      <w:bookmarkEnd w:id="23"/>
    </w:p>
    <w:p w14:paraId="51A4564B" w14:textId="1E934D8C" w:rsidR="00131AE1" w:rsidRPr="00131AE1" w:rsidRDefault="00C822CE" w:rsidP="00C822CE">
      <w:pPr>
        <w:spacing w:after="0" w:line="480" w:lineRule="auto"/>
        <w:ind w:firstLine="720"/>
      </w:pPr>
      <w:r w:rsidRPr="00C822CE">
        <w:t xml:space="preserve">I acknowledge that, in </w:t>
      </w:r>
      <w:r w:rsidR="00921479">
        <w:t xml:space="preserve">the </w:t>
      </w:r>
      <w:r w:rsidR="006F6A2A">
        <w:t xml:space="preserve">discipline of </w:t>
      </w:r>
      <w:r w:rsidRPr="00C822CE">
        <w:t>Geography, “geopolitical” is a contested, controversial</w:t>
      </w:r>
      <w:r w:rsidR="00423B85">
        <w:t xml:space="preserve"> term</w:t>
      </w:r>
      <w:r w:rsidR="00DB46E3">
        <w:t xml:space="preserve">, </w:t>
      </w:r>
      <w:r w:rsidR="00423B85">
        <w:t xml:space="preserve">having been shunned and avoided </w:t>
      </w:r>
      <w:r w:rsidRPr="00C822CE">
        <w:t>for a long period of time</w:t>
      </w:r>
      <w:r w:rsidR="00DB46E3">
        <w:t xml:space="preserve">, </w:t>
      </w:r>
      <w:r w:rsidRPr="00C822CE">
        <w:t xml:space="preserve">due to </w:t>
      </w:r>
      <w:r w:rsidR="00F35220">
        <w:t>the often</w:t>
      </w:r>
      <w:r w:rsidRPr="00C822CE">
        <w:t xml:space="preserve"> ideological misappropriation of the usage of the term </w:t>
      </w:r>
      <w:r w:rsidR="00361F17" w:rsidRPr="00B05A39">
        <w:fldChar w:fldCharType="begin"/>
      </w:r>
      <w:r w:rsidR="00361F17" w:rsidRPr="00B05A39">
        <w:instrText xml:space="preserve"> ADDIN ZOTERO_ITEM CSL_CITATION {"citationID":"mTfC8s6X","properties":{"formattedCitation":"(Atkinson &amp; Dodds, 2000)","plainCitation":"(Atkinson &amp; Dodds, 2000)","noteIndex":0},"citationItems":[{"id":1645,"uris":["http://zotero.org/users/4946941/items/FTK4WGKV"],"itemData":{"id":1645,"type":"book","abstract":"Condemned as an intellectul poison by the late American geographer Richard Hartshbornem geopolitics has confounded its critics. Today it remains a popular and important intellectul field despite the persistent allegations that geopolitics helped to legitimate Hitler's policies of spatial expansionism and the domination of place. Using insights from critical  geopolitics and cultural history, the contributoirs focus on how geopolitics has been created, negotiated and contested  within a variety of intellectual and popular contexts. Geopolitical Traditions argues that geopolitics has to  take responsibility for the past whilst at the same time reconceptualising geopolitics in a manner which accounts for the dramatic changes in the late twentieth century. The book is divided into three sections: firstly Rehtinking Geopolitical Histories concentrates on how geopolitical conversations between European scholars and the wider world unfolded; secondly Geopolitics, Nationa and Spirituality considers how geopolitical writings have been strongly influenced by religions, iconography adn doctrine with examples drawn from Catholicicsm, Judaism and Hinduism; and thirdly Reclaiming and Refocusing Geopolitics contemplates how geopolitics has been reformulated in the post-war period with illustrations from France and the United States. Geopolitical Traditions brings together scholars working in a variety of disciplines and locations in order to explore a hundred years of  geopolitical thought. Sanjay Chaturedi Punjab University, India. Paul Claval, Eaubonne, France . Michael J. Heffernan Notingham University, UK, Les Hepple University of Bristol.","event-place":"London","ISBN":"978-0-203-44911-0","note":"DOI: 10.4324/9780203449110","number-of-pages":"416","publisher":"Routledge","publisher-place":"London","title":"Geopolitical Traditions: Critical Histories of a Century of Geopolitical Thought","title-short":"Geopolitical Traditions","editor":[{"family":"Atkinson","given":"David"},{"family":"Dodds","given":"Klaus"}],"issued":{"date-parts":[["2000",3,8]]}}}],"schema":"https://github.com/citation-style-language/schema/raw/master/csl-citation.json"} </w:instrText>
      </w:r>
      <w:r w:rsidR="00361F17" w:rsidRPr="00B05A39">
        <w:fldChar w:fldCharType="separate"/>
      </w:r>
      <w:r w:rsidR="00361F17" w:rsidRPr="00B05A39">
        <w:rPr>
          <w:rFonts w:cs="Arial"/>
        </w:rPr>
        <w:t>(Atkinson &amp; Dodds, 2000)</w:t>
      </w:r>
      <w:r w:rsidR="00361F17" w:rsidRPr="00B05A39">
        <w:fldChar w:fldCharType="end"/>
      </w:r>
      <w:r w:rsidRPr="00C822CE">
        <w:t>. In this dissertation, geopolitical refers to a critical geopolitics focus, with a view to “the way in which ideas about places are constructed”</w:t>
      </w:r>
      <w:r w:rsidR="00D249FB">
        <w:t xml:space="preserve"> </w:t>
      </w:r>
      <w:r w:rsidR="00D249FB" w:rsidRPr="00B05A39">
        <w:fldChar w:fldCharType="begin"/>
      </w:r>
      <w:r w:rsidR="00D249FB" w:rsidRPr="00B05A39">
        <w:instrText xml:space="preserve"> ADDIN ZOTERO_ITEM CSL_CITATION {"citationID":"r2rxVvlz","properties":{"formattedCitation":"(Novak, 2021, p. 5)","plainCitation":"(Novak, 2021, p. 5)","noteIndex":0},"citationItems":[{"id":1648,"uris":["http://zotero.org/users/4946941/items/MERNJZFS"],"itemData":{"id":1648,"type":"article-journal","abstract":"This article implies that cinematic narratives project practical geopolitical discourses by using the example of Marvel Cinematic Universe’s success – The Avengers film franchise. The conceptualisation of imaginary threats in the films that follow the main storyline of the Avengers assembly, determined by the time and the geographic space, give those threats a symbolical manifestation that tends to overlap with the practical geopolitical notions of American foreign policy, as well as contemporary international politics. The interpretative textual analysis of the films’ narratives and their relations to world politics, hence, presents the central methodology of this article. The relation between those two has a capacity to transmit a subconscious message to blockbusters’ consumers about preferable practical geopolitical visions in contemporary world politics. Simply, the paper shows how cinematic narratives form an identity that is deeply securitised and able to capture the Zeitgeist of world’s politics.","container-title":"Central European Journal of International and Security Studies","DOI":"10.51870/CEJISS.A150201","ISSN":"1802548X, 1805482X","issue":"2","journalAbbreviation":"CEJISS","language":"en","page":"4-22","source":"DOI.org (Crossref)","title":"Practical Geopolitics in Cinematic Narratives of Marvel’s The Avengers Film Franchise","volume":"15","author":[{"family":"Novak","given":"Nikola"}],"issued":{"date-parts":[["2021",6,30]]}},"locator":"5","label":"page"}],"schema":"https://github.com/citation-style-language/schema/raw/master/csl-citation.json"} </w:instrText>
      </w:r>
      <w:r w:rsidR="00D249FB" w:rsidRPr="00B05A39">
        <w:fldChar w:fldCharType="separate"/>
      </w:r>
      <w:r w:rsidR="00D249FB" w:rsidRPr="00B05A39">
        <w:rPr>
          <w:rFonts w:cs="Arial"/>
        </w:rPr>
        <w:t>(Novak, 2021, p. 5)</w:t>
      </w:r>
      <w:r w:rsidR="00D249FB" w:rsidRPr="00B05A39">
        <w:fldChar w:fldCharType="end"/>
      </w:r>
      <w:r w:rsidR="00D249FB">
        <w:t>,</w:t>
      </w:r>
      <w:r w:rsidRPr="00C822CE">
        <w:t xml:space="preserve"> and how examining those ideas allow for establishing “patterns that help to explain how those ideas shape political behaviour and how agendas are set, as well as how those ideas affect the everyday lives of ordinary people” </w:t>
      </w:r>
      <w:r w:rsidR="00272C7D">
        <w:fldChar w:fldCharType="begin"/>
      </w:r>
      <w:r w:rsidR="00272C7D">
        <w:instrText xml:space="preserve"> ADDIN ZOTERO_ITEM CSL_CITATION {"citationID":"wUEBWHaB","properties":{"formattedCitation":"(Novak, 2021, p. 5)","plainCitation":"(Novak, 2021, p. 5)","noteIndex":0},"citationItems":[{"id":1648,"uris":["http://zotero.org/users/4946941/items/MERNJZFS"],"itemData":{"id":1648,"type":"article-journal","abstract":"This article implies that cinematic narratives project practical geopolitical discourses by using the example of Marvel Cinematic Universe’s success – The Avengers film franchise. The conceptualisation of imaginary threats in the films that follow the main storyline of the Avengers assembly, determined by the time and the geographic space, give those threats a symbolical manifestation that tends to overlap with the practical geopolitical notions of American foreign policy, as well as contemporary international politics. The interpretative textual analysis of the films’ narratives and their relations to world politics, hence, presents the central methodology of this article. The relation between those two has a capacity to transmit a subconscious message to blockbusters’ consumers about preferable practical geopolitical visions in contemporary world politics. Simply, the paper shows how cinematic narratives form an identity that is deeply securitised and able to capture the Zeitgeist of world’s politics.","container-title":"Central European Journal of International and Security Studies","DOI":"10.51870/CEJISS.A150201","ISSN":"1802548X, 1805482X","issue":"2","journalAbbreviation":"CEJISS","language":"en","page":"4-22","source":"DOI.org (Crossref)","title":"Practical Geopolitics in Cinematic Narratives of Marvel’s The Avengers Film Franchise","volume":"15","author":[{"family":"Novak","given":"Nikola"}],"issued":{"date-parts":[["2021",6,30]]}},"locator":"5","label":"page"}],"schema":"https://github.com/citation-style-language/schema/raw/master/csl-citation.json"} </w:instrText>
      </w:r>
      <w:r w:rsidR="00272C7D">
        <w:fldChar w:fldCharType="separate"/>
      </w:r>
      <w:r w:rsidR="00272C7D" w:rsidRPr="00272C7D">
        <w:rPr>
          <w:rFonts w:cs="Arial"/>
        </w:rPr>
        <w:t>(</w:t>
      </w:r>
      <w:r w:rsidR="00272C7D" w:rsidRPr="00B05A39">
        <w:rPr>
          <w:rFonts w:cs="Arial"/>
        </w:rPr>
        <w:t>Novak, 2021, p. 5)</w:t>
      </w:r>
      <w:r w:rsidR="00272C7D">
        <w:fldChar w:fldCharType="end"/>
      </w:r>
      <w:r w:rsidRPr="00C822CE">
        <w:t>.</w:t>
      </w:r>
    </w:p>
    <w:p w14:paraId="5393C3AA" w14:textId="15CA3A9C" w:rsidR="00371549" w:rsidRPr="00424BD3" w:rsidRDefault="00586B9A" w:rsidP="001C5313">
      <w:pPr>
        <w:pStyle w:val="Heading2"/>
        <w:spacing w:before="0" w:line="480" w:lineRule="auto"/>
        <w:jc w:val="center"/>
        <w:rPr>
          <w:rFonts w:ascii="Arial" w:hAnsi="Arial" w:cs="Arial"/>
          <w:b/>
          <w:bCs/>
          <w:color w:val="auto"/>
          <w:sz w:val="24"/>
          <w:szCs w:val="24"/>
        </w:rPr>
      </w:pPr>
      <w:bookmarkStart w:id="24" w:name="_Toc118232294"/>
      <w:r>
        <w:rPr>
          <w:rFonts w:ascii="Arial" w:hAnsi="Arial" w:cs="Arial"/>
          <w:b/>
          <w:bCs/>
          <w:color w:val="auto"/>
          <w:sz w:val="24"/>
          <w:szCs w:val="24"/>
        </w:rPr>
        <w:t>Conclusion</w:t>
      </w:r>
      <w:bookmarkEnd w:id="24"/>
    </w:p>
    <w:p w14:paraId="455DBE49" w14:textId="6E9FFBB8" w:rsidR="00371549" w:rsidRDefault="00BE6515" w:rsidP="001C5313">
      <w:pPr>
        <w:spacing w:after="0" w:line="480" w:lineRule="auto"/>
        <w:ind w:firstLine="720"/>
        <w:rPr>
          <w:rFonts w:cs="Arial"/>
          <w:bCs/>
          <w:szCs w:val="24"/>
        </w:rPr>
      </w:pPr>
      <w:r w:rsidRPr="00424BD3">
        <w:rPr>
          <w:rFonts w:cs="Arial"/>
          <w:bCs/>
          <w:szCs w:val="24"/>
        </w:rPr>
        <w:t>In this introductory chapter, a short overview of th</w:t>
      </w:r>
      <w:r w:rsidR="00EA1D9E" w:rsidRPr="00424BD3">
        <w:rPr>
          <w:rFonts w:cs="Arial"/>
          <w:bCs/>
          <w:szCs w:val="24"/>
        </w:rPr>
        <w:t>is study of</w:t>
      </w:r>
      <w:r w:rsidRPr="00424BD3">
        <w:rPr>
          <w:rFonts w:cs="Arial"/>
          <w:bCs/>
          <w:szCs w:val="24"/>
        </w:rPr>
        <w:t xml:space="preserve"> older women and health inequities that will be explored throughout this dissertation</w:t>
      </w:r>
      <w:r w:rsidR="00BE1104" w:rsidRPr="00424BD3">
        <w:rPr>
          <w:rFonts w:cs="Arial"/>
          <w:bCs/>
          <w:szCs w:val="24"/>
        </w:rPr>
        <w:t xml:space="preserve"> </w:t>
      </w:r>
      <w:r w:rsidR="00FA635A" w:rsidRPr="00424BD3">
        <w:rPr>
          <w:rFonts w:cs="Arial"/>
          <w:bCs/>
          <w:szCs w:val="24"/>
        </w:rPr>
        <w:t>is</w:t>
      </w:r>
      <w:r w:rsidR="00BE1104" w:rsidRPr="00424BD3">
        <w:rPr>
          <w:rFonts w:cs="Arial"/>
          <w:bCs/>
          <w:szCs w:val="24"/>
        </w:rPr>
        <w:t xml:space="preserve"> provided</w:t>
      </w:r>
      <w:r w:rsidRPr="00424BD3">
        <w:rPr>
          <w:rFonts w:cs="Arial"/>
          <w:bCs/>
          <w:szCs w:val="24"/>
        </w:rPr>
        <w:t xml:space="preserve">. </w:t>
      </w:r>
      <w:r w:rsidR="00F3503F" w:rsidRPr="00424BD3">
        <w:rPr>
          <w:rFonts w:cs="Arial"/>
          <w:bCs/>
          <w:szCs w:val="24"/>
        </w:rPr>
        <w:t>The research questions</w:t>
      </w:r>
      <w:r w:rsidRPr="00424BD3">
        <w:rPr>
          <w:rFonts w:cs="Arial"/>
          <w:bCs/>
          <w:szCs w:val="24"/>
        </w:rPr>
        <w:t xml:space="preserve"> </w:t>
      </w:r>
      <w:r w:rsidR="00F3503F" w:rsidRPr="00424BD3">
        <w:rPr>
          <w:rFonts w:cs="Arial"/>
          <w:bCs/>
          <w:szCs w:val="24"/>
        </w:rPr>
        <w:t xml:space="preserve">are </w:t>
      </w:r>
      <w:r w:rsidR="00FA635A" w:rsidRPr="00424BD3">
        <w:rPr>
          <w:rFonts w:cs="Arial"/>
          <w:bCs/>
          <w:szCs w:val="24"/>
        </w:rPr>
        <w:t>pre</w:t>
      </w:r>
      <w:r w:rsidR="008D7FBB" w:rsidRPr="00424BD3">
        <w:rPr>
          <w:rFonts w:cs="Arial"/>
          <w:bCs/>
          <w:szCs w:val="24"/>
        </w:rPr>
        <w:t xml:space="preserve">sented </w:t>
      </w:r>
      <w:r w:rsidR="005C0D27">
        <w:rPr>
          <w:rFonts w:cs="Arial"/>
          <w:bCs/>
          <w:szCs w:val="24"/>
        </w:rPr>
        <w:t xml:space="preserve">as well as </w:t>
      </w:r>
      <w:r w:rsidRPr="00424BD3">
        <w:rPr>
          <w:rFonts w:cs="Arial"/>
          <w:bCs/>
          <w:szCs w:val="24"/>
        </w:rPr>
        <w:t>the theoretical framework, research methods</w:t>
      </w:r>
      <w:r w:rsidR="005C0D27">
        <w:rPr>
          <w:rFonts w:cs="Arial"/>
          <w:bCs/>
          <w:szCs w:val="24"/>
        </w:rPr>
        <w:t>,</w:t>
      </w:r>
      <w:r w:rsidRPr="00424BD3">
        <w:rPr>
          <w:rFonts w:cs="Arial"/>
          <w:bCs/>
          <w:szCs w:val="24"/>
        </w:rPr>
        <w:t xml:space="preserve"> and evidence that will be explored in the dissertation to answer those questions and to support the aims of this research. Finally, </w:t>
      </w:r>
      <w:r w:rsidR="00C32EE1" w:rsidRPr="00424BD3">
        <w:rPr>
          <w:rFonts w:cs="Arial"/>
          <w:bCs/>
          <w:szCs w:val="24"/>
        </w:rPr>
        <w:t>descriptions are provided of</w:t>
      </w:r>
      <w:r w:rsidRPr="00424BD3">
        <w:rPr>
          <w:rFonts w:cs="Arial"/>
          <w:bCs/>
          <w:szCs w:val="24"/>
        </w:rPr>
        <w:t xml:space="preserve"> the focus, gaps, scope, considerations, impacts, study layout and key terms and definitions that will be covered in supporting this paper’s conclusions, recommendations, and contributions to the topic of the health inequities older women face.</w:t>
      </w:r>
    </w:p>
    <w:p w14:paraId="627498B2" w14:textId="3BC2DE58" w:rsidR="000C188A" w:rsidRPr="00C8306E" w:rsidRDefault="00586B9A" w:rsidP="000C188A">
      <w:pPr>
        <w:spacing w:after="0" w:line="480" w:lineRule="auto"/>
        <w:ind w:firstLine="720"/>
        <w:rPr>
          <w:rFonts w:cs="Arial"/>
          <w:bCs/>
          <w:szCs w:val="24"/>
        </w:rPr>
      </w:pPr>
      <w:r w:rsidRPr="00C8306E">
        <w:rPr>
          <w:rFonts w:cs="Arial"/>
          <w:bCs/>
          <w:szCs w:val="24"/>
        </w:rPr>
        <w:t>This study aims</w:t>
      </w:r>
      <w:r w:rsidR="00A25E09" w:rsidRPr="00C8306E">
        <w:rPr>
          <w:rFonts w:cs="Arial"/>
          <w:bCs/>
          <w:szCs w:val="24"/>
        </w:rPr>
        <w:t>,</w:t>
      </w:r>
      <w:r w:rsidR="00AD033E" w:rsidRPr="00C8306E">
        <w:rPr>
          <w:rFonts w:cs="Arial"/>
          <w:bCs/>
          <w:szCs w:val="24"/>
        </w:rPr>
        <w:t xml:space="preserve"> through an ecosocial lens</w:t>
      </w:r>
      <w:r w:rsidR="00A25E09" w:rsidRPr="00C8306E">
        <w:rPr>
          <w:rFonts w:cs="Arial"/>
          <w:bCs/>
          <w:szCs w:val="24"/>
        </w:rPr>
        <w:t xml:space="preserve">, </w:t>
      </w:r>
      <w:r w:rsidRPr="00C8306E">
        <w:rPr>
          <w:rFonts w:cs="Arial"/>
          <w:bCs/>
          <w:szCs w:val="24"/>
        </w:rPr>
        <w:t xml:space="preserve">to provide an understanding of older women’s perceptions and situated experiences regarding the gendered health inequities </w:t>
      </w:r>
      <w:r w:rsidRPr="00C8306E">
        <w:rPr>
          <w:rFonts w:cs="Arial"/>
          <w:bCs/>
          <w:szCs w:val="24"/>
        </w:rPr>
        <w:lastRenderedPageBreak/>
        <w:t xml:space="preserve">they face and the social determinants thereof. The dissertation discusses how these health inequities are situated in their genealogical (familial) and geographical health and mortality outcomes histories and how their perceptions and experiences of health inequities and their familial mortality outcomes histories are characterized by the geopolitical – federal, state, and local levels – and social, cultural, and familial norms in which they </w:t>
      </w:r>
      <w:r w:rsidR="002D4932" w:rsidRPr="00C8306E">
        <w:rPr>
          <w:rFonts w:cs="Arial"/>
          <w:bCs/>
          <w:szCs w:val="24"/>
        </w:rPr>
        <w:t xml:space="preserve">grew up and live. The primary aim in this study is examining the women’s understandings of health inequities. This includes examining what causal factors, including social determinants of health and / or structural factors, if any, they identify or attribute to their own and their familial health and mortality outcomes, and what their recommendations would be to mitigate or improve policies and interventions related to the health inequities they face. </w:t>
      </w:r>
      <w:r w:rsidR="000C188A" w:rsidRPr="00C8306E">
        <w:rPr>
          <w:rFonts w:cs="Arial"/>
          <w:bCs/>
          <w:szCs w:val="24"/>
        </w:rPr>
        <w:t xml:space="preserve">This study explores that context as well as whether these policies and interventions are adequate to meet the health needs and wants of older women in East Tennessee. By incorporating some family systems-based theories, this study expounds upon the importance of situated genealogical health and death experiences in families across the life course of older women and how these experiences influence older women’s understandings and experience of health inequities. </w:t>
      </w:r>
    </w:p>
    <w:p w14:paraId="0CF059E7" w14:textId="77042D12" w:rsidR="00586B9A" w:rsidRPr="00424BD3" w:rsidRDefault="003F0137" w:rsidP="001C5313">
      <w:pPr>
        <w:spacing w:after="0" w:line="480" w:lineRule="auto"/>
        <w:ind w:firstLine="720"/>
        <w:rPr>
          <w:rFonts w:cs="Arial"/>
          <w:bCs/>
          <w:szCs w:val="24"/>
        </w:rPr>
      </w:pPr>
      <w:r w:rsidRPr="00C8306E">
        <w:rPr>
          <w:rFonts w:cs="Arial"/>
          <w:bCs/>
          <w:szCs w:val="24"/>
        </w:rPr>
        <w:t>Understanding the geopolitical</w:t>
      </w:r>
      <w:r w:rsidR="000D4F1B" w:rsidRPr="00C8306E">
        <w:rPr>
          <w:rFonts w:cs="Arial"/>
          <w:bCs/>
          <w:szCs w:val="24"/>
        </w:rPr>
        <w:t>, geographical</w:t>
      </w:r>
      <w:r w:rsidR="00542ED3">
        <w:rPr>
          <w:rFonts w:cs="Arial"/>
          <w:bCs/>
          <w:szCs w:val="24"/>
        </w:rPr>
        <w:t>,</w:t>
      </w:r>
      <w:r w:rsidRPr="00C8306E">
        <w:rPr>
          <w:rFonts w:cs="Arial"/>
          <w:bCs/>
          <w:szCs w:val="24"/>
        </w:rPr>
        <w:t xml:space="preserve"> and cultural context of East Tennessee is important to this study because of </w:t>
      </w:r>
      <w:r w:rsidR="000D4F1B" w:rsidRPr="00C8306E">
        <w:rPr>
          <w:rFonts w:cs="Arial"/>
          <w:bCs/>
          <w:szCs w:val="24"/>
        </w:rPr>
        <w:t xml:space="preserve">the area’s unique history within the United States, and its continued struggles across </w:t>
      </w:r>
      <w:r w:rsidR="00CB2B6D" w:rsidRPr="00C8306E">
        <w:rPr>
          <w:rFonts w:cs="Arial"/>
          <w:bCs/>
          <w:szCs w:val="24"/>
        </w:rPr>
        <w:t>several</w:t>
      </w:r>
      <w:r w:rsidR="000D4F1B" w:rsidRPr="00C8306E">
        <w:rPr>
          <w:rFonts w:cs="Arial"/>
          <w:bCs/>
          <w:szCs w:val="24"/>
        </w:rPr>
        <w:t xml:space="preserve"> social determinants. Moreover, Tennessee’s geopolitical norms and legislative actions contribute to the exacerbation of older women’s health inequities alongside those of other highly conservative, neoliberal, and Christian-fundamentalist-leaning state legislative bodies. </w:t>
      </w:r>
      <w:r w:rsidR="000C188A" w:rsidRPr="00C8306E">
        <w:rPr>
          <w:rFonts w:cs="Arial"/>
          <w:bCs/>
          <w:szCs w:val="24"/>
        </w:rPr>
        <w:lastRenderedPageBreak/>
        <w:t>Because age is the most important determinant of health, aging in the United States and other countries can be exacerbated by stigmatized norms which impact health inequities, and limited research has been done on older women and health inequities, particularly in the East Tennessee Appalachian region, this study aims to add to this much needed body of literature.</w:t>
      </w:r>
    </w:p>
    <w:p w14:paraId="7C0EBE5F" w14:textId="57CBED5C" w:rsidR="00411FC1" w:rsidRPr="00424BD3" w:rsidRDefault="00411FC1" w:rsidP="000126EE">
      <w:pPr>
        <w:spacing w:after="0" w:line="480" w:lineRule="auto"/>
        <w:rPr>
          <w:rFonts w:cs="Arial"/>
          <w:bCs/>
          <w:szCs w:val="24"/>
        </w:rPr>
      </w:pPr>
      <w:r w:rsidRPr="00424BD3">
        <w:rPr>
          <w:rFonts w:cs="Arial"/>
          <w:bCs/>
          <w:szCs w:val="24"/>
        </w:rPr>
        <w:br w:type="page"/>
      </w:r>
    </w:p>
    <w:p w14:paraId="7366CEF3" w14:textId="77777777" w:rsidR="00E212CC" w:rsidRPr="00424BD3" w:rsidRDefault="008844E4" w:rsidP="00E212CC">
      <w:pPr>
        <w:pStyle w:val="Heading1"/>
        <w:spacing w:before="0" w:line="480" w:lineRule="auto"/>
        <w:jc w:val="center"/>
        <w:rPr>
          <w:rFonts w:ascii="Arial" w:hAnsi="Arial" w:cs="Arial"/>
          <w:b/>
          <w:bCs/>
          <w:color w:val="auto"/>
          <w:sz w:val="24"/>
          <w:szCs w:val="24"/>
        </w:rPr>
      </w:pPr>
      <w:bookmarkStart w:id="25" w:name="_Toc118232295"/>
      <w:r w:rsidRPr="00424BD3">
        <w:rPr>
          <w:rFonts w:ascii="Arial" w:hAnsi="Arial" w:cs="Arial"/>
          <w:b/>
          <w:bCs/>
          <w:color w:val="auto"/>
          <w:sz w:val="24"/>
          <w:szCs w:val="24"/>
        </w:rPr>
        <w:lastRenderedPageBreak/>
        <w:t>CHAPTER TWO</w:t>
      </w:r>
      <w:bookmarkEnd w:id="25"/>
    </w:p>
    <w:p w14:paraId="3448711A" w14:textId="6BE96223" w:rsidR="008844E4" w:rsidRPr="00424BD3" w:rsidRDefault="008844E4" w:rsidP="00E212CC">
      <w:pPr>
        <w:pStyle w:val="Heading1"/>
        <w:spacing w:before="0" w:line="480" w:lineRule="auto"/>
        <w:jc w:val="center"/>
        <w:rPr>
          <w:rFonts w:ascii="Arial" w:hAnsi="Arial" w:cs="Arial"/>
          <w:b/>
          <w:bCs/>
          <w:color w:val="auto"/>
          <w:sz w:val="24"/>
          <w:szCs w:val="24"/>
        </w:rPr>
      </w:pPr>
      <w:bookmarkStart w:id="26" w:name="_Toc118232296"/>
      <w:r w:rsidRPr="00424BD3">
        <w:rPr>
          <w:rFonts w:ascii="Arial" w:hAnsi="Arial" w:cs="Arial"/>
          <w:b/>
          <w:bCs/>
          <w:color w:val="auto"/>
          <w:sz w:val="24"/>
          <w:szCs w:val="24"/>
        </w:rPr>
        <w:t>LITERATURE REVIEW</w:t>
      </w:r>
      <w:bookmarkEnd w:id="26"/>
    </w:p>
    <w:p w14:paraId="5A27AED6" w14:textId="77777777" w:rsidR="008844E4" w:rsidRPr="00424BD3" w:rsidRDefault="008844E4" w:rsidP="000126EE">
      <w:pPr>
        <w:spacing w:after="0" w:line="480" w:lineRule="auto"/>
        <w:rPr>
          <w:rFonts w:cs="Arial"/>
          <w:szCs w:val="24"/>
        </w:rPr>
      </w:pPr>
    </w:p>
    <w:p w14:paraId="6C912156" w14:textId="044C5807" w:rsidR="008844E4" w:rsidRPr="00424BD3" w:rsidRDefault="008844E4" w:rsidP="004156C0">
      <w:pPr>
        <w:spacing w:after="0" w:line="480" w:lineRule="auto"/>
        <w:ind w:firstLine="720"/>
        <w:rPr>
          <w:rFonts w:cs="Arial"/>
          <w:szCs w:val="24"/>
        </w:rPr>
      </w:pPr>
      <w:r w:rsidRPr="00424BD3">
        <w:rPr>
          <w:rFonts w:cs="Arial"/>
          <w:szCs w:val="24"/>
        </w:rPr>
        <w:t xml:space="preserve">As an interdisciplinary health inequities research project, </w:t>
      </w:r>
      <w:r w:rsidR="00021CD1" w:rsidRPr="00424BD3">
        <w:rPr>
          <w:rFonts w:cs="Arial"/>
          <w:szCs w:val="24"/>
        </w:rPr>
        <w:t xml:space="preserve">this </w:t>
      </w:r>
      <w:r w:rsidRPr="00424BD3">
        <w:rPr>
          <w:rFonts w:cs="Arial"/>
          <w:szCs w:val="24"/>
        </w:rPr>
        <w:t xml:space="preserve">study examines the barriers to older women’s ways of understanding the social determinants of health and the structural drivers that underpin health inequities. In Chapter </w:t>
      </w:r>
      <w:r w:rsidR="00FB049C" w:rsidRPr="00424BD3">
        <w:rPr>
          <w:rFonts w:cs="Arial"/>
          <w:szCs w:val="24"/>
        </w:rPr>
        <w:t>Four</w:t>
      </w:r>
      <w:r w:rsidRPr="00424BD3">
        <w:rPr>
          <w:rFonts w:cs="Arial"/>
          <w:szCs w:val="24"/>
        </w:rPr>
        <w:t xml:space="preserve">, </w:t>
      </w:r>
      <w:r w:rsidR="0011510F" w:rsidRPr="00424BD3">
        <w:rPr>
          <w:rFonts w:cs="Arial"/>
          <w:szCs w:val="24"/>
        </w:rPr>
        <w:t>a</w:t>
      </w:r>
      <w:r w:rsidRPr="00424BD3">
        <w:rPr>
          <w:rFonts w:cs="Arial"/>
          <w:szCs w:val="24"/>
        </w:rPr>
        <w:t xml:space="preserve"> look at the geopolitical, policy and intervention, access, and funding drivers as well as the literature on those issues</w:t>
      </w:r>
      <w:r w:rsidR="0011510F" w:rsidRPr="00424BD3">
        <w:rPr>
          <w:rFonts w:cs="Arial"/>
          <w:szCs w:val="24"/>
        </w:rPr>
        <w:t xml:space="preserve"> is provided</w:t>
      </w:r>
      <w:r w:rsidRPr="00424BD3">
        <w:rPr>
          <w:rFonts w:cs="Arial"/>
          <w:szCs w:val="24"/>
        </w:rPr>
        <w:t xml:space="preserve">. In this chapter, </w:t>
      </w:r>
      <w:r w:rsidR="0011510F" w:rsidRPr="00424BD3">
        <w:rPr>
          <w:rFonts w:cs="Arial"/>
          <w:szCs w:val="24"/>
        </w:rPr>
        <w:t>an</w:t>
      </w:r>
      <w:r w:rsidRPr="00424BD3">
        <w:rPr>
          <w:rFonts w:cs="Arial"/>
          <w:szCs w:val="24"/>
        </w:rPr>
        <w:t xml:space="preserve"> examin</w:t>
      </w:r>
      <w:r w:rsidR="0011510F" w:rsidRPr="00424BD3">
        <w:rPr>
          <w:rFonts w:cs="Arial"/>
          <w:szCs w:val="24"/>
        </w:rPr>
        <w:t>ation of</w:t>
      </w:r>
      <w:r w:rsidRPr="00424BD3">
        <w:rPr>
          <w:rFonts w:cs="Arial"/>
          <w:szCs w:val="24"/>
        </w:rPr>
        <w:t xml:space="preserve"> the literature on </w:t>
      </w:r>
      <w:r w:rsidR="008A638A" w:rsidRPr="00424BD3">
        <w:rPr>
          <w:rFonts w:cs="Arial"/>
          <w:szCs w:val="24"/>
        </w:rPr>
        <w:t>ecosocial</w:t>
      </w:r>
      <w:r w:rsidRPr="00424BD3">
        <w:rPr>
          <w:rFonts w:cs="Arial"/>
          <w:szCs w:val="24"/>
        </w:rPr>
        <w:t xml:space="preserve"> theory as well as the literature regarding psychosocial and structural</w:t>
      </w:r>
      <w:r w:rsidR="00B451E0" w:rsidRPr="00424BD3">
        <w:rPr>
          <w:rFonts w:cs="Arial"/>
          <w:szCs w:val="24"/>
        </w:rPr>
        <w:t xml:space="preserve"> </w:t>
      </w:r>
      <w:r w:rsidRPr="00424BD3">
        <w:rPr>
          <w:rFonts w:cs="Arial"/>
          <w:szCs w:val="24"/>
        </w:rPr>
        <w:t>discrimination factors involved in older women’s ways of knowing</w:t>
      </w:r>
      <w:r w:rsidR="0011510F" w:rsidRPr="00424BD3">
        <w:rPr>
          <w:rFonts w:cs="Arial"/>
          <w:szCs w:val="24"/>
        </w:rPr>
        <w:t xml:space="preserve"> is also provided</w:t>
      </w:r>
      <w:r w:rsidRPr="00424BD3">
        <w:rPr>
          <w:rFonts w:cs="Arial"/>
          <w:szCs w:val="24"/>
        </w:rPr>
        <w:t xml:space="preserve">. These include drivers that formulate social norming and health narratives (ageism, sexism, and the rise of the </w:t>
      </w:r>
      <w:r w:rsidR="00705C4D" w:rsidRPr="00424BD3">
        <w:rPr>
          <w:rFonts w:cs="Arial"/>
          <w:szCs w:val="24"/>
        </w:rPr>
        <w:t>health</w:t>
      </w:r>
      <w:r w:rsidRPr="00424BD3">
        <w:rPr>
          <w:rFonts w:cs="Arial"/>
          <w:szCs w:val="24"/>
        </w:rPr>
        <w:t xml:space="preserve"> movement (locus of control / </w:t>
      </w:r>
      <w:r w:rsidR="000110AE" w:rsidRPr="00424BD3">
        <w:rPr>
          <w:rFonts w:cs="Arial"/>
          <w:szCs w:val="24"/>
        </w:rPr>
        <w:t>health</w:t>
      </w:r>
      <w:r w:rsidRPr="00424BD3">
        <w:rPr>
          <w:rFonts w:cs="Arial"/>
          <w:szCs w:val="24"/>
        </w:rPr>
        <w:t xml:space="preserve"> behavior / individual responsibility / health promotion)). </w:t>
      </w:r>
      <w:r w:rsidR="0011510F" w:rsidRPr="00424BD3">
        <w:rPr>
          <w:rFonts w:cs="Arial"/>
          <w:szCs w:val="24"/>
        </w:rPr>
        <w:t>A brief</w:t>
      </w:r>
      <w:r w:rsidRPr="00424BD3">
        <w:rPr>
          <w:rFonts w:cs="Arial"/>
          <w:szCs w:val="24"/>
        </w:rPr>
        <w:t xml:space="preserve"> review </w:t>
      </w:r>
      <w:r w:rsidR="0011510F" w:rsidRPr="00424BD3">
        <w:rPr>
          <w:rFonts w:cs="Arial"/>
          <w:szCs w:val="24"/>
        </w:rPr>
        <w:t xml:space="preserve">of </w:t>
      </w:r>
      <w:r w:rsidRPr="00424BD3">
        <w:rPr>
          <w:rFonts w:cs="Arial"/>
          <w:szCs w:val="24"/>
        </w:rPr>
        <w:t>the literature on the role and impact of families on health inequities</w:t>
      </w:r>
      <w:r w:rsidR="0011510F" w:rsidRPr="00424BD3">
        <w:rPr>
          <w:rFonts w:cs="Arial"/>
          <w:szCs w:val="24"/>
        </w:rPr>
        <w:t xml:space="preserve"> is given</w:t>
      </w:r>
      <w:r w:rsidRPr="00424BD3">
        <w:rPr>
          <w:rFonts w:cs="Arial"/>
          <w:szCs w:val="24"/>
        </w:rPr>
        <w:t xml:space="preserve">. Finally, </w:t>
      </w:r>
      <w:r w:rsidR="0011510F" w:rsidRPr="00424BD3">
        <w:rPr>
          <w:rFonts w:cs="Arial"/>
          <w:szCs w:val="24"/>
        </w:rPr>
        <w:t>a</w:t>
      </w:r>
      <w:r w:rsidRPr="00424BD3">
        <w:rPr>
          <w:rFonts w:cs="Arial"/>
          <w:szCs w:val="24"/>
        </w:rPr>
        <w:t xml:space="preserve"> review </w:t>
      </w:r>
      <w:r w:rsidR="0011510F" w:rsidRPr="00424BD3">
        <w:rPr>
          <w:rFonts w:cs="Arial"/>
          <w:szCs w:val="24"/>
        </w:rPr>
        <w:t xml:space="preserve">of </w:t>
      </w:r>
      <w:r w:rsidRPr="00424BD3">
        <w:rPr>
          <w:rFonts w:cs="Arial"/>
          <w:szCs w:val="24"/>
        </w:rPr>
        <w:t>the role of family health histories in genealogical (pedigree) health and mortality outcomes as a tool to help examine familial health inequities rather than solely examining risk</w:t>
      </w:r>
      <w:r w:rsidR="0011510F" w:rsidRPr="00424BD3">
        <w:rPr>
          <w:rFonts w:cs="Arial"/>
          <w:szCs w:val="24"/>
        </w:rPr>
        <w:t xml:space="preserve"> is undertaken</w:t>
      </w:r>
      <w:r w:rsidRPr="00424BD3">
        <w:rPr>
          <w:rFonts w:cs="Arial"/>
          <w:szCs w:val="24"/>
        </w:rPr>
        <w:t>.</w:t>
      </w:r>
    </w:p>
    <w:p w14:paraId="16B8D548" w14:textId="7CDA392E" w:rsidR="008844E4" w:rsidRPr="00424BD3" w:rsidRDefault="008844E4" w:rsidP="004156C0">
      <w:pPr>
        <w:pStyle w:val="Heading2"/>
        <w:spacing w:before="0" w:line="480" w:lineRule="auto"/>
        <w:jc w:val="center"/>
        <w:rPr>
          <w:rFonts w:ascii="Arial" w:hAnsi="Arial" w:cs="Arial"/>
          <w:b/>
          <w:bCs/>
          <w:color w:val="auto"/>
          <w:sz w:val="24"/>
          <w:szCs w:val="24"/>
        </w:rPr>
      </w:pPr>
      <w:bookmarkStart w:id="27" w:name="_Toc118232297"/>
      <w:r w:rsidRPr="00424BD3">
        <w:rPr>
          <w:rFonts w:ascii="Arial" w:hAnsi="Arial" w:cs="Arial"/>
          <w:b/>
          <w:bCs/>
          <w:color w:val="auto"/>
          <w:sz w:val="24"/>
          <w:szCs w:val="24"/>
        </w:rPr>
        <w:t>Eco</w:t>
      </w:r>
      <w:r w:rsidR="0011510F" w:rsidRPr="00424BD3">
        <w:rPr>
          <w:rFonts w:ascii="Arial" w:hAnsi="Arial" w:cs="Arial"/>
          <w:b/>
          <w:bCs/>
          <w:color w:val="auto"/>
          <w:sz w:val="24"/>
          <w:szCs w:val="24"/>
        </w:rPr>
        <w:t>s</w:t>
      </w:r>
      <w:r w:rsidRPr="00424BD3">
        <w:rPr>
          <w:rFonts w:ascii="Arial" w:hAnsi="Arial" w:cs="Arial"/>
          <w:b/>
          <w:bCs/>
          <w:color w:val="auto"/>
          <w:sz w:val="24"/>
          <w:szCs w:val="24"/>
        </w:rPr>
        <w:t>ocial Theory</w:t>
      </w:r>
      <w:bookmarkEnd w:id="27"/>
    </w:p>
    <w:p w14:paraId="4BDAFA81" w14:textId="7A4964E6" w:rsidR="008844E4" w:rsidRPr="00424BD3" w:rsidRDefault="008844E4" w:rsidP="004156C0">
      <w:pPr>
        <w:spacing w:after="0" w:line="480" w:lineRule="auto"/>
        <w:ind w:firstLine="720"/>
        <w:rPr>
          <w:rFonts w:cs="Arial"/>
          <w:szCs w:val="24"/>
        </w:rPr>
      </w:pPr>
      <w:r w:rsidRPr="00424BD3">
        <w:rPr>
          <w:rFonts w:cs="Arial"/>
          <w:szCs w:val="24"/>
        </w:rPr>
        <w:t>Ecosocial theory links</w:t>
      </w:r>
      <w:r w:rsidR="00B451E0" w:rsidRPr="00424BD3">
        <w:rPr>
          <w:rFonts w:cs="Arial"/>
          <w:szCs w:val="24"/>
        </w:rPr>
        <w:t xml:space="preserve"> health with its</w:t>
      </w:r>
      <w:r w:rsidRPr="00424BD3">
        <w:rPr>
          <w:rFonts w:cs="Arial"/>
          <w:szCs w:val="24"/>
        </w:rPr>
        <w:t xml:space="preserve"> social and biological determinants of health </w:t>
      </w:r>
      <w:r w:rsidR="00A93410" w:rsidRPr="00424BD3">
        <w:rPr>
          <w:rFonts w:cs="Arial"/>
          <w:szCs w:val="24"/>
        </w:rPr>
        <w:t xml:space="preserve">using the concept of </w:t>
      </w:r>
      <w:r w:rsidRPr="00424BD3">
        <w:rPr>
          <w:rFonts w:cs="Arial"/>
          <w:szCs w:val="24"/>
        </w:rPr>
        <w:t xml:space="preserve">embodiment </w:t>
      </w:r>
      <w:r w:rsidRPr="00424BD3">
        <w:rPr>
          <w:rFonts w:cs="Arial"/>
          <w:szCs w:val="24"/>
        </w:rPr>
        <w:fldChar w:fldCharType="begin"/>
      </w:r>
      <w:r w:rsidR="00990F3A">
        <w:rPr>
          <w:rFonts w:cs="Arial"/>
          <w:szCs w:val="24"/>
        </w:rPr>
        <w:instrText xml:space="preserve"> ADDIN ZOTERO_ITEM CSL_CITATION {"citationID":"r36NiQ0Z","properties":{"formattedCitation":"(Krieger, 1994, 2001)","plainCitation":"(Krieger, 1994, 2001)","noteIndex":0},"citationItems":[{"id":905,"uris":["http://zotero.org/users/4946941/items/BFE7AEJK"],"itemData":{"id":905,"type":"article-journal","abstract":"‘Multiple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causation","volume":"39","author":[{"family":"Krieger","given":"Nancy"}],"issued":{"date-parts":[["1994",10,1]]}}},{"id":904,"uris":["http://zotero.org/users/4946941/items/FF5NBNQJ"],"itemData":{"id":904,"type":"article-journal","abstract":"‘Both thinking and facts are changeable, if only because changes in thinking manifest themselves in changed facts. Conversely, fundamentally new facts can be discovered only through new thinking.’ Ludwick Fleck (1935) Genesis and Development of a Scientific Fact.1,pp.50–51‘Once we recognize the state of the art is a social product, we are freer to look critically at the agenda of our science, its conceptual framework, and accepted methodologies, and to make conscious research choices.’ Richard Levins and Richard Lewontin (1987) The Dialectical Biologist.2,p.286","container-title":"International Journal of Epidemiology","DOI":"10.1093/ije/30.4.668","ISSN":"0300-5771","issue":"4","journalAbbreviation":"International Journal of Epidemiology","page":"668-677","source":"Silverchair","title":"Theories for social epidemiology in the 21st century: an ecosocial perspective","title-short":"Theories for social epidemiology in the 21st century","volume":"30","author":[{"family":"Krieger","given":"Nancy"}],"issued":{"date-parts":[["2001",8,1]]}}}],"schema":"https://github.com/citation-style-language/schema/raw/master/csl-citation.json"} </w:instrText>
      </w:r>
      <w:r w:rsidRPr="00424BD3">
        <w:rPr>
          <w:rFonts w:cs="Arial"/>
          <w:szCs w:val="24"/>
        </w:rPr>
        <w:fldChar w:fldCharType="separate"/>
      </w:r>
      <w:r w:rsidRPr="00424BD3">
        <w:rPr>
          <w:rFonts w:cs="Arial"/>
        </w:rPr>
        <w:t>(Krieger, 1994, 2001)</w:t>
      </w:r>
      <w:r w:rsidRPr="00424BD3">
        <w:rPr>
          <w:rFonts w:cs="Arial"/>
          <w:szCs w:val="24"/>
        </w:rPr>
        <w:fldChar w:fldCharType="end"/>
      </w:r>
      <w:r w:rsidRPr="00424BD3">
        <w:rPr>
          <w:rFonts w:cs="Arial"/>
          <w:szCs w:val="24"/>
        </w:rPr>
        <w:t xml:space="preserve">. </w:t>
      </w:r>
      <w:r w:rsidR="00A93410" w:rsidRPr="00424BD3">
        <w:rPr>
          <w:rFonts w:cs="Arial"/>
          <w:szCs w:val="24"/>
        </w:rPr>
        <w:t>E</w:t>
      </w:r>
      <w:r w:rsidRPr="00424BD3">
        <w:rPr>
          <w:rFonts w:cs="Arial"/>
          <w:szCs w:val="24"/>
        </w:rPr>
        <w:t>mbodiment</w:t>
      </w:r>
      <w:r w:rsidR="00A93410" w:rsidRPr="00424BD3">
        <w:rPr>
          <w:rFonts w:cs="Arial"/>
          <w:szCs w:val="24"/>
        </w:rPr>
        <w:t xml:space="preserve"> is t</w:t>
      </w:r>
      <w:r w:rsidRPr="00424BD3">
        <w:rPr>
          <w:rFonts w:cs="Arial"/>
          <w:szCs w:val="24"/>
        </w:rPr>
        <w:t xml:space="preserve">he </w:t>
      </w:r>
      <w:r w:rsidR="00A93410" w:rsidRPr="00424BD3">
        <w:rPr>
          <w:rFonts w:cs="Arial"/>
          <w:szCs w:val="24"/>
        </w:rPr>
        <w:t xml:space="preserve">literal </w:t>
      </w:r>
      <w:r w:rsidRPr="00424BD3">
        <w:rPr>
          <w:rFonts w:cs="Arial"/>
          <w:szCs w:val="24"/>
        </w:rPr>
        <w:t xml:space="preserve">incorporation of the social and environmental world into individual’s bodies. This is done by looking at </w:t>
      </w:r>
      <w:r w:rsidR="006B7ACC" w:rsidRPr="00424BD3">
        <w:rPr>
          <w:rFonts w:cs="Arial"/>
          <w:szCs w:val="24"/>
        </w:rPr>
        <w:t>various scales of</w:t>
      </w:r>
      <w:r w:rsidRPr="00424BD3">
        <w:rPr>
          <w:rFonts w:cs="Arial"/>
          <w:szCs w:val="24"/>
        </w:rPr>
        <w:t xml:space="preserve"> intersectional and spatio-temporal </w:t>
      </w:r>
      <w:r w:rsidR="00A7044C" w:rsidRPr="00424BD3">
        <w:rPr>
          <w:rFonts w:cs="Arial"/>
          <w:szCs w:val="24"/>
        </w:rPr>
        <w:t xml:space="preserve">levels and </w:t>
      </w:r>
      <w:r w:rsidRPr="00424BD3">
        <w:rPr>
          <w:rFonts w:cs="Arial"/>
          <w:szCs w:val="24"/>
        </w:rPr>
        <w:t>pathways</w:t>
      </w:r>
      <w:r w:rsidR="006B7ACC" w:rsidRPr="00424BD3">
        <w:rPr>
          <w:rFonts w:cs="Arial"/>
          <w:szCs w:val="24"/>
        </w:rPr>
        <w:t xml:space="preserve"> including:</w:t>
      </w:r>
      <w:r w:rsidR="007F6721" w:rsidRPr="00424BD3">
        <w:rPr>
          <w:rFonts w:cs="Arial"/>
          <w:szCs w:val="24"/>
        </w:rPr>
        <w:t xml:space="preserve"> </w:t>
      </w:r>
      <w:r w:rsidRPr="00424BD3">
        <w:rPr>
          <w:rFonts w:cs="Arial"/>
          <w:szCs w:val="24"/>
        </w:rPr>
        <w:t>embodiment</w:t>
      </w:r>
      <w:r w:rsidR="00A7044C" w:rsidRPr="00424BD3">
        <w:rPr>
          <w:rFonts w:cs="Arial"/>
          <w:szCs w:val="24"/>
        </w:rPr>
        <w:t xml:space="preserve"> and </w:t>
      </w:r>
      <w:r w:rsidR="00047FFD" w:rsidRPr="00424BD3">
        <w:rPr>
          <w:rFonts w:cs="Arial"/>
          <w:szCs w:val="24"/>
        </w:rPr>
        <w:t>its</w:t>
      </w:r>
      <w:r w:rsidR="00A7044C" w:rsidRPr="00424BD3">
        <w:rPr>
          <w:rFonts w:cs="Arial"/>
          <w:szCs w:val="24"/>
        </w:rPr>
        <w:t xml:space="preserve"> pathways</w:t>
      </w:r>
      <w:r w:rsidR="007F6721" w:rsidRPr="00424BD3">
        <w:rPr>
          <w:rFonts w:cs="Arial"/>
          <w:szCs w:val="24"/>
        </w:rPr>
        <w:t xml:space="preserve">; systemic and structural </w:t>
      </w:r>
      <w:r w:rsidR="00F3383C" w:rsidRPr="00424BD3">
        <w:rPr>
          <w:rFonts w:cs="Arial"/>
          <w:szCs w:val="24"/>
        </w:rPr>
        <w:t xml:space="preserve">factors relating to the </w:t>
      </w:r>
      <w:r w:rsidRPr="00424BD3">
        <w:rPr>
          <w:rFonts w:cs="Arial"/>
          <w:szCs w:val="24"/>
        </w:rPr>
        <w:t>agency and accountability of disease patterning</w:t>
      </w:r>
      <w:r w:rsidR="00F3383C" w:rsidRPr="00424BD3">
        <w:rPr>
          <w:rFonts w:cs="Arial"/>
          <w:szCs w:val="24"/>
        </w:rPr>
        <w:t xml:space="preserve">; </w:t>
      </w:r>
      <w:r w:rsidRPr="00424BD3">
        <w:rPr>
          <w:rFonts w:cs="Arial"/>
          <w:szCs w:val="24"/>
        </w:rPr>
        <w:t xml:space="preserve">and the cumulative interplay of </w:t>
      </w:r>
      <w:r w:rsidRPr="00424BD3">
        <w:rPr>
          <w:rFonts w:cs="Arial"/>
          <w:szCs w:val="24"/>
        </w:rPr>
        <w:lastRenderedPageBreak/>
        <w:t>outcomes of health on individual’s histories and life-course experiences. These interplays can occur inter-generationally as well as at global, national, societal, familial</w:t>
      </w:r>
      <w:r w:rsidR="004E08D5">
        <w:rPr>
          <w:rFonts w:cs="Arial"/>
          <w:szCs w:val="24"/>
        </w:rPr>
        <w:t>,</w:t>
      </w:r>
      <w:r w:rsidRPr="00424BD3">
        <w:rPr>
          <w:rFonts w:cs="Arial"/>
          <w:szCs w:val="24"/>
        </w:rPr>
        <w:t xml:space="preserve"> and molecular scale </w:t>
      </w:r>
      <w:r w:rsidRPr="00424BD3">
        <w:rPr>
          <w:rFonts w:cs="Arial"/>
          <w:szCs w:val="24"/>
        </w:rPr>
        <w:fldChar w:fldCharType="begin"/>
      </w:r>
      <w:r w:rsidR="00990F3A">
        <w:rPr>
          <w:rFonts w:cs="Arial"/>
          <w:szCs w:val="24"/>
        </w:rPr>
        <w:instrText xml:space="preserve"> ADDIN ZOTERO_ITEM CSL_CITATION {"citationID":"RnTF1xsk","properties":{"formattedCitation":"(Krieger, 1994, 2020)","plainCitation":"(Krieger, 1994, 2020)","noteIndex":0},"citationItems":[{"id":905,"uris":["http://zotero.org/users/4946941/items/BFE7AEJK"],"itemData":{"id":905,"type":"article-journal","abstract":"‘Multiple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causation","volume":"39","author":[{"family":"Krieger","given":"Nancy"}],"issued":{"date-parts":[["1994",10,1]]}}},{"id":1355,"uris":["http://zotero.org/users/4946941/items/L9ULTUNI"],"itemData":{"id":1355,"type":"article-journal","abstract":"Racism. Sexism. Heterosexism. Gender binarism. Together, they comprise intimately harmful, distinct, and entangled societal systems of self-serving domination and privilege that structure the embodiment of health inequities. Guided by the ecosocial theory of disease distribution, I synthesize key features of the specified \"isms\" and provide a measurement schema, informed by research from both the Global North and the Global South. Metrics discussed include (a) structural, including explicit rules and laws, nonexplicit rules and laws, and area-based or institutional nonrule measures; and (b) individual-level (exposures and internalized) measures, including explicit self-report, implicit, and experimental. Recommendations include (a) expanding the use of structural measures to extend beyond the current primary emphasis on psychosocial individual-level measures; (b) analyzing exposure in relation to both life course and historical generation; (c) developing measures of anti-isms; and (d) developing terrestrially grounded measures that can reveal links between the structural drivers of unjust isms and their toll on environmental degradation, climate change, and health inequities.","container-title":"Annual review of public health","DOI":"10.1146/annurev-publhealth-040119-094017","ISSN":"1545-2093","journalAbbreviation":"Annu Rev Public Health","language":"eng","note":"PMID: 31765272","page":"37-62","source":"Europe PMC","title":"Measures of Racism, Sexism, Heterosexism, and Gender Binarism for Health Equity Research: From Structural Injustice to Embodied Harm-An Ecosocial Analysis","title-short":"Measures of Racism, Sexism, Heterosexism, and Gender Binarism for Health Equity Research","volume":"41","author":[{"family":"Krieger","given":"Nancy"}],"issued":{"date-parts":[["2020",4,1]]}}}],"schema":"https://github.com/citation-style-language/schema/raw/master/csl-citation.json"} </w:instrText>
      </w:r>
      <w:r w:rsidRPr="00424BD3">
        <w:rPr>
          <w:rFonts w:cs="Arial"/>
          <w:szCs w:val="24"/>
        </w:rPr>
        <w:fldChar w:fldCharType="separate"/>
      </w:r>
      <w:r w:rsidR="002553A0" w:rsidRPr="00424BD3">
        <w:rPr>
          <w:rFonts w:cs="Arial"/>
        </w:rPr>
        <w:t>(Krieger, 1994, 2020)</w:t>
      </w:r>
      <w:r w:rsidRPr="00424BD3">
        <w:rPr>
          <w:rFonts w:cs="Arial"/>
          <w:szCs w:val="24"/>
        </w:rPr>
        <w:fldChar w:fldCharType="end"/>
      </w:r>
      <w:r w:rsidRPr="00424BD3">
        <w:rPr>
          <w:rFonts w:cs="Arial"/>
          <w:szCs w:val="24"/>
        </w:rPr>
        <w:t xml:space="preserve">. </w:t>
      </w:r>
    </w:p>
    <w:p w14:paraId="2AC90E6A" w14:textId="5EFDEF5E" w:rsidR="008844E4" w:rsidRPr="00424BD3" w:rsidRDefault="008844E4" w:rsidP="000126EE">
      <w:pPr>
        <w:spacing w:after="0" w:line="480" w:lineRule="auto"/>
        <w:ind w:firstLine="720"/>
        <w:rPr>
          <w:rFonts w:cs="Arial"/>
          <w:szCs w:val="24"/>
        </w:rPr>
      </w:pPr>
      <w:r w:rsidRPr="00424BD3">
        <w:rPr>
          <w:rFonts w:cs="Arial"/>
          <w:szCs w:val="24"/>
        </w:rPr>
        <w:t xml:space="preserve">Krieger’s seminal work on </w:t>
      </w:r>
      <w:r w:rsidR="008A638A" w:rsidRPr="00424BD3">
        <w:rPr>
          <w:rFonts w:cs="Arial"/>
          <w:szCs w:val="24"/>
        </w:rPr>
        <w:t>ecosocial</w:t>
      </w:r>
      <w:r w:rsidRPr="00424BD3">
        <w:rPr>
          <w:rFonts w:cs="Arial"/>
          <w:szCs w:val="24"/>
        </w:rPr>
        <w:t xml:space="preserve"> theory </w:t>
      </w:r>
      <w:r w:rsidRPr="00424BD3">
        <w:rPr>
          <w:rFonts w:cs="Arial"/>
          <w:szCs w:val="24"/>
        </w:rPr>
        <w:fldChar w:fldCharType="begin"/>
      </w:r>
      <w:r w:rsidR="00990F3A">
        <w:rPr>
          <w:rFonts w:cs="Arial"/>
          <w:szCs w:val="24"/>
        </w:rPr>
        <w:instrText xml:space="preserve"> ADDIN ZOTERO_ITEM CSL_CITATION {"citationID":"UFwX80MM","properties":{"formattedCitation":"(Krieger, 1994)","plainCitation":"(Krieger, 1994)","noteIndex":0},"citationItems":[{"id":905,"uris":["http://zotero.org/users/4946941/items/BFE7AEJK"],"itemData":{"id":905,"type":"article-journal","abstract":"‘Multiple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causation","volume":"39","author":[{"family":"Krieger","given":"Nancy"}],"issued":{"date-parts":[["1994",10,1]]}}}],"schema":"https://github.com/citation-style-language/schema/raw/master/csl-citation.json"} </w:instrText>
      </w:r>
      <w:r w:rsidRPr="00424BD3">
        <w:rPr>
          <w:rFonts w:cs="Arial"/>
          <w:szCs w:val="24"/>
        </w:rPr>
        <w:fldChar w:fldCharType="separate"/>
      </w:r>
      <w:r w:rsidRPr="00424BD3">
        <w:rPr>
          <w:rFonts w:cs="Arial"/>
        </w:rPr>
        <w:t>(Krieger, 1994)</w:t>
      </w:r>
      <w:r w:rsidRPr="00424BD3">
        <w:rPr>
          <w:rFonts w:cs="Arial"/>
          <w:szCs w:val="24"/>
        </w:rPr>
        <w:fldChar w:fldCharType="end"/>
      </w:r>
      <w:r w:rsidRPr="00424BD3">
        <w:rPr>
          <w:rFonts w:cs="Arial"/>
          <w:szCs w:val="24"/>
        </w:rPr>
        <w:t xml:space="preserve"> is premised on the combination of the social view of human health and the ecological view of human and more-than-human interconnectedness. </w:t>
      </w:r>
      <w:r w:rsidR="00FD30F9" w:rsidRPr="00424BD3">
        <w:rPr>
          <w:rFonts w:cs="Arial"/>
          <w:szCs w:val="24"/>
        </w:rPr>
        <w:t>This was a response to</w:t>
      </w:r>
      <w:r w:rsidRPr="00424BD3">
        <w:rPr>
          <w:rFonts w:cs="Arial"/>
          <w:szCs w:val="24"/>
        </w:rPr>
        <w:t xml:space="preserve"> biomedical </w:t>
      </w:r>
      <w:r w:rsidR="00152FD3" w:rsidRPr="00424BD3">
        <w:rPr>
          <w:rFonts w:cs="Arial"/>
          <w:szCs w:val="24"/>
        </w:rPr>
        <w:t xml:space="preserve">and </w:t>
      </w:r>
      <w:r w:rsidRPr="00424BD3">
        <w:rPr>
          <w:rFonts w:cs="Arial"/>
          <w:szCs w:val="24"/>
        </w:rPr>
        <w:t>individual</w:t>
      </w:r>
      <w:r w:rsidR="00152FD3" w:rsidRPr="00424BD3">
        <w:rPr>
          <w:rFonts w:cs="Arial"/>
          <w:szCs w:val="24"/>
        </w:rPr>
        <w:t>ized theories of health</w:t>
      </w:r>
      <w:r w:rsidRPr="00424BD3">
        <w:rPr>
          <w:rFonts w:cs="Arial"/>
          <w:szCs w:val="24"/>
        </w:rPr>
        <w:t xml:space="preserve"> which emphasi</w:t>
      </w:r>
      <w:r w:rsidR="00152FD3" w:rsidRPr="00424BD3">
        <w:rPr>
          <w:rFonts w:cs="Arial"/>
          <w:szCs w:val="24"/>
        </w:rPr>
        <w:t>zed</w:t>
      </w:r>
      <w:r w:rsidRPr="00424BD3">
        <w:rPr>
          <w:rFonts w:cs="Arial"/>
          <w:szCs w:val="24"/>
        </w:rPr>
        <w:t xml:space="preserve"> individual responsibility and </w:t>
      </w:r>
      <w:r w:rsidR="000110AE" w:rsidRPr="00424BD3">
        <w:rPr>
          <w:rFonts w:cs="Arial"/>
          <w:szCs w:val="24"/>
        </w:rPr>
        <w:t>health</w:t>
      </w:r>
      <w:r w:rsidRPr="00424BD3">
        <w:rPr>
          <w:rFonts w:cs="Arial"/>
          <w:szCs w:val="24"/>
        </w:rPr>
        <w:t xml:space="preserve"> behavior</w:t>
      </w:r>
      <w:r w:rsidR="00152FD3" w:rsidRPr="00424BD3">
        <w:rPr>
          <w:rFonts w:cs="Arial"/>
          <w:szCs w:val="24"/>
        </w:rPr>
        <w:t>s (such as diet, smoking, alcohol intake)</w:t>
      </w:r>
      <w:r w:rsidRPr="00424BD3">
        <w:rPr>
          <w:rFonts w:cs="Arial"/>
          <w:szCs w:val="24"/>
        </w:rPr>
        <w:t xml:space="preserve"> in </w:t>
      </w:r>
      <w:r w:rsidR="00152FD3" w:rsidRPr="00424BD3">
        <w:rPr>
          <w:rFonts w:cs="Arial"/>
          <w:szCs w:val="24"/>
        </w:rPr>
        <w:t>shaping health</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{"citationID":"sdVhCcIA","properties":{"formattedCitation":"(Porter, 2006)","plainCitation":"(Porter, 2006)","noteIndex":0},"citationItems":[{"id":901,"uris":["http://zotero.org/users/4946941/items/R8F2IJ8R"],"itemData":{"id":901,"type":"article-journal","abstract":"A better understanding of how social medicine evolved, says Porter, could help to focus its role in responding to the health needs of a post-industrial, globalizing world.","container-title":"PLOS Medicine","DOI":"10.1371/journal.pmed.0030399","ISSN":"1549-1676","issue":"10","journalAbbreviation":"PLOS Medicine","language":"en","note":"publisher: Public Library of Science","page":"e399","source":"PLoS Journals","title":"How Did Social Medicine Evolve, and Where Is It Heading?","volume":"3","author":[{"family":"Porter","given":"Dorothy"}],"issued":{"date-parts":[["2006",10,24]]}}}],"schema":"https://github.com/citation-style-language/schema/raw/master/csl-citation.json"} </w:instrText>
      </w:r>
      <w:r w:rsidRPr="00424BD3">
        <w:rPr>
          <w:rFonts w:cs="Arial"/>
          <w:szCs w:val="24"/>
        </w:rPr>
        <w:fldChar w:fldCharType="separate"/>
      </w:r>
      <w:r w:rsidRPr="00424BD3">
        <w:rPr>
          <w:rFonts w:cs="Arial"/>
        </w:rPr>
        <w:t>(Porter, 2006)</w:t>
      </w:r>
      <w:r w:rsidRPr="00424BD3">
        <w:rPr>
          <w:rFonts w:cs="Arial"/>
          <w:szCs w:val="24"/>
        </w:rPr>
        <w:fldChar w:fldCharType="end"/>
      </w:r>
      <w:r w:rsidRPr="00424BD3">
        <w:rPr>
          <w:rFonts w:cs="Arial"/>
          <w:szCs w:val="24"/>
        </w:rPr>
        <w:t xml:space="preserve">. Krieger sought to challenge this traditional biomedical model, beginning with a look at the “web of causation” theories which had come to the fore in the 1960s’ </w:t>
      </w:r>
      <w:r w:rsidRPr="00424BD3">
        <w:rPr>
          <w:rFonts w:cs="Arial"/>
          <w:szCs w:val="24"/>
        </w:rPr>
        <w:fldChar w:fldCharType="begin"/>
      </w:r>
      <w:r w:rsidR="00990F3A">
        <w:rPr>
          <w:rFonts w:cs="Arial"/>
          <w:szCs w:val="24"/>
        </w:rPr>
        <w:instrText xml:space="preserve"> ADDIN ZOTERO_ITEM CSL_CITATION {"citationID":"umvGOVNx","properties":{"formattedCitation":"(Krieger, 1994)","plainCitation":"(Krieger, 1994)","noteIndex":0},"citationItems":[{"id":905,"uris":["http://zotero.org/users/4946941/items/BFE7AEJK"],"itemData":{"id":905,"type":"article-journal","abstract":"‘Multiple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causation","volume":"39","author":[{"family":"Krieger","given":"Nancy"}],"issued":{"date-parts":[["1994",10,1]]}}}],"schema":"https://github.com/citation-style-language/schema/raw/master/csl-citation.json"} </w:instrText>
      </w:r>
      <w:r w:rsidRPr="00424BD3">
        <w:rPr>
          <w:rFonts w:cs="Arial"/>
          <w:szCs w:val="24"/>
        </w:rPr>
        <w:fldChar w:fldCharType="separate"/>
      </w:r>
      <w:r w:rsidRPr="00424BD3">
        <w:rPr>
          <w:rFonts w:cs="Arial"/>
        </w:rPr>
        <w:t>(Krieger, 1994)</w:t>
      </w:r>
      <w:r w:rsidRPr="00424BD3">
        <w:rPr>
          <w:rFonts w:cs="Arial"/>
          <w:szCs w:val="24"/>
        </w:rPr>
        <w:fldChar w:fldCharType="end"/>
      </w:r>
      <w:r w:rsidRPr="00424BD3">
        <w:rPr>
          <w:rFonts w:cs="Arial"/>
          <w:szCs w:val="24"/>
        </w:rPr>
        <w:t>. Krieger was concerned about understanding the origin</w:t>
      </w:r>
      <w:r w:rsidR="00EE6B49" w:rsidRPr="00424BD3">
        <w:rPr>
          <w:rFonts w:cs="Arial"/>
          <w:szCs w:val="24"/>
        </w:rPr>
        <w:t xml:space="preserve">s </w:t>
      </w:r>
      <w:r w:rsidRPr="00424BD3">
        <w:rPr>
          <w:rFonts w:cs="Arial"/>
          <w:szCs w:val="24"/>
        </w:rPr>
        <w:t xml:space="preserve">of illness and the social dynamics involved in these causes </w:t>
      </w:r>
      <w:r w:rsidRPr="00424BD3">
        <w:rPr>
          <w:rFonts w:cs="Arial"/>
          <w:szCs w:val="24"/>
        </w:rPr>
        <w:fldChar w:fldCharType="begin"/>
      </w:r>
      <w:r w:rsidR="00990F3A">
        <w:rPr>
          <w:rFonts w:cs="Arial"/>
          <w:szCs w:val="24"/>
        </w:rPr>
        <w:instrText xml:space="preserve"> ADDIN ZOTERO_ITEM CSL_CITATION {"citationID":"CR8DqK8R","properties":{"formattedCitation":"(Krieger, 1994)","plainCitation":"(Krieger, 1994)","dontUpdate":true,"noteIndex":0},"citationItems":[{"id":905,"uris":["http://zotero.org/users/4946941/items/BFE7AEJK"],"itemData":{"id":905,"type":"article-journal","abstract":"‘Multiple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causation","volume":"39","author":[{"family":"Krieger","given":"Nancy"}],"issued":{"date-parts":[["1994",10,1]]}}}],"schema":"https://github.com/citation-style-language/schema/raw/master/csl-citation.json"} </w:instrText>
      </w:r>
      <w:r w:rsidRPr="00424BD3">
        <w:rPr>
          <w:rFonts w:cs="Arial"/>
          <w:szCs w:val="24"/>
        </w:rPr>
        <w:fldChar w:fldCharType="separate"/>
      </w:r>
      <w:r w:rsidRPr="00424BD3">
        <w:rPr>
          <w:rFonts w:cs="Arial"/>
        </w:rPr>
        <w:t>(Krieger, 1994</w:t>
      </w:r>
      <w:r w:rsidRPr="00424BD3">
        <w:rPr>
          <w:rFonts w:cs="Arial"/>
          <w:szCs w:val="24"/>
        </w:rPr>
        <w:fldChar w:fldCharType="end"/>
      </w:r>
      <w:r w:rsidRPr="00424BD3">
        <w:rPr>
          <w:rFonts w:cs="Arial"/>
          <w:szCs w:val="24"/>
        </w:rPr>
        <w:t xml:space="preserve"> citing </w:t>
      </w:r>
      <w:r w:rsidRPr="00424BD3">
        <w:rPr>
          <w:rFonts w:cs="Arial"/>
          <w:szCs w:val="24"/>
        </w:rPr>
        <w:fldChar w:fldCharType="begin"/>
      </w:r>
      <w:r w:rsidR="00990F3A">
        <w:rPr>
          <w:rFonts w:cs="Arial"/>
          <w:szCs w:val="24"/>
        </w:rPr>
        <w:instrText xml:space="preserve"> ADDIN ZOTERO_ITEM CSL_CITATION {"citationID":"JUHflxDb","properties":{"formattedCitation":"(Friedman, 1974; Macmahon &amp; Pugh, 1970; Mausner &amp; Bahn, 1974)","plainCitation":"(Friedman, 1974; Macmahon &amp; Pugh, 1970; Mausner &amp; Bahn, 1974)","dontUpdate":true,"noteIndex":0},"citationItems":[{"id":898,"uris":["http://zotero.org/users/4946941/items/WQW29B6D"],"itemData":{"id":898,"type":"book","call-number":"RA651 .F68","event-place":"New York","ISBN":"978-0-07-022425-4","language":"en","number-of-pages":"230","publisher":"McGraw-Hill","publisher-place":"New York","source":"Library of Congress ISBN","title":"Primer of epidemiology","author":[{"family":"Friedman","given":"Gary D."}],"issued":{"date-parts":[["1974"]]}}},{"id":900,"uris":["http://zotero.org/users/4946941/items/BQKYPPLF"],"itemData":{"id":900,"type":"article-journal","abstract":"This is a development of the present authors' (with IPSEN) 1960 text, Epidemiologic Methods [Bull. Hyg., 1961, v. 36, 957]. The influence of the earlier work is of course apparent, but the change in emphasis from methods to principles is so great that it is probably better to regard the present book as a new text. Although many of the classical illustrations (such as Snow and Goldberger) are...","container-title":"Epidemiology: principles and methods.","language":"English","note":"publisher: Boston: Little Brown &amp; Co. Published in Great Britain by J. &amp; A. Churchill, London.","source":"www.cabdirect.org","title":"Epidemiology: principles and methods.","title-short":"Epidemiology","URL":"https://www.cabdirect.org/cabdirect/abstract/19712703347","author":[{"family":"Macmahon","given":"B."},{"family":"Pugh","given":"T. F."}],"accessed":{"date-parts":[["2022",7,15]]},"issued":{"date-parts":[["1970"]]}}},{"id":899,"uris":["http://zotero.org/users/4946941/items/PR63TMKM"],"itemData":{"id":899,"type":"book","abstract":"This is an excellent introductory text that covers the principles, methods and applications of epidemiology. As the authors point out in their Preface, the book is primarily intended as an introduction to epidemiology for those taking courses in community medicine, health administration, or public health, as well as for students preparing for examinations in preventive medicine. The text is so...","language":"not specified","source":"www.cabdirect.org","title":"Epidemiology. An introductory text.","URL":"https://www.cabdirect.org/cabdirect/abstract/19752703034","author":[{"family":"Mausner","given":"J. S."},{"family":"Bahn","given":"A. K."}],"accessed":{"date-parts":[["2022",7,15]]},"issued":{"date-parts":[["1974"]]}}}],"schema":"https://github.com/citation-style-language/schema/raw/master/csl-citation.json"} </w:instrText>
      </w:r>
      <w:r w:rsidRPr="00424BD3">
        <w:rPr>
          <w:rFonts w:cs="Arial"/>
          <w:szCs w:val="24"/>
        </w:rPr>
        <w:fldChar w:fldCharType="separate"/>
      </w:r>
      <w:r w:rsidRPr="00424BD3">
        <w:rPr>
          <w:rFonts w:cs="Arial"/>
        </w:rPr>
        <w:t>Friedman, 1974; Macmahon &amp; Pugh, 1970; Mausner &amp; Bahn, 1974)</w:t>
      </w:r>
      <w:r w:rsidRPr="00424BD3">
        <w:rPr>
          <w:rFonts w:cs="Arial"/>
          <w:szCs w:val="24"/>
        </w:rPr>
        <w:fldChar w:fldCharType="end"/>
      </w:r>
      <w:r w:rsidRPr="00424BD3">
        <w:rPr>
          <w:rFonts w:cs="Arial"/>
          <w:szCs w:val="24"/>
        </w:rPr>
        <w:t xml:space="preserve">. She felt that epidemiology lacked significant investment in theoretical frameworks. Her solution was to develop an </w:t>
      </w:r>
      <w:r w:rsidR="008A638A" w:rsidRPr="00424BD3">
        <w:rPr>
          <w:rFonts w:cs="Arial"/>
          <w:szCs w:val="24"/>
        </w:rPr>
        <w:t>ecosocial</w:t>
      </w:r>
      <w:r w:rsidRPr="00424BD3">
        <w:rPr>
          <w:rFonts w:cs="Arial"/>
          <w:szCs w:val="24"/>
        </w:rPr>
        <w:t xml:space="preserve"> theoretical framework. </w:t>
      </w:r>
      <w:r w:rsidR="008A638A" w:rsidRPr="00424BD3">
        <w:rPr>
          <w:rFonts w:cs="Arial"/>
          <w:szCs w:val="24"/>
        </w:rPr>
        <w:t>Ecosocial</w:t>
      </w:r>
      <w:r w:rsidRPr="00424BD3">
        <w:rPr>
          <w:rFonts w:cs="Arial"/>
          <w:szCs w:val="24"/>
        </w:rPr>
        <w:t xml:space="preserve"> theory tells us that society exists spatially and temporally and is intertwined, affecting and affected by individuals at all levels, from “sub-cellular to society”</w:t>
      </w:r>
      <w:r w:rsidR="007E6DC6" w:rsidRPr="00424BD3">
        <w:rPr>
          <w:rFonts w:cs="Arial"/>
          <w:szCs w:val="24"/>
        </w:rPr>
        <w:t xml:space="preserve"> i.e., the human ecosystem</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{"citationID":"Ct4IZkEY","properties":{"formattedCitation":"(Krieger, 1994, p. 896, 2020)","plainCitation":"(Krieger, 1994, p. 896, 2020)","noteIndex":0},"citationItems":[{"id":905,"uris":["http://zotero.org/users/4946941/items/BFE7AEJK"],"itemData":{"id":905,"type":"article-journal","abstract":"‘Multiple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causation","volume":"39","author":[{"family":"Krieger","given":"Nancy"}],"issued":{"date-parts":[["1994",10,1]]}},"locator":"896"},{"id":1355,"uris":["http://zotero.org/users/4946941/items/L9ULTUNI"],"itemData":{"id":1355,"type":"article-journal","abstract":"Racism. Sexism. Heterosexism. Gender binarism. Together, they comprise intimately harmful, distinct, and entangled societal systems of self-serving domination and privilege that structure the embodiment of health inequities. Guided by the ecosocial theory of disease distribution, I synthesize key features of the specified \"isms\" and provide a measurement schema, informed by research from both the Global North and the Global South. Metrics discussed include (a) structural, including explicit rules and laws, nonexplicit rules and laws, and area-based or institutional nonrule measures; and (b) individual-level (exposures and internalized) measures, including explicit self-report, implicit, and experimental. Recommendations include (a) expanding the use of structural measures to extend beyond the current primary emphasis on psychosocial individual-level measures; (b) analyzing exposure in relation to both life course and historical generation; (c) developing measures of anti-isms; and (d) developing terrestrially grounded measures that can reveal links between the structural drivers of unjust isms and their toll on environmental degradation, climate change, and health inequities.","container-title":"Annual review of public health","DOI":"10.1146/annurev-publhealth-040119-094017","ISSN":"1545-2093","journalAbbreviation":"Annu Rev Public Health","language":"eng","note":"PMID: 31765272","page":"37-62","source":"Europe PMC","title":"Measures of Racism, Sexism, Heterosexism, and Gender Binarism for Health Equity Research: From Structural Injustice to Embodied Harm-An Ecosocial Analysis","title-short":"Measures of Racism, Sexism, Heterosexism, and Gender Binarism for Health Equity Research","volume":"41","author":[{"family":"Krieger","given":"Nancy"}],"issued":{"date-parts":[["2020",4,1]]}}}],"schema":"https://github.com/citation-style-language/schema/raw/master/csl-citation.json"} </w:instrText>
      </w:r>
      <w:r w:rsidRPr="00424BD3">
        <w:rPr>
          <w:rFonts w:cs="Arial"/>
          <w:szCs w:val="24"/>
        </w:rPr>
        <w:fldChar w:fldCharType="separate"/>
      </w:r>
      <w:r w:rsidR="000B710F" w:rsidRPr="00424BD3">
        <w:rPr>
          <w:rFonts w:cs="Arial"/>
        </w:rPr>
        <w:t>(Krieger, 1994, p. 896, 2020)</w:t>
      </w:r>
      <w:r w:rsidRPr="00424BD3">
        <w:rPr>
          <w:rFonts w:cs="Arial"/>
          <w:szCs w:val="24"/>
        </w:rPr>
        <w:fldChar w:fldCharType="end"/>
      </w:r>
      <w:r w:rsidRPr="00424BD3">
        <w:rPr>
          <w:rFonts w:cs="Arial"/>
          <w:szCs w:val="24"/>
        </w:rPr>
        <w:t>, and over the life-course</w:t>
      </w:r>
      <w:r w:rsidR="008D7216" w:rsidRPr="00424BD3">
        <w:rPr>
          <w:rFonts w:cs="Arial"/>
          <w:szCs w:val="24"/>
        </w:rPr>
        <w:t xml:space="preserve"> (i.e., historical generation into which they were born)</w:t>
      </w:r>
      <w:r w:rsidRPr="00424BD3">
        <w:rPr>
          <w:rFonts w:cs="Arial"/>
          <w:szCs w:val="24"/>
        </w:rPr>
        <w:t xml:space="preserve">. </w:t>
      </w:r>
      <w:r w:rsidR="0023089D" w:rsidRPr="00424BD3">
        <w:rPr>
          <w:rFonts w:cs="Arial"/>
          <w:szCs w:val="24"/>
        </w:rPr>
        <w:t xml:space="preserve">These </w:t>
      </w:r>
      <w:r w:rsidR="00B94DAA" w:rsidRPr="00424BD3">
        <w:rPr>
          <w:rFonts w:cs="Arial"/>
          <w:szCs w:val="24"/>
        </w:rPr>
        <w:t>levels and pathways include</w:t>
      </w:r>
      <w:r w:rsidR="000B710F" w:rsidRPr="00424BD3">
        <w:rPr>
          <w:rFonts w:cs="Arial"/>
          <w:szCs w:val="24"/>
        </w:rPr>
        <w:t xml:space="preserve"> micro, meso, and macro levels </w:t>
      </w:r>
      <w:r w:rsidR="002E5161" w:rsidRPr="00424BD3">
        <w:rPr>
          <w:rFonts w:cs="Arial"/>
          <w:szCs w:val="24"/>
        </w:rPr>
        <w:t xml:space="preserve">– from individual to global – and include the primary causal drivers of </w:t>
      </w:r>
      <w:r w:rsidR="007C7490" w:rsidRPr="00424BD3">
        <w:rPr>
          <w:rFonts w:cs="Arial"/>
          <w:szCs w:val="24"/>
        </w:rPr>
        <w:t>income, wealth, and power</w:t>
      </w:r>
      <w:r w:rsidR="00A937AC" w:rsidRPr="00424BD3">
        <w:rPr>
          <w:rFonts w:cs="Arial"/>
          <w:szCs w:val="24"/>
        </w:rPr>
        <w:t xml:space="preserve"> which influence and </w:t>
      </w:r>
      <w:r w:rsidR="00D57FD4" w:rsidRPr="00424BD3">
        <w:rPr>
          <w:rFonts w:cs="Arial"/>
          <w:szCs w:val="24"/>
        </w:rPr>
        <w:t>create injustice at all levels</w:t>
      </w:r>
      <w:r w:rsidR="00BE3536" w:rsidRPr="00424BD3">
        <w:rPr>
          <w:rFonts w:cs="Arial"/>
          <w:szCs w:val="24"/>
        </w:rPr>
        <w:t xml:space="preserve"> </w:t>
      </w:r>
      <w:r w:rsidR="00BE3536" w:rsidRPr="00424BD3">
        <w:rPr>
          <w:rFonts w:cs="Arial"/>
          <w:szCs w:val="24"/>
        </w:rPr>
        <w:fldChar w:fldCharType="begin"/>
      </w:r>
      <w:r w:rsidR="00990F3A">
        <w:rPr>
          <w:rFonts w:cs="Arial"/>
          <w:szCs w:val="24"/>
        </w:rPr>
        <w:instrText xml:space="preserve"> ADDIN ZOTERO_ITEM CSL_CITATION {"citationID":"ItvvhN0F","properties":{"formattedCitation":"(Krieger, 1994, 2020)","plainCitation":"(Krieger, 1994, 2020)","noteIndex":0},"citationItems":[{"id":905,"uris":["http://zotero.org/users/4946941/items/BFE7AEJK"],"itemData":{"id":905,"type":"article-journal","abstract":"‘Multiple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causation","volume":"39","author":[{"family":"Krieger","given":"Nancy"}],"issued":{"date-parts":[["1994",10,1]]}}},{"id":1355,"uris":["http://zotero.org/users/4946941/items/L9ULTUNI"],"itemData":{"id":1355,"type":"article-journal","abstract":"Racism. Sexism. Heterosexism. Gender binarism. Together, they comprise intimately harmful, distinct, and entangled societal systems of self-serving domination and privilege that structure the embodiment of health inequities. Guided by the ecosocial theory of disease distribution, I synthesize key features of the specified \"isms\" and provide a measurement schema, informed by research from both the Global North and the Global South. Metrics discussed include (a) structural, including explicit rules and laws, nonexplicit rules and laws, and area-based or institutional nonrule measures; and (b) individual-level (exposures and internalized) measures, including explicit self-report, implicit, and experimental. Recommendations include (a) expanding the use of structural measures to extend beyond the current primary emphasis on psychosocial individual-level measures; (b) analyzing exposure in relation to both life course and historical generation; (c) developing measures of anti-isms; and (d) developing terrestrially grounded measures that can reveal links between the structural drivers of unjust isms and their toll on environmental degradation, climate change, and health inequities.","container-title":"Annual review of public health","DOI":"10.1146/annurev-publhealth-040119-094017","ISSN":"1545-2093","journalAbbreviation":"Annu Rev Public Health","language":"eng","note":"PMID: 31765272","page":"37-62","source":"Europe PMC","title":"Measures of Racism, Sexism, Heterosexism, and Gender Binarism for Health Equity Research: From Structural Injustice to Embodied Harm-An Ecosocial Analysis","title-short":"Measures of Racism, Sexism, Heterosexism, and Gender Binarism for Health Equity Research","volume":"41","author":[{"family":"Krieger","given":"Nancy"}],"issued":{"date-parts":[["2020",4,1]]}}}],"schema":"https://github.com/citation-style-language/schema/raw/master/csl-citation.json"} </w:instrText>
      </w:r>
      <w:r w:rsidR="00BE3536" w:rsidRPr="00424BD3">
        <w:rPr>
          <w:rFonts w:cs="Arial"/>
          <w:szCs w:val="24"/>
        </w:rPr>
        <w:fldChar w:fldCharType="separate"/>
      </w:r>
      <w:r w:rsidR="00BE3536" w:rsidRPr="00424BD3">
        <w:rPr>
          <w:rFonts w:cs="Arial"/>
        </w:rPr>
        <w:t>(Krieger, 1994, 2020)</w:t>
      </w:r>
      <w:r w:rsidR="00BE3536" w:rsidRPr="00424BD3">
        <w:rPr>
          <w:rFonts w:cs="Arial"/>
          <w:szCs w:val="24"/>
        </w:rPr>
        <w:fldChar w:fldCharType="end"/>
      </w:r>
      <w:r w:rsidR="00D57FD4" w:rsidRPr="00424BD3">
        <w:rPr>
          <w:rFonts w:cs="Arial"/>
          <w:szCs w:val="24"/>
        </w:rPr>
        <w:t xml:space="preserve">. This, in turn, </w:t>
      </w:r>
      <w:r w:rsidR="002E6D75" w:rsidRPr="00424BD3">
        <w:rPr>
          <w:rFonts w:cs="Arial"/>
          <w:szCs w:val="24"/>
        </w:rPr>
        <w:t>impacts population (and individual) health</w:t>
      </w:r>
      <w:r w:rsidR="00D57FD4" w:rsidRPr="00424BD3">
        <w:rPr>
          <w:rFonts w:cs="Arial"/>
          <w:szCs w:val="24"/>
        </w:rPr>
        <w:t xml:space="preserve"> </w:t>
      </w:r>
      <w:r w:rsidR="007C7490" w:rsidRPr="00424BD3">
        <w:rPr>
          <w:rFonts w:cs="Arial"/>
          <w:szCs w:val="24"/>
        </w:rPr>
        <w:fldChar w:fldCharType="begin"/>
      </w:r>
      <w:r w:rsidR="00990F3A">
        <w:rPr>
          <w:rFonts w:cs="Arial"/>
          <w:szCs w:val="24"/>
        </w:rPr>
        <w:instrText xml:space="preserve"> ADDIN ZOTERO_ITEM CSL_CITATION {"citationID":"PqoxRAij","properties":{"formattedCitation":"(Krieger, 1994, 2020)","plainCitation":"(Krieger, 1994, 2020)","noteIndex":0},"citationItems":[{"id":905,"uris":["http://zotero.org/users/4946941/items/BFE7AEJK"],"itemData":{"id":905,"type":"article-journal","abstract":"‘Multiple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causation","volume":"39","author":[{"family":"Krieger","given":"Nancy"}],"issued":{"date-parts":[["1994",10,1]]}}},{"id":1355,"uris":["http://zotero.org/users/4946941/items/L9ULTUNI"],"itemData":{"id":1355,"type":"article-journal","abstract":"Racism. Sexism. Heterosexism. Gender binarism. Together, they comprise intimately harmful, distinct, and entangled societal systems of self-serving domination and privilege that structure the embodiment of health inequities. Guided by the ecosocial theory of disease distribution, I synthesize key features of the specified \"isms\" and provide a measurement schema, informed by research from both the Global North and the Global South. Metrics discussed include (a) structural, including explicit rules and laws, nonexplicit rules and laws, and area-based or institutional nonrule measures; and (b) individual-level (exposures and internalized) measures, including explicit self-report, implicit, and experimental. Recommendations include (a) expanding the use of structural measures to extend beyond the current primary emphasis on psychosocial individual-level measures; (b) analyzing exposure in relation to both life course and historical generation; (c) developing measures of anti-isms; and (d) developing terrestrially grounded measures that can reveal links between the structural drivers of unjust isms and their toll on environmental degradation, climate change, and health inequities.","container-title":"Annual review of public health","DOI":"10.1146/annurev-publhealth-040119-094017","ISSN":"1545-2093","journalAbbreviation":"Annu Rev Public Health","language":"eng","note":"PMID: 31765272","page":"37-62","source":"Europe PMC","title":"Measures of Racism, Sexism, Heterosexism, and Gender Binarism for Health Equity Research: From Structural Injustice to Embodied Harm-An Ecosocial Analysis","title-short":"Measures of Racism, Sexism, Heterosexism, and Gender Binarism for Health Equity Research","volume":"41","author":[{"family":"Krieger","given":"Nancy"}],"issued":{"date-parts":[["2020",4,1]]}}}],"schema":"https://github.com/citation-style-language/schema/raw/master/csl-citation.json"} </w:instrText>
      </w:r>
      <w:r w:rsidR="007C7490" w:rsidRPr="00424BD3">
        <w:rPr>
          <w:rFonts w:cs="Arial"/>
          <w:szCs w:val="24"/>
        </w:rPr>
        <w:fldChar w:fldCharType="separate"/>
      </w:r>
      <w:r w:rsidR="007C7490" w:rsidRPr="00424BD3">
        <w:rPr>
          <w:rFonts w:cs="Arial"/>
        </w:rPr>
        <w:t>(Krieger, 1994, 2020)</w:t>
      </w:r>
      <w:r w:rsidR="007C7490" w:rsidRPr="00424BD3">
        <w:rPr>
          <w:rFonts w:cs="Arial"/>
          <w:szCs w:val="24"/>
        </w:rPr>
        <w:fldChar w:fldCharType="end"/>
      </w:r>
      <w:r w:rsidR="002E6D75" w:rsidRPr="00424BD3">
        <w:rPr>
          <w:rFonts w:cs="Arial"/>
          <w:szCs w:val="24"/>
        </w:rPr>
        <w:t>.</w:t>
      </w:r>
      <w:r w:rsidR="00B94DAA" w:rsidRPr="00424BD3">
        <w:rPr>
          <w:rFonts w:cs="Arial"/>
          <w:szCs w:val="24"/>
        </w:rPr>
        <w:t xml:space="preserve"> </w:t>
      </w:r>
      <w:r w:rsidRPr="00424BD3">
        <w:rPr>
          <w:rFonts w:cs="Arial"/>
          <w:szCs w:val="24"/>
        </w:rPr>
        <w:t>Therefore, the social patterning of hea</w:t>
      </w:r>
      <w:r w:rsidR="0032757E">
        <w:rPr>
          <w:rFonts w:cs="Arial"/>
          <w:szCs w:val="24"/>
        </w:rPr>
        <w:t>l</w:t>
      </w:r>
      <w:r w:rsidRPr="00424BD3">
        <w:rPr>
          <w:rFonts w:cs="Arial"/>
          <w:szCs w:val="24"/>
        </w:rPr>
        <w:t xml:space="preserve">th must be recognized as an interactional and intersectional phenomenon. Individual health or </w:t>
      </w:r>
      <w:r w:rsidRPr="00424BD3">
        <w:rPr>
          <w:rFonts w:cs="Arial"/>
          <w:szCs w:val="24"/>
        </w:rPr>
        <w:lastRenderedPageBreak/>
        <w:t xml:space="preserve">mortality outcomes cannot be separated from social drivers </w:t>
      </w:r>
      <w:r w:rsidRPr="00424BD3">
        <w:rPr>
          <w:rFonts w:cs="Arial"/>
          <w:szCs w:val="24"/>
        </w:rPr>
        <w:fldChar w:fldCharType="begin"/>
      </w:r>
      <w:r w:rsidR="00990F3A">
        <w:rPr>
          <w:rFonts w:cs="Arial"/>
          <w:szCs w:val="24"/>
        </w:rPr>
        <w:instrText xml:space="preserve"> ADDIN ZOTERO_ITEM CSL_CITATION {"citationID":"kIacPGof","properties":{"formattedCitation":"(Krieger, 1994)","plainCitation":"(Krieger, 1994)","noteIndex":0},"citationItems":[{"id":905,"uris":["http://zotero.org/users/4946941/items/BFE7AEJK"],"itemData":{"id":905,"type":"article-journal","abstract":"‘Multiple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causation","volume":"39","author":[{"family":"Krieger","given":"Nancy"}],"issued":{"date-parts":[["1994",10,1]]}}}],"schema":"https://github.com/citation-style-language/schema/raw/master/csl-citation.json"} </w:instrText>
      </w:r>
      <w:r w:rsidRPr="00424BD3">
        <w:rPr>
          <w:rFonts w:cs="Arial"/>
          <w:szCs w:val="24"/>
        </w:rPr>
        <w:fldChar w:fldCharType="separate"/>
      </w:r>
      <w:r w:rsidRPr="00424BD3">
        <w:rPr>
          <w:rFonts w:cs="Arial"/>
        </w:rPr>
        <w:t>(Krieger, 1994)</w:t>
      </w:r>
      <w:r w:rsidRPr="00424BD3">
        <w:rPr>
          <w:rFonts w:cs="Arial"/>
          <w:szCs w:val="24"/>
        </w:rPr>
        <w:fldChar w:fldCharType="end"/>
      </w:r>
      <w:r w:rsidRPr="00424BD3">
        <w:rPr>
          <w:rFonts w:cs="Arial"/>
          <w:szCs w:val="24"/>
        </w:rPr>
        <w:t xml:space="preserve">, and must be accounted for when designing policies to mitigate or prevent disease and ill health. </w:t>
      </w:r>
    </w:p>
    <w:p w14:paraId="7E3AD364" w14:textId="5CA664E2" w:rsidR="008844E4" w:rsidRPr="00424BD3" w:rsidRDefault="008844E4" w:rsidP="000126EE">
      <w:pPr>
        <w:spacing w:after="0" w:line="480" w:lineRule="auto"/>
        <w:ind w:firstLine="720"/>
        <w:rPr>
          <w:rFonts w:cs="Arial"/>
          <w:szCs w:val="24"/>
        </w:rPr>
      </w:pPr>
      <w:r w:rsidRPr="00424BD3">
        <w:rPr>
          <w:rFonts w:cs="Arial"/>
          <w:szCs w:val="24"/>
        </w:rPr>
        <w:t xml:space="preserve">Of paramount importance in </w:t>
      </w:r>
      <w:r w:rsidR="008A638A" w:rsidRPr="00424BD3">
        <w:rPr>
          <w:rFonts w:cs="Arial"/>
          <w:szCs w:val="24"/>
        </w:rPr>
        <w:t>ecosocial</w:t>
      </w:r>
      <w:r w:rsidRPr="00424BD3">
        <w:rPr>
          <w:rFonts w:cs="Arial"/>
          <w:szCs w:val="24"/>
        </w:rPr>
        <w:t xml:space="preserve"> theory is Krieger’s questioning of whether equal responsibility for shaping our human environment is held by everyone across population stratifications and why certain groups of people seem to have not equally benefited from or have actually suffered harm as a result of the traditional way policies have been designed </w:t>
      </w:r>
      <w:r w:rsidRPr="00424BD3">
        <w:rPr>
          <w:rFonts w:cs="Arial"/>
          <w:szCs w:val="24"/>
        </w:rPr>
        <w:fldChar w:fldCharType="begin"/>
      </w:r>
      <w:r w:rsidR="00990F3A">
        <w:rPr>
          <w:rFonts w:cs="Arial"/>
          <w:szCs w:val="24"/>
        </w:rPr>
        <w:instrText xml:space="preserve"> ADDIN ZOTERO_ITEM CSL_CITATION {"citationID":"GedQU3e2","properties":{"formattedCitation":"(Krieger, 1994)","plainCitation":"(Krieger, 1994)","noteIndex":0},"citationItems":[{"id":905,"uris":["http://zotero.org/users/4946941/items/BFE7AEJK"],"itemData":{"id":905,"type":"article-journal","abstract":"‘Multiple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causation","volume":"39","author":[{"family":"Krieger","given":"Nancy"}],"issued":{"date-parts":[["1994",10,1]]}}}],"schema":"https://github.com/citation-style-language/schema/raw/master/csl-citation.json"} </w:instrText>
      </w:r>
      <w:r w:rsidRPr="00424BD3">
        <w:rPr>
          <w:rFonts w:cs="Arial"/>
          <w:szCs w:val="24"/>
        </w:rPr>
        <w:fldChar w:fldCharType="separate"/>
      </w:r>
      <w:r w:rsidRPr="00424BD3">
        <w:rPr>
          <w:rFonts w:cs="Arial"/>
        </w:rPr>
        <w:t>(Krieger, 1994)</w:t>
      </w:r>
      <w:r w:rsidRPr="00424BD3">
        <w:rPr>
          <w:rFonts w:cs="Arial"/>
          <w:szCs w:val="24"/>
        </w:rPr>
        <w:fldChar w:fldCharType="end"/>
      </w:r>
      <w:r w:rsidRPr="00424BD3">
        <w:rPr>
          <w:rFonts w:cs="Arial"/>
          <w:szCs w:val="24"/>
        </w:rPr>
        <w:t xml:space="preserve">. She emphasized the need for researchers and clinicians (and in her case, epidemiologists) to incorporate the social, political, and economic determinates of health in their theories of and policymaking on how to tackle health inequities, embracing ‘social production of disease’ and ‘political economy of health’ and ‘embodiment’ models for policy and intervention design </w:t>
      </w:r>
      <w:r w:rsidRPr="00424BD3">
        <w:rPr>
          <w:rFonts w:cs="Arial"/>
          <w:szCs w:val="24"/>
        </w:rPr>
        <w:fldChar w:fldCharType="begin"/>
      </w:r>
      <w:r w:rsidR="00990F3A">
        <w:rPr>
          <w:rFonts w:cs="Arial"/>
          <w:szCs w:val="24"/>
        </w:rPr>
        <w:instrText xml:space="preserve"> ADDIN ZOTERO_ITEM CSL_CITATION {"citationID":"5Eeci3v0","properties":{"formattedCitation":"(Krieger, 1994, p. 894, 2001, 2012)","plainCitation":"(Krieger, 1994, p. 894, 2001, 2012)","noteIndex":0},"citationItems":[{"id":905,"uris":["http://zotero.org/users/4946941/items/BFE7AEJK"],"itemData":{"id":905,"type":"article-journal","abstract":"‘Multiple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causation","volume":"39","author":[{"family":"Krieger","given":"Nancy"}],"issued":{"date-parts":[["1994",10,1]]}},"locator":"894"},{"id":904,"uris":["http://zotero.org/users/4946941/items/FF5NBNQJ"],"itemData":{"id":904,"type":"article-journal","abstract":"‘Both thinking and facts are changeable, if only because changes in thinking manifest themselves in changed facts. Conversely, fundamentally new facts can be discovered only through new thinking.’ Ludwick Fleck (1935) Genesis and Development of a Scientific Fact.1,pp.50–51‘Once we recognize the state of the art is a social product, we are freer to look critically at the agenda of our science, its conceptual framework, and accepted methodologies, and to make conscious research choices.’ Richard Levins and Richard Lewontin (1987) The Dialectical Biologist.2,p.286","container-title":"International Journal of Epidemiology","DOI":"10.1093/ije/30.4.668","ISSN":"0300-5771","issue":"4","journalAbbreviation":"International Journal of Epidemiology","page":"668-677","source":"Silverchair","title":"Theories for social epidemiology in the 21st century: an ecosocial perspective","title-short":"Theories for social epidemiology in the 21st century","volume":"30","author":[{"family":"Krieger","given":"Nancy"}],"issued":{"date-parts":[["2001",8,1]]}}},{"id":897,"uris":["http://zotero.org/users/4946941/items/S62TE74T"],"itemData":{"id":897,"type":"article-journal","container-title":"American Journal of Public Health","issue":"5","page":"936-944","title":"Methods for the Scientific Study of Discrimination and Health: An Ecosocial Approach","volume":"102","author":[{"family":"Krieger","given":"Nancy"}],"issued":{"date-parts":[["2012"]]}}}],"schema":"https://github.com/citation-style-language/schema/raw/master/csl-citation.json"} </w:instrText>
      </w:r>
      <w:r w:rsidRPr="00424BD3">
        <w:rPr>
          <w:rFonts w:cs="Arial"/>
          <w:szCs w:val="24"/>
        </w:rPr>
        <w:fldChar w:fldCharType="separate"/>
      </w:r>
      <w:r w:rsidRPr="00424BD3">
        <w:rPr>
          <w:rFonts w:cs="Arial"/>
        </w:rPr>
        <w:t>(Krieger, 1994, p. 894, 2001, 2012)</w:t>
      </w:r>
      <w:r w:rsidRPr="00424BD3">
        <w:rPr>
          <w:rFonts w:cs="Arial"/>
          <w:szCs w:val="24"/>
        </w:rPr>
        <w:fldChar w:fldCharType="end"/>
      </w:r>
      <w:r w:rsidRPr="00424BD3">
        <w:rPr>
          <w:rFonts w:cs="Arial"/>
          <w:szCs w:val="24"/>
        </w:rPr>
        <w:t>. This includes recognizing intersectional social determinants / drivers of health, such as socioeconomic status, race, ethnicity, and gender, which, at the time of the writing of Krieger’s paper, were still not equally represented in research, policy</w:t>
      </w:r>
      <w:r w:rsidR="00AE3429">
        <w:rPr>
          <w:rFonts w:cs="Arial"/>
          <w:szCs w:val="24"/>
        </w:rPr>
        <w:t>,</w:t>
      </w:r>
      <w:r w:rsidRPr="00424BD3">
        <w:rPr>
          <w:rFonts w:cs="Arial"/>
          <w:szCs w:val="24"/>
        </w:rPr>
        <w:t xml:space="preserve"> or healthcare decision-making. It also reject</w:t>
      </w:r>
      <w:r w:rsidR="006C4F44" w:rsidRPr="00424BD3">
        <w:rPr>
          <w:rFonts w:cs="Arial"/>
          <w:szCs w:val="24"/>
        </w:rPr>
        <w:t>s</w:t>
      </w:r>
      <w:r w:rsidRPr="00424BD3">
        <w:rPr>
          <w:rFonts w:cs="Arial"/>
          <w:szCs w:val="24"/>
        </w:rPr>
        <w:t xml:space="preserve"> theories of </w:t>
      </w:r>
      <w:r w:rsidR="000110AE" w:rsidRPr="00424BD3">
        <w:rPr>
          <w:rFonts w:cs="Arial"/>
          <w:szCs w:val="24"/>
        </w:rPr>
        <w:t>health</w:t>
      </w:r>
      <w:r w:rsidRPr="00424BD3">
        <w:rPr>
          <w:rFonts w:cs="Arial"/>
          <w:szCs w:val="24"/>
        </w:rPr>
        <w:t xml:space="preserve"> behavior as a sole causal factor, and rejects perpetuating the norms of research and policymaking focus and language on white, male health outcomes. </w:t>
      </w:r>
    </w:p>
    <w:p w14:paraId="31CCB032" w14:textId="40367E7D" w:rsidR="008844E4" w:rsidRDefault="008A638A" w:rsidP="002C39E2">
      <w:pPr>
        <w:spacing w:after="0" w:line="480" w:lineRule="auto"/>
        <w:ind w:firstLine="720"/>
        <w:rPr>
          <w:rFonts w:cs="Arial"/>
          <w:szCs w:val="24"/>
        </w:rPr>
      </w:pPr>
      <w:r w:rsidRPr="00424BD3">
        <w:rPr>
          <w:rFonts w:cs="Arial"/>
          <w:szCs w:val="24"/>
        </w:rPr>
        <w:t>Ecosocial</w:t>
      </w:r>
      <w:r w:rsidR="008844E4" w:rsidRPr="00424BD3">
        <w:rPr>
          <w:rFonts w:cs="Arial"/>
          <w:szCs w:val="24"/>
        </w:rPr>
        <w:t xml:space="preserve"> theory is an action-based theory and has established a paradigm by which policymakers, clinicians, health researchers, practitioners, and health activists and advocates are called to challenge the injustices brought about by health inequities </w:t>
      </w:r>
      <w:r w:rsidR="008844E4" w:rsidRPr="00424BD3">
        <w:rPr>
          <w:rFonts w:cs="Arial"/>
          <w:szCs w:val="24"/>
        </w:rPr>
        <w:fldChar w:fldCharType="begin"/>
      </w:r>
      <w:r w:rsidR="00990F3A">
        <w:rPr>
          <w:rFonts w:cs="Arial"/>
          <w:szCs w:val="24"/>
        </w:rPr>
        <w:instrText xml:space="preserve"> ADDIN ZOTERO_ITEM CSL_CITATION {"citationID":"F5pLe0a2","properties":{"formattedCitation":"(Krieger, 2012)","plainCitation":"(Krieger, 2012)","noteIndex":0},"citationItems":[{"id":897,"uris":["http://zotero.org/users/4946941/items/S62TE74T"],"itemData":{"id":897,"type":"article-journal","container-title":"American Journal of Public Health","issue":"5","page":"936-944","title":"Methods for the Scientific Study of Discrimination and Health: An Ecosocial Approach","volume":"102","author":[{"family":"Krieger","given":"Nancy"}],"issued":{"date-parts":[["2012"]]}}}],"schema":"https://github.com/citation-style-language/schema/raw/master/csl-citation.json"} </w:instrText>
      </w:r>
      <w:r w:rsidR="008844E4" w:rsidRPr="00424BD3">
        <w:rPr>
          <w:rFonts w:cs="Arial"/>
          <w:szCs w:val="24"/>
        </w:rPr>
        <w:fldChar w:fldCharType="separate"/>
      </w:r>
      <w:r w:rsidR="008844E4" w:rsidRPr="00424BD3">
        <w:rPr>
          <w:rFonts w:cs="Arial"/>
        </w:rPr>
        <w:t>(Krieger, 2012)</w:t>
      </w:r>
      <w:r w:rsidR="008844E4" w:rsidRPr="00424BD3">
        <w:rPr>
          <w:rFonts w:cs="Arial"/>
          <w:szCs w:val="24"/>
        </w:rPr>
        <w:fldChar w:fldCharType="end"/>
      </w:r>
      <w:r w:rsidR="008844E4" w:rsidRPr="00424BD3">
        <w:rPr>
          <w:rFonts w:cs="Arial"/>
          <w:szCs w:val="24"/>
        </w:rPr>
        <w:t>. It has become the basis of much community health inequities advocacy work across the globe, from the Sp</w:t>
      </w:r>
      <w:r w:rsidR="00AE3429">
        <w:rPr>
          <w:rFonts w:cs="Arial"/>
          <w:szCs w:val="24"/>
        </w:rPr>
        <w:t>i</w:t>
      </w:r>
      <w:r w:rsidR="008844E4" w:rsidRPr="00424BD3">
        <w:rPr>
          <w:rFonts w:cs="Arial"/>
          <w:szCs w:val="24"/>
        </w:rPr>
        <w:t>ritof1848 group established by Krieger herself</w:t>
      </w:r>
      <w:r w:rsidR="008844E4" w:rsidRPr="00846A04">
        <w:rPr>
          <w:rStyle w:val="FootnoteReference"/>
        </w:rPr>
        <w:footnoteReference w:id="4"/>
      </w:r>
      <w:r w:rsidR="008844E4" w:rsidRPr="00424BD3">
        <w:rPr>
          <w:rFonts w:cs="Arial"/>
          <w:szCs w:val="24"/>
        </w:rPr>
        <w:t xml:space="preserve"> </w:t>
      </w:r>
      <w:r w:rsidR="008844E4" w:rsidRPr="00424BD3">
        <w:rPr>
          <w:rFonts w:cs="Arial"/>
          <w:szCs w:val="24"/>
        </w:rPr>
        <w:lastRenderedPageBreak/>
        <w:t>which connects health inequities scholars, activists, and clinicians for cross-working purposes, to the monumental current U.S. health justice work of Reverend Dr. William J. Barber II and Reverend Dr. Liz Theoharis and their teams at Repairers of the Breach and the Poor People’s Campaign.</w:t>
      </w:r>
      <w:r w:rsidR="008844E4" w:rsidRPr="00846A04">
        <w:rPr>
          <w:rStyle w:val="FootnoteReference"/>
        </w:rPr>
        <w:footnoteReference w:id="5"/>
      </w:r>
      <w:r w:rsidR="008844E4" w:rsidRPr="00424BD3">
        <w:rPr>
          <w:rFonts w:cs="Arial"/>
          <w:szCs w:val="24"/>
        </w:rPr>
        <w:t xml:space="preserve"> </w:t>
      </w:r>
      <w:r w:rsidRPr="00424BD3">
        <w:rPr>
          <w:rFonts w:cs="Arial"/>
          <w:szCs w:val="24"/>
        </w:rPr>
        <w:t>Ecosocial</w:t>
      </w:r>
      <w:r w:rsidR="008844E4" w:rsidRPr="00424BD3">
        <w:rPr>
          <w:rFonts w:cs="Arial"/>
          <w:szCs w:val="24"/>
        </w:rPr>
        <w:t xml:space="preserve"> theory encapsulates much of what this study entails, particularly the interconnected and intersectional lifespan experiences of older women’s health inequities and mortality outcomes. Therefore, it is the primary theoretical framework on which this dissertation is built. </w:t>
      </w:r>
    </w:p>
    <w:p w14:paraId="06DACC83" w14:textId="46C77333" w:rsidR="002C39E2" w:rsidRPr="000C496E" w:rsidRDefault="002C39E2" w:rsidP="000C496E">
      <w:pPr>
        <w:pStyle w:val="Heading2"/>
        <w:spacing w:before="0" w:line="480" w:lineRule="auto"/>
        <w:jc w:val="center"/>
        <w:rPr>
          <w:rFonts w:cs="Arial"/>
          <w:b/>
          <w:bCs/>
          <w:color w:val="auto"/>
          <w:szCs w:val="24"/>
        </w:rPr>
      </w:pPr>
      <w:bookmarkStart w:id="28" w:name="_Toc118232298"/>
      <w:r w:rsidRPr="000C496E">
        <w:rPr>
          <w:rFonts w:ascii="Arial" w:hAnsi="Arial" w:cs="Arial"/>
          <w:b/>
          <w:bCs/>
          <w:color w:val="auto"/>
          <w:sz w:val="24"/>
          <w:szCs w:val="24"/>
        </w:rPr>
        <w:t>Health Literacy</w:t>
      </w:r>
      <w:bookmarkEnd w:id="28"/>
    </w:p>
    <w:p w14:paraId="30A3D49A" w14:textId="28B20B89" w:rsidR="002C39E2" w:rsidRPr="00424BD3" w:rsidRDefault="002C39E2" w:rsidP="002C39E2">
      <w:pPr>
        <w:spacing w:after="0" w:line="480" w:lineRule="auto"/>
        <w:ind w:firstLine="720"/>
        <w:rPr>
          <w:rFonts w:eastAsia="Arial" w:cs="Arial"/>
          <w:szCs w:val="24"/>
        </w:rPr>
      </w:pPr>
      <w:r w:rsidRPr="00424BD3">
        <w:rPr>
          <w:rFonts w:eastAsia="Arial" w:cs="Arial"/>
          <w:szCs w:val="24"/>
        </w:rPr>
        <w:t xml:space="preserve">Health literacy, a social determinant of health itself, is associated with a number health indicators that impact health outcomes and status, including access, diagnosis and screening, medication adherence, and communication between clinician and patient </w:t>
      </w:r>
      <w:r w:rsidRPr="00424BD3">
        <w:rPr>
          <w:rFonts w:eastAsia="Arial" w:cs="Arial"/>
          <w:szCs w:val="24"/>
        </w:rPr>
        <w:fldChar w:fldCharType="begin"/>
      </w:r>
      <w:r w:rsidR="00990F3A">
        <w:rPr>
          <w:rFonts w:eastAsia="Arial" w:cs="Arial"/>
          <w:szCs w:val="24"/>
        </w:rPr>
        <w:instrText xml:space="preserve"> ADDIN ZOTERO_ITEM CSL_CITATION {"citationID":"OBKyIbyG","properties":{"formattedCitation":"(Dadaczynski et al., 2022; Malen et al., 2016)","plainCitation":"(Dadaczynski et al., 2022; Malen et al., 2016)","noteIndex":0},"citationItems":[{"id":1231,"uris":["http://zotero.org/users/4946941/items/QFDDX8RT"],"itemData":{"id":1231,"type":"article-journal","container-title":"Frontiers in Public Health","DOI":"10.3389/fpubh.2022.897717","ISSN":"2296-2565","journalAbbreviation":"Front. Public Health","page":"897717","source":"DOI.org (Crossref)","title":"Editorial: The Social-Ecological Context of Health Literacy","title-short":"Editorial","volume":"10","author":[{"family":"Dadaczynski","given":"Kevin"},{"family":"Sykes","given":"Susie"},{"family":"Bíró","given":"Éva"},{"family":"Kósa","given":"Karolina"}],"issued":{"date-parts":[["2022",4,26]]}}},{"id":1002,"uris":["http://zotero.org/users/4946941/items/9AMZIDBA"],"itemData":{"id":1002,"type":"article-journal","abstract":"Disseminating the results of transdisciplinary health disparities research will increasingly involve discussing family health history and/or genetic information with study participants and their communities. Often, individuals’ familiarity and comfort with these topics will be unclear. To inform the dissemination activities of a Center for Population Health and Health Disparities (CPHHD) studying multilevel determinants of breast cancer disparities in Latinas, we talked with Spanish-speaking Mexican-Americans from a rural agricultural community about family health history, genetics, and disease risk. We found that participants had limited genetic literacy but were familiar with some concepts related to family health history. Participants emphasized the role of individual behavior in shaping health and expressed a strong desire for health-related information. This included genetic information about future disease risk, which participants were previously unaware of but thought could be useful for disease prevention. These findings suggest that for research dissemination to facilitate health promotion, gaps in knowledge, particularly genetic knowledge, will need to be overcome. Outreach to underserved Latino communities should take advantage of this existing knowledge of family health history and strong desire for health information, but also take care to not overstate the significance of unreplicated or low-penetrance genetic associations.","container-title":"Journal of Community Genetics","DOI":"10.1007/s12687-015-0245-1","ISSN":"1868-6001","issue":"1","journalAbbreviation":"J Community Genet","language":"en","page":"91-96","source":"Springer Link","title":"Rural Mexican-Americans’ perceptions of family health history, genetics, and disease risk: implications for disparities-focused research dissemination","title-short":"Rural Mexican-Americans’ perceptions of family health history, genetics, and disease risk","volume":"7","author":[{"family":"Malen","given":"Rachel"},{"family":"Knerr","given":"Sarah"},{"family":"Delgado","given":"Fernanda"},{"family":"Fullerton","given":"Stephanie M."},{"family":"Thompson","given":"Beti"}],"issued":{"date-parts":[["2016",1,1]]}}}],"schema":"https://github.com/citation-style-language/schema/raw/master/csl-citation.json"} </w:instrText>
      </w:r>
      <w:r w:rsidRPr="00424BD3">
        <w:rPr>
          <w:rFonts w:eastAsia="Arial" w:cs="Arial"/>
          <w:szCs w:val="24"/>
        </w:rPr>
        <w:fldChar w:fldCharType="separate"/>
      </w:r>
      <w:r w:rsidRPr="00424BD3">
        <w:rPr>
          <w:rFonts w:cs="Arial"/>
        </w:rPr>
        <w:t>(Dadaczynski et al., 2022; Malen et al., 2016)</w:t>
      </w:r>
      <w:r w:rsidRPr="00424BD3">
        <w:rPr>
          <w:rFonts w:eastAsia="Arial" w:cs="Arial"/>
          <w:szCs w:val="24"/>
        </w:rPr>
        <w:fldChar w:fldCharType="end"/>
      </w:r>
      <w:r w:rsidRPr="00424BD3">
        <w:rPr>
          <w:rFonts w:eastAsia="Arial" w:cs="Arial"/>
          <w:szCs w:val="24"/>
        </w:rPr>
        <w:t xml:space="preserve">. Low health literacy is correlated with low participant uptake across a range of health services. </w:t>
      </w:r>
      <w:r w:rsidRPr="00424BD3">
        <w:rPr>
          <w:rFonts w:eastAsia="Arial" w:cs="Arial"/>
          <w:szCs w:val="24"/>
        </w:rPr>
        <w:fldChar w:fldCharType="begin"/>
      </w:r>
      <w:r w:rsidR="00990F3A">
        <w:rPr>
          <w:rFonts w:eastAsia="Arial" w:cs="Arial"/>
          <w:szCs w:val="24"/>
        </w:rPr>
        <w:instrText xml:space="preserve"> ADDIN ZOTERO_ITEM CSL_CITATION {"citationID":"TAJ0jSGI","properties":{"formattedCitation":"(Dadaczynski et al., 2022)","plainCitation":"(Dadaczynski et al., 2022)","noteIndex":0},"citationItems":[{"id":1231,"uris":["http://zotero.org/users/4946941/items/QFDDX8RT"],"itemData":{"id":1231,"type":"article-journal","container-title":"Frontiers in Public Health","DOI":"10.3389/fpubh.2022.897717","ISSN":"2296-2565","journalAbbreviation":"Front. Public Health","page":"897717","source":"DOI.org (Crossref)","title":"Editorial: The Social-Ecological Context of Health Literacy","title-short":"Editorial","volume":"10","author":[{"family":"Dadaczynski","given":"Kevin"},{"family":"Sykes","given":"Susie"},{"family":"Bíró","given":"Éva"},{"family":"Kósa","given":"Karolina"}],"issued":{"date-parts":[["2022",4,26]]}}}],"schema":"https://github.com/citation-style-language/schema/raw/master/csl-citation.json"} </w:instrText>
      </w:r>
      <w:r w:rsidRPr="00424BD3">
        <w:rPr>
          <w:rFonts w:eastAsia="Arial" w:cs="Arial"/>
          <w:szCs w:val="24"/>
        </w:rPr>
        <w:fldChar w:fldCharType="separate"/>
      </w:r>
      <w:r w:rsidRPr="00424BD3">
        <w:rPr>
          <w:rFonts w:cs="Arial"/>
        </w:rPr>
        <w:t>(Dadaczynski et al., 2022)</w:t>
      </w:r>
      <w:r w:rsidRPr="00424BD3">
        <w:rPr>
          <w:rFonts w:eastAsia="Arial" w:cs="Arial"/>
          <w:szCs w:val="24"/>
        </w:rPr>
        <w:fldChar w:fldCharType="end"/>
      </w:r>
      <w:r w:rsidRPr="00424BD3">
        <w:rPr>
          <w:rFonts w:eastAsia="Arial" w:cs="Arial"/>
          <w:szCs w:val="24"/>
        </w:rPr>
        <w:t>. Health literacy, at a population-level approach is an ecosocial matter, bringing the focus from traditionally individual-level to community, regional, state</w:t>
      </w:r>
      <w:r w:rsidR="0049377B">
        <w:rPr>
          <w:rFonts w:eastAsia="Arial" w:cs="Arial"/>
          <w:szCs w:val="24"/>
        </w:rPr>
        <w:t>,</w:t>
      </w:r>
      <w:r w:rsidRPr="00424BD3">
        <w:rPr>
          <w:rFonts w:eastAsia="Arial" w:cs="Arial"/>
          <w:szCs w:val="24"/>
        </w:rPr>
        <w:t xml:space="preserve"> or national level (mu</w:t>
      </w:r>
      <w:r w:rsidR="005A49E9">
        <w:rPr>
          <w:rFonts w:eastAsia="Arial" w:cs="Arial"/>
          <w:szCs w:val="24"/>
        </w:rPr>
        <w:t>l</w:t>
      </w:r>
      <w:r w:rsidRPr="00424BD3">
        <w:rPr>
          <w:rFonts w:eastAsia="Arial" w:cs="Arial"/>
          <w:szCs w:val="24"/>
        </w:rPr>
        <w:t xml:space="preserve">ti-spatial) </w:t>
      </w:r>
      <w:r w:rsidRPr="00424BD3">
        <w:rPr>
          <w:rFonts w:eastAsia="Arial" w:cs="Arial"/>
          <w:szCs w:val="24"/>
        </w:rPr>
        <w:fldChar w:fldCharType="begin"/>
      </w:r>
      <w:r w:rsidR="00990F3A">
        <w:rPr>
          <w:rFonts w:eastAsia="Arial" w:cs="Arial"/>
          <w:szCs w:val="24"/>
        </w:rPr>
        <w:instrText xml:space="preserve"> ADDIN ZOTERO_ITEM CSL_CITATION {"citationID":"EBknUenX","properties":{"formattedCitation":"(Dadaczynski et al., 2022)","plainCitation":"(Dadaczynski et al., 2022)","noteIndex":0},"citationItems":[{"id":1231,"uris":["http://zotero.org/users/4946941/items/QFDDX8RT"],"itemData":{"id":1231,"type":"article-journal","container-title":"Frontiers in Public Health","DOI":"10.3389/fpubh.2022.897717","ISSN":"2296-2565","journalAbbreviation":"Front. Public Health","page":"897717","source":"DOI.org (Crossref)","title":"Editorial: The Social-Ecological Context of Health Literacy","title-short":"Editorial","volume":"10","author":[{"family":"Dadaczynski","given":"Kevin"},{"family":"Sykes","given":"Susie"},{"family":"Bíró","given":"Éva"},{"family":"Kósa","given":"Karolina"}],"issued":{"date-parts":[["2022",4,26]]}}}],"schema":"https://github.com/citation-style-language/schema/raw/master/csl-citation.json"} </w:instrText>
      </w:r>
      <w:r w:rsidRPr="00424BD3">
        <w:rPr>
          <w:rFonts w:eastAsia="Arial" w:cs="Arial"/>
          <w:szCs w:val="24"/>
        </w:rPr>
        <w:fldChar w:fldCharType="separate"/>
      </w:r>
      <w:r w:rsidRPr="00424BD3">
        <w:rPr>
          <w:rFonts w:cs="Arial"/>
        </w:rPr>
        <w:t>(Dadaczynski et al., 2022)</w:t>
      </w:r>
      <w:r w:rsidRPr="00424BD3">
        <w:rPr>
          <w:rFonts w:eastAsia="Arial" w:cs="Arial"/>
          <w:szCs w:val="24"/>
        </w:rPr>
        <w:fldChar w:fldCharType="end"/>
      </w:r>
      <w:r w:rsidRPr="00424BD3">
        <w:rPr>
          <w:rFonts w:eastAsia="Arial" w:cs="Arial"/>
          <w:szCs w:val="24"/>
        </w:rPr>
        <w:t>. Ecosocial theory and social ecological approaches situate these experiences at meso and macro-levels in addition to micro</w:t>
      </w:r>
      <w:r w:rsidR="00903CE6">
        <w:rPr>
          <w:rFonts w:eastAsia="Arial" w:cs="Arial"/>
          <w:szCs w:val="24"/>
        </w:rPr>
        <w:t xml:space="preserve"> </w:t>
      </w:r>
      <w:r w:rsidRPr="00424BD3">
        <w:rPr>
          <w:rFonts w:eastAsia="Arial" w:cs="Arial"/>
          <w:szCs w:val="24"/>
        </w:rPr>
        <w:t>/</w:t>
      </w:r>
      <w:r w:rsidR="00903CE6">
        <w:rPr>
          <w:rFonts w:eastAsia="Arial" w:cs="Arial"/>
          <w:szCs w:val="24"/>
        </w:rPr>
        <w:t xml:space="preserve"> </w:t>
      </w:r>
      <w:r w:rsidRPr="00424BD3">
        <w:rPr>
          <w:rFonts w:eastAsia="Arial" w:cs="Arial"/>
          <w:szCs w:val="24"/>
        </w:rPr>
        <w:t xml:space="preserve">individual levels. This allows us to understand the wider context of how women with lived experiences across very different states, but within one country, </w:t>
      </w:r>
      <w:r w:rsidR="003B269D">
        <w:rPr>
          <w:rFonts w:eastAsia="Arial" w:cs="Arial"/>
          <w:szCs w:val="24"/>
        </w:rPr>
        <w:t>may or may not</w:t>
      </w:r>
      <w:r w:rsidRPr="00424BD3">
        <w:rPr>
          <w:rFonts w:eastAsia="Arial" w:cs="Arial"/>
          <w:szCs w:val="24"/>
        </w:rPr>
        <w:t xml:space="preserve"> respond similarly to one another regarding </w:t>
      </w:r>
      <w:r w:rsidR="003B269D">
        <w:rPr>
          <w:rFonts w:eastAsia="Arial" w:cs="Arial"/>
          <w:szCs w:val="24"/>
        </w:rPr>
        <w:t>health inequities</w:t>
      </w:r>
      <w:r w:rsidRPr="00424BD3">
        <w:rPr>
          <w:rFonts w:eastAsia="Arial" w:cs="Arial"/>
          <w:szCs w:val="24"/>
        </w:rPr>
        <w:t xml:space="preserve"> </w:t>
      </w:r>
      <w:r w:rsidRPr="00424BD3">
        <w:rPr>
          <w:rFonts w:eastAsia="Arial" w:cs="Arial"/>
          <w:szCs w:val="24"/>
        </w:rPr>
        <w:fldChar w:fldCharType="begin"/>
      </w:r>
      <w:r w:rsidR="00990F3A">
        <w:rPr>
          <w:rFonts w:eastAsia="Arial" w:cs="Arial"/>
          <w:szCs w:val="24"/>
        </w:rPr>
        <w:instrText xml:space="preserve"> ADDIN ZOTERO_ITEM CSL_CITATION {"citationID":"v645IkY4","properties":{"formattedCitation":"(Ross et al., 2009)","plainCitation":"(Ross et al., 2009)","noteIndex":0},"citationItems":[{"id":1230,"uris":["http://zotero.org/users/4946941/items/EXQMTL75"],"itemData":{"id":1230,"type":"article-journal","abstract":"2 ___________________________________________________________ ABSTRACT Health literacy, from a reductionistic standpoint, could be viewed as a complement of individual skills needed to process and act on health information. However, such a limited perspective unnecessarily removes the individual from the broader array of social forces that influence health. Indeed, an ecological approach provides the contextualization needed to identify individuals with varying degrees of health literacy and construct long-term solutions to reduce the adverse health consequences of poor health literacy. The dearth of evidence-based outcomes data on health literacy interventions confirms the limitations of strategies that are not based on an ecological framework. A more reasoned approach to improving health literacy embraces the ecological model when designing interventions and employs theory-based logic models to facilitate actualization of the comprehensive model. Adopting an integrated behavioral health theory that operationalizes constructs of perceived benefits and threats, self-efficacy and social norms, along with broader social planning theory, could result in a powerful tool to design effective multilevel interventions to improve health literacy. The currently limited empirical data on the application of theory-based logic models to health literacy lends urgency to such a rigorous analysis, especially given the dramatic personal, economic, and health systems impact of poor health literacy. Efforts to improve health literacy in Missouri were guided by the adoption of a theory-based logic model and informed by a multidisciplinary team of community and academic stakeholders familiar with ecologic models. This paper outlines the series of efforts that culminated in the creation of the Health Literacy Missouri Initiative, which has been tasked to strengthen the evidence base for health literacy, improve health literacy through education and community collaboration, and create systemic change in the health system starting at the patient-provider interface. We immediately appreciated the universality of the resulting model, inherent in the precept that health literacy is woven into the fabric of good health; adorned by the group, not the individual.","source":"ResearchGate","title":"A Theory-Based Approach to Improving Health Literacy","author":[{"family":"Ross","given":"Will"},{"family":"Ph","given":"Maryam"},{"family":"Culbert","given":"Arthur"},{"family":"Gasper","given":"Charles"},{"family":"Kimmey","given":"James"},{"family":"Ross","given":"M"}],"issued":{"date-parts":[["2009",1,1]]}}}],"schema":"https://github.com/citation-style-language/schema/raw/master/csl-citation.json"} </w:instrText>
      </w:r>
      <w:r w:rsidRPr="00424BD3">
        <w:rPr>
          <w:rFonts w:eastAsia="Arial" w:cs="Arial"/>
          <w:szCs w:val="24"/>
        </w:rPr>
        <w:fldChar w:fldCharType="separate"/>
      </w:r>
      <w:r w:rsidRPr="00424BD3">
        <w:rPr>
          <w:rFonts w:cs="Arial"/>
        </w:rPr>
        <w:t>(Ross et al., 2009)</w:t>
      </w:r>
      <w:r w:rsidRPr="00424BD3">
        <w:rPr>
          <w:rFonts w:eastAsia="Arial" w:cs="Arial"/>
          <w:szCs w:val="24"/>
        </w:rPr>
        <w:fldChar w:fldCharType="end"/>
      </w:r>
      <w:r w:rsidRPr="00424BD3">
        <w:rPr>
          <w:rFonts w:eastAsia="Arial" w:cs="Arial"/>
          <w:szCs w:val="24"/>
        </w:rPr>
        <w:t xml:space="preserve">. </w:t>
      </w:r>
    </w:p>
    <w:p w14:paraId="1490343A" w14:textId="5D6D667F" w:rsidR="008844E4" w:rsidRPr="00424BD3" w:rsidRDefault="008844E4" w:rsidP="000126EE">
      <w:pPr>
        <w:pStyle w:val="Heading2"/>
        <w:spacing w:before="0" w:line="480" w:lineRule="auto"/>
        <w:jc w:val="center"/>
        <w:rPr>
          <w:rFonts w:ascii="Arial" w:hAnsi="Arial" w:cs="Arial"/>
          <w:b/>
          <w:bCs/>
          <w:color w:val="auto"/>
          <w:sz w:val="24"/>
          <w:szCs w:val="24"/>
        </w:rPr>
      </w:pPr>
      <w:bookmarkStart w:id="29" w:name="_Toc118232299"/>
      <w:r w:rsidRPr="00424BD3">
        <w:rPr>
          <w:rFonts w:ascii="Arial" w:hAnsi="Arial" w:cs="Arial"/>
          <w:b/>
          <w:bCs/>
          <w:color w:val="auto"/>
          <w:sz w:val="24"/>
          <w:szCs w:val="24"/>
        </w:rPr>
        <w:lastRenderedPageBreak/>
        <w:t>Social Norming and Health Narratives</w:t>
      </w:r>
      <w:bookmarkEnd w:id="29"/>
    </w:p>
    <w:p w14:paraId="7B30422D" w14:textId="4CA31E87" w:rsidR="008844E4" w:rsidRPr="00424BD3" w:rsidRDefault="008844E4" w:rsidP="000126EE">
      <w:pPr>
        <w:pStyle w:val="Heading3"/>
        <w:spacing w:before="0" w:line="480" w:lineRule="auto"/>
        <w:rPr>
          <w:rFonts w:ascii="Arial" w:hAnsi="Arial" w:cs="Arial"/>
          <w:b/>
          <w:bCs/>
          <w:i/>
          <w:iCs/>
          <w:color w:val="auto"/>
        </w:rPr>
      </w:pPr>
      <w:bookmarkStart w:id="30" w:name="_Toc118232300"/>
      <w:r w:rsidRPr="00424BD3">
        <w:rPr>
          <w:rFonts w:ascii="Arial" w:hAnsi="Arial" w:cs="Arial"/>
          <w:b/>
          <w:bCs/>
          <w:i/>
          <w:iCs/>
          <w:color w:val="auto"/>
        </w:rPr>
        <w:t xml:space="preserve">Social </w:t>
      </w:r>
      <w:r w:rsidR="00E34BD9">
        <w:rPr>
          <w:rFonts w:ascii="Arial" w:hAnsi="Arial" w:cs="Arial"/>
          <w:b/>
          <w:bCs/>
          <w:i/>
          <w:iCs/>
          <w:color w:val="auto"/>
        </w:rPr>
        <w:t>N</w:t>
      </w:r>
      <w:r w:rsidRPr="00424BD3">
        <w:rPr>
          <w:rFonts w:ascii="Arial" w:hAnsi="Arial" w:cs="Arial"/>
          <w:b/>
          <w:bCs/>
          <w:i/>
          <w:iCs/>
          <w:color w:val="auto"/>
        </w:rPr>
        <w:t xml:space="preserve">orming of </w:t>
      </w:r>
      <w:r w:rsidR="00E34BD9">
        <w:rPr>
          <w:rFonts w:ascii="Arial" w:hAnsi="Arial" w:cs="Arial"/>
          <w:b/>
          <w:bCs/>
          <w:i/>
          <w:iCs/>
          <w:color w:val="auto"/>
        </w:rPr>
        <w:t>O</w:t>
      </w:r>
      <w:r w:rsidRPr="00424BD3">
        <w:rPr>
          <w:rFonts w:ascii="Arial" w:hAnsi="Arial" w:cs="Arial"/>
          <w:b/>
          <w:bCs/>
          <w:i/>
          <w:iCs/>
          <w:color w:val="auto"/>
        </w:rPr>
        <w:t xml:space="preserve">lder </w:t>
      </w:r>
      <w:r w:rsidR="00E34BD9">
        <w:rPr>
          <w:rFonts w:ascii="Arial" w:hAnsi="Arial" w:cs="Arial"/>
          <w:b/>
          <w:bCs/>
          <w:i/>
          <w:iCs/>
          <w:color w:val="auto"/>
        </w:rPr>
        <w:t>W</w:t>
      </w:r>
      <w:r w:rsidRPr="00424BD3">
        <w:rPr>
          <w:rFonts w:ascii="Arial" w:hAnsi="Arial" w:cs="Arial"/>
          <w:b/>
          <w:bCs/>
          <w:i/>
          <w:iCs/>
          <w:color w:val="auto"/>
        </w:rPr>
        <w:t xml:space="preserve">omen and </w:t>
      </w:r>
      <w:r w:rsidR="00E34BD9">
        <w:rPr>
          <w:rFonts w:ascii="Arial" w:hAnsi="Arial" w:cs="Arial"/>
          <w:b/>
          <w:bCs/>
          <w:i/>
          <w:iCs/>
          <w:color w:val="auto"/>
        </w:rPr>
        <w:t>H</w:t>
      </w:r>
      <w:r w:rsidRPr="00424BD3">
        <w:rPr>
          <w:rFonts w:ascii="Arial" w:hAnsi="Arial" w:cs="Arial"/>
          <w:b/>
          <w:bCs/>
          <w:i/>
          <w:iCs/>
          <w:color w:val="auto"/>
        </w:rPr>
        <w:t>ealth</w:t>
      </w:r>
      <w:bookmarkEnd w:id="30"/>
    </w:p>
    <w:p w14:paraId="735FB629" w14:textId="68252608" w:rsidR="008844E4" w:rsidRPr="00424BD3" w:rsidRDefault="008844E4" w:rsidP="000126EE">
      <w:pPr>
        <w:spacing w:after="0" w:line="480" w:lineRule="auto"/>
        <w:ind w:firstLine="720"/>
        <w:rPr>
          <w:rFonts w:cs="Arial"/>
          <w:szCs w:val="24"/>
        </w:rPr>
      </w:pPr>
      <w:r w:rsidRPr="00424BD3">
        <w:rPr>
          <w:rFonts w:cs="Arial"/>
          <w:szCs w:val="24"/>
        </w:rPr>
        <w:t>The social and moral norming of individual responsibility for our health has permeated the lives of people in the United States and elsewhere, including justification through codification of these norm</w:t>
      </w:r>
      <w:r w:rsidR="00251323" w:rsidRPr="00424BD3">
        <w:rPr>
          <w:rFonts w:cs="Arial"/>
          <w:szCs w:val="24"/>
        </w:rPr>
        <w:t>s</w:t>
      </w:r>
      <w:r w:rsidRPr="00424BD3">
        <w:rPr>
          <w:rFonts w:cs="Arial"/>
          <w:szCs w:val="24"/>
        </w:rPr>
        <w:t xml:space="preserve"> into legislation and policymaking </w:t>
      </w:r>
      <w:r w:rsidRPr="00424BD3">
        <w:rPr>
          <w:rFonts w:cs="Arial"/>
          <w:szCs w:val="24"/>
        </w:rPr>
        <w:fldChar w:fldCharType="begin"/>
      </w:r>
      <w:r w:rsidR="00990F3A">
        <w:rPr>
          <w:rFonts w:cs="Arial"/>
          <w:szCs w:val="24"/>
        </w:rPr>
        <w:instrText xml:space="preserve"> ADDIN ZOTERO_ITEM CSL_CITATION {"citationID":"kU3WRNCO","properties":{"formattedCitation":"(Galvin, 2002)","plainCitation":"(Galvin, 2002)","noteIndex":0},"citationItems":[{"id":893,"uris":["http://zotero.org/users/4946941/items/ZSLQCID7"],"itemData":{"id":893,"type":"article-journal","abstract":"This article seeks to demonstrate that chronic illness is increasingly being viewed as culpability in the face of known risks, an instance of moral failure that requires the intervention of a range of political technologies. I argue that, in many western nations, it is becoming less acceptable to enter and remain in a physically incapacitated state: it clashes too uncomfortably with the image of the ‘good citizen’ as someone who actively participates in social and economic life, makes rational choices and is independent, self-reliant and responsible. By engaging in a genealogical analysis of chronic illness and individual responsibility, exploring how they are placed within the framework of contemporary ‘risk-society’, employing the insights derived from recent governmentality studies and developing a case study based on the current Australian experience with health promotion and welfare reform, I investigate the ways in which the concepts of health and illness are currently being deployed as tools of ‘government’.","container-title":"Health","DOI":"10.1177/136345930200600201","ISSN":"1363-4593","issue":"2","journalAbbreviation":"Health (London)","language":"en","note":"publisher: SAGE Publications Ltd","page":"107-137","source":"SAGE Journals","title":"Disturbing Notions of Chronic Illness and Individual Responsibility: Towards a Genealogy of Morals","title-short":"Disturbing Notions of Chronic Illness and Individual Responsibility","volume":"6","author":[{"family":"Galvin","given":"Rose"}],"issued":{"date-parts":[["2002",4,1]]}}}],"schema":"https://github.com/citation-style-language/schema/raw/master/csl-citation.json"} </w:instrText>
      </w:r>
      <w:r w:rsidRPr="00424BD3">
        <w:rPr>
          <w:rFonts w:cs="Arial"/>
          <w:szCs w:val="24"/>
        </w:rPr>
        <w:fldChar w:fldCharType="separate"/>
      </w:r>
      <w:r w:rsidRPr="00424BD3">
        <w:rPr>
          <w:rFonts w:cs="Arial"/>
        </w:rPr>
        <w:t>(Galvin, 2002)</w:t>
      </w:r>
      <w:r w:rsidRPr="00424BD3">
        <w:rPr>
          <w:rFonts w:cs="Arial"/>
          <w:szCs w:val="24"/>
        </w:rPr>
        <w:fldChar w:fldCharType="end"/>
      </w:r>
      <w:r w:rsidRPr="00424BD3">
        <w:rPr>
          <w:rFonts w:cs="Arial"/>
          <w:szCs w:val="24"/>
        </w:rPr>
        <w:t xml:space="preserve">. In a country like the U.S. where distrust of government is high, shifting responsibility for health onto the individual helps to justify the alleviation of government’s responsibility for the health of its population </w:t>
      </w:r>
      <w:r w:rsidRPr="00424BD3">
        <w:rPr>
          <w:rFonts w:cs="Arial"/>
          <w:szCs w:val="24"/>
        </w:rPr>
        <w:fldChar w:fldCharType="begin"/>
      </w:r>
      <w:r w:rsidR="00990F3A">
        <w:rPr>
          <w:rFonts w:cs="Arial"/>
          <w:szCs w:val="24"/>
        </w:rPr>
        <w:instrText xml:space="preserve"> ADDIN ZOTERO_ITEM CSL_CITATION {"citationID":"2Zph7BtK","properties":{"formattedCitation":"(Hook &amp; Markus, 2020; Yoder, 2002)","plainCitation":"(Hook &amp; Markus, 2020; Yoder, 2002)","noteIndex":0},"citationItems":[{"id":889,"uris":["http://zotero.org/users/4946941/items/SDSZWP2C"],"itemData":{"id":889,"type":"article-journal","abstract":"The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cs="Arial"/>
          <w:szCs w:val="24"/>
        </w:rPr>
        <w:fldChar w:fldCharType="separate"/>
      </w:r>
      <w:r w:rsidRPr="00424BD3">
        <w:rPr>
          <w:rFonts w:cs="Arial"/>
        </w:rPr>
        <w:t>(Hook &amp; Markus, 2020; Yoder, 2002)</w:t>
      </w:r>
      <w:r w:rsidRPr="00424BD3">
        <w:rPr>
          <w:rFonts w:cs="Arial"/>
          <w:szCs w:val="24"/>
        </w:rPr>
        <w:fldChar w:fldCharType="end"/>
      </w:r>
      <w:r w:rsidRPr="00424BD3">
        <w:rPr>
          <w:rFonts w:cs="Arial"/>
          <w:szCs w:val="24"/>
        </w:rPr>
        <w:t>. In neoliberal systems, if the government is not responsible for its citizens, and individuals are, healthcare, like any other service</w:t>
      </w:r>
      <w:r w:rsidR="00251323" w:rsidRPr="00424BD3">
        <w:rPr>
          <w:rFonts w:cs="Arial"/>
          <w:szCs w:val="24"/>
        </w:rPr>
        <w:t xml:space="preserve">, </w:t>
      </w:r>
      <w:r w:rsidRPr="00424BD3">
        <w:rPr>
          <w:rFonts w:cs="Arial"/>
          <w:szCs w:val="24"/>
        </w:rPr>
        <w:t xml:space="preserve">is open to commodification and monetization </w:t>
      </w:r>
      <w:r w:rsidRPr="00424BD3">
        <w:rPr>
          <w:rFonts w:cs="Arial"/>
          <w:szCs w:val="24"/>
        </w:rPr>
        <w:fldChar w:fldCharType="begin"/>
      </w:r>
      <w:r w:rsidR="00990F3A">
        <w:rPr>
          <w:rFonts w:cs="Arial"/>
          <w:szCs w:val="24"/>
        </w:rPr>
        <w:instrText xml:space="preserve"> ADDIN ZOTERO_ITEM CSL_CITATION {"citationID":"N8P3dZw8","properties":{"formattedCitation":"(Fourcade, 2018; Sengupta et al., 2018)","plainCitation":"(Fourcade, 2018; Sengupta et al., 2018)","noteIndex":0},"citationItems":[{"id":892,"uris":["http://zotero.org/users/4946941/items/NMJRCCS5"],"itemData":{"id":892,"type":"article-journal","container-title":"The British Journal of Sociology","DOI":"10.1111/1468-4446.12352","ISSN":"00071315","issue":"3","journalAbbreviation":"Br J Sociol","language":"en","page":"868-870","source":"DOI.org (Crossref)","title":"Reich, A. Selling our Souls: The Commodification of US Hospital Care 2014 Princeton University Press 248 pp £32.95 (Hardback): Book review","title-short":"Reich, A. Selling our Souls","volume":"69","author":[{"family":"Fourcade","given":"Marion"}],"issued":{"date-parts":[["2018",9]]}}},{"id":891,"uris":["http://zotero.org/users/4946941/items/N8VEUAQ2"],"itemData":{"id":891,"type":"article-journal","abstract":"Capitalism is experiencing a prolonged crisis and is forcing structural changes in the global economic system to perpetuate its hegemony. Increasing financialization of the global economy is producing ever increasing concentration of wealth and inequity. These changes are devastating livelihoods of people across continents with many consequences on people’s health. This article analyzes the global governance for health, the social determination of health and, finally, its commodification. It highlights the need of a global mobilization of civil society to build a transnational movement able to defend health in all its aspects.","container-title":"Development","DOI":"10.1057/s41301-018-0196-z","ISSN":"1461-7072","issue":"1","journalAbbreviation":"Development","language":"en","page":"101-107","source":"Springer Link","title":"Struggles for Health: An Emancipatory Approach in the Era of Neoliberal Globalization","title-short":"Struggles for Health","volume":"61","author":[{"family":"Sengupta","given":"Amit"},{"family":"Bodini","given":"Chiara"},{"family":"Franco","given":"Sebastian"}],"issued":{"date-parts":[["2018",12,1]]}}}],"schema":"https://github.com/citation-style-language/schema/raw/master/csl-citation.json"} </w:instrText>
      </w:r>
      <w:r w:rsidRPr="00424BD3">
        <w:rPr>
          <w:rFonts w:cs="Arial"/>
          <w:szCs w:val="24"/>
        </w:rPr>
        <w:fldChar w:fldCharType="separate"/>
      </w:r>
      <w:r w:rsidRPr="00424BD3">
        <w:rPr>
          <w:rFonts w:cs="Arial"/>
        </w:rPr>
        <w:t>(Fourcade, 2018; Sengupta et al., 2018)</w:t>
      </w:r>
      <w:r w:rsidRPr="00424BD3">
        <w:rPr>
          <w:rFonts w:cs="Arial"/>
          <w:szCs w:val="24"/>
        </w:rPr>
        <w:fldChar w:fldCharType="end"/>
      </w:r>
      <w:r w:rsidRPr="00424BD3">
        <w:rPr>
          <w:rFonts w:cs="Arial"/>
          <w:szCs w:val="24"/>
        </w:rPr>
        <w:t>.</w:t>
      </w:r>
      <w:r w:rsidR="00DA205C" w:rsidRPr="00424BD3">
        <w:rPr>
          <w:rFonts w:cs="Arial"/>
          <w:szCs w:val="24"/>
        </w:rPr>
        <w:t xml:space="preserve"> </w:t>
      </w:r>
      <w:r w:rsidRPr="00424BD3">
        <w:rPr>
          <w:rFonts w:cs="Arial"/>
          <w:szCs w:val="24"/>
        </w:rPr>
        <w:t xml:space="preserve">Corporations, organizations, and insurance and care bodies determine what healthcare services are available and how much to charge, and, most importantly, who has access to </w:t>
      </w:r>
      <w:r w:rsidR="00616D07" w:rsidRPr="00424BD3">
        <w:rPr>
          <w:rFonts w:cs="Arial"/>
          <w:szCs w:val="24"/>
        </w:rPr>
        <w:t xml:space="preserve">large parts of </w:t>
      </w:r>
      <w:r w:rsidRPr="00424BD3">
        <w:rPr>
          <w:rFonts w:cs="Arial"/>
          <w:szCs w:val="24"/>
        </w:rPr>
        <w:t>healthcare</w:t>
      </w:r>
      <w:r w:rsidR="00616D07" w:rsidRPr="00424BD3">
        <w:rPr>
          <w:rFonts w:cs="Arial"/>
          <w:szCs w:val="24"/>
        </w:rPr>
        <w:t xml:space="preserve"> provision</w:t>
      </w:r>
      <w:r w:rsidRPr="00424BD3">
        <w:rPr>
          <w:rFonts w:cs="Arial"/>
          <w:szCs w:val="24"/>
        </w:rPr>
        <w:t>. In fact, some of the first large genealogical studies of family health histories were by insurance companies at the turn of the 20</w:t>
      </w:r>
      <w:r w:rsidRPr="00424BD3">
        <w:rPr>
          <w:rFonts w:cs="Arial"/>
          <w:szCs w:val="24"/>
          <w:vertAlign w:val="superscript"/>
        </w:rPr>
        <w:t>th</w:t>
      </w:r>
      <w:r w:rsidRPr="00424BD3">
        <w:rPr>
          <w:rFonts w:cs="Arial"/>
          <w:szCs w:val="24"/>
        </w:rPr>
        <w:t xml:space="preserve"> </w:t>
      </w:r>
      <w:r w:rsidR="008C7708" w:rsidRPr="00424BD3">
        <w:rPr>
          <w:rFonts w:cs="Arial"/>
          <w:szCs w:val="24"/>
        </w:rPr>
        <w:t>C</w:t>
      </w:r>
      <w:r w:rsidRPr="00424BD3">
        <w:rPr>
          <w:rFonts w:cs="Arial"/>
          <w:szCs w:val="24"/>
        </w:rPr>
        <w:t xml:space="preserve">entury in order to determine the concept of risk in insurance, and to determine whom to charge what, and to whom to deny or allow coverage </w:t>
      </w:r>
      <w:r w:rsidRPr="00424BD3">
        <w:rPr>
          <w:rFonts w:cs="Arial"/>
          <w:szCs w:val="24"/>
        </w:rPr>
        <w:fldChar w:fldCharType="begin"/>
      </w:r>
      <w:r w:rsidR="00990F3A">
        <w:rPr>
          <w:rFonts w:cs="Arial"/>
          <w:szCs w:val="24"/>
        </w:rPr>
        <w:instrText xml:space="preserve"> ADDIN ZOTERO_ITEM CSL_CITATION {"citationID":"ei1cEi3v","properties":{"formattedCitation":"(B. H. Cohen, 1964)","plainCitation":"(B. H. Cohen, 1964)","noteIndex":0},"citationItems":[{"id":890,"uris":["http://zotero.org/users/4946941/items/5XAMQ443"],"itemData":{"id":890,"type":"article-journal","abstract":"Although there has long been an idea that heredity plays an important role in the determination of life span, this concept has been \"more taken for granted than supported by exact scientific investigation.\" Since one cannot extrapolate directly from experimental organisms to man nor carry out studies of a similar nature in man, it is necessary to use the direct epidemiological approach, determining first of all whether the observed differences in mortality follow family patterns. Some of the very early, more recently published, and current family studies of life span are summarized and reviewed critically. The results of the genealogy studies, (including both large individual kinships, e.g. the Hyde family, Peirce family, etc., and the collections of genealogies, e.g. Foster's Peerage Burke's Landed Gentry, Society of Friends records, Finnish and Swedish noble and middle class families), as well as studies involving samples from special subgroups of the population (families of workingmen, nonagenarians, senescent twins, insurance applicants, etc.) appear to show various family patterns. However, the suggested positive relationships, as well as any lack of relationships, are all explicable by one bias or another involved in the selection, completeness, source, or validity of the data. The apparent explanation for the paucity of investigations of family patterns of causes of death probably resides in the fact that the same difficulties present in the longevity studies also apply to the investigation of causes of death. In addition, problems arise from the variability in diagnostic criteria and the interpretation of competing causes. Moreover, all except the current studies involve deaths occurring in the pre-antibiotic, even in the pre-public health, era. The influence of sanitary and nutritional factors and epidemic diseases in altering the life span, despite the biological potential, might be considerable. Therefore, although many data are available on family patterns of longevity and a few on causal relationships, any attempt to interpret the findings in terms of a current population is hardly feasible. In view of this situation, two studies of patterns of mortality and aging have been initiated at Johns Hopkins University. The major investigation is a Community-Based Population Study comparing the mortality experience of corresponding relatives of a sample of deaths which occured in Baltimore in 1960 and of living matched controls, in order to determine whether there are family patterns of mortality and, if so, their nature in respect to age at death and causes of death. The second and smaller investigation, designed to identify in living subjects possible indicators of family patterns of mortality, involves a special group of 500 living males who are participating in a longitudinal study of aging. Some preliminary findings of both the Community-Based Population Investigation and the Special Group Study are Presented. It is concluded that at present, despite all the recorded information and presumptive evidence, the problem of the genetic aspects of mortality and life span remains to be resolved. Large, collaborative projects both for retrospective family data analysis and for longitudinal follow-up of subjects are recommended for future study.","container-title":"The Quarterly Review of Biology","DOI":"10.1086/404164","ISSN":"0033-5770","issue":"2","note":"publisher: The University of Chicago Press","page":"130-181","source":"journals.uchicago.edu (Atypon)","title":"Family Patterns of Mortality and Life Span","volume":"39","author":[{"family":"Cohen","given":"Bernice H."}],"issued":{"date-parts":[["1964",6]]}}}],"schema":"https://github.com/citation-style-language/schema/raw/master/csl-citation.json"} </w:instrText>
      </w:r>
      <w:r w:rsidRPr="00424BD3">
        <w:rPr>
          <w:rFonts w:cs="Arial"/>
          <w:szCs w:val="24"/>
        </w:rPr>
        <w:fldChar w:fldCharType="separate"/>
      </w:r>
      <w:r w:rsidRPr="00424BD3">
        <w:rPr>
          <w:rFonts w:cs="Arial"/>
        </w:rPr>
        <w:t>(B. H. Cohen, 1964)</w:t>
      </w:r>
      <w:r w:rsidRPr="00424BD3">
        <w:rPr>
          <w:rFonts w:cs="Arial"/>
          <w:szCs w:val="24"/>
        </w:rPr>
        <w:fldChar w:fldCharType="end"/>
      </w:r>
      <w:r w:rsidRPr="00424BD3">
        <w:rPr>
          <w:rFonts w:cs="Arial"/>
          <w:szCs w:val="24"/>
        </w:rPr>
        <w:t xml:space="preserve">. If someone is sick, disabled, older, </w:t>
      </w:r>
      <w:r w:rsidR="008C7708" w:rsidRPr="00424BD3">
        <w:rPr>
          <w:rFonts w:cs="Arial"/>
          <w:szCs w:val="24"/>
        </w:rPr>
        <w:t>or has</w:t>
      </w:r>
      <w:r w:rsidRPr="00424BD3">
        <w:rPr>
          <w:rFonts w:cs="Arial"/>
          <w:szCs w:val="24"/>
        </w:rPr>
        <w:t xml:space="preserve"> a ‘bad’ </w:t>
      </w:r>
      <w:r w:rsidR="000110AE" w:rsidRPr="00424BD3">
        <w:rPr>
          <w:rFonts w:cs="Arial"/>
          <w:szCs w:val="24"/>
        </w:rPr>
        <w:t>health</w:t>
      </w:r>
      <w:r w:rsidRPr="00424BD3">
        <w:rPr>
          <w:rFonts w:cs="Arial"/>
          <w:szCs w:val="24"/>
        </w:rPr>
        <w:t xml:space="preserve"> behavior, then one is undeserving of coverage, nor should anyone else who is not sick, disabled, or participating in “bad” </w:t>
      </w:r>
      <w:r w:rsidR="000110AE" w:rsidRPr="00424BD3">
        <w:rPr>
          <w:rFonts w:cs="Arial"/>
          <w:szCs w:val="24"/>
        </w:rPr>
        <w:t>health</w:t>
      </w:r>
      <w:r w:rsidRPr="00424BD3">
        <w:rPr>
          <w:rFonts w:cs="Arial"/>
          <w:szCs w:val="24"/>
        </w:rPr>
        <w:t xml:space="preserve"> behaviors have to pay for one who is </w:t>
      </w:r>
      <w:r w:rsidRPr="00424BD3">
        <w:rPr>
          <w:rFonts w:cs="Arial"/>
          <w:szCs w:val="24"/>
        </w:rPr>
        <w:fldChar w:fldCharType="begin"/>
      </w:r>
      <w:r w:rsidR="00990F3A">
        <w:rPr>
          <w:rFonts w:cs="Arial"/>
          <w:szCs w:val="24"/>
        </w:rPr>
        <w:instrText xml:space="preserve"> ADDIN ZOTERO_ITEM CSL_CITATION {"citationID":"7y1JCknP","properties":{"formattedCitation":"(Hook &amp; Markus, 2020)","plainCitation":"(Hook &amp; Markus, 2020)","noteIndex":0},"citationItems":[{"id":889,"uris":["http://zotero.org/users/4946941/items/SDSZWP2C"],"itemData":{"id":889,"type":"article-journal","abstract":"The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Rose"}],"issued":{"date-parts":[["2020",5]]}}}],"schema":"https://github.com/citation-style-language/schema/raw/master/csl-citation.json"} </w:instrText>
      </w:r>
      <w:r w:rsidRPr="00424BD3">
        <w:rPr>
          <w:rFonts w:cs="Arial"/>
          <w:szCs w:val="24"/>
        </w:rPr>
        <w:fldChar w:fldCharType="separate"/>
      </w:r>
      <w:r w:rsidRPr="00424BD3">
        <w:rPr>
          <w:rFonts w:cs="Arial"/>
        </w:rPr>
        <w:t>(Hook &amp; Markus, 2020)</w:t>
      </w:r>
      <w:r w:rsidRPr="00424BD3">
        <w:rPr>
          <w:rFonts w:cs="Arial"/>
          <w:szCs w:val="24"/>
        </w:rPr>
        <w:fldChar w:fldCharType="end"/>
      </w:r>
      <w:r w:rsidRPr="00424BD3">
        <w:rPr>
          <w:rFonts w:cs="Arial"/>
          <w:szCs w:val="24"/>
        </w:rPr>
        <w:t>. The only way to guarantee this is to make sure that those in the business of paying for healthcare align with and co-create the systems which empower, enable, and embed individual responsibility into societal structures. It goes something like this - people can take their healthcare needs to another healthcare provider</w:t>
      </w:r>
      <w:r w:rsidR="00A31405" w:rsidRPr="00424BD3">
        <w:rPr>
          <w:rFonts w:cs="Arial"/>
          <w:szCs w:val="24"/>
        </w:rPr>
        <w:t>,</w:t>
      </w:r>
      <w:r w:rsidRPr="00424BD3">
        <w:rPr>
          <w:rFonts w:cs="Arial"/>
          <w:szCs w:val="24"/>
        </w:rPr>
        <w:t xml:space="preserve"> who matches </w:t>
      </w:r>
      <w:r w:rsidRPr="00424BD3">
        <w:rPr>
          <w:rFonts w:cs="Arial"/>
          <w:szCs w:val="24"/>
        </w:rPr>
        <w:lastRenderedPageBreak/>
        <w:t>their beliefs about health</w:t>
      </w:r>
      <w:r w:rsidR="00153299" w:rsidRPr="00424BD3">
        <w:rPr>
          <w:rFonts w:cs="Arial"/>
          <w:szCs w:val="24"/>
        </w:rPr>
        <w:t xml:space="preserve"> (if they can afford to and the provider accepts their type of insurance or takes people who self-pay)</w:t>
      </w:r>
      <w:r w:rsidRPr="00424BD3">
        <w:rPr>
          <w:rFonts w:cs="Arial"/>
          <w:szCs w:val="24"/>
        </w:rPr>
        <w:t xml:space="preserve">, but they can’t take their healthcare needs to another government. And most importantly, if their federal government leadership changes every four to eight years and their state and local leadership every two to four years, they run the risk of having leadership who will dismantle healthcare provision which supports their needs or will create healthcare provision which acts against their needs. Of course, businesses do this all the time, but this belief system allows the illusion of control and of opportunity. For example, if an insurance company denies pre-authorization for a procedure, anyone can take their health ‘business’ anywhere else – they can apply to another health insurance company on the hopes of getting approval, they can apply for support from care organizations who supplement those in need, or they can pay for the procedure out of their own pockets, </w:t>
      </w:r>
      <w:r w:rsidR="00480920" w:rsidRPr="00424BD3">
        <w:rPr>
          <w:rFonts w:cs="Arial"/>
          <w:szCs w:val="24"/>
        </w:rPr>
        <w:t xml:space="preserve">or </w:t>
      </w:r>
      <w:r w:rsidRPr="00424BD3">
        <w:rPr>
          <w:rFonts w:cs="Arial"/>
          <w:szCs w:val="24"/>
        </w:rPr>
        <w:t xml:space="preserve">even through fundraising to help with costs. The moral norm of health in the U.S. (and many other countries, including the UK) is that only those at fault due to lifestyle choices end up relying on the government (those ‘benefit scroungers’), a morally and socially repugnant situation, </w:t>
      </w:r>
      <w:r w:rsidR="00FF5EF0">
        <w:rPr>
          <w:rFonts w:cs="Arial"/>
          <w:szCs w:val="24"/>
        </w:rPr>
        <w:t xml:space="preserve">in </w:t>
      </w:r>
      <w:r w:rsidRPr="00424BD3">
        <w:rPr>
          <w:rFonts w:cs="Arial"/>
          <w:szCs w:val="24"/>
        </w:rPr>
        <w:t>which no “</w:t>
      </w:r>
      <w:r w:rsidRPr="00595129">
        <w:rPr>
          <w:rFonts w:cs="Arial"/>
          <w:iCs/>
          <w:szCs w:val="24"/>
        </w:rPr>
        <w:t>good</w:t>
      </w:r>
      <w:r w:rsidRPr="00424BD3">
        <w:rPr>
          <w:rFonts w:cs="Arial"/>
          <w:i/>
          <w:iCs/>
          <w:szCs w:val="24"/>
        </w:rPr>
        <w:t>”</w:t>
      </w:r>
      <w:r w:rsidRPr="00424BD3">
        <w:rPr>
          <w:rFonts w:cs="Arial"/>
          <w:szCs w:val="24"/>
        </w:rPr>
        <w:t xml:space="preserve"> person would allow themselves to be </w:t>
      </w:r>
      <w:r w:rsidRPr="00424BD3">
        <w:rPr>
          <w:rFonts w:cs="Arial"/>
          <w:szCs w:val="24"/>
        </w:rPr>
        <w:fldChar w:fldCharType="begin"/>
      </w:r>
      <w:r w:rsidR="00990F3A">
        <w:rPr>
          <w:rFonts w:cs="Arial"/>
          <w:szCs w:val="24"/>
        </w:rPr>
        <w:instrText xml:space="preserve"> ADDIN ZOTERO_ITEM CSL_CITATION {"citationID":"TD55MvYd","properties":{"formattedCitation":"(Hook &amp; Markus, 2020)","plainCitation":"(Hook &amp; Markus, 2020)","noteIndex":0},"citationItems":[{"id":889,"uris":["http://zotero.org/users/4946941/items/SDSZWP2C"],"itemData":{"id":889,"type":"article-journal","abstract":"The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Rose"}],"issued":{"date-parts":[["2020",5]]}}}],"schema":"https://github.com/citation-style-language/schema/raw/master/csl-citation.json"} </w:instrText>
      </w:r>
      <w:r w:rsidRPr="00424BD3">
        <w:rPr>
          <w:rFonts w:cs="Arial"/>
          <w:szCs w:val="24"/>
        </w:rPr>
        <w:fldChar w:fldCharType="separate"/>
      </w:r>
      <w:r w:rsidRPr="00424BD3">
        <w:rPr>
          <w:rFonts w:cs="Arial"/>
        </w:rPr>
        <w:t>(Hook &amp; Markus, 2020)</w:t>
      </w:r>
      <w:r w:rsidRPr="00424BD3">
        <w:rPr>
          <w:rFonts w:cs="Arial"/>
          <w:szCs w:val="24"/>
        </w:rPr>
        <w:fldChar w:fldCharType="end"/>
      </w:r>
      <w:r w:rsidRPr="00424BD3">
        <w:rPr>
          <w:rFonts w:cs="Arial"/>
          <w:szCs w:val="24"/>
        </w:rPr>
        <w:t>.</w:t>
      </w:r>
    </w:p>
    <w:p w14:paraId="39DC44F9" w14:textId="70EA3DF4" w:rsidR="008844E4" w:rsidRPr="00424BD3" w:rsidRDefault="008844E4" w:rsidP="000126EE">
      <w:pPr>
        <w:spacing w:after="0" w:line="480" w:lineRule="auto"/>
        <w:ind w:firstLine="720"/>
        <w:rPr>
          <w:rFonts w:cs="Arial"/>
          <w:szCs w:val="24"/>
        </w:rPr>
      </w:pPr>
      <w:r w:rsidRPr="00424BD3">
        <w:rPr>
          <w:rFonts w:cs="Arial"/>
          <w:szCs w:val="24"/>
        </w:rPr>
        <w:t>The norming of health care goes further – stigmatizing some types of ill health (HIV</w:t>
      </w:r>
      <w:r w:rsidR="00903CE6">
        <w:rPr>
          <w:rFonts w:cs="Arial"/>
          <w:szCs w:val="24"/>
        </w:rPr>
        <w:t xml:space="preserve"> </w:t>
      </w:r>
      <w:r w:rsidRPr="00424BD3">
        <w:rPr>
          <w:rFonts w:cs="Arial"/>
          <w:szCs w:val="24"/>
        </w:rPr>
        <w:t>/</w:t>
      </w:r>
      <w:r w:rsidR="00903CE6">
        <w:rPr>
          <w:rFonts w:cs="Arial"/>
          <w:szCs w:val="24"/>
        </w:rPr>
        <w:t xml:space="preserve"> </w:t>
      </w:r>
      <w:r w:rsidRPr="00424BD3">
        <w:rPr>
          <w:rFonts w:cs="Arial"/>
          <w:szCs w:val="24"/>
        </w:rPr>
        <w:t xml:space="preserve">AIDS, obesity, sexually transmitted diseases, for example) </w:t>
      </w:r>
      <w:r w:rsidR="00793DDB" w:rsidRPr="00424BD3">
        <w:rPr>
          <w:rFonts w:cs="Arial"/>
          <w:szCs w:val="24"/>
        </w:rPr>
        <w:t xml:space="preserve">and </w:t>
      </w:r>
      <w:r w:rsidR="00A66D4D" w:rsidRPr="00424BD3">
        <w:rPr>
          <w:rFonts w:cs="Arial"/>
          <w:szCs w:val="24"/>
        </w:rPr>
        <w:t xml:space="preserve">accommodating </w:t>
      </w:r>
      <w:r w:rsidRPr="00424BD3">
        <w:rPr>
          <w:rFonts w:cs="Arial"/>
          <w:szCs w:val="24"/>
        </w:rPr>
        <w:t>select issues seen to be truly outside of a person’s responsibilities (accidents</w:t>
      </w:r>
      <w:r w:rsidR="008549B1" w:rsidRPr="00424BD3">
        <w:rPr>
          <w:rFonts w:cs="Arial"/>
          <w:szCs w:val="24"/>
        </w:rPr>
        <w:t xml:space="preserve">, </w:t>
      </w:r>
      <w:r w:rsidRPr="00424BD3">
        <w:rPr>
          <w:rFonts w:cs="Arial"/>
          <w:szCs w:val="24"/>
        </w:rPr>
        <w:t xml:space="preserve">for example) </w:t>
      </w:r>
      <w:r w:rsidRPr="00424BD3">
        <w:rPr>
          <w:rFonts w:cs="Arial"/>
          <w:szCs w:val="24"/>
        </w:rPr>
        <w:fldChar w:fldCharType="begin"/>
      </w:r>
      <w:r w:rsidR="00990F3A">
        <w:rPr>
          <w:rFonts w:cs="Arial"/>
          <w:szCs w:val="24"/>
        </w:rPr>
        <w:instrText xml:space="preserve"> ADDIN ZOTERO_ITEM CSL_CITATION {"citationID":"m5phYSvW","properties":{"formattedCitation":"(Hook &amp; Markus, 2020; Yoder, 2002)","plainCitation":"(Hook &amp; Markus, 2020; Yoder, 2002)","noteIndex":0},"citationItems":[{"id":889,"uris":["http://zotero.org/users/4946941/items/SDSZWP2C"],"itemData":{"id":889,"type":"article-journal","abstract":"The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cs="Arial"/>
          <w:szCs w:val="24"/>
        </w:rPr>
        <w:fldChar w:fldCharType="separate"/>
      </w:r>
      <w:r w:rsidRPr="00424BD3">
        <w:rPr>
          <w:rFonts w:cs="Arial"/>
        </w:rPr>
        <w:t>(Hook &amp; Markus, 2020; Yoder, 2002)</w:t>
      </w:r>
      <w:r w:rsidRPr="00424BD3">
        <w:rPr>
          <w:rFonts w:cs="Arial"/>
          <w:szCs w:val="24"/>
        </w:rPr>
        <w:fldChar w:fldCharType="end"/>
      </w:r>
      <w:r w:rsidRPr="00424BD3">
        <w:rPr>
          <w:rFonts w:cs="Arial"/>
          <w:szCs w:val="24"/>
        </w:rPr>
        <w:t xml:space="preserve">. Yoder </w:t>
      </w:r>
      <w:r w:rsidRPr="00424BD3">
        <w:rPr>
          <w:rFonts w:cs="Arial"/>
          <w:szCs w:val="24"/>
        </w:rPr>
        <w:fldChar w:fldCharType="begin"/>
      </w:r>
      <w:r w:rsidR="00990F3A">
        <w:rPr>
          <w:rFonts w:cs="Arial"/>
          <w:szCs w:val="24"/>
        </w:rPr>
        <w:instrText xml:space="preserve"> ADDIN ZOTERO_ITEM CSL_CITATION {"citationID":"9GTLFZ7V","properties":{"formattedCitation":"(2002)","plainCitation":"(2002)","noteIndex":0},"citationItems":[{"id":895,"uris":["http://zotero.org/users/4946941/items/APN4V43D"],"itemData":{"id":895,"type":"article-journal","abstract":"Health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D."}],"issued":{"date-parts":[["2002"]]}},"suppress-author":true}],"schema":"https://github.com/citation-style-language/schema/raw/master/csl-citation.json"} </w:instrText>
      </w:r>
      <w:r w:rsidRPr="00424BD3">
        <w:rPr>
          <w:rFonts w:cs="Arial"/>
          <w:szCs w:val="24"/>
        </w:rPr>
        <w:fldChar w:fldCharType="separate"/>
      </w:r>
      <w:r w:rsidRPr="00424BD3">
        <w:rPr>
          <w:rFonts w:cs="Arial"/>
        </w:rPr>
        <w:t>(2002)</w:t>
      </w:r>
      <w:r w:rsidRPr="00424BD3">
        <w:rPr>
          <w:rFonts w:cs="Arial"/>
          <w:szCs w:val="24"/>
        </w:rPr>
        <w:fldChar w:fldCharType="end"/>
      </w:r>
      <w:r w:rsidRPr="00424BD3">
        <w:rPr>
          <w:rFonts w:cs="Arial"/>
          <w:szCs w:val="24"/>
        </w:rPr>
        <w:t xml:space="preserve"> argues that it is important to understand what </w:t>
      </w:r>
      <w:r w:rsidR="00CB6C24" w:rsidRPr="00424BD3">
        <w:rPr>
          <w:rFonts w:cs="Arial"/>
          <w:szCs w:val="24"/>
        </w:rPr>
        <w:t>is</w:t>
      </w:r>
      <w:r w:rsidRPr="00424BD3">
        <w:rPr>
          <w:rFonts w:cs="Arial"/>
          <w:szCs w:val="24"/>
        </w:rPr>
        <w:t xml:space="preserve"> mean</w:t>
      </w:r>
      <w:r w:rsidR="00CB6C24" w:rsidRPr="00424BD3">
        <w:rPr>
          <w:rFonts w:cs="Arial"/>
          <w:szCs w:val="24"/>
        </w:rPr>
        <w:t>t</w:t>
      </w:r>
      <w:r w:rsidRPr="00424BD3">
        <w:rPr>
          <w:rFonts w:cs="Arial"/>
          <w:szCs w:val="24"/>
        </w:rPr>
        <w:t xml:space="preserve"> when </w:t>
      </w:r>
      <w:r w:rsidR="00CB6C24" w:rsidRPr="00424BD3">
        <w:rPr>
          <w:rFonts w:cs="Arial"/>
          <w:szCs w:val="24"/>
        </w:rPr>
        <w:t>researchers</w:t>
      </w:r>
      <w:r w:rsidRPr="00424BD3">
        <w:rPr>
          <w:rFonts w:cs="Arial"/>
          <w:szCs w:val="24"/>
        </w:rPr>
        <w:t xml:space="preserve"> say ‘responsibility’ and how </w:t>
      </w:r>
      <w:r w:rsidR="002A7C30" w:rsidRPr="00424BD3">
        <w:rPr>
          <w:rFonts w:cs="Arial"/>
          <w:szCs w:val="24"/>
        </w:rPr>
        <w:t>‘responsibility’ is</w:t>
      </w:r>
      <w:r w:rsidRPr="00424BD3">
        <w:rPr>
          <w:rFonts w:cs="Arial"/>
          <w:szCs w:val="24"/>
        </w:rPr>
        <w:t xml:space="preserve"> conflat</w:t>
      </w:r>
      <w:r w:rsidR="002A7C30" w:rsidRPr="00424BD3">
        <w:rPr>
          <w:rFonts w:cs="Arial"/>
          <w:szCs w:val="24"/>
        </w:rPr>
        <w:t>e</w:t>
      </w:r>
      <w:r w:rsidR="00FF5EF0">
        <w:rPr>
          <w:rFonts w:cs="Arial"/>
          <w:szCs w:val="24"/>
        </w:rPr>
        <w:t>d</w:t>
      </w:r>
      <w:r w:rsidRPr="00424BD3">
        <w:rPr>
          <w:rFonts w:cs="Arial"/>
          <w:szCs w:val="24"/>
        </w:rPr>
        <w:t xml:space="preserve"> not only with blame, but also with causality i.e., physical, moral, or social liability (the social policy arm of causality) (p. 24). Additionally, </w:t>
      </w:r>
      <w:r w:rsidRPr="00424BD3">
        <w:rPr>
          <w:rFonts w:cs="Arial"/>
          <w:szCs w:val="24"/>
        </w:rPr>
        <w:lastRenderedPageBreak/>
        <w:t xml:space="preserve">determinations of responsibility, causality, and liability come with decision-maker (governments, insurance companies, providers) bias as well as beliefs about agency which both shape and are shaped by social and moral health norms. This is no different for social / health policymaking, despite efforts to develop policies and interventions meant to mitigate bias </w:t>
      </w:r>
      <w:r w:rsidRPr="00424BD3">
        <w:rPr>
          <w:rFonts w:cs="Arial"/>
          <w:szCs w:val="24"/>
        </w:rPr>
        <w:fldChar w:fldCharType="begin"/>
      </w:r>
      <w:r w:rsidR="00990F3A">
        <w:rPr>
          <w:rFonts w:cs="Arial"/>
          <w:szCs w:val="24"/>
        </w:rPr>
        <w:instrText xml:space="preserve"> ADDIN ZOTERO_ITEM CSL_CITATION {"citationID":"42Ev6FAd","properties":{"formattedCitation":"(Yoder, 2002)","plainCitation":"(Yoder, 2002)","noteIndex":0},"citationItems":[{"id":895,"uris":["http://zotero.org/users/4946941/items/APN4V43D"],"itemData":{"id":895,"type":"article-journal","abstract":"Health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cs="Arial"/>
          <w:szCs w:val="24"/>
        </w:rPr>
        <w:fldChar w:fldCharType="separate"/>
      </w:r>
      <w:r w:rsidRPr="00424BD3">
        <w:rPr>
          <w:rFonts w:cs="Arial"/>
        </w:rPr>
        <w:t>(Yoder, 2002)</w:t>
      </w:r>
      <w:r w:rsidRPr="00424BD3">
        <w:rPr>
          <w:rFonts w:cs="Arial"/>
          <w:szCs w:val="24"/>
        </w:rPr>
        <w:fldChar w:fldCharType="end"/>
      </w:r>
      <w:r w:rsidRPr="00424BD3">
        <w:rPr>
          <w:rFonts w:cs="Arial"/>
          <w:szCs w:val="24"/>
        </w:rPr>
        <w:t xml:space="preserve">. Yoder </w:t>
      </w:r>
      <w:r w:rsidRPr="00424BD3">
        <w:rPr>
          <w:rFonts w:cs="Arial"/>
          <w:szCs w:val="24"/>
        </w:rPr>
        <w:fldChar w:fldCharType="begin"/>
      </w:r>
      <w:r w:rsidR="00990F3A">
        <w:rPr>
          <w:rFonts w:cs="Arial"/>
          <w:szCs w:val="24"/>
        </w:rPr>
        <w:instrText xml:space="preserve"> ADDIN ZOTERO_ITEM CSL_CITATION {"citationID":"XZuLtSXi","properties":{"formattedCitation":"(2002)","plainCitation":"(2002)","noteIndex":0},"citationItems":[{"id":895,"uris":["http://zotero.org/users/4946941/items/APN4V43D"],"itemData":{"id":895,"type":"article-journal","abstract":"Health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D."}],"issued":{"date-parts":[["2002"]]}},"suppress-author":true}],"schema":"https://github.com/citation-style-language/schema/raw/master/csl-citation.json"} </w:instrText>
      </w:r>
      <w:r w:rsidRPr="00424BD3">
        <w:rPr>
          <w:rFonts w:cs="Arial"/>
          <w:szCs w:val="24"/>
        </w:rPr>
        <w:fldChar w:fldCharType="separate"/>
      </w:r>
      <w:r w:rsidRPr="00424BD3">
        <w:rPr>
          <w:rFonts w:cs="Arial"/>
        </w:rPr>
        <w:t>(2002)</w:t>
      </w:r>
      <w:r w:rsidRPr="00424BD3">
        <w:rPr>
          <w:rFonts w:cs="Arial"/>
          <w:szCs w:val="24"/>
        </w:rPr>
        <w:fldChar w:fldCharType="end"/>
      </w:r>
      <w:r w:rsidRPr="00424BD3">
        <w:rPr>
          <w:rFonts w:cs="Arial"/>
          <w:szCs w:val="24"/>
        </w:rPr>
        <w:t xml:space="preserve"> also argues that </w:t>
      </w:r>
      <w:r w:rsidR="009E4BF9" w:rsidRPr="00424BD3">
        <w:rPr>
          <w:rFonts w:cs="Arial"/>
          <w:szCs w:val="24"/>
        </w:rPr>
        <w:t>facts</w:t>
      </w:r>
      <w:r w:rsidRPr="00424BD3">
        <w:rPr>
          <w:rFonts w:cs="Arial"/>
          <w:szCs w:val="24"/>
        </w:rPr>
        <w:t xml:space="preserve"> cannot </w:t>
      </w:r>
      <w:r w:rsidR="009E4BF9" w:rsidRPr="00424BD3">
        <w:rPr>
          <w:rFonts w:cs="Arial"/>
          <w:szCs w:val="24"/>
        </w:rPr>
        <w:t xml:space="preserve">be </w:t>
      </w:r>
      <w:r w:rsidRPr="00424BD3">
        <w:rPr>
          <w:rFonts w:cs="Arial"/>
          <w:szCs w:val="24"/>
        </w:rPr>
        <w:t>extrapolate</w:t>
      </w:r>
      <w:r w:rsidR="009E4BF9" w:rsidRPr="00424BD3">
        <w:rPr>
          <w:rFonts w:cs="Arial"/>
          <w:szCs w:val="24"/>
        </w:rPr>
        <w:t>d</w:t>
      </w:r>
      <w:r w:rsidRPr="00424BD3">
        <w:rPr>
          <w:rFonts w:cs="Arial"/>
          <w:szCs w:val="24"/>
        </w:rPr>
        <w:t xml:space="preserve"> (in this case causality, responsibility, or liability) without recognizing who and what those facts serve, the spatial and temporal context in which those facts are established, and that the context (and therefore causality, responsibility, and liability) can and does change. Responsibility (blame) is established considering human goals, values, and social practices, and cannot be divorced from these, no matter how objective </w:t>
      </w:r>
      <w:r w:rsidR="00B16B3F" w:rsidRPr="00424BD3">
        <w:rPr>
          <w:rFonts w:cs="Arial"/>
          <w:szCs w:val="24"/>
        </w:rPr>
        <w:t>researchers and policymakers</w:t>
      </w:r>
      <w:r w:rsidRPr="00424BD3">
        <w:rPr>
          <w:rFonts w:cs="Arial"/>
          <w:szCs w:val="24"/>
        </w:rPr>
        <w:t xml:space="preserve"> intend to be in policymaking. Because of this, it is important to consider the social (and moral) norming around health, and the health of older women, when examining their perceptions and beliefs and statements (or lack of) about their familial health and mortality outcomes, their own health, and the health inequities they face. </w:t>
      </w:r>
    </w:p>
    <w:p w14:paraId="524EC485" w14:textId="214A3055" w:rsidR="008844E4" w:rsidRPr="00424BD3" w:rsidRDefault="008844E4" w:rsidP="000126EE">
      <w:pPr>
        <w:spacing w:after="0" w:line="480" w:lineRule="auto"/>
        <w:ind w:firstLine="720"/>
        <w:rPr>
          <w:rFonts w:cs="Arial"/>
          <w:szCs w:val="24"/>
        </w:rPr>
      </w:pPr>
      <w:r w:rsidRPr="00424BD3">
        <w:rPr>
          <w:rFonts w:cs="Arial"/>
          <w:szCs w:val="24"/>
        </w:rPr>
        <w:t xml:space="preserve">“We assign blame not only for behaviors that cause or increase the risk of illness and injury – smoking or excessive alcohol consumption, for example – but also for failing to act in ways that might have prevented illness or injury…” </w:t>
      </w:r>
      <w:r w:rsidRPr="00424BD3">
        <w:rPr>
          <w:rFonts w:cs="Arial"/>
          <w:szCs w:val="24"/>
        </w:rPr>
        <w:fldChar w:fldCharType="begin"/>
      </w:r>
      <w:r w:rsidR="00990F3A">
        <w:rPr>
          <w:rFonts w:cs="Arial"/>
          <w:szCs w:val="24"/>
        </w:rPr>
        <w:instrText xml:space="preserve"> ADDIN ZOTERO_ITEM CSL_CITATION {"citationID":"Wx1SqPSr","properties":{"formattedCitation":"(Yoder, 2002, p. 26)","plainCitation":"(Yoder, 2002, p. 26)","noteIndex":0},"citationItems":[{"id":895,"uris":["http://zotero.org/users/4946941/items/APN4V43D"],"itemData":{"id":895,"type":"article-journal","abstract":"Health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D."}],"issued":{"date-parts":[["2002"]]}},"locator":"26"}],"schema":"https://github.com/citation-style-language/schema/raw/master/csl-citation.json"} </w:instrText>
      </w:r>
      <w:r w:rsidRPr="00424BD3">
        <w:rPr>
          <w:rFonts w:cs="Arial"/>
          <w:szCs w:val="24"/>
        </w:rPr>
        <w:fldChar w:fldCharType="separate"/>
      </w:r>
      <w:r w:rsidRPr="00424BD3">
        <w:rPr>
          <w:rFonts w:cs="Arial"/>
        </w:rPr>
        <w:t>(Yoder, 2002, p. 26)</w:t>
      </w:r>
      <w:r w:rsidRPr="00424BD3">
        <w:rPr>
          <w:rFonts w:cs="Arial"/>
          <w:szCs w:val="24"/>
        </w:rPr>
        <w:fldChar w:fldCharType="end"/>
      </w:r>
      <w:r w:rsidRPr="00424BD3">
        <w:rPr>
          <w:rFonts w:cs="Arial"/>
          <w:szCs w:val="24"/>
        </w:rPr>
        <w:t xml:space="preserve">. For example, is it obesity itself, obesogenic environments, structural determinants, or </w:t>
      </w:r>
      <w:r w:rsidR="000110AE" w:rsidRPr="00424BD3">
        <w:rPr>
          <w:rFonts w:cs="Arial"/>
          <w:szCs w:val="24"/>
        </w:rPr>
        <w:t>health</w:t>
      </w:r>
      <w:r w:rsidRPr="00424BD3">
        <w:rPr>
          <w:rFonts w:cs="Arial"/>
          <w:szCs w:val="24"/>
        </w:rPr>
        <w:t xml:space="preserve"> behaviors that cause ‘obesity-related’ illnesses? Because </w:t>
      </w:r>
      <w:r w:rsidR="00243B56" w:rsidRPr="00424BD3">
        <w:rPr>
          <w:rFonts w:cs="Arial"/>
          <w:szCs w:val="24"/>
        </w:rPr>
        <w:t xml:space="preserve">people </w:t>
      </w:r>
      <w:r w:rsidRPr="00424BD3">
        <w:rPr>
          <w:rFonts w:cs="Arial"/>
          <w:szCs w:val="24"/>
        </w:rPr>
        <w:t xml:space="preserve">decide what factors are causal, </w:t>
      </w:r>
      <w:r w:rsidR="00243B56" w:rsidRPr="00424BD3">
        <w:rPr>
          <w:rFonts w:cs="Arial"/>
          <w:szCs w:val="24"/>
        </w:rPr>
        <w:t>people also</w:t>
      </w:r>
      <w:r w:rsidRPr="00424BD3">
        <w:rPr>
          <w:rFonts w:cs="Arial"/>
          <w:szCs w:val="24"/>
        </w:rPr>
        <w:t xml:space="preserve"> decide the morality of those factors - which ones should be normalized as “good” and which ones should be normalized as “bad”, and offload responsibility onto individuals for making those good and bad choices. Through this, </w:t>
      </w:r>
      <w:r w:rsidR="005E3BB3" w:rsidRPr="00424BD3">
        <w:rPr>
          <w:rFonts w:cs="Arial"/>
          <w:szCs w:val="24"/>
        </w:rPr>
        <w:lastRenderedPageBreak/>
        <w:t>people</w:t>
      </w:r>
      <w:r w:rsidRPr="00424BD3">
        <w:rPr>
          <w:rFonts w:cs="Arial"/>
          <w:szCs w:val="24"/>
        </w:rPr>
        <w:t xml:space="preserve"> embed normalization, as well, as stigmatization (ageism, ableism, sexism), discrimination, and bias – individually and structurally.</w:t>
      </w:r>
    </w:p>
    <w:p w14:paraId="32D607C5" w14:textId="4C968244" w:rsidR="008844E4" w:rsidRPr="00424BD3" w:rsidRDefault="008844E4" w:rsidP="000126EE">
      <w:pPr>
        <w:spacing w:after="0" w:line="480" w:lineRule="auto"/>
        <w:ind w:firstLine="720"/>
        <w:rPr>
          <w:rFonts w:cs="Arial"/>
          <w:szCs w:val="24"/>
        </w:rPr>
      </w:pPr>
      <w:r w:rsidRPr="00424BD3">
        <w:rPr>
          <w:rFonts w:cs="Arial"/>
          <w:szCs w:val="24"/>
        </w:rPr>
        <w:t xml:space="preserve">For the older women in this study, the social norming of health must be seen within not only the individual responsibility context and bias within the U.S. but also within the timeframe in which they grew up, and the deeply religious moral coding within legislative and policymaking in Tennessee (as discussed in Chapter </w:t>
      </w:r>
      <w:r w:rsidR="003C46DE" w:rsidRPr="00424BD3">
        <w:rPr>
          <w:rFonts w:cs="Arial"/>
          <w:szCs w:val="24"/>
        </w:rPr>
        <w:t>Four</w:t>
      </w:r>
      <w:r w:rsidRPr="00424BD3">
        <w:rPr>
          <w:rFonts w:cs="Arial"/>
          <w:szCs w:val="24"/>
        </w:rPr>
        <w:t xml:space="preserve">). If, as </w:t>
      </w:r>
      <w:r w:rsidRPr="00424BD3">
        <w:rPr>
          <w:rFonts w:cs="Arial"/>
          <w:szCs w:val="24"/>
        </w:rPr>
        <w:fldChar w:fldCharType="begin"/>
      </w:r>
      <w:r w:rsidR="00990F3A">
        <w:rPr>
          <w:rFonts w:cs="Arial"/>
          <w:szCs w:val="24"/>
        </w:rPr>
        <w:instrText xml:space="preserve"> ADDIN ZOTERO_ITEM CSL_CITATION {"citationID":"eV1EaQeb","properties":{"formattedCitation":"(Yoder, 2002)","plainCitation":"(Yoder, 2002)","noteIndex":0},"citationItems":[{"id":895,"uris":["http://zotero.org/users/4946941/items/APN4V43D"],"itemData":{"id":895,"type":"article-journal","abstract":"Health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cs="Arial"/>
          <w:szCs w:val="24"/>
        </w:rPr>
        <w:fldChar w:fldCharType="separate"/>
      </w:r>
      <w:r w:rsidRPr="00424BD3">
        <w:rPr>
          <w:rFonts w:cs="Arial"/>
        </w:rPr>
        <w:t>(Yoder, 2002)</w:t>
      </w:r>
      <w:r w:rsidRPr="00424BD3">
        <w:rPr>
          <w:rFonts w:cs="Arial"/>
          <w:szCs w:val="24"/>
        </w:rPr>
        <w:fldChar w:fldCharType="end"/>
      </w:r>
      <w:r w:rsidRPr="00424BD3">
        <w:rPr>
          <w:rFonts w:cs="Arial"/>
          <w:szCs w:val="24"/>
        </w:rPr>
        <w:t xml:space="preserve"> argues, human beings hold people morally accountable for not only causing risk, but for creating the potential for risk, governments, organizations, companies, health bodies and providers are as responsible for causing and creating risk as individuals. However, it is in the best financial and governance interest of these groups to offload responsibility onto individuals. If corporations can prevent the onus of responsibility for public health measures, such as mandatory seat belt wearing, from resting on their shoulders, they can save themselves the financial costs and regulatory constraints of complying with laws that require building their goods with mandated equipment </w:t>
      </w:r>
      <w:r w:rsidRPr="00424BD3">
        <w:rPr>
          <w:rFonts w:cs="Arial"/>
          <w:szCs w:val="24"/>
        </w:rPr>
        <w:fldChar w:fldCharType="begin"/>
      </w:r>
      <w:r w:rsidR="00990F3A">
        <w:rPr>
          <w:rFonts w:cs="Arial"/>
          <w:szCs w:val="24"/>
        </w:rPr>
        <w:instrText xml:space="preserve"> ADDIN ZOTERO_ITEM CSL_CITATION {"citationID":"VG2Fog2W","properties":{"formattedCitation":"(Yoder, 2002)","plainCitation":"(Yoder, 2002)","noteIndex":0},"citationItems":[{"id":895,"uris":["http://zotero.org/users/4946941/items/APN4V43D"],"itemData":{"id":895,"type":"article-journal","abstract":"Health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cs="Arial"/>
          <w:szCs w:val="24"/>
        </w:rPr>
        <w:fldChar w:fldCharType="separate"/>
      </w:r>
      <w:r w:rsidRPr="00424BD3">
        <w:rPr>
          <w:rFonts w:cs="Arial"/>
        </w:rPr>
        <w:t>(Yoder, 2002)</w:t>
      </w:r>
      <w:r w:rsidRPr="00424BD3">
        <w:rPr>
          <w:rFonts w:cs="Arial"/>
          <w:szCs w:val="24"/>
        </w:rPr>
        <w:fldChar w:fldCharType="end"/>
      </w:r>
      <w:r w:rsidRPr="00424BD3">
        <w:rPr>
          <w:rFonts w:cs="Arial"/>
          <w:szCs w:val="24"/>
        </w:rPr>
        <w:t xml:space="preserve">. In the U.S., this argument is heavily discouraged - in a monetized and capitalistic healthcare system, if people cannot trust their government for their healthcare </w:t>
      </w:r>
      <w:r w:rsidRPr="00BE28D9">
        <w:rPr>
          <w:rFonts w:cs="Arial"/>
          <w:szCs w:val="24"/>
        </w:rPr>
        <w:t>and</w:t>
      </w:r>
      <w:r w:rsidRPr="00424BD3">
        <w:rPr>
          <w:rFonts w:cs="Arial"/>
          <w:szCs w:val="24"/>
        </w:rPr>
        <w:t xml:space="preserve"> cannot trust businesses for their healthcare and cannot believe themselves solely at fault when they become sick, who can they trust?</w:t>
      </w:r>
    </w:p>
    <w:p w14:paraId="57F4E828" w14:textId="148722EF" w:rsidR="008844E4" w:rsidRPr="00424BD3" w:rsidRDefault="008844E4" w:rsidP="000126EE">
      <w:pPr>
        <w:spacing w:after="0" w:line="480" w:lineRule="auto"/>
        <w:ind w:firstLine="720"/>
        <w:rPr>
          <w:rFonts w:cs="Arial"/>
          <w:szCs w:val="24"/>
        </w:rPr>
      </w:pPr>
      <w:r w:rsidRPr="00424BD3">
        <w:rPr>
          <w:rFonts w:cs="Arial"/>
          <w:szCs w:val="24"/>
        </w:rPr>
        <w:t xml:space="preserve">Social and moral norming of individual responsibility comes replete with issues around the understanding of voluntary action, decision-making and free will and are beyond the scope of this dissertation. But they lie </w:t>
      </w:r>
      <w:r w:rsidR="00753473" w:rsidRPr="00424BD3">
        <w:rPr>
          <w:rFonts w:cs="Arial"/>
          <w:szCs w:val="24"/>
        </w:rPr>
        <w:t>outside the scope of the</w:t>
      </w:r>
      <w:r w:rsidRPr="00424BD3">
        <w:rPr>
          <w:rFonts w:cs="Arial"/>
          <w:szCs w:val="24"/>
        </w:rPr>
        <w:t xml:space="preserve"> assigning of social and moral responsibility to health, affecting our understanding of science, evidence, and our actions in social practice, and must be kept in mind, particularly </w:t>
      </w:r>
      <w:r w:rsidRPr="00424BD3">
        <w:rPr>
          <w:rFonts w:cs="Arial"/>
          <w:szCs w:val="24"/>
        </w:rPr>
        <w:lastRenderedPageBreak/>
        <w:t xml:space="preserve">because they are used for the basis of the imposition of individual responsibility as a causal factor in the U.S. neoliberalist health system. </w:t>
      </w:r>
      <w:r w:rsidRPr="00424BD3">
        <w:rPr>
          <w:rFonts w:cs="Arial"/>
          <w:szCs w:val="24"/>
        </w:rPr>
        <w:fldChar w:fldCharType="begin"/>
      </w:r>
      <w:r w:rsidR="00990F3A">
        <w:rPr>
          <w:rFonts w:cs="Arial"/>
          <w:szCs w:val="24"/>
        </w:rPr>
        <w:instrText xml:space="preserve"> ADDIN ZOTERO_ITEM CSL_CITATION {"citationID":"DjC3t2FE","properties":{"formattedCitation":"(Hook &amp; Markus, 2020; Huzum, 2010; Vallg\\uc0\\u229{}rda, 2011; Yoder, 2002)","plainCitation":"(Hook &amp; Markus, 2020; Huzum, 2010; Vallgårda, 2011; Yoder, 2002)","noteIndex":0},"citationItems":[{"id":889,"uris":["http://zotero.org/users/4946941/items/SDSZWP2C"],"itemData":{"id":889,"type":"article-journal","abstract":"The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Rose"}],"issued":{"date-parts":[["2020",5]]}}},{"id":926,"uris":["http://zotero.org/users/4946941/items/W96NJ4CX"],"itemData":{"id":926,"type":"article-journal","container-title":"Romanian Journal of Bioethics","issue":"2","page":"104–113","source":"PhilPapers","title":"Some Obstacles to Applying the Principle of Individual Responsibility for Illness in the Rationing of Medical Services","volume":"8","author":[{"family":"Huzum","given":"Eugen"}],"issued":{"date-parts":[["2010"]]}}},{"id":925,"uris":["http://zotero.org/users/4946941/items/4X6JVR55"],"itemData":{"id":925,"type":"article-journal","abstract":"The concept lifestyle disease is used about a number of different diseases such as coronary heart disease, diabetes, lung cancer etc. The concept indicates that people’s behaviours cause the diseases. This is only partly true. All diseases, both so-called lifestyle diseases and infectious diseases, have multiple causes. Singling out only one type of causes, such as is implied in the concept of lifestyle diseases can lead prevention to focus only on changing people s behaviours or lifestyles, and thus to neglect other possibilities to improve health. Mortality due to chronic diseases has increased during the last century and the main cause behind this is the decrease in the mortality in infectious diseases among younger people. More people live long enough to develop the chronic diseases. The concept lifestyle disease gives a too narrow picture of causes death and should be abandoned and give place for a broader understanding of causes and preventive options.","container-title":"Scandinavian Journal of Public Health","DOI":"10.1177/1403494811421978","ISSN":"1403-4948","issue":"7","journalAbbreviation":"Scand J Public Health","language":"en","note":"publisher: SAGE Publications Ltd STM","page":"773-775","source":"SAGE Journals","title":"Why the concept ‘‘lifestyle diseases’’ should be avoided","volume":"39","author":[{"family":"Vallgårda","given":"Signild"}],"issued":{"date-parts":[["2011",11,1]]}}},{"id":895,"uris":["http://zotero.org/users/4946941/items/APN4V43D"],"itemData":{"id":895,"type":"article-journal","abstract":"Health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cs="Arial"/>
          <w:szCs w:val="24"/>
        </w:rPr>
        <w:fldChar w:fldCharType="separate"/>
      </w:r>
      <w:r w:rsidRPr="00424BD3">
        <w:rPr>
          <w:rFonts w:cs="Arial"/>
          <w:szCs w:val="24"/>
        </w:rPr>
        <w:t>(Hook &amp; Markus, 2020; Huzum, 2010; Vallgårda, 2011; Yoder, 2002)</w:t>
      </w:r>
      <w:r w:rsidRPr="00424BD3">
        <w:rPr>
          <w:rFonts w:cs="Arial"/>
          <w:szCs w:val="24"/>
        </w:rPr>
        <w:fldChar w:fldCharType="end"/>
      </w:r>
      <w:r w:rsidRPr="00424BD3">
        <w:rPr>
          <w:rFonts w:cs="Arial"/>
          <w:szCs w:val="24"/>
        </w:rPr>
        <w:t xml:space="preserve">. </w:t>
      </w:r>
    </w:p>
    <w:p w14:paraId="2571F7D9" w14:textId="3F7AA083" w:rsidR="00526E54" w:rsidRPr="00424BD3" w:rsidRDefault="00526E54" w:rsidP="000126EE">
      <w:pPr>
        <w:spacing w:after="0" w:line="480" w:lineRule="auto"/>
        <w:ind w:firstLine="720"/>
        <w:rPr>
          <w:rFonts w:cs="Arial"/>
          <w:szCs w:val="24"/>
        </w:rPr>
      </w:pPr>
      <w:r w:rsidRPr="00424BD3">
        <w:rPr>
          <w:rFonts w:cs="Arial"/>
          <w:szCs w:val="24"/>
        </w:rPr>
        <w:t xml:space="preserve">The broader determinants of health are important to note here </w:t>
      </w:r>
      <w:r w:rsidR="006F3389" w:rsidRPr="00424BD3">
        <w:rPr>
          <w:rFonts w:cs="Arial"/>
          <w:szCs w:val="24"/>
        </w:rPr>
        <w:t xml:space="preserve">in addition to </w:t>
      </w:r>
      <w:r w:rsidR="004C66F7" w:rsidRPr="00424BD3">
        <w:rPr>
          <w:rFonts w:cs="Arial"/>
          <w:szCs w:val="24"/>
        </w:rPr>
        <w:t xml:space="preserve">the system of </w:t>
      </w:r>
      <w:r w:rsidR="006F3389" w:rsidRPr="00424BD3">
        <w:rPr>
          <w:rFonts w:cs="Arial"/>
          <w:szCs w:val="24"/>
        </w:rPr>
        <w:t xml:space="preserve">healthcare provision </w:t>
      </w:r>
      <w:r w:rsidR="004C66F7" w:rsidRPr="00424BD3">
        <w:rPr>
          <w:rFonts w:cs="Arial"/>
          <w:szCs w:val="24"/>
        </w:rPr>
        <w:t>and access</w:t>
      </w:r>
      <w:r w:rsidRPr="00424BD3">
        <w:rPr>
          <w:rFonts w:cs="Arial"/>
          <w:szCs w:val="24"/>
        </w:rPr>
        <w:t>.</w:t>
      </w:r>
      <w:r w:rsidR="00F06765" w:rsidRPr="00424BD3">
        <w:rPr>
          <w:rFonts w:cs="Arial"/>
          <w:szCs w:val="24"/>
        </w:rPr>
        <w:t xml:space="preserve"> </w:t>
      </w:r>
      <w:r w:rsidR="00D76ACB" w:rsidRPr="00424BD3">
        <w:rPr>
          <w:rFonts w:cs="Arial"/>
          <w:szCs w:val="24"/>
        </w:rPr>
        <w:t>As noted throughout this dissertation, o</w:t>
      </w:r>
      <w:r w:rsidR="00867981" w:rsidRPr="00424BD3">
        <w:rPr>
          <w:rFonts w:cs="Arial"/>
          <w:szCs w:val="24"/>
        </w:rPr>
        <w:t>lder women</w:t>
      </w:r>
      <w:r w:rsidR="00D76ACB" w:rsidRPr="00424BD3">
        <w:rPr>
          <w:rFonts w:cs="Arial"/>
          <w:szCs w:val="24"/>
        </w:rPr>
        <w:t xml:space="preserve"> face </w:t>
      </w:r>
      <w:r w:rsidR="00D212FE" w:rsidRPr="00424BD3">
        <w:rPr>
          <w:rFonts w:cs="Arial"/>
          <w:szCs w:val="24"/>
        </w:rPr>
        <w:t xml:space="preserve">a number of factors that </w:t>
      </w:r>
      <w:r w:rsidR="00EB7E35" w:rsidRPr="00424BD3">
        <w:rPr>
          <w:rFonts w:cs="Arial"/>
          <w:szCs w:val="24"/>
        </w:rPr>
        <w:t>contribute to the social norming they face and that exacerbate their health inequities: discrimination</w:t>
      </w:r>
      <w:r w:rsidR="005F3C5F" w:rsidRPr="00424BD3">
        <w:rPr>
          <w:rFonts w:cs="Arial"/>
          <w:szCs w:val="24"/>
        </w:rPr>
        <w:t xml:space="preserve"> (ageism, gender-bias and sexism, racism, health marginalization, and more); geopolitical </w:t>
      </w:r>
      <w:r w:rsidR="00D4471F" w:rsidRPr="00424BD3">
        <w:rPr>
          <w:rFonts w:cs="Arial"/>
          <w:szCs w:val="24"/>
        </w:rPr>
        <w:t>norms that affect many things in their life, including their socioeconomic status</w:t>
      </w:r>
      <w:r w:rsidR="000817CB" w:rsidRPr="00424BD3">
        <w:rPr>
          <w:rFonts w:cs="Arial"/>
          <w:szCs w:val="24"/>
        </w:rPr>
        <w:t xml:space="preserve"> and, in the generation explored in this study, their agen</w:t>
      </w:r>
      <w:r w:rsidR="00462C6E" w:rsidRPr="00424BD3">
        <w:rPr>
          <w:rFonts w:cs="Arial"/>
          <w:szCs w:val="24"/>
        </w:rPr>
        <w:t>cy to a certain degree</w:t>
      </w:r>
      <w:r w:rsidR="00D4471F" w:rsidRPr="00424BD3">
        <w:rPr>
          <w:rFonts w:cs="Arial"/>
          <w:szCs w:val="24"/>
        </w:rPr>
        <w:t xml:space="preserve">; </w:t>
      </w:r>
      <w:r w:rsidR="00F903C3" w:rsidRPr="00424BD3">
        <w:rPr>
          <w:rFonts w:cs="Arial"/>
          <w:szCs w:val="24"/>
        </w:rPr>
        <w:t>familial and soci</w:t>
      </w:r>
      <w:r w:rsidR="00971E83">
        <w:rPr>
          <w:rFonts w:cs="Arial"/>
          <w:szCs w:val="24"/>
        </w:rPr>
        <w:t>o-</w:t>
      </w:r>
      <w:r w:rsidR="00F903C3" w:rsidRPr="00424BD3">
        <w:rPr>
          <w:rFonts w:cs="Arial"/>
          <w:szCs w:val="24"/>
        </w:rPr>
        <w:t>cultural norms that may drive their own attitudes, beliefs</w:t>
      </w:r>
      <w:r w:rsidR="003C7BC6">
        <w:rPr>
          <w:rFonts w:cs="Arial"/>
          <w:szCs w:val="24"/>
        </w:rPr>
        <w:t>,</w:t>
      </w:r>
      <w:r w:rsidR="00F903C3" w:rsidRPr="00424BD3">
        <w:rPr>
          <w:rFonts w:cs="Arial"/>
          <w:szCs w:val="24"/>
        </w:rPr>
        <w:t xml:space="preserve"> and perceptions of health norms; </w:t>
      </w:r>
      <w:r w:rsidR="00462C6E" w:rsidRPr="00424BD3">
        <w:rPr>
          <w:rFonts w:cs="Arial"/>
          <w:szCs w:val="24"/>
        </w:rPr>
        <w:t>and more</w:t>
      </w:r>
      <w:r w:rsidR="0052723B" w:rsidRPr="00424BD3">
        <w:rPr>
          <w:rFonts w:cs="Arial"/>
          <w:szCs w:val="24"/>
        </w:rPr>
        <w:t xml:space="preserve"> </w:t>
      </w:r>
      <w:r w:rsidR="00D036A2" w:rsidRPr="00424BD3">
        <w:rPr>
          <w:rFonts w:cs="Arial"/>
          <w:szCs w:val="24"/>
        </w:rPr>
        <w:fldChar w:fldCharType="begin"/>
      </w:r>
      <w:r w:rsidR="00990F3A">
        <w:rPr>
          <w:rFonts w:cs="Arial"/>
          <w:szCs w:val="24"/>
        </w:rPr>
        <w:instrText xml:space="preserve"> ADDIN ZOTERO_ITEM CSL_CITATION {"citationID":"xzTJ0doj","properties":{"formattedCitation":"(Potter et al., 2019)","plainCitation":"(Potter et al., 2019)","noteIndex":0},"citationItems":[{"id":1595,"uris":["http://zotero.org/users/4946941/items/U5ZBGZ7N"],"itemData":{"id":1595,"type":"article-journal","abstract":"Researchers consider older women in rural Appalachia to have low levels of agency and high levels of fatalism regarding decision making about cancer treatment. Using the life course perspective, we examined older women’s agency with information seeking about gynecological cancer. Semistructured interviews with 20 White women living in central Appalachia revealed four trajectories: Surrendering Control, Accepting Death, Self-Care, and Advocacy, each with its own forms of agency. Some women experienced personal transformation, increased self-efficacy, and a passion for community empowerment. Fatalism was not understood apart from placing trust in medical expertise. We implore researchers to further explore rural expressions of agency.","container-title":"Journal of Women &amp; Aging","DOI":"10.1080/08952841.2018.1434951","ISSN":"0895-2841","issue":"3","note":"publisher: Routledge\n_eprint: https://doi.org/10.1080/08952841.2018.1434951\nPMID: 29452052","page":"192-212","source":"Taylor and Francis+NEJM","title":"Agency and fatalism in older Appalachian women’s information seeking about gynecological cancer","volume":"31","author":[{"family":"Potter","given":"Emma C."},{"family":"Allen","given":"Katherine R."},{"family":"Roberto","given":"Karen A."}],"issued":{"date-parts":[["2019",5,4]]}}}],"schema":"https://github.com/citation-style-language/schema/raw/master/csl-citation.json"} </w:instrText>
      </w:r>
      <w:r w:rsidR="00D036A2" w:rsidRPr="00424BD3">
        <w:rPr>
          <w:rFonts w:cs="Arial"/>
          <w:szCs w:val="24"/>
        </w:rPr>
        <w:fldChar w:fldCharType="separate"/>
      </w:r>
      <w:r w:rsidR="00D036A2" w:rsidRPr="00424BD3">
        <w:rPr>
          <w:rFonts w:cs="Arial"/>
        </w:rPr>
        <w:t>(Potter et al., 2019)</w:t>
      </w:r>
      <w:r w:rsidR="00D036A2" w:rsidRPr="00424BD3">
        <w:rPr>
          <w:rFonts w:cs="Arial"/>
          <w:szCs w:val="24"/>
        </w:rPr>
        <w:fldChar w:fldCharType="end"/>
      </w:r>
      <w:r w:rsidR="00FC7002" w:rsidRPr="00424BD3">
        <w:rPr>
          <w:rFonts w:cs="Arial"/>
          <w:szCs w:val="24"/>
        </w:rPr>
        <w:t>.</w:t>
      </w:r>
      <w:r w:rsidRPr="00424BD3">
        <w:rPr>
          <w:rFonts w:cs="Arial"/>
          <w:szCs w:val="24"/>
        </w:rPr>
        <w:t xml:space="preserve"> </w:t>
      </w:r>
    </w:p>
    <w:p w14:paraId="697B2D55" w14:textId="6CF04D89" w:rsidR="008844E4" w:rsidRPr="00424BD3" w:rsidRDefault="008844E4" w:rsidP="000126EE">
      <w:pPr>
        <w:pStyle w:val="Heading3"/>
        <w:spacing w:before="0" w:line="480" w:lineRule="auto"/>
        <w:rPr>
          <w:rFonts w:ascii="Arial" w:hAnsi="Arial" w:cs="Arial"/>
          <w:b/>
          <w:bCs/>
          <w:i/>
          <w:iCs/>
          <w:color w:val="auto"/>
        </w:rPr>
      </w:pPr>
      <w:bookmarkStart w:id="31" w:name="_Toc118232301"/>
      <w:r w:rsidRPr="00424BD3">
        <w:rPr>
          <w:rFonts w:ascii="Arial" w:hAnsi="Arial" w:cs="Arial"/>
          <w:b/>
          <w:bCs/>
          <w:i/>
          <w:iCs/>
          <w:color w:val="auto"/>
        </w:rPr>
        <w:t>Ag</w:t>
      </w:r>
      <w:r w:rsidR="008E29FB" w:rsidRPr="00424BD3">
        <w:rPr>
          <w:rFonts w:ascii="Arial" w:hAnsi="Arial" w:cs="Arial"/>
          <w:b/>
          <w:bCs/>
          <w:i/>
          <w:iCs/>
          <w:color w:val="auto"/>
        </w:rPr>
        <w:t>e</w:t>
      </w:r>
      <w:r w:rsidRPr="00424BD3">
        <w:rPr>
          <w:rFonts w:ascii="Arial" w:hAnsi="Arial" w:cs="Arial"/>
          <w:b/>
          <w:bCs/>
          <w:i/>
          <w:iCs/>
          <w:color w:val="auto"/>
        </w:rPr>
        <w:t>ism, Sexism and Health Marginalization of Older Women</w:t>
      </w:r>
      <w:bookmarkEnd w:id="31"/>
      <w:r w:rsidRPr="00424BD3">
        <w:rPr>
          <w:rFonts w:ascii="Arial" w:hAnsi="Arial" w:cs="Arial"/>
          <w:b/>
          <w:bCs/>
          <w:i/>
          <w:iCs/>
          <w:color w:val="auto"/>
        </w:rPr>
        <w:t xml:space="preserve"> </w:t>
      </w:r>
    </w:p>
    <w:p w14:paraId="3586F7D0" w14:textId="3D367120" w:rsidR="008844E4" w:rsidRPr="00424BD3" w:rsidRDefault="008844E4" w:rsidP="000126EE">
      <w:pPr>
        <w:spacing w:after="0" w:line="480" w:lineRule="auto"/>
        <w:ind w:firstLine="720"/>
        <w:rPr>
          <w:rFonts w:cs="Arial"/>
          <w:szCs w:val="24"/>
        </w:rPr>
      </w:pPr>
      <w:r w:rsidRPr="00424BD3">
        <w:rPr>
          <w:rFonts w:cs="Arial"/>
          <w:szCs w:val="24"/>
        </w:rPr>
        <w:t xml:space="preserve">For more than a century, medical, economic, political, and population health interventions have successfully increased life expectancy </w:t>
      </w:r>
      <w:r w:rsidRPr="00424BD3">
        <w:rPr>
          <w:rFonts w:cs="Arial"/>
          <w:szCs w:val="24"/>
        </w:rPr>
        <w:fldChar w:fldCharType="begin"/>
      </w:r>
      <w:r w:rsidR="00990F3A">
        <w:rPr>
          <w:rFonts w:cs="Arial"/>
          <w:szCs w:val="24"/>
        </w:rPr>
        <w:instrText xml:space="preserve"> ADDIN ZOTERO_ITEM CSL_CITATION {"citationID":"sX8v2wq5","properties":{"formattedCitation":"(Callahan, 1998)","plainCitation":"(Callahan, 1998)","noteIndex":0},"citationItems":[{"id":624,"uris":["http://zotero.org/users/4946941/items/FBQBHCL7"],"itemData":{"id":624,"type":"article-journal","container-title":"Journal of the American Geriatrics Society","issue":"3","language":"en","page":"385–388","title":"Managed care and the goals of medicine","volume":"46","author":[{"family":"Callahan","given":"D."}],"issued":{"date-parts":[["1998"]]}}}],"schema":"https://github.com/citation-style-language/schema/raw/master/csl-citation.json"} </w:instrText>
      </w:r>
      <w:r w:rsidRPr="00424BD3">
        <w:rPr>
          <w:rFonts w:cs="Arial"/>
          <w:szCs w:val="24"/>
        </w:rPr>
        <w:fldChar w:fldCharType="separate"/>
      </w:r>
      <w:r w:rsidRPr="00424BD3">
        <w:rPr>
          <w:rFonts w:cs="Arial"/>
        </w:rPr>
        <w:t>(Callahan, 1998)</w:t>
      </w:r>
      <w:r w:rsidRPr="00424BD3">
        <w:rPr>
          <w:rFonts w:cs="Arial"/>
          <w:szCs w:val="24"/>
        </w:rPr>
        <w:fldChar w:fldCharType="end"/>
      </w:r>
      <w:r w:rsidRPr="00424BD3">
        <w:rPr>
          <w:rFonts w:cs="Arial"/>
          <w:szCs w:val="24"/>
        </w:rPr>
        <w:t xml:space="preserve">. The fact that, worldwide, those aged 65 </w:t>
      </w:r>
      <w:r w:rsidR="00A76789" w:rsidRPr="00424BD3">
        <w:rPr>
          <w:rFonts w:cs="Arial"/>
          <w:szCs w:val="24"/>
        </w:rPr>
        <w:t xml:space="preserve">years </w:t>
      </w:r>
      <w:r w:rsidRPr="00424BD3">
        <w:rPr>
          <w:rFonts w:cs="Arial"/>
          <w:szCs w:val="24"/>
        </w:rPr>
        <w:t xml:space="preserve">and over make up 9.3% of the world’s population </w:t>
      </w:r>
      <w:r w:rsidRPr="00424BD3">
        <w:rPr>
          <w:rFonts w:cs="Arial"/>
          <w:szCs w:val="24"/>
        </w:rPr>
        <w:fldChar w:fldCharType="begin"/>
      </w:r>
      <w:r w:rsidR="00023341">
        <w:rPr>
          <w:rFonts w:cs="Arial"/>
          <w:szCs w:val="24"/>
        </w:rPr>
        <w:instrText xml:space="preserve"> ADDIN ZOTERO_ITEM CSL_CITATION {"citationID":"UIOVofuw","properties":{"formattedCitation":"(UNDESA, 2020)","plainCitation":"(UNDESA, 2020)","noteIndex":0},"citationItems":[{"id":843,"uris":["http://zotero.org/users/4946941/items/5R6P4F9S"],"itemData":{"id":843,"type":"document","language":"en","publisher":"United Nations Department for Economic and Social Affairs (UNDESA)","title":"World Population Aging 2020 Highlights: Living arrangements of older persons (ST/ESA/SER.A/451","URL":"https://www.un.org/development/desa/pd/sites/www.un.org.development.desa.pd/files/undesa_pd-2020_world_population_aging_highlights.pdf","author":[{"family":"UNDESA","given":""}],"issued":{"date-parts":[["2020"]]}}}],"schema":"https://github.com/citation-style-language/schema/raw/master/csl-citation.json"} </w:instrText>
      </w:r>
      <w:r w:rsidRPr="00424BD3">
        <w:rPr>
          <w:rFonts w:cs="Arial"/>
          <w:szCs w:val="24"/>
        </w:rPr>
        <w:fldChar w:fldCharType="separate"/>
      </w:r>
      <w:r w:rsidRPr="00424BD3">
        <w:rPr>
          <w:rFonts w:cs="Arial"/>
        </w:rPr>
        <w:t>(UNDESA, 2020)</w:t>
      </w:r>
      <w:r w:rsidRPr="00424BD3">
        <w:rPr>
          <w:rFonts w:cs="Arial"/>
          <w:szCs w:val="24"/>
        </w:rPr>
        <w:fldChar w:fldCharType="end"/>
      </w:r>
      <w:r w:rsidRPr="00424BD3">
        <w:rPr>
          <w:rFonts w:cs="Arial"/>
          <w:szCs w:val="24"/>
        </w:rPr>
        <w:t xml:space="preserve">, shows our commitment to healthier longer living. Health bodies like the </w:t>
      </w:r>
      <w:r w:rsidR="00A76789" w:rsidRPr="00424BD3">
        <w:rPr>
          <w:rFonts w:cs="Arial"/>
          <w:szCs w:val="24"/>
        </w:rPr>
        <w:t>World Health Organization (</w:t>
      </w:r>
      <w:r w:rsidRPr="00424BD3">
        <w:rPr>
          <w:rFonts w:cs="Arial"/>
          <w:szCs w:val="24"/>
        </w:rPr>
        <w:t>WHO</w:t>
      </w:r>
      <w:r w:rsidR="00A76789" w:rsidRPr="00424BD3">
        <w:rPr>
          <w:rFonts w:cs="Arial"/>
          <w:szCs w:val="24"/>
        </w:rPr>
        <w:t>)</w:t>
      </w:r>
      <w:r w:rsidRPr="00424BD3">
        <w:rPr>
          <w:rFonts w:cs="Arial"/>
          <w:szCs w:val="24"/>
        </w:rPr>
        <w:t xml:space="preserve"> have repeatedly stated that the area of aging, and specifically health equity for older women, is an under-studied research area, and have called for additional studies to help enable better intervention and policy recommendations </w:t>
      </w:r>
      <w:r w:rsidRPr="00424BD3">
        <w:rPr>
          <w:rFonts w:cs="Arial"/>
          <w:szCs w:val="24"/>
        </w:rPr>
        <w:fldChar w:fldCharType="begin"/>
      </w:r>
      <w:r w:rsidR="0046301F">
        <w:rPr>
          <w:rFonts w:cs="Arial"/>
          <w:szCs w:val="24"/>
        </w:rPr>
        <w:instrText xml:space="preserve"> ADDIN ZOTERO_ITEM CSL_CITATION {"citationID":"EJdUP4I9","properties":{"formattedCitation":"(WHO, 2007)","plainCitation":"(WHO, 2007)","noteIndex":0},"citationItems":[{"id":865,"uris":["http://zotero.org/users/4946941/items/VQ4WB5EF"],"itemData":{"id":865,"type":"document","language":"en","note":"publisher-place: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Pr="00424BD3">
        <w:rPr>
          <w:rFonts w:cs="Arial"/>
          <w:szCs w:val="24"/>
        </w:rPr>
        <w:fldChar w:fldCharType="separate"/>
      </w:r>
      <w:r w:rsidRPr="00424BD3">
        <w:rPr>
          <w:rFonts w:cs="Arial"/>
        </w:rPr>
        <w:t>(WHO, 2007)</w:t>
      </w:r>
      <w:r w:rsidRPr="00424BD3">
        <w:rPr>
          <w:rFonts w:cs="Arial"/>
          <w:szCs w:val="24"/>
        </w:rPr>
        <w:fldChar w:fldCharType="end"/>
      </w:r>
      <w:r w:rsidRPr="00424BD3">
        <w:rPr>
          <w:rFonts w:cs="Arial"/>
          <w:szCs w:val="24"/>
        </w:rPr>
        <w:t xml:space="preserve">. </w:t>
      </w:r>
    </w:p>
    <w:p w14:paraId="254CBF92" w14:textId="2AF56909" w:rsidR="00A40BD9" w:rsidRDefault="008844E4" w:rsidP="000126EE">
      <w:pPr>
        <w:spacing w:after="0" w:line="480" w:lineRule="auto"/>
        <w:ind w:firstLine="720"/>
        <w:rPr>
          <w:rFonts w:cs="Arial"/>
          <w:szCs w:val="24"/>
        </w:rPr>
      </w:pPr>
      <w:r w:rsidRPr="00424BD3">
        <w:rPr>
          <w:rFonts w:cs="Arial"/>
          <w:szCs w:val="24"/>
        </w:rPr>
        <w:t xml:space="preserve">It </w:t>
      </w:r>
      <w:r w:rsidR="00AE348F" w:rsidRPr="00424BD3">
        <w:rPr>
          <w:rFonts w:cs="Arial"/>
          <w:szCs w:val="24"/>
        </w:rPr>
        <w:t>may be said</w:t>
      </w:r>
      <w:r w:rsidRPr="00424BD3">
        <w:rPr>
          <w:rFonts w:cs="Arial"/>
          <w:szCs w:val="24"/>
        </w:rPr>
        <w:t xml:space="preserve"> that older people, with their lived experiences, skills, and knowledge, </w:t>
      </w:r>
      <w:r w:rsidR="00DB1794" w:rsidRPr="00424BD3">
        <w:rPr>
          <w:rFonts w:cs="Arial"/>
          <w:szCs w:val="24"/>
        </w:rPr>
        <w:t xml:space="preserve">have </w:t>
      </w:r>
      <w:r w:rsidRPr="00424BD3">
        <w:rPr>
          <w:rFonts w:cs="Arial"/>
          <w:szCs w:val="24"/>
        </w:rPr>
        <w:t>contribute</w:t>
      </w:r>
      <w:r w:rsidR="00DB1794" w:rsidRPr="00424BD3">
        <w:rPr>
          <w:rFonts w:cs="Arial"/>
          <w:szCs w:val="24"/>
        </w:rPr>
        <w:t>d</w:t>
      </w:r>
      <w:r w:rsidRPr="00424BD3">
        <w:rPr>
          <w:rFonts w:cs="Arial"/>
          <w:szCs w:val="24"/>
        </w:rPr>
        <w:t xml:space="preserve"> as equally to society </w:t>
      </w:r>
      <w:r w:rsidR="00DB1794" w:rsidRPr="00424BD3">
        <w:rPr>
          <w:rFonts w:cs="Arial"/>
          <w:szCs w:val="24"/>
        </w:rPr>
        <w:t xml:space="preserve">throughout their life course </w:t>
      </w:r>
      <w:r w:rsidRPr="00424BD3">
        <w:rPr>
          <w:rFonts w:cs="Arial"/>
          <w:szCs w:val="24"/>
        </w:rPr>
        <w:t xml:space="preserve">as those </w:t>
      </w:r>
      <w:r w:rsidRPr="00424BD3">
        <w:rPr>
          <w:rFonts w:cs="Arial"/>
          <w:szCs w:val="24"/>
        </w:rPr>
        <w:lastRenderedPageBreak/>
        <w:t>under 65</w:t>
      </w:r>
      <w:r w:rsidR="008C0421" w:rsidRPr="00424BD3">
        <w:rPr>
          <w:rFonts w:cs="Arial"/>
          <w:szCs w:val="24"/>
        </w:rPr>
        <w:t xml:space="preserve"> years</w:t>
      </w:r>
      <w:r w:rsidRPr="00424BD3">
        <w:rPr>
          <w:rFonts w:cs="Arial"/>
          <w:szCs w:val="24"/>
        </w:rPr>
        <w:t xml:space="preserve">. Unfortunately, aging is often no longer viewed as a positive accomplishment hard won over more than one-hundred years of effort in increasing healthy life expectancy and longevity. Having accomplished this goal in the U.S., aging </w:t>
      </w:r>
      <w:r w:rsidR="00404C95" w:rsidRPr="00424BD3">
        <w:rPr>
          <w:rFonts w:cs="Arial"/>
          <w:szCs w:val="24"/>
        </w:rPr>
        <w:t xml:space="preserve">is now framed </w:t>
      </w:r>
      <w:r w:rsidRPr="00424BD3">
        <w:rPr>
          <w:rFonts w:cs="Arial"/>
          <w:szCs w:val="24"/>
        </w:rPr>
        <w:t>in a ‘fear language’</w:t>
      </w:r>
      <w:r w:rsidR="00D82478" w:rsidRPr="00424BD3">
        <w:rPr>
          <w:rFonts w:cs="Arial"/>
          <w:szCs w:val="24"/>
        </w:rPr>
        <w:t xml:space="preserve"> </w:t>
      </w:r>
      <w:r w:rsidRPr="00424BD3">
        <w:rPr>
          <w:rFonts w:cs="Arial"/>
          <w:szCs w:val="24"/>
        </w:rPr>
        <w:t xml:space="preserve">where older people are seen as a burden, a social and economic cost, a ‘drain on the system’, and a thing of disgust </w:t>
      </w:r>
      <w:r w:rsidRPr="00424BD3">
        <w:rPr>
          <w:rFonts w:cs="Arial"/>
          <w:szCs w:val="24"/>
        </w:rPr>
        <w:fldChar w:fldCharType="begin"/>
      </w:r>
      <w:r w:rsidR="00990F3A">
        <w:rPr>
          <w:rFonts w:cs="Arial"/>
          <w:szCs w:val="24"/>
        </w:rPr>
        <w:instrText xml:space="preserve"> ADDIN ZOTERO_ITEM CSL_CITATION {"citationID":"qUrX50uV","properties":{"formattedCitation":"(Cruikshank, 2013)","plainCitation":"(Cruikshank, 2013)","noteIndex":0},"citationItems":[{"id":642,"uris":["http://zotero.org/users/4946941/items/MU5IA34Q"],"itemData":{"id":642,"type":"book","language":"en","publisher":"Rowman &amp; Littlefield Publishers","title":"Learning to be old: Gender, culture, and aging","author":[{"family":"Cruikshank","given":"M."}],"issued":{"date-parts":[["2013"]]}}}],"schema":"https://github.com/citation-style-language/schema/raw/master/csl-citation.json"} </w:instrText>
      </w:r>
      <w:r w:rsidRPr="00424BD3">
        <w:rPr>
          <w:rFonts w:cs="Arial"/>
          <w:szCs w:val="24"/>
        </w:rPr>
        <w:fldChar w:fldCharType="separate"/>
      </w:r>
      <w:r w:rsidRPr="00424BD3">
        <w:rPr>
          <w:rFonts w:cs="Arial"/>
        </w:rPr>
        <w:t>(Cruikshank, 2013)</w:t>
      </w:r>
      <w:r w:rsidRPr="00424BD3">
        <w:rPr>
          <w:rFonts w:cs="Arial"/>
          <w:szCs w:val="24"/>
        </w:rPr>
        <w:fldChar w:fldCharType="end"/>
      </w:r>
      <w:r w:rsidR="00D82478" w:rsidRPr="00424BD3">
        <w:rPr>
          <w:rFonts w:cs="Arial"/>
          <w:szCs w:val="24"/>
        </w:rPr>
        <w:t>. This is</w:t>
      </w:r>
      <w:r w:rsidRPr="00424BD3">
        <w:rPr>
          <w:rFonts w:cs="Arial"/>
          <w:szCs w:val="24"/>
        </w:rPr>
        <w:t xml:space="preserve"> despite the reality that</w:t>
      </w:r>
      <w:r w:rsidR="00306F95" w:rsidRPr="00424BD3">
        <w:rPr>
          <w:rFonts w:cs="Arial"/>
          <w:szCs w:val="24"/>
        </w:rPr>
        <w:t xml:space="preserve"> even though </w:t>
      </w:r>
      <w:r w:rsidRPr="00424BD3">
        <w:rPr>
          <w:rFonts w:cs="Arial"/>
          <w:szCs w:val="24"/>
        </w:rPr>
        <w:t xml:space="preserve">aging </w:t>
      </w:r>
      <w:r w:rsidR="004F48BC" w:rsidRPr="00424BD3">
        <w:rPr>
          <w:rFonts w:cs="Arial"/>
          <w:szCs w:val="24"/>
        </w:rPr>
        <w:t xml:space="preserve">is a physical process, </w:t>
      </w:r>
      <w:r w:rsidR="00A52A7F" w:rsidRPr="00424BD3">
        <w:rPr>
          <w:rFonts w:cs="Arial"/>
          <w:szCs w:val="24"/>
        </w:rPr>
        <w:t xml:space="preserve">societies determine what </w:t>
      </w:r>
      <w:r w:rsidR="0003050D" w:rsidRPr="00424BD3">
        <w:rPr>
          <w:rFonts w:cs="Arial"/>
          <w:szCs w:val="24"/>
        </w:rPr>
        <w:t>“old” and “young</w:t>
      </w:r>
      <w:r w:rsidR="00733BE6" w:rsidRPr="00424BD3">
        <w:rPr>
          <w:rFonts w:cs="Arial"/>
          <w:szCs w:val="24"/>
        </w:rPr>
        <w:t>”</w:t>
      </w:r>
      <w:r w:rsidR="0003050D" w:rsidRPr="00424BD3">
        <w:rPr>
          <w:rFonts w:cs="Arial"/>
          <w:szCs w:val="24"/>
        </w:rPr>
        <w:t xml:space="preserve"> mean. </w:t>
      </w:r>
    </w:p>
    <w:p w14:paraId="15DDA98D" w14:textId="5DE68168" w:rsidR="008844E4" w:rsidRPr="00424BD3" w:rsidRDefault="00A40BD9" w:rsidP="000126EE">
      <w:pPr>
        <w:spacing w:after="0" w:line="480" w:lineRule="auto"/>
        <w:ind w:firstLine="720"/>
        <w:rPr>
          <w:rFonts w:cs="Arial"/>
          <w:szCs w:val="24"/>
        </w:rPr>
      </w:pPr>
      <w:r>
        <w:rPr>
          <w:rFonts w:cs="Arial"/>
          <w:szCs w:val="24"/>
        </w:rPr>
        <w:t>However, on some level, a</w:t>
      </w:r>
      <w:r w:rsidR="0003050D" w:rsidRPr="00424BD3">
        <w:rPr>
          <w:rFonts w:cs="Arial"/>
          <w:szCs w:val="24"/>
        </w:rPr>
        <w:t>ge itself is a</w:t>
      </w:r>
      <w:r w:rsidR="008844E4" w:rsidRPr="00424BD3">
        <w:rPr>
          <w:rFonts w:cs="Arial"/>
          <w:szCs w:val="24"/>
        </w:rPr>
        <w:t xml:space="preserve"> social construct </w:t>
      </w:r>
      <w:r w:rsidR="008844E4" w:rsidRPr="00424BD3">
        <w:rPr>
          <w:rFonts w:cs="Arial"/>
          <w:szCs w:val="24"/>
        </w:rPr>
        <w:fldChar w:fldCharType="begin"/>
      </w:r>
      <w:r w:rsidR="00A62929">
        <w:rPr>
          <w:rFonts w:cs="Arial"/>
          <w:szCs w:val="24"/>
        </w:rPr>
        <w:instrText xml:space="preserve"> ADDIN ZOTERO_ITEM CSL_CITATION {"citationID":"dRlLVTtY","properties":{"formattedCitation":"(A. A. Cohen et al., 2020; Cruikshank, 2013; LibreTexts, 2021; Peto &amp; Doll, 1997)","plainCitation":"(A. A. Cohen et al., 2020; Cruikshank, 2013; LibreTexts, 2021; Peto &amp; Doll, 1997)","noteIndex":0},"citationItems":[{"id":637,"uris":["http://zotero.org/users/4946941/items/2IEVUHNI"],"itemData":{"id":637,"type":"article-journal","container-title":"Mechanisms of Ageing and Development","DOI":"10.1016/j.mad.2020.111344","language":"en","page":"111344","title":"What if there’s no such thing as “aging”?","volume":"192","author":[{"family":"Cohen","given":"Alan A."},{"family":"Legault","given":"Veronique"},{"family":"Fülöp","given":"Tamas"}],"issued":{"date-parts":[["2020"]]}}},{"id":642,"uris":["http://zotero.org/users/4946941/items/MU5IA34Q"],"itemData":{"id":642,"type":"book","language":"en","publisher":"Rowman &amp; Littlefield Publishers","title":"Learning to be old: Gender, culture, and aging","author":[{"family":"Cruikshank","given":"M."}],"issued":{"date-parts":[["2013"]]}}},{"id":1577,"uris":["http://zotero.org/users/4946941/items/GFYM3E4N"],"itemData":{"id":1577,"type":"webpage","container-title":"LibreTexts Social Science","language":"en","title":"18.2A: The Social Construction of Aging","title-short":"18.2A","URL":"https://socialsci.libretexts.org/Bookshelves/Sociology/Introduction_to_Sociology/Book%3A_Sociology_(Boundless)/18%3A_Aging/18.02%3A_A_Global_Perspective_on_Aging/18.2A%3A_The_Social_Construction_of_Aging","author":[{"family":"LibreTexts","given":""}],"accessed":{"date-parts":[["2022",9,10]]},"issued":{"date-parts":[["2021",2,20]]}}},{"id":765,"uris":["http://zotero.org/users/4946941/items/TUZA5RS4"],"itemData":{"id":765,"type":"article-journal","container-title":"Bmj","DOI":"10.1136/bmj.315.7115.1030","issue":"7115","language":"en","page":"1030–1032","title":"There is no such thing as aging: Old age is associated with disease, but does not cause it","volume":"315","author":[{"family":"Peto","given":"R."},{"family":"Doll","given":"R."}],"issued":{"date-parts":[["1997"]]}}}],"schema":"https://github.com/citation-style-language/schema/raw/master/csl-citation.json"} </w:instrText>
      </w:r>
      <w:r w:rsidR="008844E4" w:rsidRPr="00424BD3">
        <w:rPr>
          <w:rFonts w:cs="Arial"/>
          <w:szCs w:val="24"/>
        </w:rPr>
        <w:fldChar w:fldCharType="separate"/>
      </w:r>
      <w:r w:rsidR="0066781B" w:rsidRPr="00424BD3">
        <w:rPr>
          <w:rFonts w:cs="Arial"/>
        </w:rPr>
        <w:t>(A. A. Cohen et al., 2020; Cruikshank, 2013; LibreTexts, 2021; Peto &amp; Doll, 1997)</w:t>
      </w:r>
      <w:r w:rsidR="008844E4" w:rsidRPr="00424BD3">
        <w:rPr>
          <w:rFonts w:cs="Arial"/>
          <w:szCs w:val="24"/>
        </w:rPr>
        <w:fldChar w:fldCharType="end"/>
      </w:r>
      <w:r w:rsidR="008844E4" w:rsidRPr="00424BD3">
        <w:rPr>
          <w:rFonts w:cs="Arial"/>
          <w:szCs w:val="24"/>
        </w:rPr>
        <w:t xml:space="preserve"> with inequitable and stigmatized barriers, particularly for women aged 65 </w:t>
      </w:r>
      <w:r w:rsidR="008612C2" w:rsidRPr="00424BD3">
        <w:rPr>
          <w:rFonts w:cs="Arial"/>
          <w:szCs w:val="24"/>
        </w:rPr>
        <w:t xml:space="preserve">years </w:t>
      </w:r>
      <w:r w:rsidR="008844E4" w:rsidRPr="00424BD3">
        <w:rPr>
          <w:rFonts w:cs="Arial"/>
          <w:szCs w:val="24"/>
        </w:rPr>
        <w:t xml:space="preserve">and over </w:t>
      </w:r>
      <w:r w:rsidR="008844E4" w:rsidRPr="00424BD3">
        <w:rPr>
          <w:rFonts w:cs="Arial"/>
          <w:szCs w:val="24"/>
        </w:rPr>
        <w:fldChar w:fldCharType="begin"/>
      </w:r>
      <w:r w:rsidR="00D52B29">
        <w:rPr>
          <w:rFonts w:cs="Arial"/>
          <w:szCs w:val="24"/>
        </w:rPr>
        <w:instrText xml:space="preserve"> ADDIN ZOTERO_ITEM CSL_CITATION {"citationID":"o9xvQ9px","properties":{"formattedCitation":"(Arber, 2006; Bierman &amp; Clancy, 2001; CAB, 2017; Velez et al., 2019; WHO, 2007)","plainCitation":"(Arber, 2006; Bierman &amp; Clancy, 2001; CAB, 2017; Velez et al., 2019; WHO, 2007)","noteIndex":0},"citationItems":[{"id":583,"uris":["http://zotero.org/users/4946941/items/65XXARN7"],"itemData":{"id":583,"type":"chapter","container-title":"Ageing and diversity: Multiple pathways and cultural migrations","event-place":"Britol","page":"61-76","publisher":"Policy Press","publisher-place":"Britol","title":"Gender trajectories: How age and marital status influence patterns of gender inequality in later life","author":[{"family":"Arber","given":"Sara"}],"issued":{"date-parts":[["2006"]]}}},{"id":605,"uris":["http://zotero.org/users/4946941/items/I97EFADJ"],"itemData":{"id":605,"type":"article-journal","abstract":"Older women experience a high burden of chronic illness, disability, and comorbidity, and this burden is highest among socioeconomically disadvantaged and minority women. The consequences of a mismatch between the organization, delivery, and financing of health care for older women and their actual needs fall disproportionately on low-income and minority women. New sources of data, such as the Medicare Health Outcomes Survey, a new quality measure for Medicare+Choice plans, will provide valuable information to practitioners about the health and functioning of older women in general and about socioeconomically disadvantaged and minority women in particular. This information can be used to develop and implement interventions to improve the quality and outcomes of care for vulnerable subgroups of older women. There is cause for optimism that by improving the quality of clinical preventive services and the management of common chronic conditions and geriatric syndromes it will be possible to improve functional health outcomes, prevent or postpone disability, and extend active life expectancy for all older women while making progress toward eliminating health disparities among the most disadvantaged.","container-title":"Journal of the American Medical Women's Association (1972)","ISSN":"1551-8221","issue":"4","journalAbbreviation":"J Am Med Womens Assoc (1972)","language":"eng","note":"PMID: 11759783","page":"155-9, 188","source":"Europe PMC","title":"Health disparities among older women: identifying opportunities to improve quality of care and functional health outcomes","title-short":"Health disparities among older women","volume":"56","author":[{"family":"Bierman","given":"A S"},{"family":"Clancy","given":"C M"}],"issued":{"date-parts":[["2001",1,1]]}}},{"id":930,"uris":["http://zotero.org/users/4946941/items/YP85Q6HX"],"itemData":{"id":930,"type":"document","language":"https://www.ageing-better.org.uk/sites/default/files/2017-12/Inequalities%20insight%20report.pdf","publisher":"Centre for Ageing Better (CAB)","title":"Inequalities in Later Life. The issue and the implications for policy and practice.","author":[{"family":"CAB","given":""}],"issued":{"date-parts":[["2017"]]}}},{"id":854,"uris":["http://zotero.org/users/4946941/items/9LK9FFXH"],"itemData":{"id":854,"type":"article-journal","container-title":"Data in brief","language":"en","page":"103811","title":"Data on the association between age at natural menopause and physical function in older women from the International Mobility in Aging Study (IMIAS","volume":"23","author":[{"family":"Velez","given":"M.P."},{"family":"Rosendaal","given":"N."},{"family":"Alvarado","given":"B."},{"family":"Câmara","given":"S."},{"family":"Belanger","given":"E."},{"family":"Pirkle","given":"C.M."}],"issued":{"date-parts":[["2019"]]}}},{"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008844E4" w:rsidRPr="00424BD3">
        <w:rPr>
          <w:rFonts w:cs="Arial"/>
          <w:szCs w:val="24"/>
        </w:rPr>
        <w:fldChar w:fldCharType="separate"/>
      </w:r>
      <w:r w:rsidR="008844E4" w:rsidRPr="00424BD3">
        <w:rPr>
          <w:rFonts w:cs="Arial"/>
        </w:rPr>
        <w:t>(Arber, 2006; Bierman &amp; Clancy, 2001; CAB, 2017; Velez et al., 2019; WHO, 2007)</w:t>
      </w:r>
      <w:r w:rsidR="008844E4" w:rsidRPr="00424BD3">
        <w:rPr>
          <w:rFonts w:cs="Arial"/>
          <w:szCs w:val="24"/>
        </w:rPr>
        <w:fldChar w:fldCharType="end"/>
      </w:r>
      <w:r w:rsidR="008844E4" w:rsidRPr="00424BD3">
        <w:rPr>
          <w:rFonts w:cs="Arial"/>
          <w:szCs w:val="24"/>
        </w:rPr>
        <w:t>. McGuire</w:t>
      </w:r>
      <w:r w:rsidR="006979BA">
        <w:rPr>
          <w:rFonts w:cs="Arial"/>
          <w:szCs w:val="24"/>
        </w:rPr>
        <w:t xml:space="preserve"> et al.’s</w:t>
      </w:r>
      <w:r w:rsidR="008844E4" w:rsidRPr="00424BD3">
        <w:rPr>
          <w:rFonts w:cs="Arial"/>
          <w:szCs w:val="24"/>
        </w:rPr>
        <w:t xml:space="preserve"> </w:t>
      </w:r>
      <w:r w:rsidR="008844E4" w:rsidRPr="00424BD3">
        <w:rPr>
          <w:rFonts w:cs="Arial"/>
          <w:szCs w:val="24"/>
        </w:rPr>
        <w:fldChar w:fldCharType="begin"/>
      </w:r>
      <w:r w:rsidR="00990F3A">
        <w:rPr>
          <w:rFonts w:cs="Arial"/>
          <w:szCs w:val="24"/>
        </w:rPr>
        <w:instrText xml:space="preserve"> ADDIN ZOTERO_ITEM CSL_CITATION {"citationID":"PeI0aEif","properties":{"formattedCitation":"(2008)","plainCitation":"(2008)","noteIndex":0},"citationItems":[{"id":731,"uris":["http://zotero.org/users/4946941/items/N6KN4GF3"],"itemData":{"id":731,"type":"article-journal","container-title":"Nursing &amp; Health Sciences","DOI":"10.1111/j.1442-2018.2007.00336.x","issue":"1","language":"en","page":"11–16","title":"Ageism revisited: A study measuring ageism in East Tennessee, USA","volume":"10","author":[{"family":"McGuire","given":"S.L."},{"family":"Klein","given":"D.A."},{"family":"Chen","given":"S.L."}],"issued":{"date-parts":[["2008"]]}},"suppress-author":true}],"schema":"https://github.com/citation-style-language/schema/raw/master/csl-citation.json"} </w:instrText>
      </w:r>
      <w:r w:rsidR="008844E4" w:rsidRPr="00424BD3">
        <w:rPr>
          <w:rFonts w:cs="Arial"/>
          <w:szCs w:val="24"/>
        </w:rPr>
        <w:fldChar w:fldCharType="separate"/>
      </w:r>
      <w:r w:rsidR="008844E4" w:rsidRPr="00424BD3">
        <w:rPr>
          <w:rFonts w:cs="Arial"/>
        </w:rPr>
        <w:t>(2008)</w:t>
      </w:r>
      <w:r w:rsidR="008844E4" w:rsidRPr="00424BD3">
        <w:rPr>
          <w:rFonts w:cs="Arial"/>
          <w:szCs w:val="24"/>
        </w:rPr>
        <w:fldChar w:fldCharType="end"/>
      </w:r>
      <w:r w:rsidR="008844E4" w:rsidRPr="00424BD3">
        <w:rPr>
          <w:rFonts w:cs="Arial"/>
          <w:szCs w:val="24"/>
        </w:rPr>
        <w:t xml:space="preserve"> study, revealed that 84% of the 247 community-dwelling older adults they surveyed in East Tennessee had experience at least one type of ageism, despite the knowledge those perpetrating this type of discrimination may live long enough to experience it themselves. At the same time, in many societies, particularly the United States, neoliberal policies have long set social expectations for a ‘rugged individualism’, i.e., minimization of public support and maximization of individual effort and productivity, even in old age </w:t>
      </w:r>
      <w:r w:rsidR="008844E4" w:rsidRPr="00424BD3">
        <w:rPr>
          <w:rFonts w:cs="Arial"/>
          <w:szCs w:val="24"/>
        </w:rPr>
        <w:fldChar w:fldCharType="begin"/>
      </w:r>
      <w:r w:rsidR="00990F3A">
        <w:rPr>
          <w:rFonts w:cs="Arial"/>
          <w:szCs w:val="24"/>
        </w:rPr>
        <w:instrText xml:space="preserve"> ADDIN ZOTERO_ITEM CSL_CITATION {"citationID":"j4MvTnEK","properties":{"formattedCitation":"(Cruikshank, 2013)","plainCitation":"(Cruikshank, 2013)","noteIndex":0},"citationItems":[{"id":642,"uris":["http://zotero.org/users/4946941/items/MU5IA34Q"],"itemData":{"id":642,"type":"book","language":"en","publisher":"Rowman &amp; Littlefield Publishers","title":"Learning to be old: Gender, culture, and aging","author":[{"family":"Cruikshank","given":"M."}],"issued":{"date-parts":[["2013"]]}}}],"schema":"https://github.com/citation-style-language/schema/raw/master/csl-citation.json"} </w:instrText>
      </w:r>
      <w:r w:rsidR="008844E4" w:rsidRPr="00424BD3">
        <w:rPr>
          <w:rFonts w:cs="Arial"/>
          <w:szCs w:val="24"/>
        </w:rPr>
        <w:fldChar w:fldCharType="separate"/>
      </w:r>
      <w:r w:rsidR="008844E4" w:rsidRPr="00424BD3">
        <w:rPr>
          <w:rFonts w:cs="Arial"/>
        </w:rPr>
        <w:t>(Cruikshank, 2013)</w:t>
      </w:r>
      <w:r w:rsidR="008844E4" w:rsidRPr="00424BD3">
        <w:rPr>
          <w:rFonts w:cs="Arial"/>
          <w:szCs w:val="24"/>
        </w:rPr>
        <w:fldChar w:fldCharType="end"/>
      </w:r>
      <w:r w:rsidR="008844E4" w:rsidRPr="00424BD3">
        <w:rPr>
          <w:rFonts w:cs="Arial"/>
          <w:szCs w:val="24"/>
        </w:rPr>
        <w:t xml:space="preserve">. As a result, to encourage these expectations and to mitigate the social stigma associated with aging, policies and interventions are framed around concepts such as ‘healthy’ aging, ‘successful’ aging, ‘productive’ aging, and ‘responsible’ aging </w:t>
      </w:r>
      <w:r w:rsidR="008844E4" w:rsidRPr="00424BD3">
        <w:rPr>
          <w:rFonts w:cs="Arial"/>
          <w:szCs w:val="24"/>
        </w:rPr>
        <w:fldChar w:fldCharType="begin"/>
      </w:r>
      <w:r w:rsidR="00990F3A">
        <w:rPr>
          <w:rFonts w:cs="Arial"/>
          <w:szCs w:val="24"/>
        </w:rPr>
        <w:instrText xml:space="preserve"> ADDIN ZOTERO_ITEM CSL_CITATION {"citationID":"LTdWcVJB","properties":{"formattedCitation":"(Cruikshank, 2013)","plainCitation":"(Cruikshank, 2013)","noteIndex":0},"citationItems":[{"id":642,"uris":["http://zotero.org/users/4946941/items/MU5IA34Q"],"itemData":{"id":642,"type":"book","language":"en","publisher":"Rowman &amp; Littlefield Publishers","title":"Learning to be old: Gender, culture, and aging","author":[{"family":"Cruikshank","given":"M."}],"issued":{"date-parts":[["2013"]]}}}],"schema":"https://github.com/citation-style-language/schema/raw/master/csl-citation.json"} </w:instrText>
      </w:r>
      <w:r w:rsidR="008844E4" w:rsidRPr="00424BD3">
        <w:rPr>
          <w:rFonts w:cs="Arial"/>
          <w:szCs w:val="24"/>
        </w:rPr>
        <w:fldChar w:fldCharType="separate"/>
      </w:r>
      <w:r w:rsidR="008844E4" w:rsidRPr="00424BD3">
        <w:rPr>
          <w:rFonts w:cs="Arial"/>
        </w:rPr>
        <w:t>(Cruikshank, 2013)</w:t>
      </w:r>
      <w:r w:rsidR="008844E4" w:rsidRPr="00424BD3">
        <w:rPr>
          <w:rFonts w:cs="Arial"/>
          <w:szCs w:val="24"/>
        </w:rPr>
        <w:fldChar w:fldCharType="end"/>
      </w:r>
      <w:r w:rsidR="008844E4" w:rsidRPr="00424BD3">
        <w:rPr>
          <w:rFonts w:cs="Arial"/>
          <w:szCs w:val="24"/>
        </w:rPr>
        <w:t xml:space="preserve">. These framings have been particularly detrimental to older women’s self-perceptions about who and what is responsible for </w:t>
      </w:r>
      <w:r w:rsidR="008844E4" w:rsidRPr="00424BD3">
        <w:rPr>
          <w:rFonts w:cs="Arial"/>
          <w:szCs w:val="24"/>
        </w:rPr>
        <w:lastRenderedPageBreak/>
        <w:t xml:space="preserve">their health, and </w:t>
      </w:r>
      <w:r w:rsidR="004F3D96">
        <w:rPr>
          <w:rFonts w:cs="Arial"/>
          <w:szCs w:val="24"/>
        </w:rPr>
        <w:t>the</w:t>
      </w:r>
      <w:r w:rsidR="008844E4" w:rsidRPr="00424BD3">
        <w:rPr>
          <w:rFonts w:cs="Arial"/>
          <w:szCs w:val="24"/>
        </w:rPr>
        <w:t xml:space="preserve"> internalized stigma</w:t>
      </w:r>
      <w:r w:rsidR="004F3D96">
        <w:rPr>
          <w:rFonts w:cs="Arial"/>
          <w:szCs w:val="24"/>
        </w:rPr>
        <w:t>s</w:t>
      </w:r>
      <w:r w:rsidR="008844E4" w:rsidRPr="00424BD3">
        <w:rPr>
          <w:rFonts w:cs="Arial"/>
          <w:szCs w:val="24"/>
        </w:rPr>
        <w:t xml:space="preserve"> they have developed as a result </w:t>
      </w:r>
      <w:r w:rsidR="008844E4" w:rsidRPr="00424BD3">
        <w:rPr>
          <w:rFonts w:cs="Arial"/>
          <w:szCs w:val="24"/>
        </w:rPr>
        <w:fldChar w:fldCharType="begin"/>
      </w:r>
      <w:r w:rsidR="00990F3A">
        <w:rPr>
          <w:rFonts w:cs="Arial"/>
          <w:szCs w:val="24"/>
        </w:rPr>
        <w:instrText xml:space="preserve"> ADDIN ZOTERO_ITEM CSL_CITATION {"citationID":"S2VpFJ5D","properties":{"formattedCitation":"(B. J. Brown &amp; Baker, 2012)","plainCitation":"(B. J. Brown &amp; Baker, 2012)","noteIndex":0},"citationItems":[{"id":615,"uris":["http://zotero.org/users/4946941/items/4LTMXLWF"],"itemData":{"id":615,"type":"book","abstract":"The individual has never been more important in society – in almost every sphere of public and private life, the individual is sovereign. Yet the importance and apparent power assigned to the individual is not all that it seems. As 'Responsible Citizens' investigates via its UK-based case studies, this emphasis on the individual has gone hand in hand with a rise in subtle authoritarianism, which has insinuated itself into the government of the population. Whilst present throughout the public services, this authoritarianism is most conspicuous in the health and social welfare sectors, such that a kind of 'governance through responsibility' is today enforced upon the population.","ISBN":"978-0-85728-458-7","language":"en","note":"Google-Books-ID: 9CMVA6poG24C","number-of-pages":"227","publisher":"Anthem Press","source":"Google Books","title":"Responsible Citizens: Individuals, Health, and Policy Under Neoliberalism","title-short":"Responsible Citizens","author":[{"family":"Brown","given":"Brian J."},{"family":"Baker","given":"Sally"}],"issued":{"date-parts":[["2012"]]}}}],"schema":"https://github.com/citation-style-language/schema/raw/master/csl-citation.json"} </w:instrText>
      </w:r>
      <w:r w:rsidR="008844E4" w:rsidRPr="00424BD3">
        <w:rPr>
          <w:rFonts w:cs="Arial"/>
          <w:szCs w:val="24"/>
        </w:rPr>
        <w:fldChar w:fldCharType="separate"/>
      </w:r>
      <w:r w:rsidR="008844E4" w:rsidRPr="00424BD3">
        <w:rPr>
          <w:rFonts w:cs="Arial"/>
        </w:rPr>
        <w:t xml:space="preserve">(B. J. </w:t>
      </w:r>
      <w:r w:rsidR="000B0F8C" w:rsidRPr="00424BD3">
        <w:rPr>
          <w:rFonts w:cs="Arial"/>
        </w:rPr>
        <w:t>Brown</w:t>
      </w:r>
      <w:r w:rsidR="008844E4" w:rsidRPr="00424BD3">
        <w:rPr>
          <w:rFonts w:cs="Arial"/>
        </w:rPr>
        <w:t xml:space="preserve"> &amp; Baker, 2012)</w:t>
      </w:r>
      <w:r w:rsidR="008844E4" w:rsidRPr="00424BD3">
        <w:rPr>
          <w:rFonts w:cs="Arial"/>
          <w:szCs w:val="24"/>
        </w:rPr>
        <w:fldChar w:fldCharType="end"/>
      </w:r>
      <w:r w:rsidR="008844E4" w:rsidRPr="00424BD3">
        <w:rPr>
          <w:rFonts w:cs="Arial"/>
          <w:szCs w:val="24"/>
        </w:rPr>
        <w:t xml:space="preserve">. </w:t>
      </w:r>
    </w:p>
    <w:p w14:paraId="73BE4888" w14:textId="77777777" w:rsidR="008844E4" w:rsidRPr="00424BD3" w:rsidRDefault="008844E4" w:rsidP="000126EE">
      <w:pPr>
        <w:spacing w:after="0" w:line="480" w:lineRule="auto"/>
        <w:ind w:firstLine="720"/>
        <w:rPr>
          <w:rFonts w:cs="Arial"/>
          <w:szCs w:val="24"/>
        </w:rPr>
      </w:pPr>
      <w:r w:rsidRPr="00424BD3">
        <w:rPr>
          <w:rFonts w:cs="Arial"/>
          <w:szCs w:val="24"/>
        </w:rPr>
        <w:t xml:space="preserve">Like all other forms of discrimination, this language (and resultant policies and interventions) situates marginalization or ‘unworthiness’ of people within the body, a result of bodily difference (be it physical or mental health), with the onus on the individual to conform to non-aging health norms. Additionally, in cultural and social settings where older people may be viewed as irrelevant, and with expectations that their lives and deaths are less important than other age groups because they have ‘already lived their lives’, policies and interventions may follow, which codify these social constructions of worthiness. </w:t>
      </w:r>
    </w:p>
    <w:p w14:paraId="65F18017" w14:textId="5C036B35" w:rsidR="008844E4" w:rsidRDefault="008844E4" w:rsidP="000126EE">
      <w:pPr>
        <w:spacing w:after="0" w:line="480" w:lineRule="auto"/>
        <w:ind w:firstLine="720"/>
        <w:rPr>
          <w:rFonts w:cs="Arial"/>
          <w:szCs w:val="24"/>
        </w:rPr>
      </w:pPr>
      <w:r w:rsidRPr="00424BD3">
        <w:rPr>
          <w:rFonts w:cs="Arial"/>
          <w:szCs w:val="24"/>
        </w:rPr>
        <w:t xml:space="preserve">In the United States, and in East Tennessee, this dynamic plays out as an ideological and policymaking concept of health care as a privilege and not a right </w:t>
      </w:r>
      <w:r w:rsidRPr="00424BD3">
        <w:rPr>
          <w:rFonts w:cs="Arial"/>
          <w:szCs w:val="24"/>
        </w:rPr>
        <w:fldChar w:fldCharType="begin"/>
      </w:r>
      <w:r w:rsidR="00990F3A">
        <w:rPr>
          <w:rFonts w:cs="Arial"/>
          <w:szCs w:val="24"/>
        </w:rPr>
        <w:instrText xml:space="preserve"> ADDIN ZOTERO_ITEM CSL_CITATION {"citationID":"X7xkXS38","properties":{"formattedCitation":"(Hoffman, 2012; Maruthappu et al., 2013)","plainCitation":"(Hoffman, 2012; Maruthappu et al., 2013)","noteIndex":0},"citationItems":[{"id":688,"uris":["http://zotero.org/users/4946941/items/AHJWKZJW"],"itemData":{"id":688,"type":"book","language":"en","publisher":"University of Chicago Press","title":"Health care for some: rights and rationing in the United States since 1930","author":[{"family":"Hoffman","given":"B."}],"issued":{"date-parts":[["2012"]]}}},{"id":721,"uris":["http://zotero.org/users/4946941/items/V6L2DUNA"],"itemData":{"id":721,"type":"article-journal","container-title":"Annals of Medicine and Surgery","DOI":"10.1016/S2049-0801(13)70021-9","issue":"1","language":"en","page":"15–17","title":"Is health care a right? Health reforms in the USA and their impact upon the concept of care","volume":"2","author":[{"family":"Maruthappu","given":"M."},{"family":"Ologunde","given":"R."},{"family":"Gunarajasingam","given":"A."}],"issued":{"date-parts":[["2013"]]}}}],"schema":"https://github.com/citation-style-language/schema/raw/master/csl-citation.json"} </w:instrText>
      </w:r>
      <w:r w:rsidRPr="00424BD3">
        <w:rPr>
          <w:rFonts w:cs="Arial"/>
          <w:szCs w:val="24"/>
        </w:rPr>
        <w:fldChar w:fldCharType="separate"/>
      </w:r>
      <w:r w:rsidRPr="00424BD3">
        <w:rPr>
          <w:rFonts w:cs="Arial"/>
        </w:rPr>
        <w:t>(Hoffman, 2012; Maruthappu et al., 2013)</w:t>
      </w:r>
      <w:r w:rsidRPr="00424BD3">
        <w:rPr>
          <w:rFonts w:cs="Arial"/>
          <w:szCs w:val="24"/>
        </w:rPr>
        <w:fldChar w:fldCharType="end"/>
      </w:r>
      <w:r w:rsidRPr="00424BD3">
        <w:rPr>
          <w:rFonts w:cs="Arial"/>
          <w:szCs w:val="24"/>
        </w:rPr>
        <w:t>. Lack of universal health care, combined with neoliberal policymaking, allows for a systemic-wide market-based stratifying of who is worthy of care and who is not, such as those who are poor, racialized, gendered-marginalized, disabled, and / or older. As a result, marginalized women, like the women in this study, face multiple intersectional areas of jeopardy in the social ‘determinants spectrum’.</w:t>
      </w:r>
      <w:r w:rsidRPr="00424BD3">
        <w:rPr>
          <w:rFonts w:cs="Arial"/>
          <w:szCs w:val="24"/>
        </w:rPr>
        <w:fldChar w:fldCharType="begin"/>
      </w:r>
      <w:r w:rsidR="00990F3A">
        <w:rPr>
          <w:rFonts w:cs="Arial"/>
          <w:szCs w:val="24"/>
        </w:rPr>
        <w:instrText xml:space="preserve"> ADDIN ZOTERO_ITEM CSL_CITATION {"citationID":"i3o5b67S","properties":{"formattedCitation":"(R. A. Hahn et al., 2018; Hailemariam et al., 2020; Hoffman, 2012; Sakellariou &amp; Rotarou, 2017; Witter et al., 2017)","plainCitation":"(R. A. Hahn et al., 2018; Hailemariam et al., 2020; Hoffman, 2012; Sakellariou &amp; Rotarou, 2017; Witter et al., 2017)","noteIndex":0},"citationItems":[{"id":682,"uris":["http://zotero.org/users/4946941/items/BHPJLB8J"],"itemData":{"id":682,"type":"article-journal","container-title":"SSM-population health","DOI":"10.1016/j.ssmph.2017.10.006","language":"en","page":"17–24","title":"Civil rights as determinants of public health and racial and ethnic health equity: health care, education, employment, and housing in the United States","volume":"4","author":[{"family":"Hahn","given":"R.A."},{"family":"Truman","given":"B.I."},{"family":"Williams","given":"D.R."}],"issued":{"date-parts":[["2018"]]}}},{"id":683,"uris":["http://zotero.org/users/4946941/items/9Z953F2I"],"itemData":{"id":683,"type":"article-journal","container-title":"International journal for equity in health","issue":"1","language":"en","page":"1–12","title":"Intersectionality, special populations, needs and suggestions: the Flint Women’s study","volume":"19","author":[{"family":"Hailemariam","given":"M."},{"family":"Felton","given":"J.W."},{"family":"Key","given":"K."},{"family":"Greer","given":"D."},{"family":"Jefferson","given":"B.L."},{"family":"Muhammad","given":"J."},{"family":"Johnson","given":"J.E."}],"issued":{"date-parts":[["2020"]]}}},{"id":688,"uris":["http://zotero.org/users/4946941/items/AHJWKZJW"],"itemData":{"id":688,"type":"book","language":"en","publisher":"University of Chicago Press","title":"Health care for some: rights and rationing in the United States since 1930","author":[{"family":"Hoffman","given":"B."}],"issued":{"date-parts":[["2012"]]}}},{"id":791,"uris":["http://zotero.org/users/4946941/items/WIADEHWY"],"itemData":{"id":791,"type":"article-journal","container-title":"International journal for equity in health","issue":"1","language":"en","page":"1–8","title":"The effects of neoliberal policies on access to healthcare for people with disabilities","volume":"16","author":[{"family":"Sakellariou","given":"D."},{"family":"Rotarou","given":"E.S."}],"issued":{"date-parts":[["2017"]]}}},{"id":863,"uris":["http://zotero.org/users/4946941/items/XQP88K66"],"itemData":{"id":863,"type":"article-journal","container-title":"Health policy and planning","DOI":"10.1093/heapol/czx063","issue":"suppl_5","language":"en","page":"4– 12","title":"Minding the gaps: health financing, universal health coverage and gender","volume":"32","author":[{"family":"Witter","given":"S."},{"family":"Govender","given":"V."},{"family":"Ravindran","given":"T.S."},{"family":"Yates","given":"R."}],"issued":{"date-parts":[["2017"]]}}}],"schema":"https://github.com/citation-style-language/schema/raw/master/csl-citation.json"} </w:instrText>
      </w:r>
      <w:r w:rsidRPr="00424BD3">
        <w:rPr>
          <w:rFonts w:cs="Arial"/>
          <w:szCs w:val="24"/>
        </w:rPr>
        <w:fldChar w:fldCharType="separate"/>
      </w:r>
      <w:r w:rsidR="001F2B17" w:rsidRPr="00424BD3">
        <w:rPr>
          <w:rFonts w:cs="Arial"/>
        </w:rPr>
        <w:t>(R. A. Hahn et al., 2018; Hailemariam et al., 2020; Hoffman, 2012; Sakellariou &amp; Rotarou, 2017; Witter et al., 2017)</w:t>
      </w:r>
      <w:r w:rsidRPr="00424BD3">
        <w:rPr>
          <w:rFonts w:cs="Arial"/>
          <w:szCs w:val="24"/>
        </w:rPr>
        <w:fldChar w:fldCharType="end"/>
      </w:r>
      <w:r w:rsidRPr="00424BD3">
        <w:rPr>
          <w:rFonts w:cs="Arial"/>
          <w:szCs w:val="24"/>
        </w:rPr>
        <w:t xml:space="preserve">. </w:t>
      </w:r>
    </w:p>
    <w:p w14:paraId="1F5086C3" w14:textId="55369EB7" w:rsidR="005C38BC" w:rsidRPr="00D65EDD" w:rsidRDefault="00CC0231" w:rsidP="00540E25">
      <w:pPr>
        <w:pStyle w:val="Heading3"/>
        <w:spacing w:before="0" w:line="480" w:lineRule="auto"/>
        <w:rPr>
          <w:rFonts w:ascii="Arial" w:hAnsi="Arial" w:cs="Arial"/>
          <w:b/>
          <w:bCs/>
          <w:i/>
          <w:iCs/>
          <w:color w:val="auto"/>
        </w:rPr>
      </w:pPr>
      <w:bookmarkStart w:id="32" w:name="_Toc118232302"/>
      <w:r w:rsidRPr="00D65EDD">
        <w:rPr>
          <w:rFonts w:ascii="Arial" w:hAnsi="Arial" w:cs="Arial"/>
          <w:b/>
          <w:bCs/>
          <w:i/>
          <w:iCs/>
          <w:color w:val="auto"/>
        </w:rPr>
        <w:t>Silences</w:t>
      </w:r>
      <w:bookmarkEnd w:id="32"/>
    </w:p>
    <w:p w14:paraId="2ECB8B3A" w14:textId="3A994477" w:rsidR="00CC0231" w:rsidRDefault="00C94299" w:rsidP="00540E25">
      <w:pPr>
        <w:spacing w:after="0" w:line="480" w:lineRule="auto"/>
        <w:ind w:firstLine="720"/>
        <w:rPr>
          <w:rFonts w:cs="Arial"/>
          <w:szCs w:val="24"/>
        </w:rPr>
      </w:pPr>
      <w:r>
        <w:rPr>
          <w:rFonts w:cs="Arial"/>
          <w:szCs w:val="24"/>
        </w:rPr>
        <w:t>T</w:t>
      </w:r>
      <w:r w:rsidR="00CC0231" w:rsidRPr="00CC0231">
        <w:rPr>
          <w:rFonts w:cs="Arial"/>
          <w:szCs w:val="24"/>
        </w:rPr>
        <w:t xml:space="preserve">he silences framework (also known as “screaming silences”) </w:t>
      </w:r>
      <w:r w:rsidR="00CC0231" w:rsidRPr="00CC0231">
        <w:rPr>
          <w:rFonts w:cs="Arial"/>
          <w:szCs w:val="24"/>
        </w:rPr>
        <w:fldChar w:fldCharType="begin"/>
      </w:r>
      <w:r w:rsidR="00990F3A">
        <w:rPr>
          <w:rFonts w:cs="Arial"/>
          <w:szCs w:val="24"/>
        </w:rPr>
        <w:instrText xml:space="preserve"> ADDIN ZOTERO_ITEM CSL_CITATION {"citationID":"pw3Cpj3v","properties":{"formattedCitation":"(Janes et al., 2019; Serrant-Green, 2011)","plainCitation":"(Janes et al., 2019; Serrant-Green, 2011)","noteIndex":0},"citationItems":[{"id":1446,"uris":["http://zotero.org/users/4946941/items/S633GCEN"],"itemData":{"id":1446,"type":"article-journal","abstract":"©2018 RCN Publishing Company Ltd. All rights reserved. Not to be copied, transmitted or recorded in any way, in whole or part, without prior permission of the publishers. BACKGROUND: The Silences Framework ( Serrant-Green 2011 ) originated from research exploring ethnicity, gender and sexual health decision-making, and provides a useful tool for researching underrepresented groups and topics. AIM: To present the lessons learned from the application of the Silences Framework in the context of a qualitative study exploring the experiences of people under the age of 60 recovering from a fragility hip fracture. DISCUSSION: The authors explore current conceptions of marginalisation in healthcare with reference to nursing research and provide practical tips for others interested in applying and further testing the framework. CONCLUSION: The framework is likely to be attractive to nurses as it is underpinned by core nursing values, such as advocacy-based action. It places participant and public voices at the centre of the research and resembles the familiar nursing process. The structure and flexibility it offers also makes it relevant for new and experienced researchers in a variety of contexts. IMPLICATIONS FOR PRACTICE: Critical analysis of the initial application of the Silences Framework in a different setting to the one in which it was developed indicates it offers a beneficial addition to the research toolkit. Its limited use to date means its relevance for nursing and potential for further development have not yet been fully established. It should be tested more widely and in other contexts.","container-title":"Nurse Researcher","ISSN":"1351-5578","issue":"2","language":"en","note":"number: 2\npublisher: RCN Publishing","page":"32-36","source":"e-space.mmu.ac.uk","title":"Screaming silences: lessons from the application of a new research framework","title-short":"Screaming silences","volume":"26","author":[{"family":"Janes","given":"G."},{"family":"Serrant","given":"L."},{"family":"Sque","given":"M."}],"issued":{"date-parts":[["2019",9,17]]}}},{"id":1444,"uris":["http://zotero.org/users/4946941/items/QKYQ9SU4"],"itemData":{"id":1444,"type":"article-journal","abstract":"This paper arises from the conceptual framework underpinning a research study focusing on black Caribbean men’s sexual decisions and health behaviour. In investigating these issues the notion of ‘screaming silences’ was developed to unite the theoretical and philosophical approaches that underpinned the research, the experiences of the researcher and participants involved. While ‘screaming silences’ was initially applied to a sexual health and ethnicity context it provides a useful basis for a theoretical framework for researching sensitive issues or the health care needs of marginalised populations. ‘Screaming silences’ (or ‘silences’) define areas of research and experience which are little researched, understood or silenced. ‘Silences’ reflect the unsaid or unshared aspects of how beliefs, values and experiences of (or about) some groups affect their health and life chances. They exposed issues which shape, influence and inform both individual and group understandings of health and health behaviour. This paper presents the notion of ‘screaming silences’ with reference to the original study and maps out a four-stage framework for its utilisation in ethnicities based and sensitive research. It is presented here for use by other researchers as a vehicle for exposing additional perspectives in studies involving sensitive subjects or marginalised populations.","container-title":"Journal of Research in Nursing","DOI":"10.1177/1744987110387741","ISSN":"1744-9871","issue":"4","journalAbbreviation":"Journal of Research in Nursing","language":"en","note":"publisher: SAGE Publications Ltd","page":"347-360","source":"SAGE Journals","title":"The sound of ‘silence’: a framework for researching sensitive issues or marginalised perspectives in health","title-short":"The sound of ‘silence’","volume":"16","author":[{"family":"Serrant-Green","given":"Laura"}],"issued":{"date-parts":[["2011",7,1]]}}}],"schema":"https://github.com/citation-style-language/schema/raw/master/csl-citation.json"} </w:instrText>
      </w:r>
      <w:r w:rsidR="00CC0231" w:rsidRPr="00CC0231">
        <w:rPr>
          <w:rFonts w:cs="Arial"/>
          <w:szCs w:val="24"/>
        </w:rPr>
        <w:fldChar w:fldCharType="separate"/>
      </w:r>
      <w:r w:rsidR="00CC0231" w:rsidRPr="00CC0231">
        <w:rPr>
          <w:rFonts w:cs="Arial"/>
        </w:rPr>
        <w:t>(Janes et al., 2019; Serrant-Green, 2011)</w:t>
      </w:r>
      <w:r w:rsidR="00CC0231" w:rsidRPr="00CC0231">
        <w:rPr>
          <w:rFonts w:cs="Arial"/>
          <w:szCs w:val="24"/>
        </w:rPr>
        <w:fldChar w:fldCharType="end"/>
      </w:r>
      <w:r>
        <w:rPr>
          <w:rFonts w:cs="Arial"/>
          <w:szCs w:val="24"/>
        </w:rPr>
        <w:t xml:space="preserve"> </w:t>
      </w:r>
      <w:r w:rsidR="00CC0231" w:rsidRPr="00CC0231">
        <w:rPr>
          <w:rFonts w:cs="Arial"/>
          <w:szCs w:val="24"/>
        </w:rPr>
        <w:t xml:space="preserve">“define[s] areas of research and experience which are little researched, understood, or silenced” </w:t>
      </w:r>
      <w:r w:rsidR="00CC0231" w:rsidRPr="00CC0231">
        <w:rPr>
          <w:rFonts w:cs="Arial"/>
          <w:szCs w:val="24"/>
        </w:rPr>
        <w:fldChar w:fldCharType="begin"/>
      </w:r>
      <w:r w:rsidR="00990F3A">
        <w:rPr>
          <w:rFonts w:cs="Arial"/>
          <w:szCs w:val="24"/>
        </w:rPr>
        <w:instrText xml:space="preserve"> ADDIN ZOTERO_ITEM CSL_CITATION {"citationID":"2iFeLiyL","properties":{"formattedCitation":"(Serrant-Green, 2011, p. 347)","plainCitation":"(Serrant-Green, 2011, p. 347)","noteIndex":0},"citationItems":[{"id":1444,"uris":["http://zotero.org/users/4946941/items/QKYQ9SU4"],"itemData":{"id":1444,"type":"article-journal","abstract":"This paper arises from the conceptual framework underpinning a research study focusing on black Caribbean men’s sexual decisions and health behaviour. In investigating these issues the notion of ‘screaming silences’ was developed to unite the theoretical and philosophical approaches that underpinned the research, the experiences of the researcher and participants involved. While ‘screaming silences’ was initially applied to a sexual health and ethnicity context it provides a useful basis for a theoretical framework for researching sensitive issues or the health care needs of marginalised populations. ‘Screaming silences’ (or ‘silences’) define areas of research and experience which are little researched, understood or silenced. ‘Silences’ reflect the unsaid or unshared aspects of how beliefs, values and experiences of (or about) some groups affect their health and life chances. They exposed issues which shape, influence and inform both individual and group understandings of health and health behaviour. This paper presents the notion of ‘screaming silences’ with reference to the original study and maps out a four-stage framework for its utilisation in ethnicities based and sensitive research. It is presented here for use by other researchers as a vehicle for exposing additional perspectives in studies involving sensitive subjects or marginalised populations.","container-title":"Journal of Research in Nursing","DOI":"10.1177/1744987110387741","ISSN":"1744-9871","issue":"4","journalAbbreviation":"Journal of Research in Nursing","language":"en","note":"publisher: SAGE Publications Ltd","page":"347-360","source":"SAGE Journals","title":"The sound of ‘silence’: a framework for researching sensitive issues or marginalised perspectives in health","title-short":"The sound of ‘silence’","volume":"16","author":[{"family":"Serrant-Green","given":"Laura"}],"issued":{"date-parts":[["2011",7,1]]}},"locator":"347","label":"page"}],"schema":"https://github.com/citation-style-language/schema/raw/master/csl-citation.json"} </w:instrText>
      </w:r>
      <w:r w:rsidR="00CC0231" w:rsidRPr="00CC0231">
        <w:rPr>
          <w:rFonts w:cs="Arial"/>
          <w:szCs w:val="24"/>
        </w:rPr>
        <w:fldChar w:fldCharType="separate"/>
      </w:r>
      <w:r w:rsidR="00CC0231" w:rsidRPr="00CC0231">
        <w:rPr>
          <w:rFonts w:cs="Arial"/>
        </w:rPr>
        <w:t>(Serrant-Green, 2011, p. 347)</w:t>
      </w:r>
      <w:r w:rsidR="00CC0231" w:rsidRPr="00CC0231">
        <w:rPr>
          <w:rFonts w:cs="Arial"/>
          <w:szCs w:val="24"/>
        </w:rPr>
        <w:fldChar w:fldCharType="end"/>
      </w:r>
      <w:r w:rsidR="00CC0231" w:rsidRPr="00CC0231">
        <w:rPr>
          <w:rFonts w:cs="Arial"/>
          <w:szCs w:val="24"/>
        </w:rPr>
        <w:t xml:space="preserve">, “reflect the unsaid </w:t>
      </w:r>
      <w:r w:rsidR="00CC0231" w:rsidRPr="00CC0231">
        <w:rPr>
          <w:rFonts w:cs="Arial"/>
          <w:szCs w:val="24"/>
        </w:rPr>
        <w:lastRenderedPageBreak/>
        <w:t xml:space="preserve">or unshared aspects of how beliefs, values, and experiences of (or about) some groups affect their health and life chances” </w:t>
      </w:r>
      <w:r w:rsidR="00CC0231" w:rsidRPr="00CC0231">
        <w:rPr>
          <w:rFonts w:cs="Arial"/>
          <w:szCs w:val="24"/>
        </w:rPr>
        <w:fldChar w:fldCharType="begin"/>
      </w:r>
      <w:r w:rsidR="00990F3A">
        <w:rPr>
          <w:rFonts w:cs="Arial"/>
          <w:szCs w:val="24"/>
        </w:rPr>
        <w:instrText xml:space="preserve"> ADDIN ZOTERO_ITEM CSL_CITATION {"citationID":"ma3bNOW5","properties":{"formattedCitation":"(Serrant-Green, 2011, p. 347)","plainCitation":"(Serrant-Green, 2011, p. 347)","noteIndex":0},"citationItems":[{"id":1444,"uris":["http://zotero.org/users/4946941/items/QKYQ9SU4"],"itemData":{"id":1444,"type":"article-journal","abstract":"This paper arises from the conceptual framework underpinning a research study focusing on black Caribbean men’s sexual decisions and health behaviour. In investigating these issues the notion of ‘screaming silences’ was developed to unite the theoretical and philosophical approaches that underpinned the research, the experiences of the researcher and participants involved. While ‘screaming silences’ was initially applied to a sexual health and ethnicity context it provides a useful basis for a theoretical framework for researching sensitive issues or the health care needs of marginalised populations. ‘Screaming silences’ (or ‘silences’) define areas of research and experience which are little researched, understood or silenced. ‘Silences’ reflect the unsaid or unshared aspects of how beliefs, values and experiences of (or about) some groups affect their health and life chances. They exposed issues which shape, influence and inform both individual and group understandings of health and health behaviour. This paper presents the notion of ‘screaming silences’ with reference to the original study and maps out a four-stage framework for its utilisation in ethnicities based and sensitive research. It is presented here for use by other researchers as a vehicle for exposing additional perspectives in studies involving sensitive subjects or marginalised populations.","container-title":"Journal of Research in Nursing","DOI":"10.1177/1744987110387741","ISSN":"1744-9871","issue":"4","journalAbbreviation":"Journal of Research in Nursing","language":"en","note":"publisher: SAGE Publications Ltd","page":"347-360","source":"SAGE Journals","title":"The sound of ‘silence’: a framework for researching sensitive issues or marginalised perspectives in health","title-short":"The sound of ‘silence’","volume":"16","author":[{"family":"Serrant-Green","given":"Laura"}],"issued":{"date-parts":[["2011",7,1]]}},"locator":"347","label":"page"}],"schema":"https://github.com/citation-style-language/schema/raw/master/csl-citation.json"} </w:instrText>
      </w:r>
      <w:r w:rsidR="00CC0231" w:rsidRPr="00CC0231">
        <w:rPr>
          <w:rFonts w:cs="Arial"/>
          <w:szCs w:val="24"/>
        </w:rPr>
        <w:fldChar w:fldCharType="separate"/>
      </w:r>
      <w:r w:rsidR="00CC0231" w:rsidRPr="00CC0231">
        <w:rPr>
          <w:rFonts w:cs="Arial"/>
        </w:rPr>
        <w:t>(Serrant-Green, 2011, p. 347)</w:t>
      </w:r>
      <w:r w:rsidR="00CC0231" w:rsidRPr="00CC0231">
        <w:rPr>
          <w:rFonts w:cs="Arial"/>
          <w:szCs w:val="24"/>
        </w:rPr>
        <w:fldChar w:fldCharType="end"/>
      </w:r>
      <w:r w:rsidR="00CC0231" w:rsidRPr="00CC0231">
        <w:rPr>
          <w:rFonts w:cs="Arial"/>
          <w:szCs w:val="24"/>
        </w:rPr>
        <w:t xml:space="preserve">, and expose “issues which shape, influence and inform both individual and group understandings of health and health behaviour” </w:t>
      </w:r>
      <w:r w:rsidR="00CC0231" w:rsidRPr="00CC0231">
        <w:rPr>
          <w:rFonts w:cs="Arial"/>
          <w:szCs w:val="24"/>
        </w:rPr>
        <w:fldChar w:fldCharType="begin"/>
      </w:r>
      <w:r w:rsidR="00990F3A">
        <w:rPr>
          <w:rFonts w:cs="Arial"/>
          <w:szCs w:val="24"/>
        </w:rPr>
        <w:instrText xml:space="preserve"> ADDIN ZOTERO_ITEM CSL_CITATION {"citationID":"XVknd0Qz","properties":{"formattedCitation":"(Serrant-Green, 2011, p. 347)","plainCitation":"(Serrant-Green, 2011, p. 347)","noteIndex":0},"citationItems":[{"id":1444,"uris":["http://zotero.org/users/4946941/items/QKYQ9SU4"],"itemData":{"id":1444,"type":"article-journal","abstract":"This paper arises from the conceptual framework underpinning a research study focusing on black Caribbean men’s sexual decisions and health behaviour. In investigating these issues the notion of ‘screaming silences’ was developed to unite the theoretical and philosophical approaches that underpinned the research, the experiences of the researcher and participants involved. While ‘screaming silences’ was initially applied to a sexual health and ethnicity context it provides a useful basis for a theoretical framework for researching sensitive issues or the health care needs of marginalised populations. ‘Screaming silences’ (or ‘silences’) define areas of research and experience which are little researched, understood or silenced. ‘Silences’ reflect the unsaid or unshared aspects of how beliefs, values and experiences of (or about) some groups affect their health and life chances. They exposed issues which shape, influence and inform both individual and group understandings of health and health behaviour. This paper presents the notion of ‘screaming silences’ with reference to the original study and maps out a four-stage framework for its utilisation in ethnicities based and sensitive research. It is presented here for use by other researchers as a vehicle for exposing additional perspectives in studies involving sensitive subjects or marginalised populations.","container-title":"Journal of Research in Nursing","DOI":"10.1177/1744987110387741","ISSN":"1744-9871","issue":"4","journalAbbreviation":"Journal of Research in Nursing","language":"en","note":"publisher: SAGE Publications Ltd","page":"347-360","source":"SAGE Journals","title":"The sound of ‘silence’: a framework for researching sensitive issues or marginalised perspectives in health","title-short":"The sound of ‘silence’","volume":"16","author":[{"family":"Serrant-Green","given":"Laura"}],"issued":{"date-parts":[["2011",7,1]]}},"locator":"347","label":"page"}],"schema":"https://github.com/citation-style-language/schema/raw/master/csl-citation.json"} </w:instrText>
      </w:r>
      <w:r w:rsidR="00CC0231" w:rsidRPr="00CC0231">
        <w:rPr>
          <w:rFonts w:cs="Arial"/>
          <w:szCs w:val="24"/>
        </w:rPr>
        <w:fldChar w:fldCharType="separate"/>
      </w:r>
      <w:r w:rsidR="00CC0231" w:rsidRPr="00CC0231">
        <w:rPr>
          <w:rFonts w:cs="Arial"/>
        </w:rPr>
        <w:t>(Serrant-Green, 2011, p. 347)</w:t>
      </w:r>
      <w:r w:rsidR="00CC0231" w:rsidRPr="00CC0231">
        <w:rPr>
          <w:rFonts w:cs="Arial"/>
          <w:szCs w:val="24"/>
        </w:rPr>
        <w:fldChar w:fldCharType="end"/>
      </w:r>
      <w:r w:rsidR="00CC0231" w:rsidRPr="00CC0231">
        <w:rPr>
          <w:rFonts w:cs="Arial"/>
          <w:szCs w:val="24"/>
        </w:rPr>
        <w:t xml:space="preserve">. It is a framework which helps researchers to examine these silent spaces for additional perceptions and discourses by marginalized people. This is helpful </w:t>
      </w:r>
      <w:r>
        <w:rPr>
          <w:rFonts w:cs="Arial"/>
          <w:szCs w:val="24"/>
        </w:rPr>
        <w:t xml:space="preserve">when examining </w:t>
      </w:r>
      <w:r w:rsidR="00CC0231" w:rsidRPr="00CC0231">
        <w:rPr>
          <w:rFonts w:cs="Arial"/>
          <w:szCs w:val="24"/>
        </w:rPr>
        <w:t>internaliz</w:t>
      </w:r>
      <w:r>
        <w:rPr>
          <w:rFonts w:cs="Arial"/>
          <w:szCs w:val="24"/>
        </w:rPr>
        <w:t>ation of</w:t>
      </w:r>
      <w:r w:rsidR="00CC0231" w:rsidRPr="00CC0231">
        <w:rPr>
          <w:rFonts w:cs="Arial"/>
          <w:szCs w:val="24"/>
        </w:rPr>
        <w:t xml:space="preserve"> norms which exacerbate the health inequitie</w:t>
      </w:r>
      <w:r w:rsidR="002257C0">
        <w:rPr>
          <w:rFonts w:cs="Arial"/>
          <w:szCs w:val="24"/>
        </w:rPr>
        <w:t>s people</w:t>
      </w:r>
      <w:r w:rsidR="00CC0231" w:rsidRPr="00CC0231">
        <w:rPr>
          <w:rFonts w:cs="Arial"/>
          <w:szCs w:val="24"/>
        </w:rPr>
        <w:t xml:space="preserve"> face but </w:t>
      </w:r>
      <w:r w:rsidR="002257C0">
        <w:rPr>
          <w:rFonts w:cs="Arial"/>
          <w:szCs w:val="24"/>
        </w:rPr>
        <w:t xml:space="preserve">also when people </w:t>
      </w:r>
      <w:r w:rsidR="00CC0231" w:rsidRPr="00CC0231">
        <w:rPr>
          <w:rFonts w:cs="Arial"/>
          <w:szCs w:val="24"/>
        </w:rPr>
        <w:t>are the subject themselves of stigmatizing social norms</w:t>
      </w:r>
      <w:r w:rsidR="002257C0">
        <w:rPr>
          <w:rFonts w:cs="Arial"/>
          <w:szCs w:val="24"/>
        </w:rPr>
        <w:t xml:space="preserve">, as older women </w:t>
      </w:r>
      <w:r w:rsidR="005602EE">
        <w:rPr>
          <w:rFonts w:cs="Arial"/>
          <w:szCs w:val="24"/>
        </w:rPr>
        <w:t>may be</w:t>
      </w:r>
      <w:r w:rsidR="00CC0231" w:rsidRPr="00CC0231">
        <w:rPr>
          <w:rFonts w:cs="Arial"/>
          <w:szCs w:val="24"/>
        </w:rPr>
        <w:t xml:space="preserve">. Because marginalized people, including older women, are often silenced, their experiences and perceptions are also often neglected and go untold </w:t>
      </w:r>
      <w:r w:rsidR="00CC0231" w:rsidRPr="00CC0231">
        <w:rPr>
          <w:rFonts w:cs="Arial"/>
          <w:szCs w:val="24"/>
        </w:rPr>
        <w:fldChar w:fldCharType="begin"/>
      </w:r>
      <w:r w:rsidR="00990F3A">
        <w:rPr>
          <w:rFonts w:cs="Arial"/>
          <w:szCs w:val="24"/>
        </w:rPr>
        <w:instrText xml:space="preserve"> ADDIN ZOTERO_ITEM CSL_CITATION {"citationID":"VeKbU93I","properties":{"formattedCitation":"(Janes et al., 2019; Serrant-Green, 2011)","plainCitation":"(Janes et al., 2019; Serrant-Green, 2011)","noteIndex":0},"citationItems":[{"id":1446,"uris":["http://zotero.org/users/4946941/items/S633GCEN"],"itemData":{"id":1446,"type":"article-journal","abstract":"©2018 RCN Publishing Company Ltd. All rights reserved. Not to be copied, transmitted or recorded in any way, in whole or part, without prior permission of the publishers. BACKGROUND: The Silences Framework ( Serrant-Green 2011 ) originated from research exploring ethnicity, gender and sexual health decision-making, and provides a useful tool for researching underrepresented groups and topics. AIM: To present the lessons learned from the application of the Silences Framework in the context of a qualitative study exploring the experiences of people under the age of 60 recovering from a fragility hip fracture. DISCUSSION: The authors explore current conceptions of marginalisation in healthcare with reference to nursing research and provide practical tips for others interested in applying and further testing the framework. CONCLUSION: The framework is likely to be attractive to nurses as it is underpinned by core nursing values, such as advocacy-based action. It places participant and public voices at the centre of the research and resembles the familiar nursing process. The structure and flexibility it offers also makes it relevant for new and experienced researchers in a variety of contexts. IMPLICATIONS FOR PRACTICE: Critical analysis of the initial application of the Silences Framework in a different setting to the one in which it was developed indicates it offers a beneficial addition to the research toolkit. Its limited use to date means its relevance for nursing and potential for further development have not yet been fully established. It should be tested more widely and in other contexts.","container-title":"Nurse Researcher","ISSN":"1351-5578","issue":"2","language":"en","note":"number: 2\npublisher: RCN Publishing","page":"32-36","source":"e-space.mmu.ac.uk","title":"Screaming silences: lessons from the application of a new research framework","title-short":"Screaming silences","volume":"26","author":[{"family":"Janes","given":"G."},{"family":"Serrant","given":"L."},{"family":"Sque","given":"M."}],"issued":{"date-parts":[["2019",9,17]]}}},{"id":1444,"uris":["http://zotero.org/users/4946941/items/QKYQ9SU4"],"itemData":{"id":1444,"type":"article-journal","abstract":"This paper arises from the conceptual framework underpinning a research study focusing on black Caribbean men’s sexual decisions and health behaviour. In investigating these issues the notion of ‘screaming silences’ was developed to unite the theoretical and philosophical approaches that underpinned the research, the experiences of the researcher and participants involved. While ‘screaming silences’ was initially applied to a sexual health and ethnicity context it provides a useful basis for a theoretical framework for researching sensitive issues or the health care needs of marginalised populations. ‘Screaming silences’ (or ‘silences’) define areas of research and experience which are little researched, understood or silenced. ‘Silences’ reflect the unsaid or unshared aspects of how beliefs, values and experiences of (or about) some groups affect their health and life chances. They exposed issues which shape, influence and inform both individual and group understandings of health and health behaviour. This paper presents the notion of ‘screaming silences’ with reference to the original study and maps out a four-stage framework for its utilisation in ethnicities based and sensitive research. It is presented here for use by other researchers as a vehicle for exposing additional perspectives in studies involving sensitive subjects or marginalised populations.","container-title":"Journal of Research in Nursing","DOI":"10.1177/1744987110387741","ISSN":"1744-9871","issue":"4","journalAbbreviation":"Journal of Research in Nursing","language":"en","note":"publisher: SAGE Publications Ltd","page":"347-360","source":"SAGE Journals","title":"The sound of ‘silence’: a framework for researching sensitive issues or marginalised perspectives in health","title-short":"The sound of ‘silence’","volume":"16","author":[{"family":"Serrant-Green","given":"Laura"}],"issued":{"date-parts":[["2011",7,1]]}}}],"schema":"https://github.com/citation-style-language/schema/raw/master/csl-citation.json"} </w:instrText>
      </w:r>
      <w:r w:rsidR="00CC0231" w:rsidRPr="00CC0231">
        <w:rPr>
          <w:rFonts w:cs="Arial"/>
          <w:szCs w:val="24"/>
        </w:rPr>
        <w:fldChar w:fldCharType="separate"/>
      </w:r>
      <w:r w:rsidR="00CC0231" w:rsidRPr="00CC0231">
        <w:rPr>
          <w:rFonts w:cs="Arial"/>
        </w:rPr>
        <w:t>(Janes et al., 2019; Serrant-Green, 2011)</w:t>
      </w:r>
      <w:r w:rsidR="00CC0231" w:rsidRPr="00CC0231">
        <w:rPr>
          <w:rFonts w:cs="Arial"/>
          <w:szCs w:val="24"/>
        </w:rPr>
        <w:fldChar w:fldCharType="end"/>
      </w:r>
      <w:r w:rsidR="00CC0231" w:rsidRPr="00CC0231">
        <w:rPr>
          <w:rFonts w:cs="Arial"/>
          <w:szCs w:val="24"/>
        </w:rPr>
        <w:t>.</w:t>
      </w:r>
    </w:p>
    <w:p w14:paraId="7CCBE7C4" w14:textId="51BD4C5E" w:rsidR="008844E4" w:rsidRPr="00424BD3" w:rsidRDefault="008844E4" w:rsidP="000126EE">
      <w:pPr>
        <w:pStyle w:val="Heading2"/>
        <w:spacing w:before="0" w:line="480" w:lineRule="auto"/>
        <w:jc w:val="center"/>
        <w:rPr>
          <w:rFonts w:ascii="Arial" w:hAnsi="Arial" w:cs="Arial"/>
          <w:b/>
          <w:bCs/>
          <w:color w:val="auto"/>
          <w:sz w:val="24"/>
          <w:szCs w:val="24"/>
        </w:rPr>
      </w:pPr>
      <w:bookmarkStart w:id="33" w:name="_Toc118232303"/>
      <w:r w:rsidRPr="00424BD3">
        <w:rPr>
          <w:rFonts w:ascii="Arial" w:hAnsi="Arial" w:cs="Arial"/>
          <w:b/>
          <w:bCs/>
          <w:color w:val="auto"/>
          <w:sz w:val="24"/>
          <w:szCs w:val="24"/>
        </w:rPr>
        <w:t>Older Women and Health Norm Internalization</w:t>
      </w:r>
      <w:bookmarkEnd w:id="33"/>
    </w:p>
    <w:p w14:paraId="35873C3F" w14:textId="1DAA043E" w:rsidR="008844E4" w:rsidRPr="00424BD3" w:rsidRDefault="008844E4" w:rsidP="000126EE">
      <w:pPr>
        <w:spacing w:after="0" w:line="480" w:lineRule="auto"/>
        <w:ind w:firstLine="720"/>
        <w:rPr>
          <w:rFonts w:cs="Arial"/>
          <w:szCs w:val="24"/>
        </w:rPr>
      </w:pPr>
      <w:r w:rsidRPr="00424BD3">
        <w:rPr>
          <w:rFonts w:cs="Arial"/>
          <w:szCs w:val="24"/>
        </w:rPr>
        <w:t xml:space="preserve">A discussion about health inequities should consider the psychosocial drivers involved. Perpetuation of inequities cannot happen without the attitudes, beliefs, and perceptions that create inequities in the first place </w:t>
      </w:r>
      <w:r w:rsidRPr="00424BD3">
        <w:rPr>
          <w:rFonts w:cs="Arial"/>
          <w:szCs w:val="24"/>
        </w:rPr>
        <w:fldChar w:fldCharType="begin"/>
      </w:r>
      <w:r w:rsidR="00990F3A">
        <w:rPr>
          <w:rFonts w:cs="Arial"/>
          <w:szCs w:val="24"/>
        </w:rPr>
        <w:instrText xml:space="preserve"> ADDIN ZOTERO_ITEM CSL_CITATION {"citationID":"CtcH347R","properties":{"formattedCitation":"(Horne, 2014)","plainCitation":"(Horne, 2014)","noteIndex":0},"citationItems":[{"id":883,"uris":["http://zotero.org/users/4946941/items/UNBDJGNS"],"itemData":{"id":883,"type":"chapter","container-title":"The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Pr="00424BD3">
        <w:rPr>
          <w:rFonts w:cs="Arial"/>
          <w:szCs w:val="24"/>
        </w:rPr>
        <w:fldChar w:fldCharType="separate"/>
      </w:r>
      <w:r w:rsidRPr="00424BD3">
        <w:rPr>
          <w:rFonts w:cs="Arial"/>
        </w:rPr>
        <w:t>(Horne, 2014)</w:t>
      </w:r>
      <w:r w:rsidRPr="00424BD3">
        <w:rPr>
          <w:rFonts w:cs="Arial"/>
          <w:szCs w:val="24"/>
        </w:rPr>
        <w:fldChar w:fldCharType="end"/>
      </w:r>
      <w:r w:rsidRPr="00424BD3">
        <w:rPr>
          <w:rFonts w:cs="Arial"/>
          <w:szCs w:val="24"/>
        </w:rPr>
        <w:t>.</w:t>
      </w:r>
      <w:r w:rsidR="005F150E" w:rsidRPr="00424BD3">
        <w:rPr>
          <w:rFonts w:cs="Arial"/>
          <w:szCs w:val="24"/>
        </w:rPr>
        <w:t xml:space="preserve"> </w:t>
      </w:r>
      <w:r w:rsidR="003318F4" w:rsidRPr="00424BD3">
        <w:rPr>
          <w:rFonts w:cs="Arial"/>
          <w:szCs w:val="24"/>
        </w:rPr>
        <w:t xml:space="preserve">In ecosocial theory, the pathway to norm internalization </w:t>
      </w:r>
      <w:r w:rsidR="007B745A" w:rsidRPr="00424BD3">
        <w:rPr>
          <w:rFonts w:cs="Arial"/>
          <w:szCs w:val="24"/>
        </w:rPr>
        <w:t xml:space="preserve">comes through </w:t>
      </w:r>
      <w:r w:rsidR="005237A7" w:rsidRPr="00424BD3">
        <w:rPr>
          <w:rFonts w:cs="Arial"/>
          <w:szCs w:val="24"/>
        </w:rPr>
        <w:t xml:space="preserve">adverse exposure to </w:t>
      </w:r>
      <w:r w:rsidR="00B80628" w:rsidRPr="00424BD3">
        <w:rPr>
          <w:rFonts w:cs="Arial"/>
          <w:szCs w:val="24"/>
        </w:rPr>
        <w:t>forms of systemic and personal discrimination</w:t>
      </w:r>
      <w:r w:rsidR="005237A7" w:rsidRPr="00424BD3">
        <w:rPr>
          <w:rFonts w:cs="Arial"/>
          <w:szCs w:val="24"/>
        </w:rPr>
        <w:t xml:space="preserve"> (referred to as “isms” by Krieger</w:t>
      </w:r>
      <w:r w:rsidR="00AF4D8E" w:rsidRPr="00424BD3">
        <w:rPr>
          <w:rFonts w:cs="Arial"/>
          <w:szCs w:val="24"/>
        </w:rPr>
        <w:t>)</w:t>
      </w:r>
      <w:r w:rsidR="005237A7" w:rsidRPr="00424BD3">
        <w:rPr>
          <w:rFonts w:cs="Arial"/>
          <w:szCs w:val="24"/>
        </w:rPr>
        <w:t xml:space="preserve"> </w:t>
      </w:r>
      <w:r w:rsidR="005237A7" w:rsidRPr="00424BD3">
        <w:rPr>
          <w:rFonts w:cs="Arial"/>
          <w:szCs w:val="24"/>
        </w:rPr>
        <w:fldChar w:fldCharType="begin"/>
      </w:r>
      <w:r w:rsidR="00990F3A">
        <w:rPr>
          <w:rFonts w:cs="Arial"/>
          <w:szCs w:val="24"/>
        </w:rPr>
        <w:instrText xml:space="preserve"> ADDIN ZOTERO_ITEM CSL_CITATION {"citationID":"Lw0q7gOZ","properties":{"formattedCitation":"(Krieger, 2020)","plainCitation":"(Krieger, 2020)","noteIndex":0},"citationItems":[{"id":1355,"uris":["http://zotero.org/users/4946941/items/L9ULTUNI"],"itemData":{"id":1355,"type":"article-journal","abstract":"Racism. Sexism. Heterosexism. Gender binarism. Together, they comprise intimately harmful, distinct, and entangled societal systems of self-serving domination and privilege that structure the embodiment of health inequities. Guided by the ecosocial theory of disease distribution, I synthesize key features of the specified \"isms\" and provide a measurement schema, informed by research from both the Global North and the Global South. Metrics discussed include (a) structural, including explicit rules and laws, nonexplicit rules and laws, and area-based or institutional nonrule measures; and (b) individual-level (exposures and internalized) measures, including explicit self-report, implicit, and experimental. Recommendations include (a) expanding the use of structural measures to extend beyond the current primary emphasis on psychosocial individual-level measures; (b) analyzing exposure in relation to both life course and historical generation; (c) developing measures of anti-isms; and (d) developing terrestrially grounded measures that can reveal links between the structural drivers of unjust isms and their toll on environmental degradation, climate change, and health inequities.","container-title":"Annual review of public health","DOI":"10.1146/annurev-publhealth-040119-094017","ISSN":"1545-2093","journalAbbreviation":"Annu Rev Public Health","language":"eng","note":"PMID: 31765272","page":"37-62","source":"Europe PMC","title":"Measures of Racism, Sexism, Heterosexism, and Gender Binarism for Health Equity Research: From Structural Injustice to Embodied Harm-An Ecosocial Analysis","title-short":"Measures of Racism, Sexism, Heterosexism, and Gender Binarism for Health Equity Research","volume":"41","author":[{"family":"Krieger","given":"Nancy"}],"issued":{"date-parts":[["2020",4,1]]}}}],"schema":"https://github.com/citation-style-language/schema/raw/master/csl-citation.json"} </w:instrText>
      </w:r>
      <w:r w:rsidR="005237A7" w:rsidRPr="00424BD3">
        <w:rPr>
          <w:rFonts w:cs="Arial"/>
          <w:szCs w:val="24"/>
        </w:rPr>
        <w:fldChar w:fldCharType="separate"/>
      </w:r>
      <w:r w:rsidR="005237A7" w:rsidRPr="00424BD3">
        <w:rPr>
          <w:rFonts w:cs="Arial"/>
        </w:rPr>
        <w:t>(Krieger, 2020)</w:t>
      </w:r>
      <w:r w:rsidR="005237A7" w:rsidRPr="00424BD3">
        <w:rPr>
          <w:rFonts w:cs="Arial"/>
          <w:szCs w:val="24"/>
        </w:rPr>
        <w:fldChar w:fldCharType="end"/>
      </w:r>
      <w:r w:rsidR="007D4FE6" w:rsidRPr="00424BD3">
        <w:rPr>
          <w:rFonts w:cs="Arial"/>
          <w:szCs w:val="24"/>
        </w:rPr>
        <w:t xml:space="preserve"> including </w:t>
      </w:r>
      <w:r w:rsidR="00207EB3" w:rsidRPr="00424BD3">
        <w:rPr>
          <w:rFonts w:cs="Arial"/>
          <w:szCs w:val="24"/>
        </w:rPr>
        <w:t>geopolitical, social, and cultural, narratives</w:t>
      </w:r>
      <w:r w:rsidR="00D06C86" w:rsidRPr="00424BD3">
        <w:rPr>
          <w:rFonts w:cs="Arial"/>
          <w:szCs w:val="24"/>
        </w:rPr>
        <w:t xml:space="preserve">, </w:t>
      </w:r>
      <w:r w:rsidR="007B745A" w:rsidRPr="00424BD3">
        <w:rPr>
          <w:rFonts w:cs="Arial"/>
          <w:szCs w:val="24"/>
        </w:rPr>
        <w:t xml:space="preserve">social </w:t>
      </w:r>
      <w:r w:rsidR="00D06C86" w:rsidRPr="00424BD3">
        <w:rPr>
          <w:rFonts w:cs="Arial"/>
          <w:szCs w:val="24"/>
        </w:rPr>
        <w:t xml:space="preserve">and other forms of </w:t>
      </w:r>
      <w:r w:rsidR="007B745A" w:rsidRPr="00424BD3">
        <w:rPr>
          <w:rFonts w:cs="Arial"/>
          <w:szCs w:val="24"/>
        </w:rPr>
        <w:t>trauma</w:t>
      </w:r>
      <w:r w:rsidR="00B80628" w:rsidRPr="00424BD3">
        <w:rPr>
          <w:rFonts w:cs="Arial"/>
          <w:szCs w:val="24"/>
        </w:rPr>
        <w:t xml:space="preserve">, </w:t>
      </w:r>
      <w:r w:rsidR="007D4FE6" w:rsidRPr="00424BD3">
        <w:rPr>
          <w:rFonts w:cs="Arial"/>
          <w:szCs w:val="24"/>
        </w:rPr>
        <w:t>stigmatizing marketing</w:t>
      </w:r>
      <w:r w:rsidR="00207EB3" w:rsidRPr="00424BD3">
        <w:rPr>
          <w:rFonts w:cs="Arial"/>
          <w:szCs w:val="24"/>
        </w:rPr>
        <w:t xml:space="preserve">, and </w:t>
      </w:r>
      <w:r w:rsidR="00C852EF" w:rsidRPr="00424BD3">
        <w:rPr>
          <w:rFonts w:cs="Arial"/>
          <w:szCs w:val="24"/>
        </w:rPr>
        <w:t xml:space="preserve">poor clinical care </w:t>
      </w:r>
      <w:r w:rsidR="00C852EF" w:rsidRPr="00424BD3">
        <w:rPr>
          <w:rFonts w:cs="Arial"/>
          <w:szCs w:val="24"/>
        </w:rPr>
        <w:fldChar w:fldCharType="begin"/>
      </w:r>
      <w:r w:rsidR="00990F3A">
        <w:rPr>
          <w:rFonts w:cs="Arial"/>
          <w:szCs w:val="24"/>
        </w:rPr>
        <w:instrText xml:space="preserve"> ADDIN ZOTERO_ITEM CSL_CITATION {"citationID":"sspXQVaB","properties":{"formattedCitation":"(Krieger, 2020)","plainCitation":"(Krieger, 2020)","noteIndex":0},"citationItems":[{"id":1355,"uris":["http://zotero.org/users/4946941/items/L9ULTUNI"],"itemData":{"id":1355,"type":"article-journal","abstract":"Racism. Sexism. Heterosexism. Gender binarism. Together, they comprise intimately harmful, distinct, and entangled societal systems of self-serving domination and privilege that structure the embodiment of health inequities. Guided by the ecosocial theory of disease distribution, I synthesize key features of the specified \"isms\" and provide a measurement schema, informed by research from both the Global North and the Global South. Metrics discussed include (a) structural, including explicit rules and laws, nonexplicit rules and laws, and area-based or institutional nonrule measures; and (b) individual-level (exposures and internalized) measures, including explicit self-report, implicit, and experimental. Recommendations include (a) expanding the use of structural measures to extend beyond the current primary emphasis on psychosocial individual-level measures; (b) analyzing exposure in relation to both life course and historical generation; (c) developing measures of anti-isms; and (d) developing terrestrially grounded measures that can reveal links between the structural drivers of unjust isms and their toll on environmental degradation, climate change, and health inequities.","container-title":"Annual review of public health","DOI":"10.1146/annurev-publhealth-040119-094017","ISSN":"1545-2093","journalAbbreviation":"Annu Rev Public Health","language":"eng","note":"PMID: 31765272","page":"37-62","source":"Europe PMC","title":"Measures of Racism, Sexism, Heterosexism, and Gender Binarism for Health Equity Research: From Structural Injustice to Embodied Harm-An Ecosocial Analysis","title-short":"Measures of Racism, Sexism, Heterosexism, and Gender Binarism for Health Equity Research","volume":"41","author":[{"family":"Krieger","given":"Nancy"}],"issued":{"date-parts":[["2020",4,1]]}}}],"schema":"https://github.com/citation-style-language/schema/raw/master/csl-citation.json"} </w:instrText>
      </w:r>
      <w:r w:rsidR="00C852EF" w:rsidRPr="00424BD3">
        <w:rPr>
          <w:rFonts w:cs="Arial"/>
          <w:szCs w:val="24"/>
        </w:rPr>
        <w:fldChar w:fldCharType="separate"/>
      </w:r>
      <w:r w:rsidR="00C852EF" w:rsidRPr="00424BD3">
        <w:rPr>
          <w:rFonts w:cs="Arial"/>
        </w:rPr>
        <w:t>(Krieger, 2020)</w:t>
      </w:r>
      <w:r w:rsidR="00C852EF" w:rsidRPr="00424BD3">
        <w:rPr>
          <w:rFonts w:cs="Arial"/>
          <w:szCs w:val="24"/>
        </w:rPr>
        <w:fldChar w:fldCharType="end"/>
      </w:r>
      <w:r w:rsidR="005F150E" w:rsidRPr="00424BD3">
        <w:rPr>
          <w:rFonts w:cs="Arial"/>
          <w:szCs w:val="24"/>
        </w:rPr>
        <w:t>T</w:t>
      </w:r>
      <w:r w:rsidRPr="00424BD3">
        <w:rPr>
          <w:rFonts w:cs="Arial"/>
          <w:szCs w:val="24"/>
        </w:rPr>
        <w:t xml:space="preserve">he responses of the women in this study have prompted a look at the possibility of the internalization of health norms, especially in light of the U.S. neoliberal stance on health, and the conservative, fundamentalist neoliberal policymaking currently happening in Tennessee. </w:t>
      </w:r>
    </w:p>
    <w:p w14:paraId="201F020C" w14:textId="1122BB8F" w:rsidR="008844E4" w:rsidRPr="00424BD3" w:rsidRDefault="008844E4" w:rsidP="000126EE">
      <w:pPr>
        <w:spacing w:after="0" w:line="480" w:lineRule="auto"/>
        <w:ind w:firstLine="720"/>
        <w:rPr>
          <w:rFonts w:cs="Arial"/>
          <w:szCs w:val="24"/>
        </w:rPr>
      </w:pPr>
      <w:r w:rsidRPr="00424BD3">
        <w:rPr>
          <w:rFonts w:cs="Arial"/>
          <w:szCs w:val="24"/>
        </w:rPr>
        <w:lastRenderedPageBreak/>
        <w:t xml:space="preserve">Internalization of anything is a tricky subject to parse. How can researchers be sure that someone has internalized anything? Could their behavior, verbal repetition, or silences regarding a norm prove their internalization of it? This has been debated for centuries, in both scholarship, and literature, such as Thomas Hobbes’ </w:t>
      </w:r>
      <w:r w:rsidRPr="00424BD3">
        <w:rPr>
          <w:rFonts w:cs="Arial"/>
          <w:i/>
          <w:iCs/>
          <w:szCs w:val="24"/>
        </w:rPr>
        <w:t>Leviathan</w:t>
      </w:r>
      <w:r w:rsidRPr="00424BD3">
        <w:rPr>
          <w:rFonts w:cs="Arial"/>
          <w:szCs w:val="24"/>
        </w:rPr>
        <w:t xml:space="preserve">, written in 1651, and by early scholars including Judith Blake and Kingsley Davis, (1964), Peter M. Blau, (1964), George Herbert Mead, (1956), Talcott Parsons, (1937 &amp; 1952); Robert M. MacIver, (1937), Max Weber, (1930), and Émile Durkheim, (1915 &amp; [1903] (1953) (as </w:t>
      </w:r>
      <w:r w:rsidR="002E0646" w:rsidRPr="00424BD3">
        <w:rPr>
          <w:rFonts w:cs="Arial"/>
          <w:szCs w:val="24"/>
        </w:rPr>
        <w:t xml:space="preserve">cited by </w:t>
      </w:r>
      <w:r w:rsidR="002E0646" w:rsidRPr="00424BD3">
        <w:rPr>
          <w:rFonts w:cs="Arial"/>
          <w:szCs w:val="24"/>
        </w:rPr>
        <w:fldChar w:fldCharType="begin"/>
      </w:r>
      <w:r w:rsidR="00990F3A">
        <w:rPr>
          <w:rFonts w:cs="Arial"/>
          <w:szCs w:val="24"/>
        </w:rPr>
        <w:instrText xml:space="preserve"> ADDIN ZOTERO_ITEM CSL_CITATION {"citationID":"54Hwi08z","properties":{"formattedCitation":"(2003)","plainCitation":"(2003)","dontUpdate":true,"noteIndex":0},"citationItems":[{"id":934,"uris":["http://zotero.org/users/4946941/items/AAJEIXJW"],"itemData":{"id":934,"type":"article-journal","abstract":"The study provides data regarding the effect of internalized norms on behaviour. I use the factorial vignette survey method to measure internalized giving norms and then conduct an experiment to test whether these norms predict participants' actual donations. The results are consistent with arguments that norms are at least partially internally enforced. They also point to the importance of context in predicting the effect of norms on behaviour.","container-title":"European Sociological Review","DOI":"10.1093/esr/19.4.335","ISSN":"0266-7215","issue":"4","journalAbbreviation":"European Sociological Review","page":"335-343","source":"Silverchair","title":"The Internal Enforcement of Norms","volume":"19","author":[{"family":"Horne","given":"Christine"}],"issued":{"date-parts":[["2003",9,1]]}},"label":"page","suppress-author":true}],"schema":"https://github.com/citation-style-language/schema/raw/master/csl-citation.json"} </w:instrText>
      </w:r>
      <w:r w:rsidR="002E0646" w:rsidRPr="00424BD3">
        <w:rPr>
          <w:rFonts w:cs="Arial"/>
          <w:szCs w:val="24"/>
        </w:rPr>
        <w:fldChar w:fldCharType="separate"/>
      </w:r>
      <w:r w:rsidR="00D60B5B" w:rsidRPr="00424BD3">
        <w:rPr>
          <w:rFonts w:cs="Arial"/>
          <w:szCs w:val="24"/>
        </w:rPr>
        <w:t xml:space="preserve">Horne, </w:t>
      </w:r>
      <w:r w:rsidR="00D60B5B" w:rsidRPr="00424BD3">
        <w:rPr>
          <w:rFonts w:cs="Arial"/>
        </w:rPr>
        <w:t>(2003)</w:t>
      </w:r>
      <w:r w:rsidR="002E0646" w:rsidRPr="00424BD3">
        <w:rPr>
          <w:rFonts w:cs="Arial"/>
          <w:szCs w:val="24"/>
        </w:rPr>
        <w:fldChar w:fldCharType="end"/>
      </w:r>
      <w:r w:rsidR="002806B8" w:rsidRPr="00424BD3">
        <w:rPr>
          <w:rFonts w:cs="Arial"/>
          <w:szCs w:val="24"/>
        </w:rPr>
        <w:t>)</w:t>
      </w:r>
      <w:r w:rsidRPr="00424BD3">
        <w:rPr>
          <w:rFonts w:cs="Arial"/>
          <w:szCs w:val="24"/>
        </w:rPr>
        <w:t>.</w:t>
      </w:r>
    </w:p>
    <w:p w14:paraId="609E52EF" w14:textId="45105ADF" w:rsidR="008844E4" w:rsidRPr="00424BD3" w:rsidRDefault="00E46C67" w:rsidP="000126EE">
      <w:pPr>
        <w:spacing w:after="0" w:line="480" w:lineRule="auto"/>
        <w:ind w:firstLine="720"/>
        <w:rPr>
          <w:rFonts w:cs="Arial"/>
          <w:szCs w:val="24"/>
        </w:rPr>
      </w:pPr>
      <w:r w:rsidRPr="00424BD3">
        <w:rPr>
          <w:rFonts w:cs="Arial"/>
          <w:szCs w:val="24"/>
        </w:rPr>
        <w:t xml:space="preserve">Certain </w:t>
      </w:r>
      <w:r w:rsidR="008844E4" w:rsidRPr="00424BD3">
        <w:rPr>
          <w:rFonts w:cs="Arial"/>
          <w:szCs w:val="24"/>
        </w:rPr>
        <w:t xml:space="preserve">Ideas around social norming are predicated on arguments that human beings are either “naturally social beings or…inherently self-interested.” </w:t>
      </w:r>
      <w:r w:rsidR="008844E4" w:rsidRPr="00424BD3">
        <w:rPr>
          <w:rFonts w:cs="Arial"/>
          <w:szCs w:val="24"/>
        </w:rPr>
        <w:fldChar w:fldCharType="begin"/>
      </w:r>
      <w:r w:rsidR="00990F3A">
        <w:rPr>
          <w:rFonts w:cs="Arial"/>
          <w:szCs w:val="24"/>
        </w:rPr>
        <w:instrText xml:space="preserve"> ADDIN ZOTERO_ITEM CSL_CITATION {"citationID":"RLSp0gRa","properties":{"formattedCitation":"(Horne, 2003, p. 335)","plainCitation":"(Horne, 2003, p. 335)","noteIndex":0},"citationItems":[{"id":934,"uris":["http://zotero.org/users/4946941/items/AAJEIXJW"],"itemData":{"id":934,"type":"article-journal","abstract":"The study provides data regarding the effect of internalized norms on behaviour. I use the factorial vignette survey method to measure internalized giving norms and then conduct an experiment to test whether these norms predict participants' actual donations. The results are consistent with arguments that norms are at least partially internally enforced. They also point to the importance of context in predicting the effect of norms on behaviour.","container-title":"European Sociological Review","DOI":"10.1093/esr/19.4.335","ISSN":"0266-7215","issue":"4","journalAbbreviation":"European Sociological Review","page":"335-343","source":"Silverchair","title":"The Internal Enforcement of Norms","volume":"19","author":[{"family":"Horne","given":"Christine"}],"issued":{"date-parts":[["2003",9,1]]}},"locator":"335"}],"schema":"https://github.com/citation-style-language/schema/raw/master/csl-citation.json"} </w:instrText>
      </w:r>
      <w:r w:rsidR="008844E4" w:rsidRPr="00424BD3">
        <w:rPr>
          <w:rFonts w:cs="Arial"/>
          <w:szCs w:val="24"/>
        </w:rPr>
        <w:fldChar w:fldCharType="separate"/>
      </w:r>
      <w:r w:rsidR="008844E4" w:rsidRPr="00424BD3">
        <w:rPr>
          <w:rFonts w:cs="Arial"/>
        </w:rPr>
        <w:t>(Horne, 2003, p. 335)</w:t>
      </w:r>
      <w:r w:rsidR="008844E4" w:rsidRPr="00424BD3">
        <w:rPr>
          <w:rFonts w:cs="Arial"/>
          <w:szCs w:val="24"/>
        </w:rPr>
        <w:fldChar w:fldCharType="end"/>
      </w:r>
      <w:r w:rsidR="008844E4" w:rsidRPr="00424BD3">
        <w:rPr>
          <w:rFonts w:cs="Arial"/>
          <w:szCs w:val="24"/>
        </w:rPr>
        <w:t xml:space="preserve">. </w:t>
      </w:r>
      <w:r w:rsidR="00442B60" w:rsidRPr="00424BD3">
        <w:rPr>
          <w:rFonts w:cs="Arial"/>
          <w:szCs w:val="24"/>
        </w:rPr>
        <w:t>Some r</w:t>
      </w:r>
      <w:r w:rsidR="008844E4" w:rsidRPr="00424BD3">
        <w:rPr>
          <w:rFonts w:cs="Arial"/>
          <w:szCs w:val="24"/>
        </w:rPr>
        <w:t xml:space="preserve">esearchers argue that if people are inherently self-interested beings, they require external pressure to adhere to norms, since those norms may go against what they want to do. This external pressure can come in many ways. </w:t>
      </w:r>
      <w:r w:rsidR="001B0354" w:rsidRPr="00424BD3">
        <w:rPr>
          <w:rFonts w:cs="Arial"/>
          <w:szCs w:val="24"/>
        </w:rPr>
        <w:t>Other researchers argue that people, as social beings, voluntarily act against their own desires, for the greater good – a choice which could</w:t>
      </w:r>
      <w:r w:rsidR="004F3D96">
        <w:rPr>
          <w:rFonts w:cs="Arial"/>
          <w:szCs w:val="24"/>
        </w:rPr>
        <w:t xml:space="preserve"> be</w:t>
      </w:r>
      <w:r w:rsidR="001B0354" w:rsidRPr="00424BD3">
        <w:rPr>
          <w:rFonts w:cs="Arial"/>
          <w:szCs w:val="24"/>
        </w:rPr>
        <w:t xml:space="preserve"> </w:t>
      </w:r>
      <w:r w:rsidR="00054475" w:rsidRPr="00424BD3">
        <w:rPr>
          <w:rFonts w:cs="Arial"/>
          <w:szCs w:val="24"/>
        </w:rPr>
        <w:t xml:space="preserve">made due </w:t>
      </w:r>
      <w:r w:rsidR="00B80F4D" w:rsidRPr="00424BD3">
        <w:rPr>
          <w:rFonts w:cs="Arial"/>
          <w:szCs w:val="24"/>
        </w:rPr>
        <w:t xml:space="preserve">to any number of reasons, but </w:t>
      </w:r>
      <w:r w:rsidR="009C3E61" w:rsidRPr="00424BD3">
        <w:rPr>
          <w:rFonts w:cs="Arial"/>
          <w:szCs w:val="24"/>
        </w:rPr>
        <w:t>arguably</w:t>
      </w:r>
      <w:r w:rsidR="001B0354" w:rsidRPr="00424BD3">
        <w:rPr>
          <w:rFonts w:cs="Arial"/>
          <w:szCs w:val="24"/>
        </w:rPr>
        <w:t xml:space="preserve"> because of norm internalization </w:t>
      </w:r>
      <w:r w:rsidR="001B0354" w:rsidRPr="00424BD3">
        <w:rPr>
          <w:rFonts w:cs="Arial"/>
          <w:szCs w:val="24"/>
        </w:rPr>
        <w:fldChar w:fldCharType="begin"/>
      </w:r>
      <w:r w:rsidR="00990F3A">
        <w:rPr>
          <w:rFonts w:cs="Arial"/>
          <w:szCs w:val="24"/>
        </w:rPr>
        <w:instrText xml:space="preserve"> ADDIN ZOTERO_ITEM CSL_CITATION {"citationID":"BVEyEmdm","properties":{"formattedCitation":"(Cislaghi &amp; Heise, 2018; Horne, 2003; Morris et al., 2015)","plainCitation":"(Cislaghi &amp; Heise, 2018; Horne, 2003; Morris et al., 2015)","noteIndex":0},"citationItems":[{"id":936,"uris":["http://zotero.org/users/4946941/items/FB922LLH"],"itemData":{"id":936,"type":"article-journal","abstract":"Recently, Global Health practitioners, scholars, and donors have expressed increased interest in “changing social norms” as a strategy to promote health and well-being in low and mid-income countries (LMIC). Despite this burgeoning interest, the ability of practitioners to use social norm theory to inform health interventions varies widely.","container-title":"Globalization and Health","DOI":"10.1186/s12992-018-0398-x","ISSN":"1744-8603","issue":"1","journalAbbreviation":"Globalization and Health","page":"83","source":"BioMed Central","title":"Theory and practice of social norms interventions: eight common pitfalls","title-short":"Theory and practice of social norms interventions","volume":"14","author":[{"family":"Cislaghi","given":"Beniamino"},{"family":"Heise","given":"Lori"}],"issued":{"date-parts":[["2018",8,17]]}}},{"id":934,"uris":["http://zotero.org/users/4946941/items/AAJEIXJW"],"itemData":{"id":934,"type":"article-journal","abstract":"The study provides data regarding the effect of internalized norms on behaviour. I use the factorial vignette survey method to measure internalized giving norms and then conduct an experiment to test whether these norms predict participants' actual donations. The results are consistent with arguments that norms are at least partially internally enforced. They also point to the importance of context in predicting the effect of norms on behaviour.","container-title":"European Sociological Review","DOI":"10.1093/esr/19.4.335","ISSN":"0266-7215","issue":"4","journalAbbreviation":"European Sociological Review","page":"335-343","source":"Silverchair","title":"The Internal Enforcement of Norms","volume":"19","author":[{"family":"Horne","given":"Christine"}],"issued":{"date-parts":[["2003",9,1]]}}},{"id":943,"uris":["http://zotero.org/users/4946941/items/MVDCLFKL"],"itemData":{"id":943,"type":"article-journal","abstract":"This paper integrates social norm constructs from different disciplines into an integrated model. Norms exist in the objective social environment in the form of behavioral regularities, patterns of sanctioning, and institutionalized practices and rules. They exist subjectively in perceived descriptive norms, perceived injunctive norms, and personal norms. We also distil and delineate three classic theories of why people adhere to norms: internalization, social identity, and rational choice. Additionally, we articulate an emerging theory of how perceived descriptive and injunctive norms function as two distinct navigational devices that guide thoughts and behavior in different ways, which we term “social autopilot” and “social radar.” For each type of norms, we suggest how it may help to understand cultural dynamics at the micro level (the acquisition, variable influence and creative mutation of cultural knowledge) and the macro level (the transmission, diffusion and evolution of cultural practices). Having laid the groundwork for an integrated study of norm—normology, we then introduce the articles of this special issue contributing theoretical refinements and empirical evidence from different methods and levels of analysis. Managerial implications are discussed.","collection-title":"SI: Social Norms and Cultural Dynamics","container-title":"Organizational Behavior and Human Decision Processes","DOI":"10.1016/j.obhdp.2015.03.001","ISSN":"0749-5978","journalAbbreviation":"Organizational Behavior and Human Decision Processes","language":"en","page":"1-13","source":"ScienceDirect","title":"Normology: Integrating insights about social norms to understand cultural dynamics","title-short":"Normology","volume":"129","author":[{"family":"Morris","given":"Michael W."},{"family":"Hong","given":"Ying-yi"},{"family":"Chiu","given":"Chi-yue"},{"family":"Liu","given":"Zhi"}],"issued":{"date-parts":[["2015",7,1]]}}}],"schema":"https://github.com/citation-style-language/schema/raw/master/csl-citation.json"} </w:instrText>
      </w:r>
      <w:r w:rsidR="001B0354" w:rsidRPr="00424BD3">
        <w:rPr>
          <w:rFonts w:cs="Arial"/>
          <w:szCs w:val="24"/>
        </w:rPr>
        <w:fldChar w:fldCharType="separate"/>
      </w:r>
      <w:r w:rsidR="001B0354" w:rsidRPr="00424BD3">
        <w:rPr>
          <w:rFonts w:cs="Arial"/>
        </w:rPr>
        <w:t>(Cislaghi &amp; Heise, 2018; Horne, 2003; Morris et al., 2015)</w:t>
      </w:r>
      <w:r w:rsidR="001B0354" w:rsidRPr="00424BD3">
        <w:rPr>
          <w:rFonts w:cs="Arial"/>
          <w:szCs w:val="24"/>
        </w:rPr>
        <w:fldChar w:fldCharType="end"/>
      </w:r>
      <w:r w:rsidR="001B0354" w:rsidRPr="00424BD3">
        <w:rPr>
          <w:rFonts w:cs="Arial"/>
          <w:szCs w:val="24"/>
        </w:rPr>
        <w:t xml:space="preserve">. </w:t>
      </w:r>
      <w:r w:rsidR="008844E4" w:rsidRPr="00424BD3">
        <w:rPr>
          <w:rFonts w:cs="Arial"/>
          <w:szCs w:val="24"/>
        </w:rPr>
        <w:t xml:space="preserve">For this dissertation, relational pressure in the form of peers or groups such as families, organizations, and policy and other decision-makers through group norm enforcement </w:t>
      </w:r>
      <w:r w:rsidR="008844E4" w:rsidRPr="00424BD3">
        <w:rPr>
          <w:rFonts w:cs="Arial"/>
          <w:szCs w:val="24"/>
        </w:rPr>
        <w:fldChar w:fldCharType="begin"/>
      </w:r>
      <w:r w:rsidR="00990F3A">
        <w:rPr>
          <w:rFonts w:cs="Arial"/>
          <w:szCs w:val="24"/>
        </w:rPr>
        <w:instrText xml:space="preserve"> ADDIN ZOTERO_ITEM CSL_CITATION {"citationID":"lnI3auxS","properties":{"formattedCitation":"(Cislaghi &amp; Heise, 2018; Edmonds &amp; Xenitidou, 2014; Horne, 2014)","plainCitation":"(Cislaghi &amp; Heise, 2018; Edmonds &amp; Xenitidou, 2014; Horne, 2014)","noteIndex":0},"citationItems":[{"id":936,"uris":["http://zotero.org/users/4946941/items/FB922LLH"],"itemData":{"id":936,"type":"article-journal","abstract":"Recently, Global Health practitioners, scholars, and donors have expressed increased interest in “changing social norms” as a strategy to promote health and well-being in low and mid-income countries (LMIC). Despite this burgeoning interest, the ability of practitioners to use social norm theory to inform health interventions varies widely.","container-title":"Globalization and Health","DOI":"10.1186/s12992-018-0398-x","ISSN":"1744-8603","issue":"1","journalAbbreviation":"Globalization and Health","page":"83","source":"BioMed Central","title":"Theory and practice of social norms interventions: eight common pitfalls","title-short":"Theory and practice of social norms interventions","volume":"14","author":[{"family":"Cislaghi","given":"Beniamino"},{"family":"Heise","given":"Lori"}],"issued":{"date-parts":[["2018",8,17]]}}},{"id":941,"uris":["http://zotero.org/users/4946941/items/ICK3CDST"],"itemData":{"id":941,"type":"book","abstract":"This book explores the view that normative behaviour is part of a complex of social mechanisms, processes and narratives that are constantly shifting. From this perspective, norms are not a kind of self-contained social object or fact, but rather an interplay of many things that we label as norms when we 'take a snapshot' of them at a particular instant. Further, this book pursues the hypothesis that considering the dynamic aspects of these phenomena sheds new light on them. The sort of issues that this perspective opens to exploration include: Of what is this complex we call a \"social norm\" composed of? How do new social norms emerge and what kind of circumstances might facilitate such an appearance? How context-specific are the norms and patterns of normative behaviour that arise? How do the cognitive and the social aspects of norms interact over time? How do expectations, beliefs and individual rationality interact with social norm complexes to effect behaviour? How does our social embeddedness relate to social constraint upon behaviour? How might the socio-cognitive complexes that we call norms be usefully researched?","call-number":"300.1","collection-title":"Computational Social Sciences","edition":"1st ed. 2014","event-place":"Cham","ISBN":"978-3-319-05308-0","note":"DOI: 10.1007/978-3-319-05308-0","number-of-pages":"1","publisher":"Springer International Publishing : Imprint: Springer","publisher-place":"Cham","source":"Library of Congress ISBN","title":"The Complexity of Social Norms","editor":[{"family":"Edmonds","given":"Bruce"},{"family":"Xenitidou","given":"Maria"}],"issued":{"date-parts":[["2014"]]}}},{"id":883,"uris":["http://zotero.org/users/4946941/items/UNBDJGNS"],"itemData":{"id":883,"type":"chapter","container-title":"The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008844E4" w:rsidRPr="00424BD3">
        <w:rPr>
          <w:rFonts w:cs="Arial"/>
          <w:szCs w:val="24"/>
        </w:rPr>
        <w:fldChar w:fldCharType="separate"/>
      </w:r>
      <w:r w:rsidR="008844E4" w:rsidRPr="00424BD3">
        <w:rPr>
          <w:rFonts w:cs="Arial"/>
        </w:rPr>
        <w:t>(Cislaghi &amp; Heise, 2018; Edmonds &amp; Xenitidou, 2014; Horne, 2014)</w:t>
      </w:r>
      <w:r w:rsidR="008844E4" w:rsidRPr="00424BD3">
        <w:rPr>
          <w:rFonts w:cs="Arial"/>
          <w:szCs w:val="24"/>
        </w:rPr>
        <w:fldChar w:fldCharType="end"/>
      </w:r>
      <w:r w:rsidR="008844E4" w:rsidRPr="00424BD3">
        <w:rPr>
          <w:rFonts w:cs="Arial"/>
          <w:szCs w:val="24"/>
        </w:rPr>
        <w:t xml:space="preserve"> and structurally / systematically in the form of incentives (rewards</w:t>
      </w:r>
      <w:r w:rsidR="00EB592B">
        <w:rPr>
          <w:rFonts w:cs="Arial"/>
          <w:szCs w:val="24"/>
        </w:rPr>
        <w:t xml:space="preserve"> </w:t>
      </w:r>
      <w:r w:rsidR="008844E4" w:rsidRPr="00424BD3">
        <w:rPr>
          <w:rFonts w:cs="Arial"/>
          <w:szCs w:val="24"/>
        </w:rPr>
        <w:t>/</w:t>
      </w:r>
      <w:r w:rsidR="00EB592B">
        <w:rPr>
          <w:rFonts w:cs="Arial"/>
          <w:szCs w:val="24"/>
        </w:rPr>
        <w:t xml:space="preserve"> </w:t>
      </w:r>
      <w:r w:rsidR="008844E4" w:rsidRPr="00424BD3">
        <w:rPr>
          <w:rFonts w:cs="Arial"/>
          <w:szCs w:val="24"/>
        </w:rPr>
        <w:t>punishments) through structural systems</w:t>
      </w:r>
      <w:r w:rsidR="0034139E" w:rsidRPr="00424BD3">
        <w:rPr>
          <w:rFonts w:cs="Arial"/>
          <w:szCs w:val="24"/>
        </w:rPr>
        <w:t xml:space="preserve"> is examined</w:t>
      </w:r>
      <w:r w:rsidR="008844E4" w:rsidRPr="00424BD3">
        <w:rPr>
          <w:rFonts w:cs="Arial"/>
          <w:szCs w:val="24"/>
        </w:rPr>
        <w:t xml:space="preserve"> </w:t>
      </w:r>
      <w:r w:rsidR="008844E4" w:rsidRPr="00424BD3">
        <w:rPr>
          <w:rFonts w:cs="Arial"/>
          <w:szCs w:val="24"/>
        </w:rPr>
        <w:fldChar w:fldCharType="begin"/>
      </w:r>
      <w:r w:rsidR="00990F3A">
        <w:rPr>
          <w:rFonts w:cs="Arial"/>
          <w:szCs w:val="24"/>
        </w:rPr>
        <w:instrText xml:space="preserve"> ADDIN ZOTERO_ITEM CSL_CITATION {"citationID":"9Mm9fjF3","properties":{"formattedCitation":"(Horne, 2003)","plainCitation":"(Horne, 2003)","noteIndex":0},"citationItems":[{"id":934,"uris":["http://zotero.org/users/4946941/items/AAJEIXJW"],"itemData":{"id":934,"type":"article-journal","abstract":"The study provides data regarding the effect of internalized norms on behaviour. I use the factorial vignette survey method to measure internalized giving norms and then conduct an experiment to test whether these norms predict participants' actual donations. The results are consistent with arguments that norms are at least partially internally enforced. They also point to the importance of context in predicting the effect of norms on behaviour.","container-title":"European Sociological Review","DOI":"10.1093/esr/19.4.335","ISSN":"0266-7215","issue":"4","journalAbbreviation":"European Sociological Review","page":"335-343","source":"Silverchair","title":"The Internal Enforcement of Norms","volume":"19","author":[{"family":"Horne","given":"Christine"}],"issued":{"date-parts":[["2003",9,1]]}}}],"schema":"https://github.com/citation-style-language/schema/raw/master/csl-citation.json"} </w:instrText>
      </w:r>
      <w:r w:rsidR="008844E4" w:rsidRPr="00424BD3">
        <w:rPr>
          <w:rFonts w:cs="Arial"/>
          <w:szCs w:val="24"/>
        </w:rPr>
        <w:fldChar w:fldCharType="separate"/>
      </w:r>
      <w:r w:rsidR="008844E4" w:rsidRPr="00424BD3">
        <w:rPr>
          <w:rFonts w:cs="Arial"/>
        </w:rPr>
        <w:t>(Horne, 2003)</w:t>
      </w:r>
      <w:r w:rsidR="008844E4" w:rsidRPr="00424BD3">
        <w:rPr>
          <w:rFonts w:cs="Arial"/>
          <w:szCs w:val="24"/>
        </w:rPr>
        <w:fldChar w:fldCharType="end"/>
      </w:r>
      <w:r w:rsidR="008844E4" w:rsidRPr="00424BD3">
        <w:rPr>
          <w:rFonts w:cs="Arial"/>
          <w:szCs w:val="24"/>
        </w:rPr>
        <w:t xml:space="preserve">. </w:t>
      </w:r>
    </w:p>
    <w:p w14:paraId="34E08D17" w14:textId="051A0DCF" w:rsidR="008844E4" w:rsidRPr="00424BD3" w:rsidRDefault="008844E4" w:rsidP="000126EE">
      <w:pPr>
        <w:spacing w:after="0" w:line="480" w:lineRule="auto"/>
        <w:ind w:firstLine="720"/>
        <w:rPr>
          <w:rFonts w:cs="Arial"/>
          <w:szCs w:val="24"/>
        </w:rPr>
      </w:pPr>
      <w:r w:rsidRPr="00424BD3">
        <w:rPr>
          <w:rFonts w:cs="Arial"/>
          <w:szCs w:val="24"/>
        </w:rPr>
        <w:t xml:space="preserve">“Behaviours that are dictated by social norms become the ends that individuals desire and there is no discrepancy between the interests of the individual and those of </w:t>
      </w:r>
      <w:r w:rsidRPr="00424BD3">
        <w:rPr>
          <w:rFonts w:cs="Arial"/>
          <w:szCs w:val="24"/>
        </w:rPr>
        <w:lastRenderedPageBreak/>
        <w:t xml:space="preserve">the group” </w:t>
      </w:r>
      <w:r w:rsidRPr="00424BD3">
        <w:rPr>
          <w:rFonts w:cs="Arial"/>
          <w:szCs w:val="24"/>
        </w:rPr>
        <w:fldChar w:fldCharType="begin"/>
      </w:r>
      <w:r w:rsidR="00990F3A">
        <w:rPr>
          <w:rFonts w:cs="Arial"/>
          <w:szCs w:val="24"/>
        </w:rPr>
        <w:instrText xml:space="preserve"> ADDIN ZOTERO_ITEM CSL_CITATION {"citationID":"fRBXLLfw","properties":{"formattedCitation":"(Horne, 2003)","plainCitation":"(Horne, 2003)","dontUpdate":true,"noteIndex":0},"citationItems":[{"id":934,"uris":["http://zotero.org/users/4946941/items/AAJEIXJW"],"itemData":{"id":934,"type":"article-journal","abstract":"The study provides data regarding the effect of internalized norms on behaviour. I use the factorial vignette survey method to measure internalized giving norms and then conduct an experiment to test whether these norms predict participants' actual donations. The results are consistent with arguments that norms are at least partially internally enforced. They also point to the importance of context in predicting the effect of norms on behaviour.","container-title":"European Sociological Review","DOI":"10.1093/esr/19.4.335","ISSN":"0266-7215","issue":"4","journalAbbreviation":"European Sociological Review","page":"335-343","source":"Silverchair","title":"The Internal Enforcement of Norms","volume":"19","author":[{"family":"Horne","given":"Christine"}],"issued":{"date-parts":[["2003",9,1]]}}}],"schema":"https://github.com/citation-style-language/schema/raw/master/csl-citation.json"} </w:instrText>
      </w:r>
      <w:r w:rsidRPr="00424BD3">
        <w:rPr>
          <w:rFonts w:cs="Arial"/>
          <w:szCs w:val="24"/>
        </w:rPr>
        <w:fldChar w:fldCharType="separate"/>
      </w:r>
      <w:r w:rsidRPr="00424BD3">
        <w:rPr>
          <w:rFonts w:cs="Arial"/>
        </w:rPr>
        <w:t>(Horne, 2003</w:t>
      </w:r>
      <w:r w:rsidRPr="00424BD3">
        <w:rPr>
          <w:rFonts w:cs="Arial"/>
          <w:szCs w:val="24"/>
        </w:rPr>
        <w:fldChar w:fldCharType="end"/>
      </w:r>
      <w:r w:rsidRPr="00424BD3">
        <w:rPr>
          <w:rFonts w:cs="Arial"/>
          <w:szCs w:val="24"/>
        </w:rPr>
        <w:t xml:space="preserve"> citing </w:t>
      </w:r>
      <w:r w:rsidRPr="00424BD3">
        <w:rPr>
          <w:rFonts w:cs="Arial"/>
          <w:szCs w:val="24"/>
        </w:rPr>
        <w:fldChar w:fldCharType="begin"/>
      </w:r>
      <w:r w:rsidR="00990F3A">
        <w:rPr>
          <w:rFonts w:cs="Arial"/>
          <w:szCs w:val="24"/>
        </w:rPr>
        <w:instrText xml:space="preserve"> ADDIN ZOTERO_ITEM CSL_CITATION {"citationID":"15AgnyNJ","properties":{"formattedCitation":"(Elster, 1989)","plainCitation":"(Elster, 1989)","dontUpdate":true,"noteIndex":0},"citationItems":[{"id":955,"uris":["http://zotero.org/users/4946941/items/T8DANJZI"],"itemData":{"id":955,"type":"book","publisher":"Cambridge University Press","source":"PhilPapers","title":"The Cement of Society: A Survey of Social Order","title-short":"The Cement of Society","author":[{"family":"Elster","given":"Jon"}],"issued":{"date-parts":[["1989"]]}}}],"schema":"https://github.com/citation-style-language/schema/raw/master/csl-citation.json"} </w:instrText>
      </w:r>
      <w:r w:rsidRPr="00424BD3">
        <w:rPr>
          <w:rFonts w:cs="Arial"/>
          <w:szCs w:val="24"/>
        </w:rPr>
        <w:fldChar w:fldCharType="separate"/>
      </w:r>
      <w:r w:rsidRPr="00424BD3">
        <w:rPr>
          <w:rFonts w:cs="Arial"/>
        </w:rPr>
        <w:t>Elster, 1989</w:t>
      </w:r>
      <w:r w:rsidRPr="00424BD3">
        <w:rPr>
          <w:rFonts w:cs="Arial"/>
          <w:szCs w:val="24"/>
        </w:rPr>
        <w:fldChar w:fldCharType="end"/>
      </w:r>
      <w:r w:rsidRPr="00424BD3">
        <w:rPr>
          <w:rFonts w:cs="Arial"/>
          <w:szCs w:val="24"/>
        </w:rPr>
        <w:t xml:space="preserve">). Internalized norms, sometimes called personal values or morals, overlap with socially constructed (sanctioned) norms, both constructing and being constructed by social ‘rules’, ‘mores’ and laws </w:t>
      </w:r>
      <w:r w:rsidRPr="00424BD3">
        <w:rPr>
          <w:rFonts w:cs="Arial"/>
          <w:szCs w:val="24"/>
        </w:rPr>
        <w:fldChar w:fldCharType="begin"/>
      </w:r>
      <w:r w:rsidR="00990F3A">
        <w:rPr>
          <w:rFonts w:cs="Arial"/>
          <w:szCs w:val="24"/>
        </w:rPr>
        <w:instrText xml:space="preserve"> ADDIN ZOTERO_ITEM CSL_CITATION {"citationID":"mfqyYxlO","properties":{"formattedCitation":"(Horne, 2014)","plainCitation":"(Horne, 2014)","noteIndex":0},"citationItems":[{"id":883,"uris":["http://zotero.org/users/4946941/items/UNBDJGNS"],"itemData":{"id":883,"type":"chapter","container-title":"The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Pr="00424BD3">
        <w:rPr>
          <w:rFonts w:cs="Arial"/>
          <w:szCs w:val="24"/>
        </w:rPr>
        <w:fldChar w:fldCharType="separate"/>
      </w:r>
      <w:r w:rsidRPr="00424BD3">
        <w:rPr>
          <w:rFonts w:cs="Arial"/>
        </w:rPr>
        <w:t>(Horne, 2014)</w:t>
      </w:r>
      <w:r w:rsidRPr="00424BD3">
        <w:rPr>
          <w:rFonts w:cs="Arial"/>
          <w:szCs w:val="24"/>
        </w:rPr>
        <w:fldChar w:fldCharType="end"/>
      </w:r>
      <w:r w:rsidRPr="00424BD3">
        <w:rPr>
          <w:rFonts w:cs="Arial"/>
          <w:szCs w:val="24"/>
        </w:rPr>
        <w:t xml:space="preserve">. Intertwined with internalized norming and group norm enforcement, systems, structures, policymaking, and laws are set up to codify rewards and punishments for individual adherence and non-adherence </w:t>
      </w:r>
      <w:r w:rsidRPr="00424BD3">
        <w:rPr>
          <w:rFonts w:cs="Arial"/>
          <w:szCs w:val="24"/>
        </w:rPr>
        <w:fldChar w:fldCharType="begin"/>
      </w:r>
      <w:r w:rsidR="00990F3A">
        <w:rPr>
          <w:rFonts w:cs="Arial"/>
          <w:szCs w:val="24"/>
        </w:rPr>
        <w:instrText xml:space="preserve"> ADDIN ZOTERO_ITEM CSL_CITATION {"citationID":"ajcIDaQV","properties":{"formattedCitation":"(Cislaghi &amp; Heise, 2018; Horne, 2014)","plainCitation":"(Cislaghi &amp; Heise, 2018; Horne, 2014)","noteIndex":0},"citationItems":[{"id":936,"uris":["http://zotero.org/users/4946941/items/FB922LLH"],"itemData":{"id":936,"type":"article-journal","abstract":"Recently, Global Health practitioners, scholars, and donors have expressed increased interest in “changing social norms” as a strategy to promote health and well-being in low and mid-income countries (LMIC). Despite this burgeoning interest, the ability of practitioners to use social norm theory to inform health interventions varies widely.","container-title":"Globalization and Health","DOI":"10.1186/s12992-018-0398-x","ISSN":"1744-8603","issue":"1","journalAbbreviation":"Globalization and Health","page":"83","source":"BioMed Central","title":"Theory and practice of social norms interventions: eight common pitfalls","title-short":"Theory and practice of social norms interventions","volume":"14","author":[{"family":"Cislaghi","given":"Beniamino"},{"family":"Heise","given":"Lori"}],"issued":{"date-parts":[["2018",8,17]]}}},{"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Pr="00424BD3">
        <w:rPr>
          <w:rFonts w:cs="Arial"/>
          <w:szCs w:val="24"/>
        </w:rPr>
        <w:fldChar w:fldCharType="separate"/>
      </w:r>
      <w:r w:rsidRPr="00424BD3">
        <w:rPr>
          <w:rFonts w:cs="Arial"/>
        </w:rPr>
        <w:t>(Cislaghi &amp; Heise, 2018; Horne, 2014)</w:t>
      </w:r>
      <w:r w:rsidRPr="00424BD3">
        <w:rPr>
          <w:rFonts w:cs="Arial"/>
          <w:szCs w:val="24"/>
        </w:rPr>
        <w:fldChar w:fldCharType="end"/>
      </w:r>
      <w:r w:rsidRPr="00424BD3">
        <w:rPr>
          <w:rFonts w:cs="Arial"/>
          <w:szCs w:val="24"/>
        </w:rPr>
        <w:t xml:space="preserve">. Tremendous intragroup and intergroup pressure on individuals to conform to social norms may exist within a given society or social group (known as group norm enforcement) which can result in positive </w:t>
      </w:r>
      <w:r w:rsidRPr="00A46482">
        <w:rPr>
          <w:rFonts w:cs="Arial"/>
          <w:szCs w:val="24"/>
        </w:rPr>
        <w:t>social cohesion</w:t>
      </w:r>
      <w:r w:rsidRPr="00424BD3">
        <w:rPr>
          <w:rFonts w:cs="Arial"/>
          <w:szCs w:val="24"/>
        </w:rPr>
        <w:t xml:space="preserve">, a phenomenon recognized as one of the most important factors in mitigating health inequities </w:t>
      </w:r>
      <w:r w:rsidRPr="00424BD3">
        <w:rPr>
          <w:rFonts w:cs="Arial"/>
          <w:szCs w:val="24"/>
        </w:rPr>
        <w:fldChar w:fldCharType="begin"/>
      </w:r>
      <w:r w:rsidR="00990F3A">
        <w:rPr>
          <w:rFonts w:cs="Arial"/>
          <w:szCs w:val="24"/>
        </w:rPr>
        <w:instrText xml:space="preserve"> ADDIN ZOTERO_ITEM CSL_CITATION {"citationID":"yAGUmDUW","properties":{"formattedCitation":"(Emerson, 1962; Horne, 2014)","plainCitation":"(Emerson, 1962; Horne, 2014)","noteIndex":0},"citationItems":[{"id":881,"uris":["http://zotero.org/users/4946941/items/E6HDYQ9A"],"itemData":{"id":881,"type":"article-journal","container-title":"American Sociological Review","DOI":"10.2307/2089716","ISSN":"00031224","issue":"1","journalAbbreviation":"American Sociological Review","page":"31","source":"DOI.org (Crossref)","title":"Power-Dependence Relations","volume":"27","author":[{"family":"Emerson","given":"Richard M."}],"issued":{"date-parts":[["1962",2]]}}},{"id":883,"uris":["http://zotero.org/users/4946941/items/UNBDJGNS"],"itemData":{"id":883,"type":"chapter","container-title":"The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Pr="00424BD3">
        <w:rPr>
          <w:rFonts w:cs="Arial"/>
          <w:szCs w:val="24"/>
        </w:rPr>
        <w:fldChar w:fldCharType="separate"/>
      </w:r>
      <w:r w:rsidRPr="00424BD3">
        <w:rPr>
          <w:rFonts w:cs="Arial"/>
        </w:rPr>
        <w:t>(Emerson, 1962; Horne, 2014)</w:t>
      </w:r>
      <w:r w:rsidRPr="00424BD3">
        <w:rPr>
          <w:rFonts w:cs="Arial"/>
          <w:szCs w:val="24"/>
        </w:rPr>
        <w:fldChar w:fldCharType="end"/>
      </w:r>
      <w:r w:rsidRPr="00424BD3">
        <w:rPr>
          <w:rFonts w:cs="Arial"/>
          <w:szCs w:val="24"/>
        </w:rPr>
        <w:t xml:space="preserve">. However, it can also result in </w:t>
      </w:r>
      <w:r w:rsidR="00030FB2" w:rsidRPr="00424BD3">
        <w:rPr>
          <w:rFonts w:cs="Arial"/>
          <w:szCs w:val="24"/>
        </w:rPr>
        <w:t xml:space="preserve">not only oppression of minorities, but also in </w:t>
      </w:r>
      <w:r w:rsidRPr="00424BD3">
        <w:rPr>
          <w:rFonts w:cs="Arial"/>
          <w:szCs w:val="24"/>
        </w:rPr>
        <w:t xml:space="preserve">negative social cohesion where there is pressure to conform to or stay silent about factors which worsen health outcomes or health inequities. For societies, such as the U.S., embracing the norm enforcement of individual responsibility as a way to control people provides the platform for the internalization of </w:t>
      </w:r>
      <w:r w:rsidR="00354D49" w:rsidRPr="00424BD3">
        <w:rPr>
          <w:rFonts w:cs="Arial"/>
          <w:szCs w:val="24"/>
        </w:rPr>
        <w:t>health</w:t>
      </w:r>
      <w:r w:rsidRPr="00424BD3">
        <w:rPr>
          <w:rFonts w:cs="Arial"/>
          <w:szCs w:val="24"/>
        </w:rPr>
        <w:t xml:space="preserve"> behavior as the main driver of health and mortality. </w:t>
      </w:r>
    </w:p>
    <w:p w14:paraId="25918545" w14:textId="5C83ABDF" w:rsidR="008844E4" w:rsidRPr="00424BD3" w:rsidRDefault="00A3311D" w:rsidP="000126EE">
      <w:pPr>
        <w:spacing w:after="0" w:line="480" w:lineRule="auto"/>
        <w:ind w:firstLine="720"/>
        <w:rPr>
          <w:rFonts w:cs="Arial"/>
          <w:szCs w:val="24"/>
        </w:rPr>
      </w:pPr>
      <w:r w:rsidRPr="00424BD3">
        <w:rPr>
          <w:rFonts w:cs="Arial"/>
          <w:szCs w:val="24"/>
        </w:rPr>
        <w:t xml:space="preserve">Horne </w:t>
      </w:r>
      <w:r w:rsidRPr="00424BD3">
        <w:rPr>
          <w:rFonts w:cs="Arial"/>
          <w:szCs w:val="24"/>
        </w:rPr>
        <w:fldChar w:fldCharType="begin"/>
      </w:r>
      <w:r w:rsidR="00990F3A">
        <w:rPr>
          <w:rFonts w:cs="Arial"/>
          <w:szCs w:val="24"/>
        </w:rPr>
        <w:instrText xml:space="preserve"> ADDIN ZOTERO_ITEM CSL_CITATION {"citationID":"XrGYVCx6","properties":{"formattedCitation":"(2014)","plainCitation":"(2014)","noteIndex":0},"citationItems":[{"id":883,"uris":["http://zotero.org/users/4946941/items/UNBDJGNS"],"itemData":{"id":883,"type":"chapter","container-title":"The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label":"page","suppress-author":true}],"schema":"https://github.com/citation-style-language/schema/raw/master/csl-citation.json"} </w:instrText>
      </w:r>
      <w:r w:rsidRPr="00424BD3">
        <w:rPr>
          <w:rFonts w:cs="Arial"/>
          <w:szCs w:val="24"/>
        </w:rPr>
        <w:fldChar w:fldCharType="separate"/>
      </w:r>
      <w:r w:rsidRPr="00424BD3">
        <w:rPr>
          <w:rFonts w:cs="Arial"/>
        </w:rPr>
        <w:t>(2014)</w:t>
      </w:r>
      <w:r w:rsidRPr="00424BD3">
        <w:rPr>
          <w:rFonts w:cs="Arial"/>
          <w:szCs w:val="24"/>
        </w:rPr>
        <w:fldChar w:fldCharType="end"/>
      </w:r>
      <w:r w:rsidRPr="00424BD3">
        <w:rPr>
          <w:rFonts w:cs="Arial"/>
          <w:szCs w:val="24"/>
        </w:rPr>
        <w:t xml:space="preserve"> states </w:t>
      </w:r>
      <w:r w:rsidR="008844E4" w:rsidRPr="00424BD3">
        <w:rPr>
          <w:rFonts w:cs="Arial"/>
          <w:szCs w:val="24"/>
        </w:rPr>
        <w:t xml:space="preserve">“[  ]…when individuals are dependent on those around them, their well-being is tied to the well-being of others” </w:t>
      </w:r>
      <w:r w:rsidR="008844E4" w:rsidRPr="00424BD3">
        <w:rPr>
          <w:rFonts w:cs="Arial"/>
          <w:szCs w:val="24"/>
        </w:rPr>
        <w:fldChar w:fldCharType="begin"/>
      </w:r>
      <w:r w:rsidR="00990F3A">
        <w:rPr>
          <w:rFonts w:cs="Arial"/>
          <w:szCs w:val="24"/>
        </w:rPr>
        <w:instrText xml:space="preserve"> ADDIN ZOTERO_ITEM CSL_CITATION {"citationID":"YJYQQjZK","properties":{"formattedCitation":"(2014, p. 107)","plainCitation":"(2014, p. 107)","dontUpdate":true,"noteIndex":0},"citationItems":[{"id":883,"uris":["http://zotero.org/users/4946941/items/UNBDJGNS"],"itemData":{"id":883,"type":"chapter","container-title":"The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locator":"107","label":"page","suppress-author":true}],"schema":"https://github.com/citation-style-language/schema/raw/master/csl-citation.json"} </w:instrText>
      </w:r>
      <w:r w:rsidR="008844E4" w:rsidRPr="00424BD3">
        <w:rPr>
          <w:rFonts w:cs="Arial"/>
          <w:szCs w:val="24"/>
        </w:rPr>
        <w:fldChar w:fldCharType="separate"/>
      </w:r>
      <w:r w:rsidR="00F5050C" w:rsidRPr="00424BD3">
        <w:rPr>
          <w:rFonts w:cs="Arial"/>
        </w:rPr>
        <w:t>(p. 107)</w:t>
      </w:r>
      <w:r w:rsidR="008844E4" w:rsidRPr="00424BD3">
        <w:rPr>
          <w:rFonts w:cs="Arial"/>
          <w:szCs w:val="24"/>
        </w:rPr>
        <w:fldChar w:fldCharType="end"/>
      </w:r>
      <w:r w:rsidR="008844E4" w:rsidRPr="00424BD3">
        <w:rPr>
          <w:rFonts w:cs="Arial"/>
          <w:szCs w:val="24"/>
        </w:rPr>
        <w:t xml:space="preserve">. Since people are complex, social beings who are dependent upon one another for survival, this can lead to people agreeing to norms that go against their best interests or that they don’t agree with in order to retain perceived security and positive relationships within social groups (family, friends, work colleagues, society). Moreover, if people internalize norms, they and those around them choose which norms carry the most weight depending upon the social </w:t>
      </w:r>
      <w:r w:rsidR="008844E4" w:rsidRPr="00424BD3">
        <w:rPr>
          <w:rFonts w:cs="Arial"/>
          <w:szCs w:val="24"/>
        </w:rPr>
        <w:lastRenderedPageBreak/>
        <w:t xml:space="preserve">context in which they are </w:t>
      </w:r>
      <w:r w:rsidR="008844E4" w:rsidRPr="00424BD3">
        <w:rPr>
          <w:rFonts w:cs="Arial"/>
          <w:szCs w:val="24"/>
        </w:rPr>
        <w:fldChar w:fldCharType="begin"/>
      </w:r>
      <w:r w:rsidR="00990F3A">
        <w:rPr>
          <w:rFonts w:cs="Arial"/>
          <w:szCs w:val="24"/>
        </w:rPr>
        <w:instrText xml:space="preserve"> ADDIN ZOTERO_ITEM CSL_CITATION {"citationID":"G33XPcKD","properties":{"formattedCitation":"(Edmonds &amp; Xenitidou, 2014; Horne, 2014)","plainCitation":"(Edmonds &amp; Xenitidou, 2014; Horne, 2014)","noteIndex":0},"citationItems":[{"id":941,"uris":["http://zotero.org/users/4946941/items/ICK3CDST"],"itemData":{"id":941,"type":"book","abstract":"This book explores the view that normative behaviour is part of a complex of social mechanisms, processes and narratives that are constantly shifting. From this perspective, norms are not a kind of self-contained social object or fact, but rather an interplay of many things that we label as norms when we 'take a snapshot' of them at a particular instant. Further, this book pursues the hypothesis that considering the dynamic aspects of these phenomena sheds new light on them. The sort of issues that this perspective opens to exploration include: Of what is this complex we call a \"social norm\" composed of? How do new social norms emerge and what kind of circumstances might facilitate such an appearance? How context-specific are the norms and patterns of normative behaviour that arise? How do the cognitive and the social aspects of norms interact over time? How do expectations, beliefs and individual rationality interact with social norm complexes to effect behaviour? How does our social embeddedness relate to social constraint upon behaviour? How might the socio-cognitive complexes that we call norms be usefully researched?","call-number":"300.1","collection-title":"Computational Social Sciences","edition":"1st ed. 2014","event-place":"Cham","ISBN":"978-3-319-05308-0","note":"DOI: 10.1007/978-3-319-05308-0","number-of-pages":"1","publisher":"Springer International Publishing : Imprint: Springer","publisher-place":"Cham","source":"Library of Congress ISBN","title":"The Complexity of Social Norms","editor":[{"family":"Edmonds","given":"Bruce"},{"family":"Xenitidou","given":"Maria"}],"issued":{"date-parts":[["2014"]]}}},{"id":883,"uris":["http://zotero.org/users/4946941/items/UNBDJGNS"],"itemData":{"id":883,"type":"chapter","container-title":"The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008844E4" w:rsidRPr="00424BD3">
        <w:rPr>
          <w:rFonts w:cs="Arial"/>
          <w:szCs w:val="24"/>
        </w:rPr>
        <w:fldChar w:fldCharType="separate"/>
      </w:r>
      <w:r w:rsidR="008844E4" w:rsidRPr="00424BD3">
        <w:rPr>
          <w:rFonts w:cs="Arial"/>
        </w:rPr>
        <w:t>(Edmonds &amp; Xenitidou, 2014; Horne, 2014)</w:t>
      </w:r>
      <w:r w:rsidR="008844E4" w:rsidRPr="00424BD3">
        <w:rPr>
          <w:rFonts w:cs="Arial"/>
          <w:szCs w:val="24"/>
        </w:rPr>
        <w:fldChar w:fldCharType="end"/>
      </w:r>
      <w:r w:rsidR="008844E4" w:rsidRPr="00424BD3">
        <w:rPr>
          <w:rFonts w:cs="Arial"/>
          <w:szCs w:val="24"/>
        </w:rPr>
        <w:t xml:space="preserve">. This means they are influenced by their temporal, place-based, situated norms. If a group of people give the most weight to individual responsibility, they (and their policymakers, health bodies, corporations, friends, and family) feel justified in choosing to </w:t>
      </w:r>
      <w:r w:rsidR="00002FBF" w:rsidRPr="00424BD3">
        <w:rPr>
          <w:rFonts w:cs="Arial"/>
          <w:szCs w:val="24"/>
        </w:rPr>
        <w:t>support</w:t>
      </w:r>
      <w:r w:rsidR="008844E4" w:rsidRPr="00424BD3">
        <w:rPr>
          <w:rFonts w:cs="Arial"/>
          <w:szCs w:val="24"/>
        </w:rPr>
        <w:t xml:space="preserve"> those who adhere to the norm, and not </w:t>
      </w:r>
      <w:r w:rsidR="00002FBF" w:rsidRPr="00424BD3">
        <w:rPr>
          <w:rFonts w:cs="Arial"/>
          <w:szCs w:val="24"/>
        </w:rPr>
        <w:t>support</w:t>
      </w:r>
      <w:r w:rsidR="008844E4" w:rsidRPr="00424BD3">
        <w:rPr>
          <w:rFonts w:cs="Arial"/>
          <w:szCs w:val="24"/>
        </w:rPr>
        <w:t xml:space="preserve"> those who don’t. In the case of health, if individuals are at fault for being sick, other people need not feel responsible for making sure tha</w:t>
      </w:r>
      <w:r w:rsidR="00E57322">
        <w:rPr>
          <w:rFonts w:cs="Arial"/>
          <w:szCs w:val="24"/>
        </w:rPr>
        <w:t>t</w:t>
      </w:r>
      <w:r w:rsidR="008844E4" w:rsidRPr="00424BD3">
        <w:rPr>
          <w:rFonts w:cs="Arial"/>
          <w:szCs w:val="24"/>
        </w:rPr>
        <w:t xml:space="preserve"> an individual receives care. Indeed, </w:t>
      </w:r>
      <w:r w:rsidR="0043792B" w:rsidRPr="00424BD3">
        <w:rPr>
          <w:rFonts w:cs="Arial"/>
          <w:szCs w:val="24"/>
        </w:rPr>
        <w:t xml:space="preserve">some </w:t>
      </w:r>
      <w:r w:rsidR="008844E4" w:rsidRPr="00424BD3">
        <w:rPr>
          <w:rFonts w:cs="Arial"/>
          <w:szCs w:val="24"/>
        </w:rPr>
        <w:t xml:space="preserve">societies set up systems to ensure that individuals are to blame </w:t>
      </w:r>
      <w:r w:rsidR="008844E4" w:rsidRPr="00424BD3">
        <w:rPr>
          <w:rFonts w:cs="Arial"/>
          <w:szCs w:val="24"/>
        </w:rPr>
        <w:fldChar w:fldCharType="begin"/>
      </w:r>
      <w:r w:rsidR="00990F3A">
        <w:rPr>
          <w:rFonts w:cs="Arial"/>
          <w:szCs w:val="24"/>
        </w:rPr>
        <w:instrText xml:space="preserve"> ADDIN ZOTERO_ITEM CSL_CITATION {"citationID":"snWDCsDe","properties":{"formattedCitation":"(Horne, 2014)","plainCitation":"(Horne, 2014)","noteIndex":0},"citationItems":[{"id":883,"uris":["http://zotero.org/users/4946941/items/UNBDJGNS"],"itemData":{"id":883,"type":"chapter","container-title":"The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008844E4" w:rsidRPr="00424BD3">
        <w:rPr>
          <w:rFonts w:cs="Arial"/>
          <w:szCs w:val="24"/>
        </w:rPr>
        <w:fldChar w:fldCharType="separate"/>
      </w:r>
      <w:r w:rsidR="008844E4" w:rsidRPr="00424BD3">
        <w:rPr>
          <w:rFonts w:cs="Arial"/>
        </w:rPr>
        <w:t>(Horne, 2014)</w:t>
      </w:r>
      <w:r w:rsidR="008844E4" w:rsidRPr="00424BD3">
        <w:rPr>
          <w:rFonts w:cs="Arial"/>
          <w:szCs w:val="24"/>
        </w:rPr>
        <w:fldChar w:fldCharType="end"/>
      </w:r>
      <w:r w:rsidR="008844E4" w:rsidRPr="00424BD3">
        <w:rPr>
          <w:rFonts w:cs="Arial"/>
          <w:szCs w:val="24"/>
        </w:rPr>
        <w:t xml:space="preserve">. Since individuals are normed to accept sole blame for their health or other circumstances, they can readily understand why systems not only don’t work for them, but actively work against them and believe ill health is a “punishment” they “deserve”. </w:t>
      </w:r>
    </w:p>
    <w:p w14:paraId="5AB280B5" w14:textId="20C1CEF1" w:rsidR="008844E4" w:rsidRPr="00424BD3" w:rsidRDefault="008844E4" w:rsidP="000126EE">
      <w:pPr>
        <w:spacing w:after="0" w:line="480" w:lineRule="auto"/>
        <w:ind w:firstLine="720"/>
        <w:rPr>
          <w:rFonts w:cs="Arial"/>
          <w:szCs w:val="24"/>
        </w:rPr>
      </w:pPr>
      <w:r w:rsidRPr="00424BD3">
        <w:rPr>
          <w:rFonts w:cs="Arial"/>
          <w:szCs w:val="24"/>
        </w:rPr>
        <w:t xml:space="preserve">While U.S. social awareness and attitudes about systemic and structural influences on health and mortality outcomes has begun to change since the </w:t>
      </w:r>
      <w:r w:rsidR="000D2AB8" w:rsidRPr="00424BD3">
        <w:rPr>
          <w:rFonts w:cs="Arial"/>
          <w:szCs w:val="24"/>
        </w:rPr>
        <w:t>Affordable Care Act (</w:t>
      </w:r>
      <w:r w:rsidRPr="00424BD3">
        <w:rPr>
          <w:rFonts w:cs="Arial"/>
          <w:szCs w:val="24"/>
        </w:rPr>
        <w:t>ACA</w:t>
      </w:r>
      <w:r w:rsidR="000D2AB8" w:rsidRPr="00424BD3">
        <w:rPr>
          <w:rFonts w:cs="Arial"/>
          <w:szCs w:val="24"/>
        </w:rPr>
        <w:t>)</w:t>
      </w:r>
      <w:r w:rsidRPr="00424BD3">
        <w:rPr>
          <w:rFonts w:cs="Arial"/>
          <w:szCs w:val="24"/>
        </w:rPr>
        <w:t xml:space="preserve"> came into force in 2014 </w:t>
      </w:r>
      <w:r w:rsidRPr="00424BD3">
        <w:rPr>
          <w:rFonts w:cs="Arial"/>
          <w:szCs w:val="24"/>
        </w:rPr>
        <w:fldChar w:fldCharType="begin"/>
      </w:r>
      <w:r w:rsidR="00990F3A">
        <w:rPr>
          <w:rFonts w:cs="Arial"/>
          <w:szCs w:val="24"/>
        </w:rPr>
        <w:instrText xml:space="preserve"> ADDIN ZOTERO_ITEM CSL_CITATION {"citationID":"4qY6UbZS","properties":{"formattedCitation":"(McIntyre &amp; Song, 2019)","plainCitation":"(McIntyre &amp; Song, 2019)","noteIndex":0},"citationItems":[{"id":946,"uris":["http://zotero.org/users/4946941/items/UXRD99ZA"],"itemData":{"id":946,"type":"article-journal","abstract":"In this month's Editorial, PLOS Medicine Academic Editor Zirui Song and his colleague Adrianna McIntyre discuss outcomes and possible futures for the United States Affordable Care Act as it nears the ten year mark.","container-title":"PLOS Medicine","DOI":"10.1371/journal.pmed.1002752","ISSN":"1549-1676","issue":"2","journalAbbreviation":"PLOS Medicine","language":"en","note":"publisher: Public Library of Science","page":"e1002752","source":"PLoS Journals","title":"The US Affordable Care Act: Reflections and directions at the close of a decade","title-short":"The US Affordable Care Act","volume":"16","author":[{"family":"McIntyre","given":"Adrianna"},{"family":"Song","given":"Zirui"}],"issued":{"date-parts":[["2019",2,26]]}}}],"schema":"https://github.com/citation-style-language/schema/raw/master/csl-citation.json"} </w:instrText>
      </w:r>
      <w:r w:rsidRPr="00424BD3">
        <w:rPr>
          <w:rFonts w:cs="Arial"/>
          <w:szCs w:val="24"/>
        </w:rPr>
        <w:fldChar w:fldCharType="separate"/>
      </w:r>
      <w:r w:rsidRPr="00424BD3">
        <w:rPr>
          <w:rFonts w:cs="Arial"/>
        </w:rPr>
        <w:t>(McIntyre &amp; Song, 2019)</w:t>
      </w:r>
      <w:r w:rsidRPr="00424BD3">
        <w:rPr>
          <w:rFonts w:cs="Arial"/>
          <w:szCs w:val="24"/>
        </w:rPr>
        <w:fldChar w:fldCharType="end"/>
      </w:r>
      <w:r w:rsidRPr="00424BD3">
        <w:rPr>
          <w:rFonts w:cs="Arial"/>
          <w:szCs w:val="24"/>
        </w:rPr>
        <w:t xml:space="preserve">, for </w:t>
      </w:r>
      <w:r w:rsidR="00815F08" w:rsidRPr="00424BD3">
        <w:rPr>
          <w:rFonts w:cs="Arial"/>
          <w:szCs w:val="24"/>
        </w:rPr>
        <w:t>those 65</w:t>
      </w:r>
      <w:r w:rsidRPr="00424BD3">
        <w:rPr>
          <w:rFonts w:cs="Arial"/>
          <w:szCs w:val="24"/>
        </w:rPr>
        <w:t xml:space="preserve"> years </w:t>
      </w:r>
      <w:r w:rsidR="00815F08" w:rsidRPr="00424BD3">
        <w:rPr>
          <w:rFonts w:cs="Arial"/>
          <w:szCs w:val="24"/>
        </w:rPr>
        <w:t>and over</w:t>
      </w:r>
      <w:r w:rsidRPr="00424BD3">
        <w:rPr>
          <w:rFonts w:cs="Arial"/>
          <w:szCs w:val="24"/>
        </w:rPr>
        <w:t>, the women in this study hav</w:t>
      </w:r>
      <w:r w:rsidR="00C26B75" w:rsidRPr="00424BD3">
        <w:rPr>
          <w:rFonts w:cs="Arial"/>
          <w:szCs w:val="24"/>
        </w:rPr>
        <w:t>e</w:t>
      </w:r>
      <w:r w:rsidRPr="00424BD3">
        <w:rPr>
          <w:rFonts w:cs="Arial"/>
          <w:szCs w:val="24"/>
        </w:rPr>
        <w:t xml:space="preserve"> lived with the pressure to adhere to </w:t>
      </w:r>
      <w:r w:rsidR="000D2AB8" w:rsidRPr="00424BD3">
        <w:rPr>
          <w:rFonts w:cs="Arial"/>
          <w:szCs w:val="24"/>
        </w:rPr>
        <w:t>norm</w:t>
      </w:r>
      <w:r w:rsidR="00E57322">
        <w:rPr>
          <w:rFonts w:cs="Arial"/>
          <w:szCs w:val="24"/>
        </w:rPr>
        <w:t>s</w:t>
      </w:r>
      <w:r w:rsidR="000D2AB8" w:rsidRPr="00424BD3">
        <w:rPr>
          <w:rFonts w:cs="Arial"/>
          <w:szCs w:val="24"/>
        </w:rPr>
        <w:t xml:space="preserve"> of </w:t>
      </w:r>
      <w:r w:rsidRPr="00424BD3">
        <w:rPr>
          <w:rFonts w:cs="Arial"/>
          <w:szCs w:val="24"/>
        </w:rPr>
        <w:t>individual responsibility</w:t>
      </w:r>
      <w:r w:rsidR="00C26B75" w:rsidRPr="00424BD3">
        <w:rPr>
          <w:rFonts w:cs="Arial"/>
          <w:szCs w:val="24"/>
        </w:rPr>
        <w:t xml:space="preserve"> for</w:t>
      </w:r>
      <w:r w:rsidR="00C813B1" w:rsidRPr="00424BD3">
        <w:rPr>
          <w:rFonts w:cs="Arial"/>
          <w:szCs w:val="24"/>
        </w:rPr>
        <w:t xml:space="preserve"> their</w:t>
      </w:r>
      <w:r w:rsidR="00C26B75" w:rsidRPr="00424BD3">
        <w:rPr>
          <w:rFonts w:cs="Arial"/>
          <w:szCs w:val="24"/>
        </w:rPr>
        <w:t xml:space="preserve"> health</w:t>
      </w:r>
      <w:r w:rsidR="00C813B1" w:rsidRPr="00424BD3">
        <w:rPr>
          <w:rFonts w:cs="Arial"/>
          <w:szCs w:val="24"/>
        </w:rPr>
        <w:t xml:space="preserve"> outcomes</w:t>
      </w:r>
      <w:r w:rsidR="00E57322">
        <w:rPr>
          <w:rFonts w:cs="Arial"/>
          <w:szCs w:val="24"/>
        </w:rPr>
        <w:t>.</w:t>
      </w:r>
      <w:r w:rsidRPr="00424BD3">
        <w:rPr>
          <w:rFonts w:cs="Arial"/>
          <w:szCs w:val="24"/>
        </w:rPr>
        <w:t xml:space="preserve"> This also includes norms around silences on perceptions, attitudes, and beliefs about systemic or structural determinants, even when these norms appear to have gone against evidence-based health and social care programs designed to improve their health and mortality outcomes and mitigate health inequities </w:t>
      </w:r>
      <w:r w:rsidRPr="00424BD3">
        <w:rPr>
          <w:rFonts w:cs="Arial"/>
          <w:szCs w:val="24"/>
        </w:rPr>
        <w:fldChar w:fldCharType="begin"/>
      </w:r>
      <w:r w:rsidR="00990F3A">
        <w:rPr>
          <w:rFonts w:cs="Arial"/>
          <w:szCs w:val="24"/>
        </w:rPr>
        <w:instrText xml:space="preserve"> ADDIN ZOTERO_ITEM CSL_CITATION {"citationID":"oIeApRaY","properties":{"formattedCitation":"(Cislaghi &amp; Heise, 2018)","plainCitation":"(Cislaghi &amp; Heise, 2018)","noteIndex":0},"citationItems":[{"id":936,"uris":["http://zotero.org/users/4946941/items/FB922LLH"],"itemData":{"id":936,"type":"article-journal","abstract":"Recently, Global Health practitioners, scholars, and donors have expressed increased interest in “changing social norms” as a strategy to promote health and well-being in low and mid-income countries (LMIC). Despite this burgeoning interest, the ability of practitioners to use social norm theory to inform health interventions varies widely.","container-title":"Globalization and Health","DOI":"10.1186/s12992-018-0398-x","ISSN":"1744-8603","issue":"1","journalAbbreviation":"Globalization and Health","page":"83","source":"BioMed Central","title":"Theory and practice of social norms interventions: eight common pitfalls","title-short":"Theory and practice of social norms interventions","volume":"14","author":[{"family":"Cislaghi","given":"Beniamino"},{"family":"Heise","given":"Lori"}],"issued":{"date-parts":[["2018",8,17]]}}}],"schema":"https://github.com/citation-style-language/schema/raw/master/csl-citation.json"} </w:instrText>
      </w:r>
      <w:r w:rsidRPr="00424BD3">
        <w:rPr>
          <w:rFonts w:cs="Arial"/>
          <w:szCs w:val="24"/>
        </w:rPr>
        <w:fldChar w:fldCharType="separate"/>
      </w:r>
      <w:r w:rsidRPr="00424BD3">
        <w:rPr>
          <w:rFonts w:cs="Arial"/>
        </w:rPr>
        <w:t>(Cislaghi &amp; Heise, 2018)</w:t>
      </w:r>
      <w:r w:rsidRPr="00424BD3">
        <w:rPr>
          <w:rFonts w:cs="Arial"/>
          <w:szCs w:val="24"/>
        </w:rPr>
        <w:fldChar w:fldCharType="end"/>
      </w:r>
      <w:r w:rsidRPr="00424BD3">
        <w:rPr>
          <w:rFonts w:cs="Arial"/>
          <w:szCs w:val="24"/>
        </w:rPr>
        <w:t>.</w:t>
      </w:r>
    </w:p>
    <w:p w14:paraId="0D007507" w14:textId="0BE8B5C2" w:rsidR="008844E4" w:rsidRDefault="008844E4" w:rsidP="000126EE">
      <w:pPr>
        <w:spacing w:after="0" w:line="480" w:lineRule="auto"/>
        <w:ind w:firstLine="720"/>
        <w:rPr>
          <w:rFonts w:cs="Arial"/>
          <w:szCs w:val="24"/>
        </w:rPr>
      </w:pPr>
      <w:r w:rsidRPr="00424BD3">
        <w:rPr>
          <w:rFonts w:cs="Arial"/>
          <w:szCs w:val="24"/>
        </w:rPr>
        <w:t>In addition to the other social determinants th</w:t>
      </w:r>
      <w:r w:rsidR="00E57322">
        <w:rPr>
          <w:rFonts w:cs="Arial"/>
          <w:szCs w:val="24"/>
        </w:rPr>
        <w:t>at older women</w:t>
      </w:r>
      <w:r w:rsidRPr="00424BD3">
        <w:rPr>
          <w:rFonts w:cs="Arial"/>
          <w:szCs w:val="24"/>
        </w:rPr>
        <w:t xml:space="preserve"> face</w:t>
      </w:r>
      <w:r w:rsidR="00E57322">
        <w:rPr>
          <w:rFonts w:cs="Arial"/>
          <w:szCs w:val="24"/>
        </w:rPr>
        <w:t>,</w:t>
      </w:r>
      <w:r w:rsidRPr="00424BD3">
        <w:rPr>
          <w:rFonts w:cs="Arial"/>
          <w:szCs w:val="24"/>
        </w:rPr>
        <w:t xml:space="preserve"> which exacerbate health inequities, researchers must also consider the impact of issues of internalized norms, and group</w:t>
      </w:r>
      <w:r w:rsidR="00E57322">
        <w:rPr>
          <w:rFonts w:cs="Arial"/>
          <w:szCs w:val="24"/>
        </w:rPr>
        <w:t>,</w:t>
      </w:r>
      <w:r w:rsidRPr="00424BD3">
        <w:rPr>
          <w:rFonts w:cs="Arial"/>
          <w:szCs w:val="24"/>
        </w:rPr>
        <w:t xml:space="preserve"> and systemic norm enforcements when examining older </w:t>
      </w:r>
      <w:r w:rsidRPr="00424BD3">
        <w:rPr>
          <w:rFonts w:cs="Arial"/>
          <w:szCs w:val="24"/>
        </w:rPr>
        <w:lastRenderedPageBreak/>
        <w:t xml:space="preserve">women’s temporal, situated internalized </w:t>
      </w:r>
      <w:r w:rsidRPr="00271F64">
        <w:rPr>
          <w:rFonts w:cs="Arial"/>
          <w:iCs/>
          <w:szCs w:val="24"/>
        </w:rPr>
        <w:t>and</w:t>
      </w:r>
      <w:r w:rsidRPr="00424BD3">
        <w:rPr>
          <w:rFonts w:cs="Arial"/>
          <w:i/>
          <w:iCs/>
          <w:szCs w:val="24"/>
        </w:rPr>
        <w:t xml:space="preserve"> </w:t>
      </w:r>
      <w:r w:rsidRPr="00424BD3">
        <w:rPr>
          <w:rFonts w:cs="Arial"/>
          <w:szCs w:val="24"/>
        </w:rPr>
        <w:t>externally compelled beliefs, perceptions, and attitudes.</w:t>
      </w:r>
    </w:p>
    <w:p w14:paraId="659635C7" w14:textId="22BB3080" w:rsidR="008844E4" w:rsidRPr="00424BD3" w:rsidRDefault="008844E4" w:rsidP="000126EE">
      <w:pPr>
        <w:pStyle w:val="Heading2"/>
        <w:spacing w:before="0" w:line="480" w:lineRule="auto"/>
        <w:jc w:val="center"/>
        <w:rPr>
          <w:rFonts w:ascii="Arial" w:hAnsi="Arial" w:cs="Arial"/>
          <w:b/>
          <w:bCs/>
          <w:color w:val="auto"/>
          <w:sz w:val="24"/>
          <w:szCs w:val="24"/>
        </w:rPr>
      </w:pPr>
      <w:bookmarkStart w:id="34" w:name="_Toc118232304"/>
      <w:r w:rsidRPr="00424BD3">
        <w:rPr>
          <w:rFonts w:ascii="Arial" w:hAnsi="Arial" w:cs="Arial"/>
          <w:b/>
          <w:bCs/>
          <w:color w:val="auto"/>
          <w:sz w:val="24"/>
          <w:szCs w:val="24"/>
        </w:rPr>
        <w:t xml:space="preserve">Familial </w:t>
      </w:r>
      <w:r w:rsidR="00E07375">
        <w:rPr>
          <w:rFonts w:ascii="Arial" w:hAnsi="Arial" w:cs="Arial"/>
          <w:b/>
          <w:bCs/>
          <w:color w:val="auto"/>
          <w:sz w:val="24"/>
          <w:szCs w:val="24"/>
        </w:rPr>
        <w:t>R</w:t>
      </w:r>
      <w:r w:rsidRPr="00424BD3">
        <w:rPr>
          <w:rFonts w:ascii="Arial" w:hAnsi="Arial" w:cs="Arial"/>
          <w:b/>
          <w:bCs/>
          <w:color w:val="auto"/>
          <w:sz w:val="24"/>
          <w:szCs w:val="24"/>
        </w:rPr>
        <w:t xml:space="preserve">ole in </w:t>
      </w:r>
      <w:r w:rsidR="00E07375">
        <w:rPr>
          <w:rFonts w:ascii="Arial" w:hAnsi="Arial" w:cs="Arial"/>
          <w:b/>
          <w:bCs/>
          <w:color w:val="auto"/>
          <w:sz w:val="24"/>
          <w:szCs w:val="24"/>
        </w:rPr>
        <w:t>H</w:t>
      </w:r>
      <w:r w:rsidRPr="00424BD3">
        <w:rPr>
          <w:rFonts w:ascii="Arial" w:hAnsi="Arial" w:cs="Arial"/>
          <w:b/>
          <w:bCs/>
          <w:color w:val="auto"/>
          <w:sz w:val="24"/>
          <w:szCs w:val="24"/>
        </w:rPr>
        <w:t xml:space="preserve">ealth </w:t>
      </w:r>
      <w:r w:rsidR="00E07375">
        <w:rPr>
          <w:rFonts w:ascii="Arial" w:hAnsi="Arial" w:cs="Arial"/>
          <w:b/>
          <w:bCs/>
          <w:color w:val="auto"/>
          <w:sz w:val="24"/>
          <w:szCs w:val="24"/>
        </w:rPr>
        <w:t>I</w:t>
      </w:r>
      <w:r w:rsidRPr="00424BD3">
        <w:rPr>
          <w:rFonts w:ascii="Arial" w:hAnsi="Arial" w:cs="Arial"/>
          <w:b/>
          <w:bCs/>
          <w:color w:val="auto"/>
          <w:sz w:val="24"/>
          <w:szCs w:val="24"/>
        </w:rPr>
        <w:t>nequities</w:t>
      </w:r>
      <w:bookmarkEnd w:id="34"/>
    </w:p>
    <w:p w14:paraId="299BF342" w14:textId="23927EBA" w:rsidR="00781F0C" w:rsidRPr="00424BD3" w:rsidRDefault="008844E4" w:rsidP="000126EE">
      <w:pPr>
        <w:spacing w:after="0" w:line="480" w:lineRule="auto"/>
        <w:ind w:firstLine="720"/>
        <w:rPr>
          <w:rFonts w:cs="Arial"/>
          <w:szCs w:val="24"/>
        </w:rPr>
      </w:pPr>
      <w:r w:rsidRPr="00424BD3">
        <w:rPr>
          <w:rFonts w:cs="Arial"/>
          <w:szCs w:val="24"/>
        </w:rPr>
        <w:t xml:space="preserve">This dissertation’s examination of the genealogy of older women’s familial health and mortality outcomes in relation to the health inequities they face, merits a </w:t>
      </w:r>
      <w:r w:rsidR="00DD2EEF" w:rsidRPr="00424BD3">
        <w:rPr>
          <w:rFonts w:cs="Arial"/>
          <w:szCs w:val="24"/>
        </w:rPr>
        <w:t>consideration of</w:t>
      </w:r>
      <w:r w:rsidRPr="00424BD3">
        <w:rPr>
          <w:rFonts w:cs="Arial"/>
          <w:szCs w:val="24"/>
        </w:rPr>
        <w:t xml:space="preserve"> the role families play in health inequities. </w:t>
      </w:r>
      <w:r w:rsidR="006B059D" w:rsidRPr="00424BD3">
        <w:rPr>
          <w:rFonts w:cs="Arial"/>
          <w:szCs w:val="24"/>
        </w:rPr>
        <w:t xml:space="preserve">Families </w:t>
      </w:r>
      <w:r w:rsidR="002E3200" w:rsidRPr="00424BD3">
        <w:rPr>
          <w:rFonts w:cs="Arial"/>
          <w:szCs w:val="24"/>
        </w:rPr>
        <w:t xml:space="preserve">are affected by and can contribute to health inequities. </w:t>
      </w:r>
      <w:r w:rsidRPr="00424BD3">
        <w:rPr>
          <w:rFonts w:cs="Arial"/>
          <w:szCs w:val="24"/>
        </w:rPr>
        <w:t xml:space="preserve">The long history of research on families and family life show multiple factors that impact health inequities, particularly because of the </w:t>
      </w:r>
      <w:r w:rsidR="00101A0C" w:rsidRPr="00424BD3">
        <w:rPr>
          <w:rFonts w:cs="Arial"/>
          <w:szCs w:val="24"/>
        </w:rPr>
        <w:t xml:space="preserve">class and financial </w:t>
      </w:r>
      <w:r w:rsidRPr="00424BD3">
        <w:rPr>
          <w:rFonts w:cs="Arial"/>
          <w:szCs w:val="24"/>
        </w:rPr>
        <w:t xml:space="preserve">stratification of families within society, and the </w:t>
      </w:r>
      <w:r w:rsidR="003D6356" w:rsidRPr="00424BD3">
        <w:rPr>
          <w:rFonts w:cs="Arial"/>
          <w:szCs w:val="24"/>
        </w:rPr>
        <w:t>inequitable</w:t>
      </w:r>
      <w:r w:rsidRPr="00424BD3">
        <w:rPr>
          <w:rFonts w:cs="Arial"/>
          <w:szCs w:val="24"/>
        </w:rPr>
        <w:t xml:space="preserve"> distribution of resources </w:t>
      </w:r>
      <w:r w:rsidR="002972A3" w:rsidRPr="00424BD3">
        <w:rPr>
          <w:rFonts w:cs="Arial"/>
          <w:szCs w:val="24"/>
        </w:rPr>
        <w:t>across families</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{"citationID":"BBJA5o42","properties":{"formattedCitation":"(Thomeer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Families as an institution</w:t>
      </w:r>
      <w:r w:rsidR="00C920EE" w:rsidRPr="00424BD3">
        <w:rPr>
          <w:rFonts w:cs="Arial"/>
          <w:szCs w:val="24"/>
        </w:rPr>
        <w:t xml:space="preserve">, and the individuals within them, </w:t>
      </w:r>
      <w:r w:rsidRPr="00424BD3">
        <w:rPr>
          <w:rFonts w:cs="Arial"/>
          <w:szCs w:val="24"/>
        </w:rPr>
        <w:t>influence and are affected by public policy and institutional decision-making, and by the events (environment) in which they live or are experiencing. This exacerbates health inequities</w:t>
      </w:r>
      <w:r w:rsidR="00781F0C" w:rsidRPr="00424BD3">
        <w:rPr>
          <w:rFonts w:cs="Arial"/>
          <w:szCs w:val="24"/>
        </w:rPr>
        <w:t xml:space="preserve"> as driven by the “isms” which Krieger discusses and</w:t>
      </w:r>
      <w:r w:rsidR="00CF4FCC" w:rsidRPr="00424BD3">
        <w:rPr>
          <w:rFonts w:cs="Arial"/>
          <w:szCs w:val="24"/>
        </w:rPr>
        <w:t xml:space="preserve">, which as Thomeer et al. </w:t>
      </w:r>
      <w:r w:rsidR="00CF4FCC" w:rsidRPr="00424BD3">
        <w:rPr>
          <w:rFonts w:cs="Arial"/>
          <w:szCs w:val="24"/>
        </w:rPr>
        <w:fldChar w:fldCharType="begin"/>
      </w:r>
      <w:r w:rsidR="00990F3A">
        <w:rPr>
          <w:rFonts w:cs="Arial"/>
          <w:szCs w:val="24"/>
        </w:rPr>
        <w:instrText xml:space="preserve"> ADDIN ZOTERO_ITEM CSL_CITATION {"citationID":"B2FC5RkL","properties":{"formattedCitation":"(2020)","plainCitation":"(2020)","noteIndex":0},"citationItems":[{"id":952,"uris":["http://zotero.org/users/4946941/items/583YY2AM"],"itemData":{"id":952,"type":"article-journal","container-title":"Journal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López","given":"Alejandra"}],"issued":{"date-parts":[["2020",12]]}},"label":"page","suppress-author":true}],"schema":"https://github.com/citation-style-language/schema/raw/master/csl-citation.json"} </w:instrText>
      </w:r>
      <w:r w:rsidR="00CF4FCC" w:rsidRPr="00424BD3">
        <w:rPr>
          <w:rFonts w:cs="Arial"/>
          <w:szCs w:val="24"/>
        </w:rPr>
        <w:fldChar w:fldCharType="separate"/>
      </w:r>
      <w:r w:rsidR="00CF4FCC" w:rsidRPr="00424BD3">
        <w:rPr>
          <w:rFonts w:cs="Arial"/>
        </w:rPr>
        <w:t>(2020)</w:t>
      </w:r>
      <w:r w:rsidR="00CF4FCC" w:rsidRPr="00424BD3">
        <w:rPr>
          <w:rFonts w:cs="Arial"/>
          <w:szCs w:val="24"/>
        </w:rPr>
        <w:fldChar w:fldCharType="end"/>
      </w:r>
      <w:r w:rsidR="00AE4A50" w:rsidRPr="00424BD3">
        <w:rPr>
          <w:rFonts w:cs="Arial"/>
          <w:szCs w:val="24"/>
        </w:rPr>
        <w:t xml:space="preserve"> argues, are “shaped by families and by the public policies, organizational decisions, and concurrent events that also impact families and health</w:t>
      </w:r>
      <w:r w:rsidR="00733617">
        <w:rPr>
          <w:rFonts w:cs="Arial"/>
          <w:szCs w:val="24"/>
        </w:rPr>
        <w:t>”</w:t>
      </w:r>
      <w:r w:rsidR="00781F0C" w:rsidRPr="00424BD3">
        <w:rPr>
          <w:rFonts w:cs="Arial"/>
          <w:szCs w:val="24"/>
        </w:rPr>
        <w:t xml:space="preserve"> </w:t>
      </w:r>
      <w:r w:rsidR="008644D5" w:rsidRPr="00424BD3">
        <w:rPr>
          <w:rFonts w:cs="Arial"/>
          <w:szCs w:val="24"/>
        </w:rPr>
        <w:fldChar w:fldCharType="begin"/>
      </w:r>
      <w:r w:rsidR="00990F3A">
        <w:rPr>
          <w:rFonts w:cs="Arial"/>
          <w:szCs w:val="24"/>
        </w:rPr>
        <w:instrText xml:space="preserve"> ADDIN ZOTERO_ITEM CSL_CITATION {"citationID":"fUsu2PHK","properties":{"formattedCitation":"(2020, p. 448)","plainCitation":"(2020, p. 448)","dontUpdate":true,"noteIndex":0},"citationItems":[{"id":952,"uris":["http://zotero.org/users/4946941/items/583YY2AM"],"itemData":{"id":952,"type":"article-journal","container-title":"Journal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López","given":"Alejandra"}],"issued":{"date-parts":[["2020",12]]}},"locator":"448","label":"page","suppress-author":true}],"schema":"https://github.com/citation-style-language/schema/raw/master/csl-citation.json"} </w:instrText>
      </w:r>
      <w:r w:rsidR="008644D5" w:rsidRPr="00424BD3">
        <w:rPr>
          <w:rFonts w:cs="Arial"/>
          <w:szCs w:val="24"/>
        </w:rPr>
        <w:fldChar w:fldCharType="separate"/>
      </w:r>
      <w:r w:rsidR="008644D5" w:rsidRPr="00424BD3">
        <w:rPr>
          <w:rFonts w:cs="Arial"/>
        </w:rPr>
        <w:t>(p. 448)</w:t>
      </w:r>
      <w:r w:rsidR="008644D5" w:rsidRPr="00424BD3">
        <w:rPr>
          <w:rFonts w:cs="Arial"/>
          <w:szCs w:val="24"/>
        </w:rPr>
        <w:fldChar w:fldCharType="end"/>
      </w:r>
      <w:r w:rsidR="004230B8" w:rsidRPr="00424BD3">
        <w:rPr>
          <w:rFonts w:cs="Arial"/>
          <w:szCs w:val="24"/>
        </w:rPr>
        <w:t xml:space="preserve">. </w:t>
      </w:r>
      <w:r w:rsidR="001D70BB" w:rsidRPr="00424BD3">
        <w:rPr>
          <w:rFonts w:cs="Arial"/>
          <w:szCs w:val="24"/>
        </w:rPr>
        <w:t>Therefore, as Thomeer</w:t>
      </w:r>
      <w:r w:rsidR="000616AB">
        <w:rPr>
          <w:rFonts w:cs="Arial"/>
          <w:szCs w:val="24"/>
        </w:rPr>
        <w:t xml:space="preserve"> et al.</w:t>
      </w:r>
      <w:r w:rsidR="001D70BB" w:rsidRPr="00424BD3">
        <w:rPr>
          <w:rFonts w:cs="Arial"/>
          <w:szCs w:val="24"/>
        </w:rPr>
        <w:t xml:space="preserve"> argue </w:t>
      </w:r>
      <w:r w:rsidR="001D70BB" w:rsidRPr="00424BD3">
        <w:rPr>
          <w:rFonts w:cs="Arial"/>
          <w:szCs w:val="24"/>
        </w:rPr>
        <w:fldChar w:fldCharType="begin"/>
      </w:r>
      <w:r w:rsidR="00990F3A">
        <w:rPr>
          <w:rFonts w:cs="Arial"/>
          <w:szCs w:val="24"/>
        </w:rPr>
        <w:instrText xml:space="preserve"> ADDIN ZOTERO_ITEM CSL_CITATION {"citationID":"pjaqbxm9","properties":{"formattedCitation":"(2020)","plainCitation":"(2020)","noteIndex":0},"citationItems":[{"id":952,"uris":["http://zotero.org/users/4946941/items/583YY2AM"],"itemData":{"id":952,"type":"article-journal","container-title":"Journal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López","given":"Alejandra"}],"issued":{"date-parts":[["2020",12]]}},"suppress-author":true}],"schema":"https://github.com/citation-style-language/schema/raw/master/csl-citation.json"} </w:instrText>
      </w:r>
      <w:r w:rsidR="001D70BB" w:rsidRPr="00424BD3">
        <w:rPr>
          <w:rFonts w:cs="Arial"/>
          <w:szCs w:val="24"/>
        </w:rPr>
        <w:fldChar w:fldCharType="separate"/>
      </w:r>
      <w:r w:rsidR="001D70BB" w:rsidRPr="00424BD3">
        <w:rPr>
          <w:rFonts w:cs="Arial"/>
        </w:rPr>
        <w:t>(2020)</w:t>
      </w:r>
      <w:r w:rsidR="001D70BB" w:rsidRPr="00424BD3">
        <w:rPr>
          <w:rFonts w:cs="Arial"/>
          <w:szCs w:val="24"/>
        </w:rPr>
        <w:fldChar w:fldCharType="end"/>
      </w:r>
      <w:r w:rsidR="001D70BB" w:rsidRPr="00424BD3">
        <w:rPr>
          <w:rFonts w:cs="Arial"/>
          <w:szCs w:val="24"/>
        </w:rPr>
        <w:t xml:space="preserve"> argue, families</w:t>
      </w:r>
      <w:r w:rsidR="001D70BB" w:rsidRPr="00846A04">
        <w:rPr>
          <w:rStyle w:val="FootnoteReference"/>
        </w:rPr>
        <w:footnoteReference w:id="6"/>
      </w:r>
      <w:r w:rsidR="001D70BB" w:rsidRPr="00424BD3">
        <w:rPr>
          <w:rFonts w:cs="Arial"/>
          <w:szCs w:val="24"/>
        </w:rPr>
        <w:t>, influenced by public and organizational policy and decision-making, are a major route to reducing health inequities.</w:t>
      </w:r>
    </w:p>
    <w:p w14:paraId="19506A49" w14:textId="6E444398" w:rsidR="008844E4" w:rsidRPr="00424BD3" w:rsidRDefault="008844E4" w:rsidP="000126EE">
      <w:pPr>
        <w:pStyle w:val="Heading3"/>
        <w:spacing w:before="0" w:line="480" w:lineRule="auto"/>
        <w:rPr>
          <w:rFonts w:ascii="Arial" w:hAnsi="Arial" w:cs="Arial"/>
          <w:b/>
          <w:bCs/>
          <w:i/>
          <w:iCs/>
          <w:color w:val="auto"/>
        </w:rPr>
      </w:pPr>
      <w:bookmarkStart w:id="35" w:name="_Toc118232305"/>
      <w:r w:rsidRPr="00424BD3">
        <w:rPr>
          <w:rFonts w:ascii="Arial" w:hAnsi="Arial" w:cs="Arial"/>
          <w:b/>
          <w:bCs/>
          <w:i/>
          <w:iCs/>
          <w:color w:val="auto"/>
        </w:rPr>
        <w:t xml:space="preserve">Theoretical </w:t>
      </w:r>
      <w:r w:rsidR="00E34BD9">
        <w:rPr>
          <w:rFonts w:ascii="Arial" w:hAnsi="Arial" w:cs="Arial"/>
          <w:b/>
          <w:bCs/>
          <w:i/>
          <w:iCs/>
          <w:color w:val="auto"/>
        </w:rPr>
        <w:t>F</w:t>
      </w:r>
      <w:r w:rsidRPr="00424BD3">
        <w:rPr>
          <w:rFonts w:ascii="Arial" w:hAnsi="Arial" w:cs="Arial"/>
          <w:b/>
          <w:bCs/>
          <w:i/>
          <w:iCs/>
          <w:color w:val="auto"/>
        </w:rPr>
        <w:t>rameworks</w:t>
      </w:r>
      <w:r w:rsidR="00100FC5" w:rsidRPr="00424BD3">
        <w:rPr>
          <w:rFonts w:ascii="Arial" w:hAnsi="Arial" w:cs="Arial"/>
          <w:b/>
          <w:bCs/>
          <w:i/>
          <w:iCs/>
          <w:color w:val="auto"/>
        </w:rPr>
        <w:t xml:space="preserve"> of </w:t>
      </w:r>
      <w:r w:rsidR="00E34BD9">
        <w:rPr>
          <w:rFonts w:ascii="Arial" w:hAnsi="Arial" w:cs="Arial"/>
          <w:b/>
          <w:bCs/>
          <w:i/>
          <w:iCs/>
          <w:color w:val="auto"/>
        </w:rPr>
        <w:t>F</w:t>
      </w:r>
      <w:r w:rsidR="00100FC5" w:rsidRPr="00424BD3">
        <w:rPr>
          <w:rFonts w:ascii="Arial" w:hAnsi="Arial" w:cs="Arial"/>
          <w:b/>
          <w:bCs/>
          <w:i/>
          <w:iCs/>
          <w:color w:val="auto"/>
        </w:rPr>
        <w:t xml:space="preserve">amilial </w:t>
      </w:r>
      <w:r w:rsidR="00E34BD9">
        <w:rPr>
          <w:rFonts w:ascii="Arial" w:hAnsi="Arial" w:cs="Arial"/>
          <w:b/>
          <w:bCs/>
          <w:i/>
          <w:iCs/>
          <w:color w:val="auto"/>
        </w:rPr>
        <w:t>R</w:t>
      </w:r>
      <w:r w:rsidR="00100FC5" w:rsidRPr="00424BD3">
        <w:rPr>
          <w:rFonts w:ascii="Arial" w:hAnsi="Arial" w:cs="Arial"/>
          <w:b/>
          <w:bCs/>
          <w:i/>
          <w:iCs/>
          <w:color w:val="auto"/>
        </w:rPr>
        <w:t>oles</w:t>
      </w:r>
      <w:bookmarkEnd w:id="35"/>
    </w:p>
    <w:p w14:paraId="4BB09EAB" w14:textId="182F575D" w:rsidR="008844E4" w:rsidRPr="00424BD3" w:rsidRDefault="008844E4" w:rsidP="000126EE">
      <w:pPr>
        <w:spacing w:after="0" w:line="480" w:lineRule="auto"/>
        <w:ind w:firstLine="720"/>
        <w:rPr>
          <w:rFonts w:cs="Arial"/>
          <w:szCs w:val="24"/>
        </w:rPr>
      </w:pPr>
      <w:r w:rsidRPr="00424BD3">
        <w:rPr>
          <w:rFonts w:cs="Arial"/>
          <w:szCs w:val="24"/>
        </w:rPr>
        <w:t xml:space="preserve">A short look at some foundational theories which examine the role of families in health inequities </w:t>
      </w:r>
      <w:r w:rsidR="00EB3CB3" w:rsidRPr="00424BD3">
        <w:rPr>
          <w:rFonts w:cs="Arial"/>
          <w:szCs w:val="24"/>
        </w:rPr>
        <w:t>and how family dynamic</w:t>
      </w:r>
      <w:r w:rsidR="00DA1072" w:rsidRPr="00424BD3">
        <w:rPr>
          <w:rFonts w:cs="Arial"/>
          <w:szCs w:val="24"/>
        </w:rPr>
        <w:t xml:space="preserve">s may </w:t>
      </w:r>
      <w:r w:rsidR="00FE1895" w:rsidRPr="00424BD3">
        <w:rPr>
          <w:rFonts w:cs="Arial"/>
          <w:szCs w:val="24"/>
        </w:rPr>
        <w:t xml:space="preserve">interact with health, mortality, and </w:t>
      </w:r>
      <w:r w:rsidR="00FE1895" w:rsidRPr="00424BD3">
        <w:rPr>
          <w:rFonts w:cs="Arial"/>
          <w:szCs w:val="24"/>
        </w:rPr>
        <w:lastRenderedPageBreak/>
        <w:t xml:space="preserve">health inequities </w:t>
      </w:r>
      <w:r w:rsidRPr="00424BD3">
        <w:rPr>
          <w:rFonts w:cs="Arial"/>
          <w:szCs w:val="24"/>
        </w:rPr>
        <w:t xml:space="preserve">is helpful for this study. Each has its own </w:t>
      </w:r>
      <w:r w:rsidR="00514274" w:rsidRPr="00424BD3">
        <w:rPr>
          <w:rFonts w:cs="Arial"/>
          <w:szCs w:val="24"/>
        </w:rPr>
        <w:t>merits,</w:t>
      </w:r>
      <w:r w:rsidRPr="00424BD3">
        <w:rPr>
          <w:rFonts w:cs="Arial"/>
          <w:szCs w:val="24"/>
        </w:rPr>
        <w:t xml:space="preserve"> and all intersect with </w:t>
      </w:r>
      <w:r w:rsidR="00D517DD" w:rsidRPr="00424BD3">
        <w:rPr>
          <w:rFonts w:cs="Arial"/>
          <w:szCs w:val="24"/>
        </w:rPr>
        <w:t>the</w:t>
      </w:r>
      <w:r w:rsidR="0012297B" w:rsidRPr="00424BD3">
        <w:rPr>
          <w:rFonts w:cs="Arial"/>
          <w:szCs w:val="24"/>
        </w:rPr>
        <w:t>ories of the</w:t>
      </w:r>
      <w:r w:rsidRPr="00424BD3">
        <w:rPr>
          <w:rFonts w:cs="Arial"/>
          <w:szCs w:val="24"/>
        </w:rPr>
        <w:t xml:space="preserve"> social and commercial determinants of health. Thomeer</w:t>
      </w:r>
      <w:r w:rsidR="004033EF">
        <w:rPr>
          <w:rFonts w:cs="Arial"/>
          <w:szCs w:val="24"/>
        </w:rPr>
        <w:t xml:space="preserve"> et al.</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{"citationID":"ZNVvC4Jx","properties":{"formattedCitation":"(2020)","plainCitation":"(2020)","noteIndex":0},"citationItems":[{"id":952,"uris":["http://zotero.org/users/4946941/items/583YY2AM"],"itemData":{"id":952,"type":"article-journal","container-title":"Journal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López","given":"Alejandra"}],"issued":{"date-parts":[["2020",12]]}},"suppress-author":true}],"schema":"https://github.com/citation-style-language/schema/raw/master/csl-citation.json"} </w:instrText>
      </w:r>
      <w:r w:rsidRPr="00424BD3">
        <w:rPr>
          <w:rFonts w:cs="Arial"/>
          <w:szCs w:val="24"/>
        </w:rPr>
        <w:fldChar w:fldCharType="separate"/>
      </w:r>
      <w:r w:rsidRPr="00424BD3">
        <w:rPr>
          <w:rFonts w:cs="Arial"/>
        </w:rPr>
        <w:t>(2020)</w:t>
      </w:r>
      <w:r w:rsidRPr="00424BD3">
        <w:rPr>
          <w:rFonts w:cs="Arial"/>
          <w:szCs w:val="24"/>
        </w:rPr>
        <w:fldChar w:fldCharType="end"/>
      </w:r>
      <w:r w:rsidRPr="00424BD3">
        <w:rPr>
          <w:rFonts w:cs="Arial"/>
          <w:szCs w:val="24"/>
        </w:rPr>
        <w:t xml:space="preserve"> provide a non-exhaustive list of many of the foundational theories, from which</w:t>
      </w:r>
      <w:r w:rsidR="003B7E19" w:rsidRPr="00424BD3">
        <w:rPr>
          <w:rFonts w:cs="Arial"/>
          <w:szCs w:val="24"/>
        </w:rPr>
        <w:t xml:space="preserve"> th</w:t>
      </w:r>
      <w:r w:rsidR="005C4A20" w:rsidRPr="00424BD3">
        <w:rPr>
          <w:rFonts w:cs="Arial"/>
          <w:szCs w:val="24"/>
        </w:rPr>
        <w:t xml:space="preserve">is study </w:t>
      </w:r>
      <w:r w:rsidRPr="00424BD3">
        <w:rPr>
          <w:rFonts w:cs="Arial"/>
          <w:szCs w:val="24"/>
        </w:rPr>
        <w:t>draw</w:t>
      </w:r>
      <w:r w:rsidR="005C4A20" w:rsidRPr="00424BD3">
        <w:rPr>
          <w:rFonts w:cs="Arial"/>
          <w:szCs w:val="24"/>
        </w:rPr>
        <w:t>s</w:t>
      </w:r>
      <w:r w:rsidRPr="00424BD3">
        <w:rPr>
          <w:rFonts w:cs="Arial"/>
          <w:szCs w:val="24"/>
        </w:rPr>
        <w:t>.</w:t>
      </w:r>
    </w:p>
    <w:p w14:paraId="51C3DA91" w14:textId="746E3894" w:rsidR="008844E4" w:rsidRPr="00424BD3" w:rsidRDefault="008844E4" w:rsidP="001B7A38">
      <w:pPr>
        <w:spacing w:after="0" w:line="480" w:lineRule="auto"/>
        <w:ind w:firstLine="720"/>
        <w:rPr>
          <w:rFonts w:cs="Arial"/>
          <w:szCs w:val="24"/>
        </w:rPr>
      </w:pPr>
      <w:r w:rsidRPr="00424BD3">
        <w:rPr>
          <w:rFonts w:cs="Arial"/>
          <w:szCs w:val="24"/>
        </w:rPr>
        <w:t xml:space="preserve">While this dissertation emphasizes </w:t>
      </w:r>
      <w:r w:rsidR="008A638A" w:rsidRPr="00424BD3">
        <w:rPr>
          <w:rFonts w:cs="Arial"/>
          <w:bCs/>
          <w:szCs w:val="24"/>
        </w:rPr>
        <w:t>ecosocial</w:t>
      </w:r>
      <w:r w:rsidRPr="00424BD3">
        <w:rPr>
          <w:rFonts w:cs="Arial"/>
          <w:bCs/>
          <w:szCs w:val="24"/>
        </w:rPr>
        <w:t xml:space="preserve"> theory</w:t>
      </w:r>
      <w:r w:rsidRPr="00424BD3">
        <w:rPr>
          <w:rFonts w:cs="Arial"/>
          <w:szCs w:val="24"/>
        </w:rPr>
        <w:t xml:space="preserve"> and its focus on personal and environmental interrelationships in relation to health inequities </w:t>
      </w:r>
      <w:r w:rsidRPr="00424BD3">
        <w:rPr>
          <w:rFonts w:cs="Arial"/>
          <w:szCs w:val="24"/>
        </w:rPr>
        <w:fldChar w:fldCharType="begin"/>
      </w:r>
      <w:r w:rsidR="00990F3A">
        <w:rPr>
          <w:rFonts w:cs="Arial"/>
          <w:szCs w:val="24"/>
        </w:rPr>
        <w:instrText xml:space="preserve"> ADDIN ZOTERO_ITEM CSL_CITATION {"citationID":"JOaC7OQr","properties":{"formattedCitation":"(Bronfenbrenner, 1986; Krieger, 1994, 2001, 2012)","plainCitation":"(Bronfenbrenner, 1986; Krieger, 1994, 2001, 2012)","noteIndex":0},"citationItems":[{"id":957,"uris":["http://zotero.org/users/4946941/items/MK53PPFJ"],"itemData":{"id":957,"type":"article-journal","abstract":"Reviews research on the influence of external environments on the functioning of families as contexts of human development. Investigations of the interaction of genetics and environment in family processes; transitions and linkages between the family and other major settings influencing development, such as hospitals, daycare, peer groups, school, social networks, the world of work (both for parents and children), and neighborhoods and communities; and public policies affecting families and children are included. A 2nd major focus is on the patterning of environmental events and transitions over the life course as these affect and are affected by intrafamilial processes. External systems affecting the family are categorized as meso-, exo-, and chronosystem models. Identified as areas for future research are ecological variations in the expression of genotypes, relations between the family and other child settings, relations between family processes and parental participation in other settings of adult life, and families in broader social contexts. (4 p ref) (PsycINFO Database Record (c) 2016 APA, all rights reserved)","container-title":"Developmental Psychology","DOI":"10.1037/0012-1649.22.6.723","ISSN":"1939-0599","issue":"6","note":"publisher-place: US\npublisher: American Psychological Association","page":"723-742","source":"APA PsycNet","title":"Ecology of the family as a context for human development: Research perspectives","title-short":"Ecology of the family as a context for human development","volume":"22","author":[{"family":"Bronfenbrenner","given":"Urie"}],"issued":{"date-parts":[["1986"]]}}},{"id":905,"uris":["http://zotero.org/users/4946941/items/BFE7AEJK"],"itemData":{"id":905,"type":"article-journal","abstract":"‘Multiple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causation","volume":"39","author":[{"family":"Krieger","given":"Nancy"}],"issued":{"date-parts":[["1994",10,1]]}}},{"id":904,"uris":["http://zotero.org/users/4946941/items/FF5NBNQJ"],"itemData":{"id":904,"type":"article-journal","abstract":"‘Both thinking and facts are changeable, if only because changes in thinking manifest themselves in changed facts. Conversely, fundamentally new facts can be discovered only through new thinking.’ Ludwick Fleck (1935) Genesis and Development of a Scientific Fact.1,pp.50–51‘Once we recognize the state of the art is a social product, we are freer to look critically at the agenda of our science, its conceptual framework, and accepted methodologies, and to make conscious research choices.’ Richard Levins and Richard Lewontin (1987) The Dialectical Biologist.2,p.286","container-title":"International Journal of Epidemiology","DOI":"10.1093/ije/30.4.668","ISSN":"0300-5771","issue":"4","journalAbbreviation":"International Journal of Epidemiology","page":"668-677","source":"Silverchair","title":"Theories for social epidemiology in the 21st century: an ecosocial perspective","title-short":"Theories for social epidemiology in the 21st century","volume":"30","author":[{"family":"Krieger","given":"Nancy"}],"issued":{"date-parts":[["2001",8,1]]}}},{"id":897,"uris":["http://zotero.org/users/4946941/items/S62TE74T"],"itemData":{"id":897,"type":"article-journal","container-title":"American Journal of Public Health","issue":"5","page":"936-944","title":"Methods for the Scientific Study of Discrimination and Health: An Ecosocial Approach","volume":"102","author":[{"family":"Krieger","given":"Nancy"}],"issued":{"date-parts":[["2012"]]}}}],"schema":"https://github.com/citation-style-language/schema/raw/master/csl-citation.json"} </w:instrText>
      </w:r>
      <w:r w:rsidRPr="00424BD3">
        <w:rPr>
          <w:rFonts w:cs="Arial"/>
          <w:szCs w:val="24"/>
        </w:rPr>
        <w:fldChar w:fldCharType="separate"/>
      </w:r>
      <w:r w:rsidRPr="00424BD3">
        <w:rPr>
          <w:rFonts w:cs="Arial"/>
        </w:rPr>
        <w:t>(Bronfenbrenner, 1986; Krieger, 1994, 2001, 2012)</w:t>
      </w:r>
      <w:r w:rsidRPr="00424BD3">
        <w:rPr>
          <w:rFonts w:cs="Arial"/>
          <w:szCs w:val="24"/>
        </w:rPr>
        <w:fldChar w:fldCharType="end"/>
      </w:r>
      <w:r w:rsidRPr="00424BD3">
        <w:rPr>
          <w:rFonts w:cs="Arial"/>
          <w:szCs w:val="24"/>
        </w:rPr>
        <w:t xml:space="preserve">, </w:t>
      </w:r>
      <w:r w:rsidR="0086048F" w:rsidRPr="00424BD3">
        <w:rPr>
          <w:rFonts w:cs="Arial"/>
          <w:szCs w:val="24"/>
        </w:rPr>
        <w:t>the role of family</w:t>
      </w:r>
      <w:r w:rsidR="00EB592B">
        <w:rPr>
          <w:rFonts w:cs="Arial"/>
          <w:szCs w:val="24"/>
        </w:rPr>
        <w:t xml:space="preserve"> </w:t>
      </w:r>
      <w:r w:rsidR="0086048F" w:rsidRPr="00424BD3">
        <w:rPr>
          <w:rFonts w:cs="Arial"/>
          <w:szCs w:val="24"/>
        </w:rPr>
        <w:t>/</w:t>
      </w:r>
      <w:r w:rsidR="00EB592B">
        <w:rPr>
          <w:rFonts w:cs="Arial"/>
          <w:szCs w:val="24"/>
        </w:rPr>
        <w:t xml:space="preserve"> </w:t>
      </w:r>
      <w:r w:rsidR="0086048F" w:rsidRPr="00424BD3">
        <w:rPr>
          <w:rFonts w:cs="Arial"/>
          <w:szCs w:val="24"/>
        </w:rPr>
        <w:t xml:space="preserve">genealogy is not prominent, and so it </w:t>
      </w:r>
      <w:r w:rsidRPr="00424BD3">
        <w:rPr>
          <w:rFonts w:cs="Arial"/>
          <w:szCs w:val="24"/>
        </w:rPr>
        <w:t>would be remiss to not include some of the other primary theories which intersect with this study.</w:t>
      </w:r>
    </w:p>
    <w:p w14:paraId="05A65D60" w14:textId="21F47A2B" w:rsidR="001B7A38" w:rsidRPr="00424BD3" w:rsidRDefault="001B7A38" w:rsidP="001B7A38">
      <w:pPr>
        <w:pStyle w:val="Heading4"/>
        <w:spacing w:before="0" w:line="480" w:lineRule="auto"/>
        <w:rPr>
          <w:rFonts w:ascii="Arial" w:hAnsi="Arial" w:cs="Arial"/>
          <w:color w:val="auto"/>
        </w:rPr>
      </w:pPr>
      <w:r w:rsidRPr="00424BD3">
        <w:rPr>
          <w:rFonts w:ascii="Arial" w:hAnsi="Arial" w:cs="Arial"/>
          <w:color w:val="auto"/>
        </w:rPr>
        <w:t>Family Systems Theory</w:t>
      </w:r>
    </w:p>
    <w:p w14:paraId="72BB9DEC" w14:textId="2C05C73E" w:rsidR="0013588F" w:rsidRPr="00424BD3" w:rsidRDefault="008844E4" w:rsidP="001C42AE">
      <w:pPr>
        <w:spacing w:after="0" w:line="480" w:lineRule="auto"/>
        <w:ind w:firstLine="720"/>
        <w:rPr>
          <w:rFonts w:cs="Arial"/>
          <w:szCs w:val="24"/>
        </w:rPr>
      </w:pPr>
      <w:r w:rsidRPr="00424BD3">
        <w:rPr>
          <w:rFonts w:cs="Arial"/>
          <w:szCs w:val="24"/>
        </w:rPr>
        <w:t xml:space="preserve">For decades, studies looking at familial health, mortality, and life expectancy outcomes have relied on </w:t>
      </w:r>
      <w:r w:rsidRPr="00424BD3">
        <w:rPr>
          <w:rFonts w:cs="Arial"/>
          <w:bCs/>
          <w:szCs w:val="24"/>
        </w:rPr>
        <w:t>family systems theoretical approach</w:t>
      </w:r>
      <w:r w:rsidRPr="00424BD3">
        <w:rPr>
          <w:rFonts w:cs="Arial"/>
          <w:szCs w:val="24"/>
        </w:rPr>
        <w:t>, which emphasizes how an individual’s health is affected by their families due to interdependency among family members</w:t>
      </w:r>
      <w:r w:rsidR="000A6F15" w:rsidRPr="00424BD3">
        <w:rPr>
          <w:rFonts w:cs="Arial"/>
          <w:szCs w:val="24"/>
        </w:rPr>
        <w:t xml:space="preserve"> </w:t>
      </w:r>
      <w:r w:rsidR="000A6F15" w:rsidRPr="00424BD3">
        <w:rPr>
          <w:rFonts w:cs="Arial"/>
          <w:szCs w:val="24"/>
        </w:rPr>
        <w:fldChar w:fldCharType="begin"/>
      </w:r>
      <w:r w:rsidR="00990F3A">
        <w:rPr>
          <w:rFonts w:cs="Arial"/>
          <w:szCs w:val="24"/>
        </w:rPr>
        <w:instrText xml:space="preserve"> ADDIN ZOTERO_ITEM CSL_CITATION {"citationID":"33Xl4Cvy","properties":{"formattedCitation":"(Broderick, 1993; Fingerman &amp; Bermann, 2000; Haefner, 2014; Thomeer et al., 2020; Umberson &amp; Thomeer, 2020; Utz et al., 2017)","plainCitation":"(Broderick, 1993; Fingerman &amp; Bermann, 2000; Haefner, 2014; Thomeer et al., 2020; Umberson &amp; Thomeer, 2020; Utz et al., 2017)","noteIndex":0},"citationItems":[{"id":959,"uris":["http://zotero.org/users/4946941/items/KSP8BGE5"],"itemData":{"id":959,"type":"book","abstract":"Systems theory is the basic theoretical model underlying most contemporary family therapy. In this accessible introduction, the author traces how systems theory gave rise to family systems theory, outlines the basic propositions of family systems and links it both to other family theory literature and to clinical practice.  Among the topics covered are relational space, family boundaries, family stratification and child socialization. Family meanings and such shared realities as family folklore, stories, myths and memorabilia are discussed. Family rituals are also explored.","ISBN":"978-0-8039-3778-9","language":"en","note":"Google-Books-ID: EZpSZWkMw0wC","number-of-pages":"288","publisher":"SAGE","source":"Google Books","title":"Understanding Family Process: Basics of Family Systems Theory","title-short":"Understanding Family Process","author":[{"family":"Broderick","given":"Carlfred B."}],"issued":{"date-parts":[["1993",3,9]]}}},{"id":1579,"uris":["http://zotero.org/users/4946941/items/IGQXCANM"],"itemData":{"id":1579,"type":"article-journal","abstract":"Psychologists who study children have emphasized family processes that influ-ence children’s psychological well-being and subsequent development, but gerontologists have rarely considered the impact of the family as system in adulthood. Drawing on family systems theories, we show how between- family, within-family, and within-individual differences emerge from family interactions in adulthood. Specifically, we consider how adult behavior might be understood in terms of norms sustained by the larger family system. We present three case studies of adult families to illustrate the ways in which their shared beliefs shape emotional experiences, behavior, and conceptions of self and family in adult-hood. The family, as a milieu, continues to exert influence over the day-to-day life of individual members after they are grown. The family milieu plays a central role in emotional and physical well-being across the lifespan. Research pertaining to family life has been conducted in two distinct arenas, one dealing with child development and one dealing with the needs of older adults. It is clear that during infancy and childhood families serve as a window to the larger culture (e.g., Bronfenbrenner, 1986; Bronfenbrenner &amp; Morris, 1997). In old age, families provide emotional and instrumental support for relatives in","container-title":"Journal of Aging and Human Development","issue":"1","page":"5–29","source":"CiteSeer","title":"Applications of family systems theory to the study of adulthood","volume":"51","author":[{"family":"Fingerman","given":"Karen L."},{"family":"Bermann","given":"Eric"}],"issued":{"date-parts":[["2000"]]}}},{"id":1582,"uris":["http://zotero.org/users/4946941/items/7WPW2CG6"],"itemData":{"id":1582,"type":"article-journal","abstract":"While nurse practitioners initially work with the identified patient, Murray Bowen maintains it is the reciprocal functioning of all the members of the family which contributes to the emotional intensity of the patient. The emotional symptoms of an individual are an expression of the emotional symptoms of the family, which are often embedded in patterns of behaviors from past generations. The purpose of this paper is to facilitate understanding Bowen's theoretical concepts of family systems theory and apply these concepts to a family in therapy.","container-title":"Issues in Mental Health Nursing","DOI":"10.3109/01612840.2014.921257","journalAbbreviation":"Issues in Mental Health Nursing","page":"835-842","source":"ResearchGate","title":"An Application of Bowen Family Systems Theory","volume":"35","author":[{"family":"Haefner","given":"Judy"}],"issued":{"date-parts":[["2014",10,29]]}}},{"id":952,"uris":["http://zotero.org/users/4946941/items/583YY2AM"],"itemData":{"id":952,"type":"article-journal","container-title":"Journal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López","given":"Alejandra"}],"issued":{"date-parts":[["2020",12]]}}},{"id":951,"uris":["http://zotero.org/users/4946941/items/VNKEPQ52"],"itemData":{"id":951,"type":"article-journal","container-title":"Journal of Marriage and Family","DOI":"10.1111/jomf.12640","ISSN":"0022-2445, 1741-3737","issue":"1","journalAbbreviation":"J. Marriage Fam","language":"en","page":"404-419","source":"DOI.org (Crossref)","title":"Family Matters: Research on Family Ties and Health, 2010 to 2020","title-short":"Family Matters","volume":"82","author":[{"family":"Umberson","given":"Debra"},{"family":"Thomeer","given":"Mieke Beth"}],"issued":{"date-parts":[["2020",2]]}}},{"id":1584,"uris":["http://zotero.org/users/4946941/items/LWM89Z2N"],"itemData":{"id":1584,"type":"article-journal","abstract":"One’s health and aging cannot be uncoupled from the family system in which it occurs. Not only do families provide genetic material that determines major health risks and outcomes, families also share a culture, environment, and lifestyle that further influence health and aging trajectories. As well, family members are interconnected, so that an illness or a positive lifestyle change in one person can have reverberating effects on the health and well-being of others in the family system. This essay explores how families have the potential to both promote and threaten individual health and well-being, thereby influencing how an individual might age or experience later life. Weaving together personal biographies from three different authors, this essay provides specific examples of how the family affects the health and aging of individuals and how the health and aging of individuals affect the larger family unit. These dynamic processes have the potential to positively or negatively shape individual experiences of health and aging, even among those persons who are not yet in late life. This essay blends a developmental life course perspective with a dynamic family-systems approach to show how families engage in collaborative efforts throughout the life course, in which they both affect and are affected by the diagnosis and management of chronic diseases and the adoption of health promoting behaviors. Applying this perspective to the study of health and aging calls for interdisciplinary thinking, as well as novel methodological and quantitative solutions.","container-title":"The Gerontologist","DOI":"10.1093/geront/gnw081","ISSN":"0016-9013","issue":"1","journalAbbreviation":"The Gerontologist","page":"129-135","source":"Silverchair","title":"It’s A Family Affair: Reflections About Aging and Health Within a Family Context","title-short":"It’s A Family Affair","volume":"57","author":[{"family":"Utz","given":"Rebecca L."},{"family":"Berg","given":"Cynthia A."},{"family":"Butner","given":"Jonathan"}],"issued":{"date-parts":[["2017",2,1]]}}}],"schema":"https://github.com/citation-style-language/schema/raw/master/csl-citation.json"} </w:instrText>
      </w:r>
      <w:r w:rsidR="000A6F15" w:rsidRPr="00424BD3">
        <w:rPr>
          <w:rFonts w:cs="Arial"/>
          <w:szCs w:val="24"/>
        </w:rPr>
        <w:fldChar w:fldCharType="separate"/>
      </w:r>
      <w:r w:rsidR="006868CC" w:rsidRPr="00424BD3">
        <w:rPr>
          <w:rFonts w:cs="Arial"/>
        </w:rPr>
        <w:t>(Broderick, 1993; Fingerman &amp; Bermann, 2000; Haefner, 2014; Thomeer et al., 2020; Umberson &amp; Thomeer, 2020; Utz et al., 2017)</w:t>
      </w:r>
      <w:r w:rsidR="000A6F15" w:rsidRPr="00424BD3">
        <w:rPr>
          <w:rFonts w:cs="Arial"/>
          <w:szCs w:val="24"/>
        </w:rPr>
        <w:fldChar w:fldCharType="end"/>
      </w:r>
      <w:r w:rsidRPr="00424BD3">
        <w:rPr>
          <w:rFonts w:cs="Arial"/>
          <w:szCs w:val="24"/>
        </w:rPr>
        <w:t>. This includes structures in interdependency (such as family ties</w:t>
      </w:r>
      <w:r w:rsidR="00836E02" w:rsidRPr="00424BD3">
        <w:rPr>
          <w:rFonts w:cs="Arial"/>
          <w:szCs w:val="24"/>
        </w:rPr>
        <w:t xml:space="preserve">, family resilience, </w:t>
      </w:r>
      <w:r w:rsidR="00BE6F0A" w:rsidRPr="00424BD3">
        <w:rPr>
          <w:rFonts w:cs="Arial"/>
          <w:szCs w:val="24"/>
        </w:rPr>
        <w:t>patterns of interaction, social</w:t>
      </w:r>
      <w:r w:rsidR="00C44C41" w:rsidRPr="00424BD3">
        <w:rPr>
          <w:rFonts w:cs="Arial"/>
          <w:szCs w:val="24"/>
        </w:rPr>
        <w:t xml:space="preserve"> identity</w:t>
      </w:r>
      <w:r w:rsidRPr="00424BD3">
        <w:rPr>
          <w:rFonts w:cs="Arial"/>
          <w:szCs w:val="24"/>
        </w:rPr>
        <w:t xml:space="preserve">), strong or absent relationships among family members, length of contact among family members, and geographical proximity to one another </w:t>
      </w:r>
      <w:r w:rsidRPr="00424BD3">
        <w:rPr>
          <w:rFonts w:cs="Arial"/>
          <w:szCs w:val="24"/>
        </w:rPr>
        <w:fldChar w:fldCharType="begin"/>
      </w:r>
      <w:r w:rsidR="00990F3A">
        <w:rPr>
          <w:rFonts w:cs="Arial"/>
          <w:szCs w:val="24"/>
        </w:rPr>
        <w:instrText xml:space="preserve"> ADDIN ZOTERO_ITEM CSL_CITATION {"citationID":"a2cPNvk5","properties":{"formattedCitation":"(Thomeer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w:t>
      </w:r>
      <w:r w:rsidR="00077E87" w:rsidRPr="00424BD3">
        <w:rPr>
          <w:rFonts w:cs="Arial"/>
          <w:szCs w:val="24"/>
        </w:rPr>
        <w:t xml:space="preserve">It also includes the role </w:t>
      </w:r>
      <w:r w:rsidR="00E418DC" w:rsidRPr="00424BD3">
        <w:rPr>
          <w:rFonts w:cs="Arial"/>
          <w:szCs w:val="24"/>
        </w:rPr>
        <w:t xml:space="preserve">of </w:t>
      </w:r>
      <w:r w:rsidR="00D40B74" w:rsidRPr="00424BD3">
        <w:rPr>
          <w:rFonts w:cs="Arial"/>
          <w:szCs w:val="24"/>
        </w:rPr>
        <w:t xml:space="preserve">family culture and environment in the well-being (both emotional and physical) for </w:t>
      </w:r>
      <w:r w:rsidR="00471CCE" w:rsidRPr="00424BD3">
        <w:rPr>
          <w:rFonts w:cs="Arial"/>
          <w:szCs w:val="24"/>
        </w:rPr>
        <w:t xml:space="preserve">all members of the family </w:t>
      </w:r>
      <w:r w:rsidR="00F90E07" w:rsidRPr="00424BD3">
        <w:rPr>
          <w:rFonts w:cs="Arial"/>
          <w:szCs w:val="24"/>
        </w:rPr>
        <w:fldChar w:fldCharType="begin"/>
      </w:r>
      <w:r w:rsidR="00990F3A">
        <w:rPr>
          <w:rFonts w:cs="Arial"/>
          <w:szCs w:val="24"/>
        </w:rPr>
        <w:instrText xml:space="preserve"> ADDIN ZOTERO_ITEM CSL_CITATION {"citationID":"yEC5X8hl","properties":{"formattedCitation":"(Fingerman &amp; Bermann, 2000)","plainCitation":"(Fingerman &amp; Bermann, 2000)","noteIndex":0},"citationItems":[{"id":1579,"uris":["http://zotero.org/users/4946941/items/IGQXCANM"],"itemData":{"id":1579,"type":"article-journal","abstract":"Psychologists who study children have emphasized family processes that influ-ence children’s psychological well-being and subsequent development, but gerontologists have rarely considered the impact of the family as system in adulthood. Drawing on family systems theories, we show how between- family, within-family, and within-individual differences emerge from family interactions in adulthood. Specifically, we consider how adult behavior might be understood in terms of norms sustained by the larger family system. We present three case studies of adult families to illustrate the ways in which their shared beliefs shape emotional experiences, behavior, and conceptions of self and family in adult-hood. The family, as a milieu, continues to exert influence over the day-to-day life of individual members after they are grown. The family milieu plays a central role in emotional and physical well-being across the lifespan. Research pertaining to family life has been conducted in two distinct arenas, one dealing with child development and one dealing with the needs of older adults. It is clear that during infancy and childhood families serve as a window to the larger culture (e.g., Bronfenbrenner, 1986; Bronfenbrenner &amp; Morris, 1997). In old age, families provide emotional and instrumental support for relatives in","container-title":"Journal of Aging and Human Development","issue":"1","page":"5–29","source":"CiteSeer","title":"Applications of family systems theory to the study of adulthood","volume":"51","author":[{"family":"Fingerman","given":"Karen L."},{"family":"Bermann","given":"Eric"}],"issued":{"date-parts":[["2000"]]}}}],"schema":"https://github.com/citation-style-language/schema/raw/master/csl-citation.json"} </w:instrText>
      </w:r>
      <w:r w:rsidR="00F90E07" w:rsidRPr="00424BD3">
        <w:rPr>
          <w:rFonts w:cs="Arial"/>
          <w:szCs w:val="24"/>
        </w:rPr>
        <w:fldChar w:fldCharType="separate"/>
      </w:r>
      <w:r w:rsidR="00F90E07" w:rsidRPr="00424BD3">
        <w:rPr>
          <w:rFonts w:cs="Arial"/>
        </w:rPr>
        <w:t>(Fingerman &amp; Bermann, 2000)</w:t>
      </w:r>
      <w:r w:rsidR="00F90E07" w:rsidRPr="00424BD3">
        <w:rPr>
          <w:rFonts w:cs="Arial"/>
          <w:szCs w:val="24"/>
        </w:rPr>
        <w:fldChar w:fldCharType="end"/>
      </w:r>
      <w:r w:rsidR="00AC1C3F" w:rsidRPr="00424BD3">
        <w:rPr>
          <w:rFonts w:cs="Arial"/>
          <w:szCs w:val="24"/>
        </w:rPr>
        <w:t xml:space="preserve"> </w:t>
      </w:r>
      <w:r w:rsidR="00FD34A4" w:rsidRPr="00424BD3">
        <w:rPr>
          <w:rFonts w:cs="Arial"/>
          <w:szCs w:val="24"/>
        </w:rPr>
        <w:t xml:space="preserve">and generationally embedded behavior patterns </w:t>
      </w:r>
      <w:r w:rsidR="00D85FE4" w:rsidRPr="00424BD3">
        <w:rPr>
          <w:rFonts w:cs="Arial"/>
          <w:szCs w:val="24"/>
        </w:rPr>
        <w:fldChar w:fldCharType="begin"/>
      </w:r>
      <w:r w:rsidR="00990F3A">
        <w:rPr>
          <w:rFonts w:cs="Arial"/>
          <w:szCs w:val="24"/>
        </w:rPr>
        <w:instrText xml:space="preserve"> ADDIN ZOTERO_ITEM CSL_CITATION {"citationID":"bhWZy3Cu","properties":{"formattedCitation":"(Haefner, 2014)","plainCitation":"(Haefner, 2014)","noteIndex":0},"citationItems":[{"id":1582,"uris":["http://zotero.org/users/4946941/items/7WPW2CG6"],"itemData":{"id":1582,"type":"article-journal","abstract":"While nurse practitioners initially work with the identified patient, Murray Bowen maintains it is the reciprocal functioning of all the members of the family which contributes to the emotional intensity of the patient. The emotional symptoms of an individual are an expression of the emotional symptoms of the family, which are often embedded in patterns of behaviors from past generations. The purpose of this paper is to facilitate understanding Bowen's theoretical concepts of family systems theory and apply these concepts to a family in therapy.","container-title":"Issues in Mental Health Nursing","DOI":"10.3109/01612840.2014.921257","journalAbbreviation":"Issues in Mental Health Nursing","page":"835-842","source":"ResearchGate","title":"An Application of Bowen Family Systems Theory","volume":"35","author":[{"family":"Haefner","given":"Judy"}],"issued":{"date-parts":[["2014",10,29]]}}}],"schema":"https://github.com/citation-style-language/schema/raw/master/csl-citation.json"} </w:instrText>
      </w:r>
      <w:r w:rsidR="00D85FE4" w:rsidRPr="00424BD3">
        <w:rPr>
          <w:rFonts w:cs="Arial"/>
          <w:szCs w:val="24"/>
        </w:rPr>
        <w:fldChar w:fldCharType="separate"/>
      </w:r>
      <w:r w:rsidR="00D85FE4" w:rsidRPr="00424BD3">
        <w:rPr>
          <w:rFonts w:cs="Arial"/>
        </w:rPr>
        <w:t>(Haefner, 2014)</w:t>
      </w:r>
      <w:r w:rsidR="00D85FE4" w:rsidRPr="00424BD3">
        <w:rPr>
          <w:rFonts w:cs="Arial"/>
          <w:szCs w:val="24"/>
        </w:rPr>
        <w:fldChar w:fldCharType="end"/>
      </w:r>
      <w:r w:rsidR="002A0898" w:rsidRPr="00424BD3">
        <w:rPr>
          <w:rFonts w:cs="Arial"/>
          <w:szCs w:val="24"/>
        </w:rPr>
        <w:t>.</w:t>
      </w:r>
      <w:r w:rsidR="000469B3">
        <w:rPr>
          <w:rFonts w:cs="Arial"/>
          <w:szCs w:val="24"/>
        </w:rPr>
        <w:t xml:space="preserve"> </w:t>
      </w:r>
      <w:r w:rsidR="00E96661" w:rsidRPr="00424BD3">
        <w:rPr>
          <w:rFonts w:cs="Arial"/>
          <w:szCs w:val="24"/>
        </w:rPr>
        <w:t xml:space="preserve">Family systems, therefore, are affected by social determinants of health and </w:t>
      </w:r>
      <w:r w:rsidR="00906946" w:rsidRPr="00424BD3">
        <w:rPr>
          <w:rFonts w:cs="Arial"/>
          <w:szCs w:val="24"/>
        </w:rPr>
        <w:t xml:space="preserve">also </w:t>
      </w:r>
      <w:r w:rsidR="00E96661" w:rsidRPr="00424BD3">
        <w:rPr>
          <w:rFonts w:cs="Arial"/>
          <w:szCs w:val="24"/>
        </w:rPr>
        <w:t xml:space="preserve">can </w:t>
      </w:r>
      <w:r w:rsidR="007272CB" w:rsidRPr="00424BD3">
        <w:rPr>
          <w:rFonts w:cs="Arial"/>
          <w:szCs w:val="24"/>
        </w:rPr>
        <w:t xml:space="preserve">create and reiterate </w:t>
      </w:r>
      <w:r w:rsidR="00906946" w:rsidRPr="00424BD3">
        <w:rPr>
          <w:rFonts w:cs="Arial"/>
          <w:szCs w:val="24"/>
        </w:rPr>
        <w:t>systems, at the meso</w:t>
      </w:r>
      <w:r w:rsidR="000469B3">
        <w:rPr>
          <w:rFonts w:cs="Arial"/>
          <w:szCs w:val="24"/>
        </w:rPr>
        <w:t>-</w:t>
      </w:r>
      <w:r w:rsidR="00906946" w:rsidRPr="00424BD3">
        <w:rPr>
          <w:rFonts w:cs="Arial"/>
          <w:szCs w:val="24"/>
        </w:rPr>
        <w:t>level, that shape determinants of health</w:t>
      </w:r>
      <w:r w:rsidR="00420F26" w:rsidRPr="00424BD3">
        <w:rPr>
          <w:rFonts w:cs="Arial"/>
          <w:szCs w:val="24"/>
        </w:rPr>
        <w:t xml:space="preserve"> – including </w:t>
      </w:r>
      <w:r w:rsidR="00420F26" w:rsidRPr="00424BD3">
        <w:rPr>
          <w:rFonts w:cs="Arial"/>
          <w:szCs w:val="24"/>
        </w:rPr>
        <w:lastRenderedPageBreak/>
        <w:t xml:space="preserve">familial-level contributions to </w:t>
      </w:r>
      <w:r w:rsidR="007D57FC" w:rsidRPr="00424BD3">
        <w:rPr>
          <w:rFonts w:cs="Arial"/>
          <w:szCs w:val="24"/>
        </w:rPr>
        <w:t xml:space="preserve">attitudes, behavior, and beliefs about discrimination, health and social norms, economic </w:t>
      </w:r>
      <w:r w:rsidR="00D70233" w:rsidRPr="00424BD3">
        <w:rPr>
          <w:rFonts w:cs="Arial"/>
          <w:szCs w:val="24"/>
        </w:rPr>
        <w:t>and class stratification</w:t>
      </w:r>
      <w:r w:rsidR="004A64FE" w:rsidRPr="00424BD3">
        <w:rPr>
          <w:rFonts w:cs="Arial"/>
          <w:szCs w:val="24"/>
        </w:rPr>
        <w:t xml:space="preserve">, perceptions of health and </w:t>
      </w:r>
      <w:r w:rsidR="00AC6EA0" w:rsidRPr="00424BD3">
        <w:rPr>
          <w:rFonts w:cs="Arial"/>
          <w:szCs w:val="24"/>
        </w:rPr>
        <w:t>aging</w:t>
      </w:r>
      <w:r w:rsidR="00A021F7">
        <w:rPr>
          <w:rFonts w:cs="Arial"/>
          <w:szCs w:val="24"/>
        </w:rPr>
        <w:t>,</w:t>
      </w:r>
      <w:r w:rsidR="00D70233" w:rsidRPr="00424BD3">
        <w:rPr>
          <w:rFonts w:cs="Arial"/>
          <w:szCs w:val="24"/>
        </w:rPr>
        <w:t xml:space="preserve"> and more</w:t>
      </w:r>
      <w:r w:rsidR="0016465A" w:rsidRPr="00424BD3">
        <w:rPr>
          <w:rFonts w:cs="Arial"/>
          <w:szCs w:val="24"/>
        </w:rPr>
        <w:t xml:space="preserve"> </w:t>
      </w:r>
      <w:r w:rsidR="001A1B9B" w:rsidRPr="00424BD3">
        <w:rPr>
          <w:rFonts w:cs="Arial"/>
          <w:szCs w:val="24"/>
        </w:rPr>
        <w:fldChar w:fldCharType="begin"/>
      </w:r>
      <w:r w:rsidR="00990F3A">
        <w:rPr>
          <w:rFonts w:cs="Arial"/>
          <w:szCs w:val="24"/>
        </w:rPr>
        <w:instrText xml:space="preserve"> ADDIN ZOTERO_ITEM CSL_CITATION {"citationID":"FZFJ26JO","properties":{"formattedCitation":"(Utz et al., 2017)","plainCitation":"(Utz et al., 2017)","noteIndex":0},"citationItems":[{"id":1584,"uris":["http://zotero.org/users/4946941/items/LWM89Z2N"],"itemData":{"id":1584,"type":"article-journal","abstract":"One’s health and aging cannot be uncoupled from the family system in which it occurs. Not only do families provide genetic material that determines major health risks and outcomes, families also share a culture, environment, and lifestyle that further influence health and aging trajectories. As well, family members are interconnected, so that an illness or a positive lifestyle change in one person can have reverberating effects on the health and well-being of others in the family system. This essay explores how families have the potential to both promote and threaten individual health and well-being, thereby influencing how an individual might age or experience later life. Weaving together personal biographies from three different authors, this essay provides specific examples of how the family affects the health and aging of individuals and how the health and aging of individuals affect the larger family unit. These dynamic processes have the potential to positively or negatively shape individual experiences of health and aging, even among those persons who are not yet in late life. This essay blends a developmental life course perspective with a dynamic family-systems approach to show how families engage in collaborative efforts throughout the life course, in which they both affect and are affected by the diagnosis and management of chronic diseases and the adoption of health promoting behaviors. Applying this perspective to the study of health and aging calls for interdisciplinary thinking, as well as novel methodological and quantitative solutions.","container-title":"The Gerontologist","DOI":"10.1093/geront/gnw081","ISSN":"0016-9013","issue":"1","journalAbbreviation":"The Gerontologist","page":"129-135","source":"Silverchair","title":"It’s A Family Affair: Reflections About Aging and Health Within a Family Context","title-short":"It’s A Family Affair","volume":"57","author":[{"family":"Utz","given":"Rebecca L."},{"family":"Berg","given":"Cynthia A."},{"family":"Butner","given":"Jonathan"}],"issued":{"date-parts":[["2017",2,1]]}}}],"schema":"https://github.com/citation-style-language/schema/raw/master/csl-citation.json"} </w:instrText>
      </w:r>
      <w:r w:rsidR="001A1B9B" w:rsidRPr="00424BD3">
        <w:rPr>
          <w:rFonts w:cs="Arial"/>
          <w:szCs w:val="24"/>
        </w:rPr>
        <w:fldChar w:fldCharType="separate"/>
      </w:r>
      <w:r w:rsidR="001A1B9B" w:rsidRPr="00424BD3">
        <w:rPr>
          <w:rFonts w:cs="Arial"/>
        </w:rPr>
        <w:t>(Utz et al., 2017)</w:t>
      </w:r>
      <w:r w:rsidR="001A1B9B" w:rsidRPr="00424BD3">
        <w:rPr>
          <w:rFonts w:cs="Arial"/>
          <w:szCs w:val="24"/>
        </w:rPr>
        <w:fldChar w:fldCharType="end"/>
      </w:r>
      <w:r w:rsidR="004A64FE" w:rsidRPr="00424BD3">
        <w:rPr>
          <w:rFonts w:cs="Arial"/>
          <w:szCs w:val="24"/>
        </w:rPr>
        <w:t xml:space="preserve">. </w:t>
      </w:r>
      <w:r w:rsidR="003910F7" w:rsidRPr="00424BD3">
        <w:rPr>
          <w:rFonts w:cs="Arial"/>
          <w:szCs w:val="24"/>
        </w:rPr>
        <w:t xml:space="preserve">Because family </w:t>
      </w:r>
      <w:r w:rsidR="002E7110" w:rsidRPr="00424BD3">
        <w:rPr>
          <w:rFonts w:cs="Arial"/>
          <w:szCs w:val="24"/>
        </w:rPr>
        <w:t xml:space="preserve">units are a system (in whatever form they </w:t>
      </w:r>
      <w:r w:rsidR="006243EE" w:rsidRPr="00424BD3">
        <w:rPr>
          <w:rFonts w:cs="Arial"/>
          <w:szCs w:val="24"/>
        </w:rPr>
        <w:t xml:space="preserve">occur), they face the same possibility of </w:t>
      </w:r>
      <w:r w:rsidR="00C4157F" w:rsidRPr="00424BD3">
        <w:rPr>
          <w:rFonts w:cs="Arial"/>
          <w:szCs w:val="24"/>
        </w:rPr>
        <w:t>creating inequity as all other system</w:t>
      </w:r>
      <w:r w:rsidR="006474D0">
        <w:rPr>
          <w:rFonts w:cs="Arial"/>
          <w:szCs w:val="24"/>
        </w:rPr>
        <w:t>s</w:t>
      </w:r>
      <w:r w:rsidR="00C4157F" w:rsidRPr="00424BD3">
        <w:rPr>
          <w:rFonts w:cs="Arial"/>
          <w:szCs w:val="24"/>
        </w:rPr>
        <w:t>. This means they can act as one pathway in which embodiment of health inequities can occur.</w:t>
      </w:r>
    </w:p>
    <w:p w14:paraId="33C717CB" w14:textId="78758B7B" w:rsidR="001C42AE" w:rsidRPr="00424BD3" w:rsidRDefault="001C42AE" w:rsidP="001C42AE">
      <w:pPr>
        <w:pStyle w:val="Heading4"/>
        <w:spacing w:before="0" w:line="480" w:lineRule="auto"/>
        <w:rPr>
          <w:rFonts w:ascii="Arial" w:hAnsi="Arial" w:cs="Arial"/>
          <w:color w:val="auto"/>
        </w:rPr>
      </w:pPr>
      <w:r w:rsidRPr="00424BD3">
        <w:rPr>
          <w:rFonts w:ascii="Arial" w:hAnsi="Arial" w:cs="Arial"/>
          <w:color w:val="auto"/>
        </w:rPr>
        <w:t>Life Course Approach</w:t>
      </w:r>
    </w:p>
    <w:p w14:paraId="61A4BB59" w14:textId="0E924AFC" w:rsidR="008844E4" w:rsidRPr="00424BD3" w:rsidRDefault="008844E4" w:rsidP="00874852">
      <w:pPr>
        <w:spacing w:after="0" w:line="480" w:lineRule="auto"/>
        <w:ind w:firstLine="720"/>
        <w:rPr>
          <w:rFonts w:cs="Arial"/>
          <w:szCs w:val="24"/>
        </w:rPr>
      </w:pPr>
      <w:r w:rsidRPr="00424BD3">
        <w:rPr>
          <w:rFonts w:cs="Arial"/>
          <w:szCs w:val="24"/>
        </w:rPr>
        <w:t xml:space="preserve">More recently, health inequities research has also incorporated Carr’s </w:t>
      </w:r>
      <w:r w:rsidRPr="00424BD3">
        <w:rPr>
          <w:rFonts w:cs="Arial"/>
          <w:szCs w:val="24"/>
        </w:rPr>
        <w:fldChar w:fldCharType="begin"/>
      </w:r>
      <w:r w:rsidR="00990F3A">
        <w:rPr>
          <w:rFonts w:cs="Arial"/>
          <w:szCs w:val="24"/>
        </w:rPr>
        <w:instrText xml:space="preserve"> ADDIN ZOTERO_ITEM CSL_CITATION {"citationID":"n6mDv1I0","properties":{"formattedCitation":"(2018)","plainCitation":"(2018)","noteIndex":0},"citationItems":[{"id":961,"uris":["http://zotero.org/users/4946941/items/2NEY9UPI"],"itemData":{"id":961,"type":"chapter","abstract":"Social relationships are essential to our emotional, social, physical, and economic well-being at every stage of the life course (House et al. 1988). National surveys consistently show that more than 95 percent of persons in the United States rate their families as “very” or “extremely” important to them, and more than three-quarters rate their friendships as such (Moore 2003). Yet even our most personal and intimate relationships are powerfully shaped by social structures, including historical and cultural contexts, and the social institutions in which we are embedded. That social contexts shape human relationships is a core theme of sociological perspectives on the life course (Elder 1994, 2000). This framework rests on four foundational concepts: historical context; personal timing; agency versus structure; and social relationships (i.e., linked lives). The latter theme is essential to the study of contemporary research on social networks, which uses state of the art methods to understand the complex role that social ties play in shaping attitudes, behaviors, health, and well-being over the life course.","collection-title":"Frontiers in Sociology and Social Research","container-title":"Social Networks and the Life Course: Integrating the Development of Human Lives and Social Relational Networks","event-place":"Cham","ISBN":"978-3-319-71544-5","language":"en","note":"DOI: 10.1007/978-3-319-71544-5_3","page":"41-63","publisher":"Springer International Publishing","publisher-place":"Cham","source":"Springer Link","title":"The Linked Lives Principle in Life Course Studies: Classic Approaches and Contemporary Advances","title-short":"The Linked Lives Principle in Life Course Studies","URL":"https://doi.org/10.1007/978-3-319-71544-5_3","author":[{"family":"Carr","given":"Deborah"}],"editor":[{"family":"Alwin","given":"Duane F."},{"family":"Felmlee","given":"Diane H."},{"family":"Kreager","given":"Derek A."}],"accessed":{"date-parts":[["2022",7,15]]},"issued":{"date-parts":[["2018"]]}},"suppress-author":true}],"schema":"https://github.com/citation-style-language/schema/raw/master/csl-citation.json"} </w:instrText>
      </w:r>
      <w:r w:rsidRPr="00424BD3">
        <w:rPr>
          <w:rFonts w:cs="Arial"/>
          <w:szCs w:val="24"/>
        </w:rPr>
        <w:fldChar w:fldCharType="separate"/>
      </w:r>
      <w:r w:rsidRPr="00424BD3">
        <w:rPr>
          <w:rFonts w:cs="Arial"/>
        </w:rPr>
        <w:t>(2018)</w:t>
      </w:r>
      <w:r w:rsidRPr="00424BD3">
        <w:rPr>
          <w:rFonts w:cs="Arial"/>
          <w:szCs w:val="24"/>
        </w:rPr>
        <w:fldChar w:fldCharType="end"/>
      </w:r>
      <w:r w:rsidRPr="00424BD3">
        <w:rPr>
          <w:rFonts w:cs="Arial"/>
          <w:szCs w:val="24"/>
        </w:rPr>
        <w:t xml:space="preserve">, </w:t>
      </w:r>
      <w:r w:rsidRPr="00424BD3">
        <w:rPr>
          <w:rFonts w:cs="Arial"/>
          <w:bCs/>
          <w:szCs w:val="24"/>
        </w:rPr>
        <w:t>life course approach</w:t>
      </w:r>
      <w:r w:rsidRPr="00424BD3">
        <w:rPr>
          <w:rFonts w:cs="Arial"/>
          <w:szCs w:val="24"/>
        </w:rPr>
        <w:t xml:space="preserve">, which also emphasizes the interrelationships between family members and the impact on family member’s health over the course of an individual’s life, especially because many families have long periods of sharing spaces and time </w:t>
      </w:r>
      <w:r w:rsidRPr="00424BD3">
        <w:rPr>
          <w:rFonts w:cs="Arial"/>
          <w:szCs w:val="24"/>
        </w:rPr>
        <w:fldChar w:fldCharType="begin"/>
      </w:r>
      <w:r w:rsidR="00990F3A">
        <w:rPr>
          <w:rFonts w:cs="Arial"/>
          <w:szCs w:val="24"/>
        </w:rPr>
        <w:instrText xml:space="preserve"> ADDIN ZOTERO_ITEM CSL_CITATION {"citationID":"jsjb51Su","properties":{"formattedCitation":"(Zick et al., 2014)","plainCitation":"(Zick et al., 2014)","noteIndex":0},"citationItems":[{"id":962,"uris":["http://zotero.org/users/4946941/items/B9XS6RE2"],"itemData":{"id":962,"type":"article-journal","abstract":"Subjective life expectancy is a powerful predictor of a variety of health and economic behaviors. This research expands upon the life expectancy literature by examining the influence of familial health histories. Using a genetic/environmental model, we hypothesize that individuals’ assessments of their life expectancies will be linked to the health of first-degree and second-degree relatives, with same-sex relatives’ health exercising a stronger effect than that of opposite-sex relatives. Multivariate analyses based on data from a 2009 survey merged with familial health records (N = 1,019) confirm that the health experiences of same-sex, first-degree relatives are linked to respondents’ subjective life expectancy. The relationship between the health experiences of second-degree relatives and subjective life expectancy is much less pronounced. These findings have the potential not only to inform our understanding of health behaviors but also to encourage communication between patients and health professionals aimed at promoting preventative behaviors.","container-title":"Research on Aging","DOI":"10.1177/0164027513482948","ISSN":"0164-0275","issue":"2","journalAbbreviation":"Res Aging","language":"en","note":"publisher: SAGE Publications Inc","page":"244-266","source":"SAGE Journals","title":"Family, Frailty, and Fatal Futures? Own-Health and Family-Health Predictors of Subjective Life Expectancy","title-short":"Family, Frailty, and Fatal Futures?","volume":"36","author":[{"family":"Zick","given":"Cathleen D."},{"family":"Smith","given":"Ken R."},{"family":"Mayer","given":"Robert N."},{"family":"Taylor","given":"Lorayne B."}],"issued":{"date-parts":[["2014",3,1]]}}}],"schema":"https://github.com/citation-style-language/schema/raw/master/csl-citation.json"} </w:instrText>
      </w:r>
      <w:r w:rsidRPr="00424BD3">
        <w:rPr>
          <w:rFonts w:cs="Arial"/>
          <w:szCs w:val="24"/>
        </w:rPr>
        <w:fldChar w:fldCharType="separate"/>
      </w:r>
      <w:r w:rsidRPr="00424BD3">
        <w:rPr>
          <w:rFonts w:cs="Arial"/>
        </w:rPr>
        <w:t>(Zick et al., 2014)</w:t>
      </w:r>
      <w:r w:rsidRPr="00424BD3">
        <w:rPr>
          <w:rFonts w:cs="Arial"/>
          <w:szCs w:val="24"/>
        </w:rPr>
        <w:fldChar w:fldCharType="end"/>
      </w:r>
      <w:r w:rsidRPr="00424BD3">
        <w:rPr>
          <w:rFonts w:cs="Arial"/>
          <w:szCs w:val="24"/>
        </w:rPr>
        <w:t>. In addition to the social determinants of health which shape the participant’s attitudes and beliefs around health inequities, this study also focuses on the family systems of older women, and how they not only also contribute to those attitudes and beliefs, but how they ‘pass on’ these beliefs</w:t>
      </w:r>
      <w:r w:rsidR="000B3305" w:rsidRPr="00424BD3">
        <w:rPr>
          <w:rFonts w:cs="Arial"/>
          <w:szCs w:val="24"/>
        </w:rPr>
        <w:t>, behaviors,</w:t>
      </w:r>
      <w:r w:rsidRPr="00424BD3">
        <w:rPr>
          <w:rFonts w:cs="Arial"/>
          <w:szCs w:val="24"/>
        </w:rPr>
        <w:t xml:space="preserve"> and attitudes from generation to generation. </w:t>
      </w:r>
    </w:p>
    <w:p w14:paraId="736E68F9" w14:textId="0E03B687" w:rsidR="00874852" w:rsidRPr="00424BD3" w:rsidRDefault="00874852" w:rsidP="00874852">
      <w:pPr>
        <w:pStyle w:val="Heading4"/>
        <w:spacing w:before="0" w:line="480" w:lineRule="auto"/>
        <w:rPr>
          <w:rFonts w:ascii="Arial" w:hAnsi="Arial" w:cs="Arial"/>
          <w:color w:val="auto"/>
        </w:rPr>
      </w:pPr>
      <w:r w:rsidRPr="00424BD3">
        <w:rPr>
          <w:rFonts w:ascii="Arial" w:hAnsi="Arial" w:cs="Arial"/>
          <w:color w:val="auto"/>
        </w:rPr>
        <w:t>Fundamental Cause Framework</w:t>
      </w:r>
    </w:p>
    <w:p w14:paraId="07B43AE6" w14:textId="71B4F833" w:rsidR="008844E4" w:rsidRPr="00424BD3" w:rsidRDefault="008844E4" w:rsidP="00960F70">
      <w:pPr>
        <w:spacing w:after="0" w:line="480" w:lineRule="auto"/>
        <w:ind w:firstLine="720"/>
        <w:rPr>
          <w:rFonts w:cs="Arial"/>
          <w:szCs w:val="24"/>
        </w:rPr>
      </w:pPr>
      <w:r w:rsidRPr="00424BD3">
        <w:rPr>
          <w:rFonts w:cs="Arial"/>
          <w:szCs w:val="24"/>
        </w:rPr>
        <w:t>Many studies on social determinants of health and health inequities build from</w:t>
      </w:r>
      <w:r w:rsidR="00885F9D">
        <w:rPr>
          <w:rFonts w:cs="Arial"/>
          <w:szCs w:val="24"/>
        </w:rPr>
        <w:t xml:space="preserve"> Phelan et al.’s</w:t>
      </w:r>
      <w:r w:rsidRPr="00424BD3">
        <w:rPr>
          <w:rFonts w:cs="Arial"/>
          <w:szCs w:val="24"/>
        </w:rPr>
        <w:t xml:space="preserve"> </w:t>
      </w:r>
      <w:r w:rsidRPr="00424BD3">
        <w:rPr>
          <w:rFonts w:cs="Arial"/>
          <w:szCs w:val="24"/>
        </w:rPr>
        <w:fldChar w:fldCharType="begin"/>
      </w:r>
      <w:r w:rsidR="00743511">
        <w:rPr>
          <w:rFonts w:cs="Arial"/>
          <w:szCs w:val="24"/>
        </w:rPr>
        <w:instrText xml:space="preserve"> ADDIN ZOTERO_ITEM CSL_CITATION {"citationID":"aWe0EAWd","properties":{"formattedCitation":"(2010)","plainCitation":"(2010)","noteIndex":0},"citationItems":[{"id":769,"uris":["http://zotero.org/users/4946941/items/7F8PHKIQ"],"itemData":{"id":769,"type":"article-journal","container-title":"Journal of health and social behavior","DOI":"10.1177/0022146510383498","issue":"1_suppl","language":"en","page":"28– 40","title":"Social conditions as fundamental causes of health inequalities: theory, evidence, and policy implications","volume":"51","author":[{"family":"Phelan","given":"J.C."},{"family":"Link","given":"B.G."},{"family":"Tehranifar","given":"P."}],"issued":{"date-parts":[["2010"]]}},"label":"page","suppress-author":true}],"schema":"https://github.com/citation-style-language/schema/raw/master/csl-citation.json"} </w:instrText>
      </w:r>
      <w:r w:rsidRPr="00424BD3">
        <w:rPr>
          <w:rFonts w:cs="Arial"/>
          <w:szCs w:val="24"/>
        </w:rPr>
        <w:fldChar w:fldCharType="separate"/>
      </w:r>
      <w:r w:rsidR="00743511" w:rsidRPr="00743511">
        <w:rPr>
          <w:rFonts w:cs="Arial"/>
        </w:rPr>
        <w:t>(2010)</w:t>
      </w:r>
      <w:r w:rsidRPr="00424BD3">
        <w:rPr>
          <w:rFonts w:cs="Arial"/>
          <w:szCs w:val="24"/>
        </w:rPr>
        <w:fldChar w:fldCharType="end"/>
      </w:r>
      <w:r w:rsidRPr="00424BD3">
        <w:rPr>
          <w:rFonts w:cs="Arial"/>
          <w:szCs w:val="24"/>
        </w:rPr>
        <w:t xml:space="preserve"> </w:t>
      </w:r>
      <w:r w:rsidRPr="00424BD3">
        <w:rPr>
          <w:rFonts w:cs="Arial"/>
          <w:bCs/>
          <w:szCs w:val="24"/>
        </w:rPr>
        <w:t>fundamental cause framework</w:t>
      </w:r>
      <w:r w:rsidRPr="00424BD3">
        <w:rPr>
          <w:rFonts w:cs="Arial"/>
          <w:szCs w:val="24"/>
        </w:rPr>
        <w:t xml:space="preserve"> and its emphasis on spatial and temporal social conditions as a determinant of health. </w:t>
      </w:r>
      <w:r w:rsidR="001F75C0" w:rsidRPr="00424BD3">
        <w:rPr>
          <w:rFonts w:cs="Arial"/>
          <w:szCs w:val="24"/>
        </w:rPr>
        <w:t xml:space="preserve">These include </w:t>
      </w:r>
      <w:r w:rsidR="00987588" w:rsidRPr="00424BD3">
        <w:rPr>
          <w:rFonts w:cs="Arial"/>
          <w:szCs w:val="24"/>
        </w:rPr>
        <w:t xml:space="preserve">what </w:t>
      </w:r>
      <w:r w:rsidR="00DF78D2" w:rsidRPr="00424BD3">
        <w:rPr>
          <w:rFonts w:cs="Arial"/>
          <w:szCs w:val="24"/>
        </w:rPr>
        <w:t>J.C. Phelan et al.</w:t>
      </w:r>
      <w:r w:rsidR="00987588" w:rsidRPr="00424BD3">
        <w:rPr>
          <w:rFonts w:cs="Arial"/>
          <w:szCs w:val="24"/>
        </w:rPr>
        <w:fldChar w:fldCharType="begin"/>
      </w:r>
      <w:r w:rsidR="00990F3A">
        <w:rPr>
          <w:rFonts w:cs="Arial"/>
          <w:szCs w:val="24"/>
        </w:rPr>
        <w:instrText xml:space="preserve"> ADDIN ZOTERO_ITEM CSL_CITATION {"citationID":"hVT0lVKc","properties":{"formattedCitation":"(2010, p. S29)","plainCitation":"(2010, p. S29)","noteIndex":0},"citationItems":[{"id":769,"uris":["http://zotero.org/users/4946941/items/7F8PHKIQ"],"itemData":{"id":769,"type":"article-journal","container-title":"Journal of health and social behavior","DOI":"10.1177/0022146510383498","issue":"1_suppl","language":"en","page":"28– 40","title":"Social conditions as fundamental causes of health inequalities: theory, evidence, and policy implications","volume":"51","author":[{"family":"Phelan","given":"J.C."},{"family":"Link","given":"B.G."},{"family":"Tehranifar","given":"P."}],"issued":{"date-parts":[["2010"]]}},"locator":"S29","label":"page","suppress-author":true}],"schema":"https://github.com/citation-style-language/schema/raw/master/csl-citation.json"} </w:instrText>
      </w:r>
      <w:r w:rsidR="00987588" w:rsidRPr="00424BD3">
        <w:rPr>
          <w:rFonts w:cs="Arial"/>
          <w:szCs w:val="24"/>
        </w:rPr>
        <w:fldChar w:fldCharType="separate"/>
      </w:r>
      <w:r w:rsidR="00987588" w:rsidRPr="00424BD3">
        <w:rPr>
          <w:rFonts w:cs="Arial"/>
        </w:rPr>
        <w:t>(2010, p. S29)</w:t>
      </w:r>
      <w:r w:rsidR="00987588" w:rsidRPr="00424BD3">
        <w:rPr>
          <w:rFonts w:cs="Arial"/>
          <w:szCs w:val="24"/>
        </w:rPr>
        <w:fldChar w:fldCharType="end"/>
      </w:r>
      <w:r w:rsidR="00DF78D2" w:rsidRPr="00424BD3">
        <w:rPr>
          <w:rFonts w:cs="Arial"/>
          <w:szCs w:val="24"/>
        </w:rPr>
        <w:t xml:space="preserve"> call “flexible resources” </w:t>
      </w:r>
      <w:r w:rsidR="00612E62" w:rsidRPr="00424BD3">
        <w:rPr>
          <w:rFonts w:cs="Arial"/>
          <w:szCs w:val="24"/>
        </w:rPr>
        <w:t>–</w:t>
      </w:r>
      <w:r w:rsidR="00DF78D2" w:rsidRPr="00424BD3">
        <w:rPr>
          <w:rFonts w:cs="Arial"/>
          <w:szCs w:val="24"/>
        </w:rPr>
        <w:t xml:space="preserve"> </w:t>
      </w:r>
      <w:r w:rsidR="00612E62" w:rsidRPr="00424BD3">
        <w:rPr>
          <w:rFonts w:cs="Arial"/>
          <w:szCs w:val="24"/>
        </w:rPr>
        <w:t xml:space="preserve">the fundamental causes of </w:t>
      </w:r>
      <w:r w:rsidR="00FD009C" w:rsidRPr="00424BD3">
        <w:rPr>
          <w:rFonts w:cs="Arial"/>
          <w:szCs w:val="24"/>
        </w:rPr>
        <w:t>power, income, wealth, knowledge</w:t>
      </w:r>
      <w:r w:rsidR="00E9203B" w:rsidRPr="00424BD3">
        <w:rPr>
          <w:rFonts w:cs="Arial"/>
          <w:szCs w:val="24"/>
        </w:rPr>
        <w:t>, prestige</w:t>
      </w:r>
      <w:r w:rsidR="00D1516C">
        <w:rPr>
          <w:rFonts w:cs="Arial"/>
          <w:szCs w:val="24"/>
        </w:rPr>
        <w:t>,</w:t>
      </w:r>
      <w:r w:rsidR="00E9203B" w:rsidRPr="00424BD3">
        <w:rPr>
          <w:rFonts w:cs="Arial"/>
          <w:szCs w:val="24"/>
        </w:rPr>
        <w:t xml:space="preserve"> and social cohesion </w:t>
      </w:r>
      <w:r w:rsidR="00612E62" w:rsidRPr="00424BD3">
        <w:rPr>
          <w:rFonts w:cs="Arial"/>
          <w:szCs w:val="24"/>
        </w:rPr>
        <w:t>and their impact on health across time</w:t>
      </w:r>
      <w:r w:rsidR="00AB17AF" w:rsidRPr="00424BD3">
        <w:rPr>
          <w:rFonts w:cs="Arial"/>
          <w:szCs w:val="24"/>
        </w:rPr>
        <w:t xml:space="preserve">, even if </w:t>
      </w:r>
      <w:r w:rsidR="00BD187F" w:rsidRPr="00424BD3">
        <w:rPr>
          <w:rFonts w:cs="Arial"/>
          <w:szCs w:val="24"/>
        </w:rPr>
        <w:t xml:space="preserve">a society’s disease, risk, and protective factors </w:t>
      </w:r>
      <w:r w:rsidR="00A600FE" w:rsidRPr="00424BD3">
        <w:rPr>
          <w:rFonts w:cs="Arial"/>
          <w:szCs w:val="24"/>
        </w:rPr>
        <w:t>change</w:t>
      </w:r>
      <w:r w:rsidR="00E9203B" w:rsidRPr="00424BD3">
        <w:rPr>
          <w:rFonts w:cs="Arial"/>
          <w:szCs w:val="24"/>
        </w:rPr>
        <w:fldChar w:fldCharType="begin"/>
      </w:r>
      <w:r w:rsidR="00990F3A">
        <w:rPr>
          <w:rFonts w:cs="Arial"/>
          <w:szCs w:val="24"/>
        </w:rPr>
        <w:instrText xml:space="preserve"> ADDIN ZOTERO_ITEM CSL_CITATION {"citationID":"m44KmjPk","properties":{"formattedCitation":"(J. C. Phelan et al., 2010, p. 529)","plainCitation":"(J. C. Phelan et al., 2010, p. 529)","dontUpdate":true,"noteIndex":0},"citationItems":[{"id":769,"uris":["http://zotero.org/users/4946941/items/7F8PHKIQ"],"itemData":{"id":769,"type":"article-journal","container-title":"Journal of health and social behavior","DOI":"10.1177/0022146510383498","issue":"1_suppl","language":"en","page":"28– 40","title":"Social conditions as fundamental causes of health inequalities: theory, evidence, and policy implications","volume":"51","author":[{"family":"Phelan","given":"J.C."},{"family":"Link","given":"B.G."},{"family":"Tehranifar","given":"P."}],"issued":{"date-parts":[["2010"]]}},"locator":"529","label":"page"}],"schema":"https://github.com/citation-style-language/schema/raw/master/csl-citation.json"} </w:instrText>
      </w:r>
      <w:r w:rsidR="00E9203B" w:rsidRPr="00424BD3">
        <w:rPr>
          <w:rFonts w:cs="Arial"/>
          <w:szCs w:val="24"/>
        </w:rPr>
        <w:fldChar w:fldCharType="end"/>
      </w:r>
      <w:r w:rsidR="00987588" w:rsidRPr="00424BD3">
        <w:rPr>
          <w:rFonts w:cs="Arial"/>
          <w:szCs w:val="24"/>
        </w:rPr>
        <w:t xml:space="preserve">. </w:t>
      </w:r>
      <w:r w:rsidR="00C44984" w:rsidRPr="00424BD3">
        <w:rPr>
          <w:rFonts w:cs="Arial"/>
          <w:szCs w:val="24"/>
        </w:rPr>
        <w:t xml:space="preserve">These flexible </w:t>
      </w:r>
      <w:r w:rsidR="00C44984" w:rsidRPr="00424BD3">
        <w:rPr>
          <w:rFonts w:cs="Arial"/>
          <w:szCs w:val="24"/>
        </w:rPr>
        <w:lastRenderedPageBreak/>
        <w:t>resources</w:t>
      </w:r>
      <w:r w:rsidR="00340D03" w:rsidRPr="00424BD3">
        <w:rPr>
          <w:rFonts w:cs="Arial"/>
          <w:szCs w:val="24"/>
        </w:rPr>
        <w:t xml:space="preserve"> </w:t>
      </w:r>
      <w:r w:rsidR="00C44984" w:rsidRPr="00424BD3">
        <w:rPr>
          <w:rFonts w:cs="Arial"/>
          <w:szCs w:val="24"/>
        </w:rPr>
        <w:t>are used by individuals</w:t>
      </w:r>
      <w:r w:rsidR="00340D03" w:rsidRPr="00424BD3">
        <w:rPr>
          <w:rFonts w:cs="Arial"/>
          <w:szCs w:val="24"/>
        </w:rPr>
        <w:t xml:space="preserve">, to the extent that they have each of these resources, </w:t>
      </w:r>
      <w:r w:rsidR="00C44984" w:rsidRPr="00424BD3">
        <w:rPr>
          <w:rFonts w:cs="Arial"/>
          <w:szCs w:val="24"/>
        </w:rPr>
        <w:t>to mitigate poor health outcomes</w:t>
      </w:r>
      <w:r w:rsidR="00340D03" w:rsidRPr="00424BD3">
        <w:rPr>
          <w:rFonts w:cs="Arial"/>
          <w:szCs w:val="24"/>
        </w:rPr>
        <w:t xml:space="preserve">. </w:t>
      </w:r>
      <w:r w:rsidRPr="00424BD3">
        <w:rPr>
          <w:rFonts w:cs="Arial"/>
          <w:szCs w:val="24"/>
        </w:rPr>
        <w:t>Because this study looks to examine whether place, time, social, geopolitical, and cultural surroundings counteract or solidify the participants’ familial health, it is imperative to look at not only their family history and health history, but where they grew up, where they work or have worked, why they chose to relocate to East Tennessee, what social systems and social networks they were and are surrounded by.</w:t>
      </w:r>
    </w:p>
    <w:p w14:paraId="6E999563" w14:textId="5422EA75" w:rsidR="00960F70" w:rsidRPr="00424BD3" w:rsidRDefault="00960F70" w:rsidP="00960F70">
      <w:pPr>
        <w:pStyle w:val="Heading4"/>
        <w:spacing w:before="0" w:line="480" w:lineRule="auto"/>
        <w:rPr>
          <w:rFonts w:ascii="Arial" w:hAnsi="Arial" w:cs="Arial"/>
          <w:color w:val="auto"/>
        </w:rPr>
      </w:pPr>
      <w:r w:rsidRPr="00424BD3">
        <w:rPr>
          <w:rFonts w:ascii="Arial" w:hAnsi="Arial" w:cs="Arial"/>
          <w:color w:val="auto"/>
        </w:rPr>
        <w:t>Intersectionality Theory</w:t>
      </w:r>
    </w:p>
    <w:p w14:paraId="28443CCF" w14:textId="5615BF8C" w:rsidR="008844E4" w:rsidRPr="00424BD3" w:rsidRDefault="008844E4" w:rsidP="008443E7">
      <w:pPr>
        <w:spacing w:after="0" w:line="480" w:lineRule="auto"/>
        <w:ind w:firstLine="720"/>
        <w:rPr>
          <w:rFonts w:cs="Arial"/>
          <w:szCs w:val="24"/>
        </w:rPr>
      </w:pPr>
      <w:r w:rsidRPr="00424BD3">
        <w:rPr>
          <w:rFonts w:cs="Arial"/>
          <w:szCs w:val="24"/>
        </w:rPr>
        <w:t xml:space="preserve">Because so many factors interact with familial health, embedding intersectionality and critical theories in this study are needed. Adding to Crenshaw’s </w:t>
      </w:r>
      <w:r w:rsidRPr="00424BD3">
        <w:rPr>
          <w:rFonts w:cs="Arial"/>
          <w:szCs w:val="24"/>
        </w:rPr>
        <w:fldChar w:fldCharType="begin"/>
      </w:r>
      <w:r w:rsidR="00990F3A">
        <w:rPr>
          <w:rFonts w:cs="Arial"/>
          <w:szCs w:val="24"/>
        </w:rPr>
        <w:instrText xml:space="preserve"> ADDIN ZOTERO_ITEM CSL_CITATION {"citationID":"Jb43U8ki","properties":{"formattedCitation":"(1989)","plainCitation":"(1989)","noteIndex":0},"citationItems":[{"id":964,"uris":["http://zotero.org/users/4946941/items/L8U5BWTM"],"itemData":{"id":964,"type":"article-journal","container-title":"U. Chi. Legal F.","page":"139","title":"Demarginalizing the Intersection of Race and Sex: A Black Feminist Critique of Antidiscrimination Doctrine, Feminist Theory and Antiracist Politics","title-short":"Demarginalizing the Intersection of Race and Sex","volume":"1989","author":[{"family":"Crenshaw","given":"Kimberlé"}],"issued":{"date-parts":[["1989",1,1]]}},"suppress-author":true}],"schema":"https://github.com/citation-style-language/schema/raw/master/csl-citation.json"} </w:instrText>
      </w:r>
      <w:r w:rsidRPr="00424BD3">
        <w:rPr>
          <w:rFonts w:cs="Arial"/>
          <w:szCs w:val="24"/>
        </w:rPr>
        <w:fldChar w:fldCharType="separate"/>
      </w:r>
      <w:r w:rsidRPr="00424BD3">
        <w:rPr>
          <w:rFonts w:cs="Arial"/>
        </w:rPr>
        <w:t>(1989)</w:t>
      </w:r>
      <w:r w:rsidRPr="00424BD3">
        <w:rPr>
          <w:rFonts w:cs="Arial"/>
          <w:szCs w:val="24"/>
        </w:rPr>
        <w:fldChar w:fldCharType="end"/>
      </w:r>
      <w:r w:rsidRPr="00424BD3">
        <w:rPr>
          <w:rFonts w:cs="Arial"/>
          <w:szCs w:val="24"/>
        </w:rPr>
        <w:t xml:space="preserve"> </w:t>
      </w:r>
      <w:r w:rsidRPr="00424BD3">
        <w:rPr>
          <w:rFonts w:cs="Arial"/>
          <w:bCs/>
          <w:szCs w:val="24"/>
        </w:rPr>
        <w:t>intersectionality theory</w:t>
      </w:r>
      <w:r w:rsidRPr="00424BD3">
        <w:rPr>
          <w:rFonts w:cs="Arial"/>
          <w:szCs w:val="24"/>
        </w:rPr>
        <w:t>,</w:t>
      </w:r>
      <w:r w:rsidR="006B5FFE" w:rsidRPr="00424BD3">
        <w:rPr>
          <w:rFonts w:cs="Arial"/>
          <w:szCs w:val="24"/>
        </w:rPr>
        <w:t xml:space="preserve"> P.H. Collins</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{"citationID":"jTlhDML0","properties":{"formattedCitation":"(1998)","plainCitation":"(1998)","noteIndex":0},"citationItems":[{"id":966,"uris":["http://zotero.org/users/4946941/items/AMRGL3MU"],"itemData":{"id":966,"type":"article-journal","abstract":"This article explores how recent theoretical developments in viewing race, social class, gender, and nation as dimensions of interlocking systems of oppression might suggest new directions for Black family studies. Traditional social science approaches typically treat race, class, gender, and nationality as descriptive variables attached to individuals who are then reinserted into existing theoretical models on the family. In contrast, intersectional approaches view institutionalized racism, social class relations, gender inequalities, and nationalism expressed on both sides of state power as analytical constructs that explain family organization in general, and Black family organization in particular. By exploring three such intersections, namely those of race and class, of race and gender, and of race and nation, this article examines how selected issues in Black family studies might benefit by approaching Black family studies via an intersectional lens.","container-title":"Journal of Comparative Family Studies","DOI":"10.3138/jcfs.29.1.27","ISSN":"0047-2328","issue":"1","note":"publisher: University of Toronto Press","page":"27-36","source":"utpjournals.press (Atypon)","title":"Intersections of Race, Class, Gender, and Nation: Some Implications for Black Family Studies","title-short":"Intersections of Race, Class, Gender, and Nation","volume":"29","author":[{"family":"Collins","given":"Patricia Hill"}],"issued":{"date-parts":[["1998",3]]}},"label":"page","suppress-author":true}],"schema":"https://github.com/citation-style-language/schema/raw/master/csl-citation.json"} </w:instrText>
      </w:r>
      <w:r w:rsidRPr="00424BD3">
        <w:rPr>
          <w:rFonts w:cs="Arial"/>
          <w:szCs w:val="24"/>
        </w:rPr>
        <w:fldChar w:fldCharType="separate"/>
      </w:r>
      <w:r w:rsidR="006B5FFE" w:rsidRPr="00424BD3">
        <w:rPr>
          <w:rFonts w:cs="Arial"/>
        </w:rPr>
        <w:t>(1998)</w:t>
      </w:r>
      <w:r w:rsidRPr="00424BD3">
        <w:rPr>
          <w:rFonts w:cs="Arial"/>
          <w:szCs w:val="24"/>
        </w:rPr>
        <w:fldChar w:fldCharType="end"/>
      </w:r>
      <w:r w:rsidRPr="00424BD3">
        <w:rPr>
          <w:rFonts w:cs="Arial"/>
          <w:szCs w:val="24"/>
        </w:rPr>
        <w:t xml:space="preserve"> expanded this to family systems. The State has traditionally and continues to attempt to define what and whom </w:t>
      </w:r>
      <w:r w:rsidR="006B5FFE" w:rsidRPr="00424BD3">
        <w:rPr>
          <w:rFonts w:cs="Arial"/>
          <w:szCs w:val="24"/>
        </w:rPr>
        <w:t xml:space="preserve">constitutes </w:t>
      </w:r>
      <w:r w:rsidRPr="00424BD3">
        <w:rPr>
          <w:rFonts w:cs="Arial"/>
          <w:szCs w:val="24"/>
        </w:rPr>
        <w:t xml:space="preserve">‘family’ </w:t>
      </w:r>
      <w:r w:rsidRPr="00424BD3">
        <w:rPr>
          <w:rFonts w:cs="Arial"/>
          <w:szCs w:val="24"/>
        </w:rPr>
        <w:fldChar w:fldCharType="begin"/>
      </w:r>
      <w:r w:rsidR="00990F3A">
        <w:rPr>
          <w:rFonts w:cs="Arial"/>
          <w:szCs w:val="24"/>
        </w:rPr>
        <w:instrText xml:space="preserve"> ADDIN ZOTERO_ITEM CSL_CITATION {"citationID":"qMGVe82B","properties":{"formattedCitation":"(Thomeer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This is certainly the case in Tennessee, with</w:t>
      </w:r>
      <w:r w:rsidR="00B360F1">
        <w:rPr>
          <w:rFonts w:cs="Arial"/>
          <w:szCs w:val="24"/>
        </w:rPr>
        <w:t xml:space="preserve"> the</w:t>
      </w:r>
      <w:r w:rsidRPr="00424BD3">
        <w:rPr>
          <w:rFonts w:cs="Arial"/>
          <w:szCs w:val="24"/>
        </w:rPr>
        <w:t xml:space="preserve"> recent</w:t>
      </w:r>
      <w:r w:rsidR="00B360F1">
        <w:rPr>
          <w:rFonts w:cs="Arial"/>
          <w:szCs w:val="24"/>
        </w:rPr>
        <w:t>ly failed</w:t>
      </w:r>
      <w:r w:rsidRPr="00424BD3">
        <w:rPr>
          <w:rFonts w:cs="Arial"/>
          <w:szCs w:val="24"/>
        </w:rPr>
        <w:t xml:space="preserve"> legislation introduced in the state house of representatives for special permits for heterosexual marriages</w:t>
      </w:r>
      <w:r w:rsidR="00B360F1">
        <w:rPr>
          <w:rFonts w:cs="Arial"/>
          <w:szCs w:val="24"/>
        </w:rPr>
        <w:t xml:space="preserve"> </w:t>
      </w:r>
      <w:r w:rsidRPr="00424BD3">
        <w:rPr>
          <w:rFonts w:cs="Arial"/>
          <w:szCs w:val="24"/>
        </w:rPr>
        <w:t xml:space="preserve">to give advantages to those types of families who match the state’s criterion while attempting to marginalize those family units which do not meet this criterion </w:t>
      </w:r>
      <w:r w:rsidRPr="00424BD3">
        <w:rPr>
          <w:rFonts w:cs="Arial"/>
          <w:szCs w:val="24"/>
        </w:rPr>
        <w:fldChar w:fldCharType="begin"/>
      </w:r>
      <w:r w:rsidR="00990F3A">
        <w:rPr>
          <w:rFonts w:cs="Arial"/>
          <w:szCs w:val="24"/>
        </w:rPr>
        <w:instrText xml:space="preserve"> ADDIN ZOTERO_ITEM CSL_CITATION {"citationID":"WsdXbdTd","properties":{"formattedCitation":"(M. Brown, 2022)","plainCitation":"(M. Brown, 2022)","noteIndex":0},"citationItems":[{"id":967,"uris":["http://zotero.org/users/4946941/items/7IT22EWH"],"itemData":{"id":967,"type":"article-newspaper","abstract":"The bill's supporters object to signing Tennessee marriage certificates when LGBTQ couples have the right to marry.","container-title":"The Tennessean","language":"en-US","section":"Politics","title":"Tennessee marriage bill fails to advance in General Assembly after age-limit controversy","URL":"https://www.tennessean.com/story/news/politics/2022/04/13/tennessee-marriage-bill-no-age-limit-not-advance-year-after-backlash-child-bride-concerns/7303147001/","author":[{"family":"Brown","given":"Melissa"}],"accessed":{"date-parts":[["2022",7,16]]},"issued":{"date-parts":[["2022",4,13]]}}}],"schema":"https://github.com/citation-style-language/schema/raw/master/csl-citation.json"} </w:instrText>
      </w:r>
      <w:r w:rsidRPr="00424BD3">
        <w:rPr>
          <w:rFonts w:cs="Arial"/>
          <w:szCs w:val="24"/>
        </w:rPr>
        <w:fldChar w:fldCharType="separate"/>
      </w:r>
      <w:r w:rsidRPr="00424BD3">
        <w:rPr>
          <w:rFonts w:cs="Arial"/>
        </w:rPr>
        <w:t xml:space="preserve">(M. </w:t>
      </w:r>
      <w:r w:rsidR="000B0F8C" w:rsidRPr="00424BD3">
        <w:rPr>
          <w:rFonts w:cs="Arial"/>
        </w:rPr>
        <w:t>Brown</w:t>
      </w:r>
      <w:r w:rsidRPr="00424BD3">
        <w:rPr>
          <w:rFonts w:cs="Arial"/>
        </w:rPr>
        <w:t>, 2022)</w:t>
      </w:r>
      <w:r w:rsidRPr="00424BD3">
        <w:rPr>
          <w:rFonts w:cs="Arial"/>
          <w:szCs w:val="24"/>
        </w:rPr>
        <w:fldChar w:fldCharType="end"/>
      </w:r>
      <w:r w:rsidRPr="00424BD3">
        <w:rPr>
          <w:rFonts w:cs="Arial"/>
          <w:szCs w:val="24"/>
        </w:rPr>
        <w:t xml:space="preserve">. This </w:t>
      </w:r>
      <w:r w:rsidR="004D1F9E" w:rsidRPr="00424BD3">
        <w:rPr>
          <w:rFonts w:cs="Arial"/>
          <w:szCs w:val="24"/>
        </w:rPr>
        <w:t xml:space="preserve">can </w:t>
      </w:r>
      <w:r w:rsidRPr="00424BD3">
        <w:rPr>
          <w:rFonts w:cs="Arial"/>
          <w:szCs w:val="24"/>
        </w:rPr>
        <w:t>impact a family’s health and wellbeing and exacerbate their health inequities</w:t>
      </w:r>
      <w:r w:rsidR="004D1F9E" w:rsidRPr="00424BD3">
        <w:rPr>
          <w:rFonts w:cs="Arial"/>
          <w:szCs w:val="24"/>
        </w:rPr>
        <w:t xml:space="preserve"> because it removes resources that may be available to </w:t>
      </w:r>
      <w:r w:rsidR="0019565A" w:rsidRPr="00424BD3">
        <w:rPr>
          <w:rFonts w:cs="Arial"/>
          <w:szCs w:val="24"/>
        </w:rPr>
        <w:t xml:space="preserve">individuals to mitigate the health inequities they face, and because the systemic nature of discrimination and withholding of resources </w:t>
      </w:r>
      <w:r w:rsidR="00E070D4" w:rsidRPr="00424BD3">
        <w:rPr>
          <w:rFonts w:cs="Arial"/>
          <w:szCs w:val="24"/>
        </w:rPr>
        <w:t xml:space="preserve">creates </w:t>
      </w:r>
      <w:r w:rsidR="00BC5A6A" w:rsidRPr="00424BD3">
        <w:rPr>
          <w:rFonts w:cs="Arial"/>
          <w:szCs w:val="24"/>
        </w:rPr>
        <w:t xml:space="preserve">the systematic, </w:t>
      </w:r>
      <w:r w:rsidR="00E070D4" w:rsidRPr="00424BD3">
        <w:rPr>
          <w:rFonts w:cs="Arial"/>
          <w:szCs w:val="24"/>
        </w:rPr>
        <w:t>preventable</w:t>
      </w:r>
      <w:r w:rsidR="00BC5A6A" w:rsidRPr="00424BD3">
        <w:rPr>
          <w:rFonts w:cs="Arial"/>
          <w:szCs w:val="24"/>
        </w:rPr>
        <w:t xml:space="preserve">, and unjust differences between groups </w:t>
      </w:r>
      <w:r w:rsidR="004052C7" w:rsidRPr="00424BD3">
        <w:rPr>
          <w:rFonts w:cs="Arial"/>
          <w:szCs w:val="24"/>
        </w:rPr>
        <w:t xml:space="preserve">(such as families) </w:t>
      </w:r>
      <w:r w:rsidR="00BC5A6A" w:rsidRPr="00424BD3">
        <w:rPr>
          <w:rFonts w:cs="Arial"/>
          <w:szCs w:val="24"/>
        </w:rPr>
        <w:t>that c</w:t>
      </w:r>
      <w:r w:rsidR="004052C7" w:rsidRPr="00424BD3">
        <w:rPr>
          <w:rFonts w:cs="Arial"/>
          <w:szCs w:val="24"/>
        </w:rPr>
        <w:t xml:space="preserve">ause health inequities. This </w:t>
      </w:r>
      <w:r w:rsidRPr="00424BD3">
        <w:rPr>
          <w:rFonts w:cs="Arial"/>
          <w:szCs w:val="24"/>
        </w:rPr>
        <w:t xml:space="preserve">has been a factor in the lives of some of the women in this study who fall outside of traditional family structures. </w:t>
      </w:r>
    </w:p>
    <w:p w14:paraId="7999056F" w14:textId="7B231C2B" w:rsidR="008443E7" w:rsidRPr="00424BD3" w:rsidRDefault="008443E7" w:rsidP="008443E7">
      <w:pPr>
        <w:pStyle w:val="Heading4"/>
        <w:spacing w:before="0" w:line="480" w:lineRule="auto"/>
        <w:rPr>
          <w:rFonts w:ascii="Arial" w:hAnsi="Arial" w:cs="Arial"/>
          <w:color w:val="auto"/>
        </w:rPr>
      </w:pPr>
      <w:r w:rsidRPr="00424BD3">
        <w:rPr>
          <w:rFonts w:ascii="Arial" w:hAnsi="Arial" w:cs="Arial"/>
          <w:color w:val="auto"/>
        </w:rPr>
        <w:lastRenderedPageBreak/>
        <w:t>Family Diversity Perspectives Theory</w:t>
      </w:r>
    </w:p>
    <w:p w14:paraId="5CDD8DF7" w14:textId="1FF057BD" w:rsidR="008844E4" w:rsidRPr="00424BD3" w:rsidRDefault="008844E4" w:rsidP="003F7989">
      <w:pPr>
        <w:spacing w:after="0" w:line="480" w:lineRule="auto"/>
        <w:ind w:firstLine="720"/>
        <w:rPr>
          <w:rFonts w:cs="Arial"/>
          <w:szCs w:val="24"/>
        </w:rPr>
      </w:pPr>
      <w:r w:rsidRPr="00424BD3">
        <w:rPr>
          <w:rFonts w:cs="Arial"/>
          <w:szCs w:val="24"/>
        </w:rPr>
        <w:t xml:space="preserve">Looking at </w:t>
      </w:r>
      <w:r w:rsidRPr="00424BD3">
        <w:rPr>
          <w:rFonts w:cs="Arial"/>
          <w:bCs/>
          <w:szCs w:val="24"/>
        </w:rPr>
        <w:t>family diversity perspectives</w:t>
      </w:r>
      <w:r w:rsidR="00C370BC" w:rsidRPr="00424BD3">
        <w:rPr>
          <w:rFonts w:cs="Arial"/>
          <w:bCs/>
          <w:szCs w:val="24"/>
        </w:rPr>
        <w:t xml:space="preserve"> P.H. Collins</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{"citationID":"LLdAwjog","properties":{"formattedCitation":"(1998)","plainCitation":"(1998)","noteIndex":0},"citationItems":[{"id":966,"uris":["http://zotero.org/users/4946941/items/AMRGL3MU"],"itemData":{"id":966,"type":"article-journal","abstract":"This article explores how recent theoretical developments in viewing race, social class, gender, and nation as dimensions of interlocking systems of oppression might suggest new directions for Black family studies. Traditional social science approaches typically treat race, class, gender, and nationality as descriptive variables attached to individuals who are then reinserted into existing theoretical models on the family. In contrast, intersectional approaches view institutionalized racism, social class relations, gender inequalities, and nationalism expressed on both sides of state power as analytical constructs that explain family organization in general, and Black family organization in particular. By exploring three such intersections, namely those of race and class, of race and gender, and of race and nation, this article examines how selected issues in Black family studies might benefit by approaching Black family studies via an intersectional lens.","container-title":"Journal of Comparative Family Studies","DOI":"10.3138/jcfs.29.1.27","ISSN":"0047-2328","issue":"1","note":"publisher: University of Toronto Press","page":"27-36","source":"utpjournals.press (Atypon)","title":"Intersections of Race, Class, Gender, and Nation: Some Implications for Black Family Studies","title-short":"Intersections of Race, Class, Gender, and Nation","volume":"29","author":[{"family":"Collins","given":"Patricia Hill"}],"issued":{"date-parts":[["1998",3]]}},"label":"page","suppress-author":true}],"schema":"https://github.com/citation-style-language/schema/raw/master/csl-citation.json"} </w:instrText>
      </w:r>
      <w:r w:rsidRPr="00424BD3">
        <w:rPr>
          <w:rFonts w:cs="Arial"/>
          <w:szCs w:val="24"/>
        </w:rPr>
        <w:fldChar w:fldCharType="separate"/>
      </w:r>
      <w:r w:rsidR="00C370BC" w:rsidRPr="00424BD3">
        <w:rPr>
          <w:rFonts w:cs="Arial"/>
        </w:rPr>
        <w:t>(1998)</w:t>
      </w:r>
      <w:r w:rsidRPr="00424BD3">
        <w:rPr>
          <w:rFonts w:cs="Arial"/>
          <w:szCs w:val="24"/>
        </w:rPr>
        <w:fldChar w:fldCharType="end"/>
      </w:r>
      <w:r w:rsidRPr="00424BD3">
        <w:rPr>
          <w:rFonts w:cs="Arial"/>
          <w:szCs w:val="24"/>
        </w:rPr>
        <w:t xml:space="preserve"> argues that families that have been traditionally marginalized may have developed coping strategies which may help mitigate the social, cultural</w:t>
      </w:r>
      <w:r w:rsidR="00D40132">
        <w:rPr>
          <w:rFonts w:cs="Arial"/>
          <w:szCs w:val="24"/>
        </w:rPr>
        <w:t>,</w:t>
      </w:r>
      <w:r w:rsidRPr="00424BD3">
        <w:rPr>
          <w:rFonts w:cs="Arial"/>
          <w:szCs w:val="24"/>
        </w:rPr>
        <w:t xml:space="preserve"> and political norming that exacerbates the health inequities they face. This can be the case especially for those families who face additional impacts to their health outcomes </w:t>
      </w:r>
      <w:r w:rsidRPr="00424BD3">
        <w:rPr>
          <w:rFonts w:cs="Arial"/>
          <w:szCs w:val="24"/>
        </w:rPr>
        <w:fldChar w:fldCharType="begin"/>
      </w:r>
      <w:r w:rsidR="00990F3A">
        <w:rPr>
          <w:rFonts w:cs="Arial"/>
          <w:szCs w:val="24"/>
        </w:rPr>
        <w:instrText xml:space="preserve"> ADDIN ZOTERO_ITEM CSL_CITATION {"citationID":"fptN036k","properties":{"formattedCitation":"(Thomeer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such as those facing discrimination of any kind, those who are institutionalized, refugees, asylum seekers, deportees, prisoners and ex-prisoners, those who have had sudden traumatic deaths or illnesses of a loved one, those who have had loved ones with a stigmatized illness, or because of deaths perceived to have been prevent</w:t>
      </w:r>
      <w:r w:rsidR="00F7636C" w:rsidRPr="00424BD3">
        <w:rPr>
          <w:rFonts w:cs="Arial"/>
          <w:szCs w:val="24"/>
        </w:rPr>
        <w:t>able by individual behavior changes</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{"citationID":"7sJTEBpc","properties":{"formattedCitation":"(Thomeer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Th</w:t>
      </w:r>
      <w:r w:rsidR="00097B8D" w:rsidRPr="00424BD3">
        <w:rPr>
          <w:rFonts w:cs="Arial"/>
          <w:szCs w:val="24"/>
        </w:rPr>
        <w:t>is resonates with th</w:t>
      </w:r>
      <w:r w:rsidRPr="00424BD3">
        <w:rPr>
          <w:rFonts w:cs="Arial"/>
          <w:szCs w:val="24"/>
        </w:rPr>
        <w:t xml:space="preserve">e experiences that some of the participants in this study have had, particularly </w:t>
      </w:r>
      <w:r w:rsidR="000B0F8C" w:rsidRPr="00424BD3">
        <w:rPr>
          <w:rFonts w:cs="Arial"/>
          <w:szCs w:val="24"/>
        </w:rPr>
        <w:t>Black</w:t>
      </w:r>
      <w:r w:rsidRPr="00424BD3">
        <w:rPr>
          <w:rFonts w:cs="Arial"/>
          <w:szCs w:val="24"/>
        </w:rPr>
        <w:t xml:space="preserve"> and </w:t>
      </w:r>
      <w:r w:rsidR="000B0F8C" w:rsidRPr="00424BD3">
        <w:rPr>
          <w:rFonts w:cs="Arial"/>
          <w:szCs w:val="24"/>
        </w:rPr>
        <w:t>Brown</w:t>
      </w:r>
      <w:r w:rsidRPr="00424BD3">
        <w:rPr>
          <w:rFonts w:cs="Arial"/>
          <w:szCs w:val="24"/>
        </w:rPr>
        <w:t>, and non-cis gendered participants.</w:t>
      </w:r>
    </w:p>
    <w:p w14:paraId="37BC3430" w14:textId="6CB50875" w:rsidR="00D56B78" w:rsidRPr="00424BD3" w:rsidRDefault="00D56B78" w:rsidP="003F7989">
      <w:pPr>
        <w:pStyle w:val="Heading4"/>
        <w:spacing w:before="0" w:line="480" w:lineRule="auto"/>
        <w:rPr>
          <w:rFonts w:ascii="Arial" w:hAnsi="Arial" w:cs="Arial"/>
          <w:color w:val="auto"/>
        </w:rPr>
      </w:pPr>
      <w:r w:rsidRPr="00424BD3">
        <w:rPr>
          <w:rFonts w:ascii="Arial" w:hAnsi="Arial" w:cs="Arial"/>
          <w:color w:val="auto"/>
        </w:rPr>
        <w:t>Family Composition</w:t>
      </w:r>
      <w:r w:rsidR="00C50761" w:rsidRPr="00424BD3">
        <w:rPr>
          <w:rFonts w:ascii="Arial" w:hAnsi="Arial" w:cs="Arial"/>
          <w:color w:val="auto"/>
        </w:rPr>
        <w:t xml:space="preserve"> Based Health Disparities</w:t>
      </w:r>
      <w:r w:rsidRPr="00424BD3">
        <w:rPr>
          <w:rFonts w:ascii="Arial" w:hAnsi="Arial" w:cs="Arial"/>
          <w:color w:val="auto"/>
        </w:rPr>
        <w:t xml:space="preserve"> </w:t>
      </w:r>
    </w:p>
    <w:p w14:paraId="3A9C227C" w14:textId="4027897B" w:rsidR="008844E4" w:rsidRPr="00424BD3" w:rsidRDefault="008844E4" w:rsidP="00060838">
      <w:pPr>
        <w:spacing w:after="0" w:line="480" w:lineRule="auto"/>
        <w:ind w:firstLine="720"/>
        <w:rPr>
          <w:rFonts w:cs="Arial"/>
          <w:szCs w:val="24"/>
        </w:rPr>
      </w:pPr>
      <w:r w:rsidRPr="00424BD3">
        <w:rPr>
          <w:rFonts w:cs="Arial"/>
          <w:szCs w:val="24"/>
        </w:rPr>
        <w:t xml:space="preserve">Familial stigmatization and marginalization of certain family members can happen for a number of reasons, including illness and disease, which creates inequities within the family, adding another layer of inequity upon individual and familial health outcomes. These issues are studied through theories that look at </w:t>
      </w:r>
      <w:r w:rsidRPr="00424BD3">
        <w:rPr>
          <w:rFonts w:cs="Arial"/>
          <w:bCs/>
          <w:szCs w:val="24"/>
        </w:rPr>
        <w:t>family-composition based health disparities</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{"citationID":"czfyStKp","properties":{"formattedCitation":"(Thomeer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Stigmatization and marginalization can </w:t>
      </w:r>
      <w:r w:rsidR="00DE0370" w:rsidRPr="00424BD3">
        <w:rPr>
          <w:rFonts w:cs="Arial"/>
          <w:szCs w:val="24"/>
        </w:rPr>
        <w:t>contribute to</w:t>
      </w:r>
      <w:r w:rsidRPr="00424BD3">
        <w:rPr>
          <w:rFonts w:cs="Arial"/>
          <w:szCs w:val="24"/>
        </w:rPr>
        <w:t xml:space="preserve"> social isolation, even within their own </w:t>
      </w:r>
      <w:r w:rsidR="00DE0370" w:rsidRPr="00424BD3">
        <w:rPr>
          <w:rFonts w:cs="Arial"/>
          <w:szCs w:val="24"/>
        </w:rPr>
        <w:t>households</w:t>
      </w:r>
      <w:r w:rsidRPr="00424BD3">
        <w:rPr>
          <w:rFonts w:cs="Arial"/>
          <w:szCs w:val="24"/>
        </w:rPr>
        <w:t xml:space="preserve">. This is also particularly true for older women who tend to live alone at a much higher rate than older men </w:t>
      </w:r>
      <w:r w:rsidRPr="00424BD3">
        <w:rPr>
          <w:rFonts w:cs="Arial"/>
          <w:szCs w:val="24"/>
        </w:rPr>
        <w:fldChar w:fldCharType="begin"/>
      </w:r>
      <w:r w:rsidR="00990F3A">
        <w:rPr>
          <w:rFonts w:cs="Arial"/>
          <w:szCs w:val="24"/>
        </w:rPr>
        <w:instrText xml:space="preserve"> ADDIN ZOTERO_ITEM CSL_CITATION {"citationID":"0sDuJpyy","properties":{"formattedCitation":"(Thomeer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Older family members may have low control within the family, including regarding the choices affecting their own bodies </w:t>
      </w:r>
      <w:r w:rsidRPr="00424BD3">
        <w:rPr>
          <w:rFonts w:cs="Arial"/>
          <w:szCs w:val="24"/>
        </w:rPr>
        <w:fldChar w:fldCharType="begin"/>
      </w:r>
      <w:r w:rsidR="00990F3A">
        <w:rPr>
          <w:rFonts w:cs="Arial"/>
          <w:szCs w:val="24"/>
        </w:rPr>
        <w:instrText xml:space="preserve"> ADDIN ZOTERO_ITEM CSL_CITATION {"citationID":"CYvxxeRR","properties":{"formattedCitation":"(Thomeer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and </w:t>
      </w:r>
      <w:r w:rsidRPr="00424BD3">
        <w:rPr>
          <w:rFonts w:cs="Arial"/>
          <w:szCs w:val="24"/>
        </w:rPr>
        <w:lastRenderedPageBreak/>
        <w:t xml:space="preserve">control of their own body comes up again and again in the responses of the older women in this study. In a country where individual responsibility and control is the cornerstone of policymaking and intervention design, this loss of control compounds the burden of health inequities and can set the stage for their health outcomes, and their perceptions of or speaking about their and their family members’ health. </w:t>
      </w:r>
    </w:p>
    <w:p w14:paraId="08DCB8A4" w14:textId="1E37756C" w:rsidR="00D35B8E" w:rsidRPr="00424BD3" w:rsidRDefault="00D35B8E" w:rsidP="00060838">
      <w:pPr>
        <w:pStyle w:val="Heading4"/>
        <w:spacing w:before="0" w:line="480" w:lineRule="auto"/>
        <w:rPr>
          <w:rFonts w:ascii="Arial" w:hAnsi="Arial" w:cs="Arial"/>
          <w:color w:val="auto"/>
        </w:rPr>
      </w:pPr>
      <w:r w:rsidRPr="00424BD3">
        <w:rPr>
          <w:rFonts w:ascii="Arial" w:hAnsi="Arial" w:cs="Arial"/>
          <w:color w:val="auto"/>
        </w:rPr>
        <w:t>Family Social Contagion Studies</w:t>
      </w:r>
    </w:p>
    <w:p w14:paraId="12E3BC27" w14:textId="2C342B8E" w:rsidR="008844E4" w:rsidRPr="00424BD3" w:rsidRDefault="008844E4" w:rsidP="00060838">
      <w:pPr>
        <w:spacing w:after="0" w:line="480" w:lineRule="auto"/>
        <w:ind w:firstLine="720"/>
        <w:rPr>
          <w:rFonts w:cs="Arial"/>
          <w:szCs w:val="24"/>
        </w:rPr>
      </w:pPr>
      <w:r w:rsidRPr="00424BD3">
        <w:rPr>
          <w:rFonts w:cs="Arial"/>
          <w:szCs w:val="24"/>
        </w:rPr>
        <w:t xml:space="preserve">Finally, the field of </w:t>
      </w:r>
      <w:r w:rsidRPr="00424BD3">
        <w:rPr>
          <w:rFonts w:cs="Arial"/>
          <w:bCs/>
          <w:szCs w:val="24"/>
        </w:rPr>
        <w:t>family social contagion</w:t>
      </w:r>
      <w:r w:rsidRPr="00424BD3">
        <w:rPr>
          <w:rFonts w:cs="Arial"/>
          <w:szCs w:val="24"/>
        </w:rPr>
        <w:t xml:space="preserve"> studies </w:t>
      </w:r>
      <w:r w:rsidRPr="00424BD3">
        <w:rPr>
          <w:rFonts w:cs="Arial"/>
          <w:szCs w:val="24"/>
        </w:rPr>
        <w:fldChar w:fldCharType="begin"/>
      </w:r>
      <w:r w:rsidR="00990F3A">
        <w:rPr>
          <w:rFonts w:cs="Arial"/>
          <w:szCs w:val="24"/>
        </w:rPr>
        <w:instrText xml:space="preserve"> ADDIN ZOTERO_ITEM CSL_CITATION {"citationID":"j5qFdxAe","properties":{"formattedCitation":"(Christakis &amp; Fowler, 2009)","plainCitation":"(Christakis &amp; Fowler, 2009)","noteIndex":0},"citationItems":[{"id":969,"uris":["http://zotero.org/users/4946941/items/D5AQNRUG"],"itemData":{"id":969,"type":"book","abstract":"Celebrated scientists Nicholas Christakis and James Fowler explain the amazing power of social networks and our profound influence on one another's lives. Your colleague's husband's sister can make you fat, even if you don't know her. A happy neighbor has more impact on your happiness than a happy spouse. These startling revelations of how much we truly influence one another are revealed in the studies of Dr. Christakis and Fowler, which have repeatedly made front-page news nationwide.  In Connected, the authors explain why emotions are contagious, how health behaviors spread, why the rich get richer, even how we find and choose our partners. Intriguing and entertaining, Connected overturns the notion of the individual and provides a revolutionary paradigm-that social networks influence our ideas, emotions, health, relationships, behavior, politics, and much more. It will change the way we think about every aspect of our lives.","ISBN":"978-0-316-07134-5","language":"en","note":"Google-Books-ID: LXHi4wgIkzEC","number-of-pages":"344","publisher":"Little, Brown","source":"Google Books","title":"Connected: The Surprising Power of Our Social Networks and How They Shape Our Lives","title-short":"Connected","author":[{"family":"Christakis","given":"Nicholas A."},{"family":"Fowler","given":"James H."}],"issued":{"date-parts":[["2009",9,28]]}}}],"schema":"https://github.com/citation-style-language/schema/raw/master/csl-citation.json"} </w:instrText>
      </w:r>
      <w:r w:rsidRPr="00424BD3">
        <w:rPr>
          <w:rFonts w:cs="Arial"/>
          <w:szCs w:val="24"/>
        </w:rPr>
        <w:fldChar w:fldCharType="separate"/>
      </w:r>
      <w:r w:rsidRPr="00424BD3">
        <w:rPr>
          <w:rFonts w:cs="Arial"/>
        </w:rPr>
        <w:t>(Christakis &amp; Fowler, 2009)</w:t>
      </w:r>
      <w:r w:rsidRPr="00424BD3">
        <w:rPr>
          <w:rFonts w:cs="Arial"/>
          <w:szCs w:val="24"/>
        </w:rPr>
        <w:fldChar w:fldCharType="end"/>
      </w:r>
      <w:r w:rsidRPr="00424BD3">
        <w:rPr>
          <w:rFonts w:cs="Arial"/>
          <w:szCs w:val="24"/>
        </w:rPr>
        <w:t xml:space="preserve"> is of unique relevance for this study. It argues that more than infectious disease ‘spreads’ within families, but that chronic health </w:t>
      </w:r>
      <w:r w:rsidR="00AF7544" w:rsidRPr="00424BD3">
        <w:rPr>
          <w:rFonts w:cs="Arial"/>
          <w:szCs w:val="24"/>
        </w:rPr>
        <w:t xml:space="preserve">conditions </w:t>
      </w:r>
      <w:r w:rsidRPr="00424BD3">
        <w:rPr>
          <w:rFonts w:cs="Arial"/>
          <w:szCs w:val="24"/>
        </w:rPr>
        <w:t xml:space="preserve">and habits can spread as well. This phenomenon is often referred to as the </w:t>
      </w:r>
      <w:r w:rsidRPr="00424BD3">
        <w:rPr>
          <w:rFonts w:cs="Arial"/>
          <w:bCs/>
          <w:szCs w:val="24"/>
        </w:rPr>
        <w:t>downstream / upstream effects of health education</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{"citationID":"Bj6UWj8U","properties":{"formattedCitation":"(Thomeer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with parents teaching children and children teaching parents. Take, for instance, a child who learns about a ‘</w:t>
      </w:r>
      <w:r w:rsidR="00354D49" w:rsidRPr="00424BD3">
        <w:rPr>
          <w:rFonts w:cs="Arial"/>
          <w:szCs w:val="24"/>
        </w:rPr>
        <w:t>health</w:t>
      </w:r>
      <w:r w:rsidRPr="00424BD3">
        <w:rPr>
          <w:rFonts w:cs="Arial"/>
          <w:szCs w:val="24"/>
        </w:rPr>
        <w:t xml:space="preserve"> behavior’ habit from seeing a parent partake in that action, then begins doing that action too. Likewise, adult children, especially older women, are often parental caretakers, and may have some influence on parents regarding healthcare access and health behaviors </w:t>
      </w:r>
      <w:r w:rsidRPr="00424BD3">
        <w:rPr>
          <w:rFonts w:cs="Arial"/>
          <w:szCs w:val="24"/>
        </w:rPr>
        <w:fldChar w:fldCharType="begin"/>
      </w:r>
      <w:r w:rsidR="00990F3A">
        <w:rPr>
          <w:rFonts w:cs="Arial"/>
          <w:szCs w:val="24"/>
        </w:rPr>
        <w:instrText xml:space="preserve"> ADDIN ZOTERO_ITEM CSL_CITATION {"citationID":"JyqB3eI2","properties":{"formattedCitation":"(Thomeer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Because </w:t>
      </w:r>
      <w:r w:rsidR="00404C95" w:rsidRPr="00424BD3">
        <w:rPr>
          <w:rFonts w:cs="Arial"/>
          <w:szCs w:val="24"/>
        </w:rPr>
        <w:t>it is</w:t>
      </w:r>
      <w:r w:rsidRPr="00424BD3">
        <w:rPr>
          <w:rFonts w:cs="Arial"/>
          <w:szCs w:val="24"/>
        </w:rPr>
        <w:t xml:space="preserve"> know</w:t>
      </w:r>
      <w:r w:rsidR="00404C95" w:rsidRPr="00424BD3">
        <w:rPr>
          <w:rFonts w:cs="Arial"/>
          <w:szCs w:val="24"/>
        </w:rPr>
        <w:t>n</w:t>
      </w:r>
      <w:r w:rsidRPr="00424BD3">
        <w:rPr>
          <w:rFonts w:cs="Arial"/>
          <w:szCs w:val="24"/>
        </w:rPr>
        <w:t xml:space="preserve"> that families influence </w:t>
      </w:r>
      <w:r w:rsidR="0092351A" w:rsidRPr="00424BD3">
        <w:rPr>
          <w:rFonts w:cs="Arial"/>
          <w:szCs w:val="24"/>
        </w:rPr>
        <w:t xml:space="preserve">each </w:t>
      </w:r>
      <w:r w:rsidRPr="00424BD3">
        <w:rPr>
          <w:rFonts w:cs="Arial"/>
          <w:szCs w:val="24"/>
        </w:rPr>
        <w:t>other’s political, religious</w:t>
      </w:r>
      <w:r w:rsidR="0033738D">
        <w:rPr>
          <w:rFonts w:cs="Arial"/>
          <w:szCs w:val="24"/>
        </w:rPr>
        <w:t>,</w:t>
      </w:r>
      <w:r w:rsidRPr="00424BD3">
        <w:rPr>
          <w:rFonts w:cs="Arial"/>
          <w:szCs w:val="24"/>
        </w:rPr>
        <w:t xml:space="preserve"> and geographical location beliefs and attitudes </w:t>
      </w:r>
      <w:r w:rsidRPr="00424BD3">
        <w:rPr>
          <w:rFonts w:cs="Arial"/>
          <w:szCs w:val="24"/>
        </w:rPr>
        <w:fldChar w:fldCharType="begin"/>
      </w:r>
      <w:r w:rsidR="00990F3A">
        <w:rPr>
          <w:rFonts w:cs="Arial"/>
          <w:szCs w:val="24"/>
        </w:rPr>
        <w:instrText xml:space="preserve"> ADDIN ZOTERO_ITEM CSL_CITATION {"citationID":"4MxLt1uK","properties":{"formattedCitation":"(Thomeer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the </w:t>
      </w:r>
      <w:r w:rsidR="002276D2" w:rsidRPr="00424BD3">
        <w:rPr>
          <w:rFonts w:cs="Arial"/>
          <w:szCs w:val="24"/>
        </w:rPr>
        <w:t xml:space="preserve">idea that families spread these beliefs and attitudes about health and mortality outcomes to other family members is of major importance </w:t>
      </w:r>
      <w:r w:rsidRPr="00424BD3">
        <w:rPr>
          <w:rFonts w:cs="Arial"/>
          <w:szCs w:val="24"/>
        </w:rPr>
        <w:t xml:space="preserve">for this study. </w:t>
      </w:r>
    </w:p>
    <w:p w14:paraId="45B5D41F" w14:textId="5EBBF0EE" w:rsidR="008844E4" w:rsidRPr="00424BD3" w:rsidRDefault="008844E4" w:rsidP="000126EE">
      <w:pPr>
        <w:spacing w:after="0" w:line="480" w:lineRule="auto"/>
        <w:ind w:firstLine="720"/>
        <w:rPr>
          <w:rFonts w:cs="Arial"/>
          <w:szCs w:val="24"/>
        </w:rPr>
      </w:pPr>
      <w:r w:rsidRPr="00424BD3">
        <w:rPr>
          <w:rFonts w:cs="Arial"/>
          <w:szCs w:val="24"/>
        </w:rPr>
        <w:t>Each of the theories above interweave with one another to paint a fuller picture of how family dynamics may interact with health, mortality, life expectancy</w:t>
      </w:r>
      <w:r w:rsidR="00220BB9">
        <w:rPr>
          <w:rFonts w:cs="Arial"/>
          <w:szCs w:val="24"/>
        </w:rPr>
        <w:t>,</w:t>
      </w:r>
      <w:r w:rsidRPr="00424BD3">
        <w:rPr>
          <w:rFonts w:cs="Arial"/>
          <w:szCs w:val="24"/>
        </w:rPr>
        <w:t xml:space="preserve"> and health inequities</w:t>
      </w:r>
      <w:r w:rsidR="00F6328E" w:rsidRPr="00424BD3">
        <w:rPr>
          <w:rFonts w:cs="Arial"/>
          <w:szCs w:val="24"/>
        </w:rPr>
        <w:t xml:space="preserve"> across the generations</w:t>
      </w:r>
      <w:r w:rsidRPr="00424BD3">
        <w:rPr>
          <w:rFonts w:cs="Arial"/>
          <w:szCs w:val="24"/>
        </w:rPr>
        <w:t xml:space="preserve">. </w:t>
      </w:r>
    </w:p>
    <w:p w14:paraId="6B978CB0" w14:textId="6DA095B4" w:rsidR="008844E4" w:rsidRPr="00424BD3" w:rsidRDefault="008844E4" w:rsidP="000126EE">
      <w:pPr>
        <w:pStyle w:val="Heading2"/>
        <w:spacing w:before="0" w:line="480" w:lineRule="auto"/>
        <w:jc w:val="center"/>
        <w:rPr>
          <w:rFonts w:ascii="Arial" w:hAnsi="Arial" w:cs="Arial"/>
          <w:b/>
          <w:bCs/>
          <w:color w:val="auto"/>
          <w:sz w:val="24"/>
          <w:szCs w:val="24"/>
        </w:rPr>
      </w:pPr>
      <w:bookmarkStart w:id="36" w:name="_Toc118232306"/>
      <w:r w:rsidRPr="00424BD3">
        <w:rPr>
          <w:rFonts w:ascii="Arial" w:hAnsi="Arial" w:cs="Arial"/>
          <w:b/>
          <w:bCs/>
          <w:color w:val="auto"/>
          <w:sz w:val="24"/>
          <w:szCs w:val="24"/>
        </w:rPr>
        <w:lastRenderedPageBreak/>
        <w:t>Family Health History</w:t>
      </w:r>
      <w:bookmarkEnd w:id="36"/>
    </w:p>
    <w:p w14:paraId="2FFD3D91" w14:textId="5468E2F8" w:rsidR="008844E4" w:rsidRPr="00424BD3" w:rsidRDefault="008844E4" w:rsidP="000126EE">
      <w:pPr>
        <w:spacing w:after="0" w:line="480" w:lineRule="auto"/>
        <w:ind w:firstLine="720"/>
        <w:rPr>
          <w:rFonts w:cs="Arial"/>
          <w:szCs w:val="24"/>
        </w:rPr>
      </w:pPr>
      <w:r w:rsidRPr="00424BD3">
        <w:rPr>
          <w:rFonts w:cs="Arial"/>
          <w:szCs w:val="24"/>
        </w:rPr>
        <w:t xml:space="preserve">There is something enticing about the feeling of being in control. It shapes life’s ambiguity, makes people cling to ideas of agency, helps make meaning out of the unpredictable cruelty seen in daily living. When applied to illness prevention, as </w:t>
      </w:r>
      <w:r w:rsidRPr="00424BD3">
        <w:rPr>
          <w:rFonts w:cs="Arial"/>
          <w:szCs w:val="24"/>
        </w:rPr>
        <w:fldChar w:fldCharType="begin"/>
      </w:r>
      <w:r w:rsidR="00990F3A">
        <w:rPr>
          <w:rFonts w:cs="Arial"/>
          <w:szCs w:val="24"/>
        </w:rPr>
        <w:instrText xml:space="preserve"> ADDIN ZOTERO_ITEM CSL_CITATION {"citationID":"3wNs8iEL","properties":{"formattedCitation":"(Davison et al., 1992)","plainCitation":"(Davison et al., 1992)","noteIndex":0},"citationItems":[{"id":971,"uris":["http://zotero.org/users/4946941/items/I3EQKJNR"],"itemData":{"id":971,"type":"article-journal","abstract":"This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Davey"}],"issued":{"date-parts":[["1992",3,1]]}}}],"schema":"https://github.com/citation-style-language/schema/raw/master/csl-citation.json"} </w:instrText>
      </w:r>
      <w:r w:rsidRPr="00424BD3">
        <w:rPr>
          <w:rFonts w:cs="Arial"/>
          <w:szCs w:val="24"/>
        </w:rPr>
        <w:fldChar w:fldCharType="separate"/>
      </w:r>
      <w:r w:rsidRPr="00424BD3">
        <w:rPr>
          <w:rFonts w:cs="Arial"/>
        </w:rPr>
        <w:t>(Davison et al., 1992)</w:t>
      </w:r>
      <w:r w:rsidRPr="00424BD3">
        <w:rPr>
          <w:rFonts w:cs="Arial"/>
          <w:szCs w:val="24"/>
        </w:rPr>
        <w:fldChar w:fldCharType="end"/>
      </w:r>
      <w:r w:rsidRPr="00424BD3">
        <w:rPr>
          <w:rFonts w:cs="Arial"/>
          <w:szCs w:val="24"/>
        </w:rPr>
        <w:t xml:space="preserve"> examined in their seminal work on fatalism, it gives rise to </w:t>
      </w:r>
      <w:r w:rsidR="003846AB" w:rsidRPr="00424BD3">
        <w:rPr>
          <w:rFonts w:cs="Arial"/>
          <w:szCs w:val="24"/>
        </w:rPr>
        <w:t>dominant framework</w:t>
      </w:r>
      <w:r w:rsidRPr="00424BD3">
        <w:rPr>
          <w:rFonts w:cs="Arial"/>
          <w:szCs w:val="24"/>
        </w:rPr>
        <w:t xml:space="preserve"> such as the healthy lifestyle / </w:t>
      </w:r>
      <w:r w:rsidR="00354D49" w:rsidRPr="00424BD3">
        <w:rPr>
          <w:rFonts w:cs="Arial"/>
          <w:szCs w:val="24"/>
        </w:rPr>
        <w:t>health</w:t>
      </w:r>
      <w:r w:rsidRPr="00424BD3">
        <w:rPr>
          <w:rFonts w:cs="Arial"/>
          <w:szCs w:val="24"/>
        </w:rPr>
        <w:t xml:space="preserve"> behavior movement and the preventative health paradigm that argues that people can, at the very least, have some semblance of control over minimizing their health risks of death or illness. It also allows people to construct beliefs and attitudes which explain away and help them to cope with the randomness of illness and death </w:t>
      </w:r>
      <w:r w:rsidRPr="00424BD3">
        <w:rPr>
          <w:rFonts w:cs="Arial"/>
          <w:szCs w:val="24"/>
        </w:rPr>
        <w:fldChar w:fldCharType="begin"/>
      </w:r>
      <w:r w:rsidR="00990F3A">
        <w:rPr>
          <w:rFonts w:cs="Arial"/>
          <w:szCs w:val="24"/>
        </w:rPr>
        <w:instrText xml:space="preserve"> ADDIN ZOTERO_ITEM CSL_CITATION {"citationID":"mztTVqjE","properties":{"formattedCitation":"(Davison et al., 1992)","plainCitation":"(Davison et al., 1992)","noteIndex":0},"citationItems":[{"id":971,"uris":["http://zotero.org/users/4946941/items/I3EQKJNR"],"itemData":{"id":971,"type":"article-journal","abstract":"This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Davey"}],"issued":{"date-parts":[["1992",3,1]]}}}],"schema":"https://github.com/citation-style-language/schema/raw/master/csl-citation.json"} </w:instrText>
      </w:r>
      <w:r w:rsidRPr="00424BD3">
        <w:rPr>
          <w:rFonts w:cs="Arial"/>
          <w:szCs w:val="24"/>
        </w:rPr>
        <w:fldChar w:fldCharType="separate"/>
      </w:r>
      <w:r w:rsidRPr="00424BD3">
        <w:rPr>
          <w:rFonts w:cs="Arial"/>
        </w:rPr>
        <w:t>(Davison et al., 1992)</w:t>
      </w:r>
      <w:r w:rsidRPr="00424BD3">
        <w:rPr>
          <w:rFonts w:cs="Arial"/>
          <w:szCs w:val="24"/>
        </w:rPr>
        <w:fldChar w:fldCharType="end"/>
      </w:r>
      <w:r w:rsidRPr="00424BD3">
        <w:rPr>
          <w:rFonts w:cs="Arial"/>
          <w:szCs w:val="24"/>
        </w:rPr>
        <w:t>.</w:t>
      </w:r>
    </w:p>
    <w:p w14:paraId="212FA072" w14:textId="3E7186BD" w:rsidR="008844E4" w:rsidRPr="00424BD3" w:rsidRDefault="002172F7" w:rsidP="000126EE">
      <w:pPr>
        <w:spacing w:after="0" w:line="480" w:lineRule="auto"/>
        <w:ind w:firstLine="720"/>
        <w:rPr>
          <w:rFonts w:cs="Arial"/>
          <w:szCs w:val="24"/>
        </w:rPr>
      </w:pPr>
      <w:r w:rsidRPr="00424BD3">
        <w:rPr>
          <w:rFonts w:cs="Arial"/>
          <w:szCs w:val="24"/>
        </w:rPr>
        <w:t xml:space="preserve">As advances in </w:t>
      </w:r>
      <w:r w:rsidR="003D7BE7" w:rsidRPr="00424BD3">
        <w:rPr>
          <w:rFonts w:cs="Arial"/>
          <w:szCs w:val="24"/>
        </w:rPr>
        <w:t xml:space="preserve">tackling infectious disease </w:t>
      </w:r>
      <w:r w:rsidR="009A35E5" w:rsidRPr="00424BD3">
        <w:rPr>
          <w:rFonts w:cs="Arial"/>
          <w:szCs w:val="24"/>
        </w:rPr>
        <w:t xml:space="preserve">increased, life expectancy increased, and a change in the </w:t>
      </w:r>
      <w:r w:rsidR="00D8660C" w:rsidRPr="00424BD3">
        <w:rPr>
          <w:rFonts w:cs="Arial"/>
          <w:szCs w:val="24"/>
        </w:rPr>
        <w:t>primary</w:t>
      </w:r>
      <w:r w:rsidR="009A35E5" w:rsidRPr="00424BD3">
        <w:rPr>
          <w:rFonts w:cs="Arial"/>
          <w:szCs w:val="24"/>
        </w:rPr>
        <w:t xml:space="preserve"> causes of </w:t>
      </w:r>
      <w:r w:rsidR="00D8660C" w:rsidRPr="00424BD3">
        <w:rPr>
          <w:rFonts w:cs="Arial"/>
          <w:szCs w:val="24"/>
        </w:rPr>
        <w:t>mortality and morbidity</w:t>
      </w:r>
      <w:r w:rsidR="009A35E5" w:rsidRPr="00424BD3">
        <w:rPr>
          <w:rFonts w:cs="Arial"/>
          <w:szCs w:val="24"/>
        </w:rPr>
        <w:t xml:space="preserve"> shifted to </w:t>
      </w:r>
      <w:r w:rsidR="00D8660C" w:rsidRPr="00424BD3">
        <w:rPr>
          <w:rFonts w:cs="Arial"/>
          <w:szCs w:val="24"/>
        </w:rPr>
        <w:t>those caused by chronic diseases</w:t>
      </w:r>
      <w:r w:rsidR="008D64E0" w:rsidRPr="00424BD3">
        <w:rPr>
          <w:rFonts w:cs="Arial"/>
          <w:szCs w:val="24"/>
        </w:rPr>
        <w:t xml:space="preserve"> </w:t>
      </w:r>
      <w:r w:rsidR="008D64E0" w:rsidRPr="00424BD3">
        <w:rPr>
          <w:rFonts w:cs="Arial"/>
          <w:szCs w:val="24"/>
        </w:rPr>
        <w:fldChar w:fldCharType="begin"/>
      </w:r>
      <w:r w:rsidR="00990F3A">
        <w:rPr>
          <w:rFonts w:cs="Arial"/>
          <w:szCs w:val="24"/>
        </w:rPr>
        <w:instrText xml:space="preserve"> ADDIN ZOTERO_ITEM CSL_CITATION {"citationID":"DREXafmj","properties":{"formattedCitation":"(Remington &amp; Brownson, 2011)","plainCitation":"(Remington &amp; Brownson, 2011)","noteIndex":0},"citationItems":[{"id":1587,"uris":["http://zotero.org/users/4946941/items/CKNCF8RW"],"itemData":{"id":1587,"type":"report","collection-title":"Morbidity and Mortality Weekly Report","language":"eng","number":"60 (04)","page":"70-77","publisher":"Centers for Disease Control and Prevention","title":"Fifty Years of Progress in Chronic Disease Epidemiology and Control","URL":"https://www.cdc.gov/mmwr/preview/mmwrhtml/su6004a12.htm","author":[{"family":"Remington","given":"Patrick L."},{"family":"Brownson","given":"Ross C."}],"accessed":{"date-parts":[["2022",9,10]]},"issued":{"date-parts":[["2011",10,7]]}}}],"schema":"https://github.com/citation-style-language/schema/raw/master/csl-citation.json"} </w:instrText>
      </w:r>
      <w:r w:rsidR="008D64E0" w:rsidRPr="00424BD3">
        <w:rPr>
          <w:rFonts w:cs="Arial"/>
          <w:szCs w:val="24"/>
        </w:rPr>
        <w:fldChar w:fldCharType="separate"/>
      </w:r>
      <w:r w:rsidR="008D64E0" w:rsidRPr="00424BD3">
        <w:rPr>
          <w:rFonts w:cs="Arial"/>
        </w:rPr>
        <w:t>(Remington &amp; Brownson, 2011)</w:t>
      </w:r>
      <w:r w:rsidR="008D64E0" w:rsidRPr="00424BD3">
        <w:rPr>
          <w:rFonts w:cs="Arial"/>
          <w:szCs w:val="24"/>
        </w:rPr>
        <w:fldChar w:fldCharType="end"/>
      </w:r>
      <w:r w:rsidR="009A35E5" w:rsidRPr="00424BD3">
        <w:rPr>
          <w:rFonts w:cs="Arial"/>
          <w:szCs w:val="24"/>
        </w:rPr>
        <w:t xml:space="preserve">. </w:t>
      </w:r>
      <w:r w:rsidR="008844E4" w:rsidRPr="00424BD3">
        <w:rPr>
          <w:rFonts w:cs="Arial"/>
          <w:szCs w:val="24"/>
        </w:rPr>
        <w:t>Th</w:t>
      </w:r>
      <w:r w:rsidR="00D8660C" w:rsidRPr="00424BD3">
        <w:rPr>
          <w:rFonts w:cs="Arial"/>
          <w:szCs w:val="24"/>
        </w:rPr>
        <w:t>e</w:t>
      </w:r>
      <w:r w:rsidR="008844E4" w:rsidRPr="00424BD3">
        <w:rPr>
          <w:rFonts w:cs="Arial"/>
          <w:szCs w:val="24"/>
        </w:rPr>
        <w:t xml:space="preserve"> construction of risk came about in the 20</w:t>
      </w:r>
      <w:r w:rsidR="008844E4" w:rsidRPr="00424BD3">
        <w:rPr>
          <w:rFonts w:cs="Arial"/>
          <w:szCs w:val="24"/>
          <w:vertAlign w:val="superscript"/>
        </w:rPr>
        <w:t>th</w:t>
      </w:r>
      <w:r w:rsidR="008844E4" w:rsidRPr="00424BD3">
        <w:rPr>
          <w:rFonts w:cs="Arial"/>
          <w:szCs w:val="24"/>
        </w:rPr>
        <w:t xml:space="preserve"> century as th</w:t>
      </w:r>
      <w:r w:rsidR="00D8660C" w:rsidRPr="00424BD3">
        <w:rPr>
          <w:rFonts w:cs="Arial"/>
          <w:szCs w:val="24"/>
        </w:rPr>
        <w:t xml:space="preserve">is </w:t>
      </w:r>
      <w:r w:rsidR="008844E4" w:rsidRPr="00424BD3">
        <w:rPr>
          <w:rFonts w:cs="Arial"/>
          <w:szCs w:val="24"/>
        </w:rPr>
        <w:t xml:space="preserve">focus shifted </w:t>
      </w:r>
      <w:r w:rsidR="008844E4" w:rsidRPr="00424BD3">
        <w:rPr>
          <w:rFonts w:cs="Arial"/>
          <w:szCs w:val="24"/>
        </w:rPr>
        <w:fldChar w:fldCharType="begin"/>
      </w:r>
      <w:r w:rsidR="00990F3A">
        <w:rPr>
          <w:rFonts w:cs="Arial"/>
          <w:szCs w:val="24"/>
        </w:rPr>
        <w:instrText xml:space="preserve"> ADDIN ZOTERO_ITEM CSL_CITATION {"citationID":"ZDCXEJ3V","properties":{"formattedCitation":"(Davison et al., 1992)","plainCitation":"(Davison et al., 1992)","noteIndex":0},"citationItems":[{"id":971,"uris":["http://zotero.org/users/4946941/items/I3EQKJNR"],"itemData":{"id":971,"type":"article-journal","abstract":"This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Davey"}],"issued":{"date-parts":[["1992",3,1]]}}}],"schema":"https://github.com/citation-style-language/schema/raw/master/csl-citation.json"} </w:instrText>
      </w:r>
      <w:r w:rsidR="008844E4" w:rsidRPr="00424BD3">
        <w:rPr>
          <w:rFonts w:cs="Arial"/>
          <w:szCs w:val="24"/>
        </w:rPr>
        <w:fldChar w:fldCharType="separate"/>
      </w:r>
      <w:r w:rsidR="008844E4" w:rsidRPr="00424BD3">
        <w:rPr>
          <w:rFonts w:cs="Arial"/>
        </w:rPr>
        <w:t>(Davison et al., 1992)</w:t>
      </w:r>
      <w:r w:rsidR="008844E4" w:rsidRPr="00424BD3">
        <w:rPr>
          <w:rFonts w:cs="Arial"/>
          <w:szCs w:val="24"/>
        </w:rPr>
        <w:fldChar w:fldCharType="end"/>
      </w:r>
      <w:r w:rsidR="008844E4" w:rsidRPr="00424BD3">
        <w:rPr>
          <w:rFonts w:cs="Arial"/>
          <w:szCs w:val="24"/>
        </w:rPr>
        <w:t>. In the 1970’s, ‘health locus of control’ theory</w:t>
      </w:r>
      <w:r w:rsidR="006A2B45" w:rsidRPr="00424BD3">
        <w:rPr>
          <w:rFonts w:cs="Arial"/>
          <w:szCs w:val="24"/>
        </w:rPr>
        <w:t xml:space="preserve"> was developed. It</w:t>
      </w:r>
      <w:r w:rsidR="008844E4" w:rsidRPr="00424BD3">
        <w:rPr>
          <w:rFonts w:cs="Arial"/>
          <w:szCs w:val="24"/>
        </w:rPr>
        <w:t xml:space="preserve"> places knowledge of health harms, specifically through personal choices, squarely on the shoulders of individuals </w:t>
      </w:r>
      <w:r w:rsidR="008844E4" w:rsidRPr="00424BD3">
        <w:rPr>
          <w:rFonts w:cs="Arial"/>
          <w:szCs w:val="24"/>
        </w:rPr>
        <w:fldChar w:fldCharType="begin"/>
      </w:r>
      <w:r w:rsidR="00990F3A">
        <w:rPr>
          <w:rFonts w:cs="Arial"/>
          <w:szCs w:val="24"/>
        </w:rPr>
        <w:instrText xml:space="preserve"> ADDIN ZOTERO_ITEM CSL_CITATION {"citationID":"lUkQAQJs","properties":{"formattedCitation":"(Davison et al., 1992; Wallston et al., 1978)","plainCitation":"(Davison et al., 1992; Wallston et al., 1978)","noteIndex":0},"citationItems":[{"id":971,"uris":["http://zotero.org/users/4946941/items/I3EQKJNR"],"itemData":{"id":971,"type":"article-journal","abstract":"This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Davey"}],"issued":{"date-parts":[["1992",3,1]]}}},{"id":973,"uris":["http://zotero.org/users/4946941/items/ZLPEXJW6"],"itemData":{"id":973,"type":"article-journal","abstract":"The development of the Multidimensional Health Locus of Control scales is described. Scales have been developed to tap beliefs that the source of reinforcements for health-related behaviors is primarily in ternal, a matter of chance, or under the control of powerful others. These scales are based on earlier work with a general Health Locus of Control scale, which, in turn, was developed from Rotter's social learn ing theory. Equivalent forms of the scales are presented along with initial internal consistency and validity data. Possible means of utilizing these scales are provided.","container-title":"Health Education Monographs","DOI":"10.1177/109019817800600107","ISSN":"0073-1455","issue":"1","journalAbbreviation":"Health Education Monographs","language":"en","note":"publisher: SAGE Publications","page":"160-170","source":"SAGE Journals","title":"Development of the Multidimensional Health Locus of Control (MHLC) Scales","volume":"6","author":[{"family":"Wallston","given":"Kenneth A."},{"family":"Strudler Wallston","given":"Barbara"},{"family":"DeVellis","given":"Robert"}],"issued":{"date-parts":[["1978",3,1]]}}}],"schema":"https://github.com/citation-style-language/schema/raw/master/csl-citation.json"} </w:instrText>
      </w:r>
      <w:r w:rsidR="008844E4" w:rsidRPr="00424BD3">
        <w:rPr>
          <w:rFonts w:cs="Arial"/>
          <w:szCs w:val="24"/>
        </w:rPr>
        <w:fldChar w:fldCharType="separate"/>
      </w:r>
      <w:r w:rsidR="008844E4" w:rsidRPr="00424BD3">
        <w:rPr>
          <w:rFonts w:cs="Arial"/>
        </w:rPr>
        <w:t>(Davison et al., 1992; Wallston et al., 1978)</w:t>
      </w:r>
      <w:r w:rsidR="008844E4" w:rsidRPr="00424BD3">
        <w:rPr>
          <w:rFonts w:cs="Arial"/>
          <w:szCs w:val="24"/>
        </w:rPr>
        <w:fldChar w:fldCharType="end"/>
      </w:r>
      <w:r w:rsidR="008844E4" w:rsidRPr="00424BD3">
        <w:rPr>
          <w:rFonts w:cs="Arial"/>
          <w:szCs w:val="24"/>
        </w:rPr>
        <w:t xml:space="preserve">. </w:t>
      </w:r>
      <w:r w:rsidR="00D61400" w:rsidRPr="00424BD3">
        <w:rPr>
          <w:rFonts w:cs="Arial"/>
          <w:szCs w:val="24"/>
        </w:rPr>
        <w:t xml:space="preserve">Health locus of control theory </w:t>
      </w:r>
      <w:r w:rsidR="007F7110" w:rsidRPr="00424BD3">
        <w:rPr>
          <w:rFonts w:cs="Arial"/>
          <w:szCs w:val="24"/>
        </w:rPr>
        <w:t xml:space="preserve">contributed to the </w:t>
      </w:r>
      <w:r w:rsidR="008844E4" w:rsidRPr="00424BD3">
        <w:rPr>
          <w:rFonts w:cs="Arial"/>
          <w:szCs w:val="24"/>
        </w:rPr>
        <w:t xml:space="preserve">emphasis </w:t>
      </w:r>
      <w:r w:rsidR="007F7110" w:rsidRPr="00424BD3">
        <w:rPr>
          <w:rFonts w:cs="Arial"/>
          <w:szCs w:val="24"/>
        </w:rPr>
        <w:t xml:space="preserve">in medicine and public health on </w:t>
      </w:r>
      <w:r w:rsidR="008844E4" w:rsidRPr="00424BD3">
        <w:rPr>
          <w:rFonts w:cs="Arial"/>
          <w:szCs w:val="24"/>
        </w:rPr>
        <w:t xml:space="preserve">individual responsibility for </w:t>
      </w:r>
      <w:r w:rsidR="00354D49" w:rsidRPr="00424BD3">
        <w:rPr>
          <w:rFonts w:cs="Arial"/>
          <w:szCs w:val="24"/>
        </w:rPr>
        <w:t>health</w:t>
      </w:r>
      <w:r w:rsidR="008844E4" w:rsidRPr="00424BD3">
        <w:rPr>
          <w:rFonts w:cs="Arial"/>
          <w:szCs w:val="24"/>
        </w:rPr>
        <w:t xml:space="preserve"> behavior</w:t>
      </w:r>
      <w:r w:rsidR="007F7110" w:rsidRPr="00424BD3">
        <w:rPr>
          <w:rFonts w:cs="Arial"/>
          <w:szCs w:val="24"/>
        </w:rPr>
        <w:t xml:space="preserve"> </w:t>
      </w:r>
      <w:r w:rsidR="008844E4" w:rsidRPr="00424BD3">
        <w:rPr>
          <w:rFonts w:cs="Arial"/>
          <w:szCs w:val="24"/>
        </w:rPr>
        <w:t xml:space="preserve">as a way to mitigate the risk associated with chronic diseases, and as a way to educate the public about known causal factors that were within an individual’s supposed agency to control through behavior change </w:t>
      </w:r>
      <w:r w:rsidR="008844E4" w:rsidRPr="00424BD3">
        <w:rPr>
          <w:rFonts w:cs="Arial"/>
          <w:szCs w:val="24"/>
        </w:rPr>
        <w:fldChar w:fldCharType="begin"/>
      </w:r>
      <w:r w:rsidR="00990F3A">
        <w:rPr>
          <w:rFonts w:cs="Arial"/>
          <w:szCs w:val="24"/>
        </w:rPr>
        <w:instrText xml:space="preserve"> ADDIN ZOTERO_ITEM CSL_CITATION {"citationID":"zfnmNaUu","properties":{"formattedCitation":"(Davison et al., 1992)","plainCitation":"(Davison et al., 1992)","noteIndex":0},"citationItems":[{"id":971,"uris":["http://zotero.org/users/4946941/items/I3EQKJNR"],"itemData":{"id":971,"type":"article-journal","abstract":"This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Davey"}],"issued":{"date-parts":[["1992",3,1]]}}}],"schema":"https://github.com/citation-style-language/schema/raw/master/csl-citation.json"} </w:instrText>
      </w:r>
      <w:r w:rsidR="008844E4" w:rsidRPr="00424BD3">
        <w:rPr>
          <w:rFonts w:cs="Arial"/>
          <w:szCs w:val="24"/>
        </w:rPr>
        <w:fldChar w:fldCharType="separate"/>
      </w:r>
      <w:r w:rsidR="008844E4" w:rsidRPr="00424BD3">
        <w:rPr>
          <w:rFonts w:cs="Arial"/>
        </w:rPr>
        <w:t>(Davison et al., 1992)</w:t>
      </w:r>
      <w:r w:rsidR="008844E4" w:rsidRPr="00424BD3">
        <w:rPr>
          <w:rFonts w:cs="Arial"/>
          <w:szCs w:val="24"/>
        </w:rPr>
        <w:fldChar w:fldCharType="end"/>
      </w:r>
      <w:r w:rsidR="008844E4" w:rsidRPr="00424BD3">
        <w:rPr>
          <w:rFonts w:cs="Arial"/>
          <w:szCs w:val="24"/>
        </w:rPr>
        <w:t>.</w:t>
      </w:r>
    </w:p>
    <w:p w14:paraId="79FE4FEF" w14:textId="0CF5D30E" w:rsidR="008844E4" w:rsidRPr="00424BD3" w:rsidRDefault="00AC0FE3" w:rsidP="000126EE">
      <w:pPr>
        <w:spacing w:after="0" w:line="480" w:lineRule="auto"/>
        <w:ind w:firstLine="720"/>
        <w:rPr>
          <w:rFonts w:cs="Arial"/>
          <w:szCs w:val="24"/>
        </w:rPr>
      </w:pPr>
      <w:r w:rsidRPr="00424BD3">
        <w:rPr>
          <w:rFonts w:cs="Arial"/>
          <w:szCs w:val="24"/>
        </w:rPr>
        <w:t>Alongside the rise in the narrative of</w:t>
      </w:r>
      <w:r w:rsidR="008844E4" w:rsidRPr="00424BD3">
        <w:rPr>
          <w:rFonts w:cs="Arial"/>
          <w:szCs w:val="24"/>
        </w:rPr>
        <w:t xml:space="preserve"> personal responsibility for </w:t>
      </w:r>
      <w:r w:rsidR="00354D49" w:rsidRPr="00424BD3">
        <w:rPr>
          <w:rFonts w:cs="Arial"/>
          <w:szCs w:val="24"/>
        </w:rPr>
        <w:t>health</w:t>
      </w:r>
      <w:r w:rsidR="008844E4" w:rsidRPr="00424BD3">
        <w:rPr>
          <w:rFonts w:cs="Arial"/>
          <w:szCs w:val="24"/>
        </w:rPr>
        <w:t xml:space="preserve"> behavior, </w:t>
      </w:r>
      <w:r w:rsidRPr="00424BD3">
        <w:rPr>
          <w:rFonts w:cs="Arial"/>
          <w:szCs w:val="24"/>
        </w:rPr>
        <w:t>was an increase in the use of</w:t>
      </w:r>
      <w:r w:rsidR="008844E4" w:rsidRPr="00424BD3">
        <w:rPr>
          <w:rFonts w:cs="Arial"/>
          <w:szCs w:val="24"/>
        </w:rPr>
        <w:t xml:space="preserve"> family health history</w:t>
      </w:r>
      <w:r w:rsidRPr="00424BD3">
        <w:rPr>
          <w:rFonts w:cs="Arial"/>
          <w:szCs w:val="24"/>
        </w:rPr>
        <w:t xml:space="preserve"> </w:t>
      </w:r>
      <w:r w:rsidR="0024243B">
        <w:rPr>
          <w:rFonts w:cs="Arial"/>
          <w:szCs w:val="24"/>
        </w:rPr>
        <w:t xml:space="preserve">(FHH) </w:t>
      </w:r>
      <w:r w:rsidRPr="00424BD3">
        <w:rPr>
          <w:rFonts w:cs="Arial"/>
          <w:szCs w:val="24"/>
        </w:rPr>
        <w:t>as a means of predicting</w:t>
      </w:r>
      <w:r w:rsidR="008844E4" w:rsidRPr="00424BD3">
        <w:rPr>
          <w:rFonts w:cs="Arial"/>
          <w:szCs w:val="24"/>
        </w:rPr>
        <w:t xml:space="preserve">, life </w:t>
      </w:r>
      <w:r w:rsidR="008844E4" w:rsidRPr="00424BD3">
        <w:rPr>
          <w:rFonts w:cs="Arial"/>
          <w:szCs w:val="24"/>
        </w:rPr>
        <w:lastRenderedPageBreak/>
        <w:t>expectancy and health risk</w:t>
      </w:r>
      <w:r w:rsidRPr="00424BD3">
        <w:rPr>
          <w:rFonts w:cs="Arial"/>
          <w:szCs w:val="24"/>
        </w:rPr>
        <w:t>s</w:t>
      </w:r>
      <w:r w:rsidR="008844E4" w:rsidRPr="00424BD3">
        <w:rPr>
          <w:rFonts w:cs="Arial"/>
          <w:szCs w:val="24"/>
        </w:rPr>
        <w:t xml:space="preserve">, and to establish the inequitable practice of basing insurance coverage on family mortality history and pre-existing conditions </w:t>
      </w:r>
      <w:r w:rsidR="008844E4" w:rsidRPr="00424BD3">
        <w:rPr>
          <w:rFonts w:cs="Arial"/>
          <w:szCs w:val="24"/>
        </w:rPr>
        <w:fldChar w:fldCharType="begin"/>
      </w:r>
      <w:r w:rsidR="00990F3A">
        <w:rPr>
          <w:rFonts w:cs="Arial"/>
          <w:szCs w:val="24"/>
        </w:rPr>
        <w:instrText xml:space="preserve"> ADDIN ZOTERO_ITEM CSL_CITATION {"citationID":"oD8c3Mvt","properties":{"formattedCitation":"(B. H. Cohen, 1964)","plainCitation":"(B. H. Cohen, 1964)","noteIndex":0},"citationItems":[{"id":890,"uris":["http://zotero.org/users/4946941/items/5XAMQ443"],"itemData":{"id":890,"type":"article-journal","abstract":"Although there has long been an idea that heredity plays an important role in the determination of life span, this concept has been \"more taken for granted than supported by exact scientific investigation.\" Since one cannot extrapolate directly from experimental organisms to man nor carry out studies of a similar nature in man, it is necessary to use the direct epidemiological approach, determining first of all whether the observed differences in mortality follow family patterns. Some of the very early, more recently published, and current family studies of life span are summarized and reviewed critically. The results of the genealogy studies, (including both large individual kinships, e.g. the Hyde family, Peirce family, etc., and the collections of genealogies, e.g. Foster's Peerage Burke's Landed Gentry, Society of Friends records, Finnish and Swedish noble and middle class families), as well as studies involving samples from special subgroups of the population (families of workingmen, nonagenarians, senescent twins, insurance applicants, etc.) appear to show various family patterns. However, the suggested positive relationships, as well as any lack of relationships, are all explicable by one bias or another involved in the selection, completeness, source, or validity of the data. The apparent explanation for the paucity of investigations of family patterns of causes of death probably resides in the fact that the same difficulties present in the longevity studies also apply to the investigation of causes of death. In addition, problems arise from the variability in diagnostic criteria and the interpretation of competing causes. Moreover, all except the current studies involve deaths occurring in the pre-antibiotic, even in the pre-public health, era. The influence of sanitary and nutritional factors and epidemic diseases in altering the life span, despite the biological potential, might be considerable. Therefore, although many data are available on family patterns of longevity and a few on causal relationships, any attempt to interpret the findings in terms of a current population is hardly feasible. In view of this situation, two studies of patterns of mortality and aging have been initiated at Johns Hopkins University. The major investigation is a Community-Based Population Study comparing the mortality experience of corresponding relatives of a sample of deaths which occured in Baltimore in 1960 and of living matched controls, in order to determine whether there are family patterns of mortality and, if so, their nature in respect to age at death and causes of death. The second and smaller investigation, designed to identify in living subjects possible indicators of family patterns of mortality, involves a special group of 500 living males who are participating in a longitudinal study of aging. Some preliminary findings of both the Community-Based Population Investigation and the Special Group Study are Presented. It is concluded that at present, despite all the recorded information and presumptive evidence, the problem of the genetic aspects of mortality and life span remains to be resolved. Large, collaborative projects both for retrospective family data analysis and for longitudinal follow-up of subjects are recommended for future study.","container-title":"The Quarterly Review of Biology","DOI":"10.1086/404164","ISSN":"0033-5770","issue":"2","note":"publisher: The University of Chicago Press","page":"130-181","source":"journals.uchicago.edu (Atypon)","title":"Family Patterns of Mortality and Life Span","volume":"39","author":[{"family":"Cohen","given":"Bernice H."}],"issued":{"date-parts":[["1964",6]]}}}],"schema":"https://github.com/citation-style-language/schema/raw/master/csl-citation.json"} </w:instrText>
      </w:r>
      <w:r w:rsidR="008844E4" w:rsidRPr="00424BD3">
        <w:rPr>
          <w:rFonts w:cs="Arial"/>
          <w:szCs w:val="24"/>
        </w:rPr>
        <w:fldChar w:fldCharType="separate"/>
      </w:r>
      <w:r w:rsidR="008844E4" w:rsidRPr="00424BD3">
        <w:rPr>
          <w:rFonts w:cs="Arial"/>
        </w:rPr>
        <w:t>(B. H. Cohen, 1964)</w:t>
      </w:r>
      <w:r w:rsidR="008844E4" w:rsidRPr="00424BD3">
        <w:rPr>
          <w:rFonts w:cs="Arial"/>
          <w:szCs w:val="24"/>
        </w:rPr>
        <w:fldChar w:fldCharType="end"/>
      </w:r>
      <w:r w:rsidR="008844E4" w:rsidRPr="00424BD3">
        <w:rPr>
          <w:rFonts w:cs="Arial"/>
          <w:szCs w:val="24"/>
        </w:rPr>
        <w:t>.</w:t>
      </w:r>
    </w:p>
    <w:p w14:paraId="2C4D8082" w14:textId="4895ED22" w:rsidR="008844E4" w:rsidRPr="00424BD3" w:rsidRDefault="008844E4" w:rsidP="000126EE">
      <w:pPr>
        <w:spacing w:after="0" w:line="480" w:lineRule="auto"/>
        <w:ind w:firstLine="720"/>
        <w:rPr>
          <w:rFonts w:cs="Arial"/>
          <w:szCs w:val="24"/>
        </w:rPr>
      </w:pPr>
      <w:r w:rsidRPr="00424BD3">
        <w:rPr>
          <w:rFonts w:cs="Arial"/>
          <w:szCs w:val="24"/>
        </w:rPr>
        <w:t xml:space="preserve">Family health history is now </w:t>
      </w:r>
      <w:r w:rsidR="00E625E4" w:rsidRPr="00424BD3">
        <w:rPr>
          <w:rFonts w:cs="Arial"/>
          <w:szCs w:val="24"/>
        </w:rPr>
        <w:t xml:space="preserve">commonly </w:t>
      </w:r>
      <w:r w:rsidRPr="00424BD3">
        <w:rPr>
          <w:rFonts w:cs="Arial"/>
          <w:szCs w:val="24"/>
        </w:rPr>
        <w:t xml:space="preserve">used in medical settings, to gather </w:t>
      </w:r>
      <w:r w:rsidR="001A3335">
        <w:rPr>
          <w:rFonts w:cs="Arial"/>
          <w:szCs w:val="24"/>
        </w:rPr>
        <w:t xml:space="preserve">an </w:t>
      </w:r>
      <w:r w:rsidRPr="00424BD3">
        <w:rPr>
          <w:rFonts w:cs="Arial"/>
          <w:szCs w:val="24"/>
        </w:rPr>
        <w:t xml:space="preserve">individual’s history of chronic and acute disease information across their immediate family members (up to grandparents) </w:t>
      </w:r>
      <w:r w:rsidRPr="00424BD3">
        <w:rPr>
          <w:rFonts w:cs="Arial"/>
          <w:szCs w:val="24"/>
        </w:rPr>
        <w:fldChar w:fldCharType="begin"/>
      </w:r>
      <w:r w:rsidR="00990F3A">
        <w:rPr>
          <w:rFonts w:cs="Arial"/>
          <w:szCs w:val="24"/>
        </w:rPr>
        <w:instrText xml:space="preserve"> ADDIN ZOTERO_ITEM CSL_CITATION {"citationID":"Jay43Y4Q","properties":{"formattedCitation":"(Davison et al., 1992; Walter &amp; Emery, 2006)","plainCitation":"(Davison et al., 1992; Walter &amp; Emery, 2006)","noteIndex":0},"citationItems":[{"id":971,"uris":["http://zotero.org/users/4946941/items/I3EQKJNR"],"itemData":{"id":971,"type":"article-journal","abstract":"This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Davey"}],"issued":{"date-parts":[["1992",3,1]]}}},{"id":977,"uris":["http://zotero.org/users/4946941/items/JSPN7H53"],"itemData":{"id":977,"type":"article-journal","abstract":"Background: Having an affected relative is a strong predictor of an individual's lifetime risk of developing many diseases. In primary care this is of importance in preventive healthcare. Aim: To compare and contrast perceptions of family history across common diseases among primary care patients using the theoretical framework of Leventhal's Common Sense Model (CSM). Methods: Thirty semi-structured interviews were conducted with patients identified in general practice, who had a family history of either cancer, heart disease or diabetes. We performed qualitative constant comparative analysis of transcript data. Results: People with a family history of cancer had a greater sense of personal vulnerability than people with a family history of heart disease: family history of diabetes was generally viewed as the least threatening. Using the CSM constructs we identified factors which determine individual perceptions of family history. Beliefs about consequences and timeline were influenced by witnessing painful, lingering or sudden familial death; people who felt their risk was determined by inheritance were more likely to feel vulnerable and have less control, while those who felt able to change lifestyle or behaviour felt more able to control their perceived risk. Conclusion: Factors influencing perceptions of family history may vary between individuals and between diseases. To use the family history as a tool in preventive healthcare we will need to consider the individual's personal understanding of disease risk and their ideas about cause and controllability of the familial illness. Perceived risk may then be used to motivate preventive health behaviours. (PsycInfo Database Record (c) 2020 APA, all rights reserved)","container-title":"Family Practice","DOI":"10.1093/fampra/cml006","ISSN":"1460-2229","issue":"4","note":"publisher-place: United Kingdom\npublisher: Oxford University Press","page":"472-480","source":"APA PsycNet","title":"Perceptions of family history across common diseases: A qualitative study in primary care","title-short":"Perceptions of family history across common diseases","volume":"23","author":[{"family":"Walter","given":"Fiona M."},{"family":"Emery","given":"Jon"}],"issued":{"date-parts":[["2006"]]}}}],"schema":"https://github.com/citation-style-language/schema/raw/master/csl-citation.json"} </w:instrText>
      </w:r>
      <w:r w:rsidRPr="00424BD3">
        <w:rPr>
          <w:rFonts w:cs="Arial"/>
          <w:szCs w:val="24"/>
        </w:rPr>
        <w:fldChar w:fldCharType="separate"/>
      </w:r>
      <w:r w:rsidRPr="00424BD3">
        <w:rPr>
          <w:rFonts w:cs="Arial"/>
          <w:szCs w:val="24"/>
        </w:rPr>
        <w:t>(Davison et al., 1992; Walter &amp; Emery, 2006)</w:t>
      </w:r>
      <w:r w:rsidRPr="00424BD3">
        <w:rPr>
          <w:rFonts w:cs="Arial"/>
          <w:szCs w:val="24"/>
        </w:rPr>
        <w:fldChar w:fldCharType="end"/>
      </w:r>
      <w:r w:rsidRPr="00424BD3">
        <w:rPr>
          <w:rFonts w:cs="Arial"/>
          <w:szCs w:val="24"/>
        </w:rPr>
        <w:t xml:space="preserve">. Sometimes called a pedigree (hence </w:t>
      </w:r>
      <w:r w:rsidR="00021CD1" w:rsidRPr="00424BD3">
        <w:rPr>
          <w:rFonts w:cs="Arial"/>
          <w:szCs w:val="24"/>
        </w:rPr>
        <w:t xml:space="preserve">the </w:t>
      </w:r>
      <w:r w:rsidRPr="00424BD3">
        <w:rPr>
          <w:rFonts w:cs="Arial"/>
          <w:szCs w:val="24"/>
        </w:rPr>
        <w:t xml:space="preserve">referral in this study to the ‘genealogy’ of familial health and mortality outcomes), family health history “is a valuable method in capturing the relationship between genetic susceptibilities, common behaviors, and shared environment” </w:t>
      </w:r>
      <w:r w:rsidRPr="00424BD3">
        <w:rPr>
          <w:rFonts w:cs="Arial"/>
          <w:szCs w:val="24"/>
        </w:rPr>
        <w:fldChar w:fldCharType="begin"/>
      </w:r>
      <w:r w:rsidR="00990F3A">
        <w:rPr>
          <w:rFonts w:cs="Arial"/>
          <w:szCs w:val="24"/>
        </w:rPr>
        <w:instrText xml:space="preserve"> ADDIN ZOTERO_ITEM CSL_CITATION {"citationID":"NyV6jmMv","properties":{"formattedCitation":"(Vogel et al., 2007, p. 352)","plainCitation":"(Vogel et al., 2007, p. 352)","noteIndex":0},"citationItems":[{"id":974,"uris":["http://zotero.org/users/4946941/items/QK5HTDG4"],"itemData":{"id":974,"type":"article-journal","abstract":"This study examined the mediating effects of the self-stigma associated with seeking counseling and attitudes toward seeking counseling on the link between perceived public stigma and willingness to seek counseling for psychological and interpersonal concerns. Structural equation modeling of data from 676 undergraduates indicated that the link between perceived public stigma and willingness to seek counseling was fully mediated by self-stigma and attitudes. Perceptions of public stigma contributed to the experience of self-stigma, which, in turn, influenced help-seeking attitudes and eventually help-seeking willingness. Furthermore, 57% of the variance in attitudes toward counseling and 34% of the variance in willingness to seek counseling for psychological and interpersonal concerns were accounted for in the proposed model.","container-title":"Journal of Counseling Psychology","DOI":"10.1037/0022-0167.54.1.40","journalAbbreviation":"Journal of Counseling Psychology","source":"ResearchGate","title":"Perceived Public Stigma and the Willingness to Seek Counseling: The Mediating Roles of Self-Stigma and Attitudes Toward Counseling","title-short":"Perceived Public Stigma and the Willingness to Seek Counseling","volume":"54","author":[{"family":"Vogel","given":"David"},{"family":"Wade","given":"Nathaniel"},{"family":"Hackler","given":"Ashley"}],"issued":{"date-parts":[["2007",1,1]]}},"locator":"352","label":"page"}],"schema":"https://github.com/citation-style-language/schema/raw/master/csl-citation.json"} </w:instrText>
      </w:r>
      <w:r w:rsidRPr="00424BD3">
        <w:rPr>
          <w:rFonts w:cs="Arial"/>
          <w:szCs w:val="24"/>
        </w:rPr>
        <w:fldChar w:fldCharType="separate"/>
      </w:r>
      <w:r w:rsidR="00733617" w:rsidRPr="00733617">
        <w:rPr>
          <w:rFonts w:cs="Arial"/>
        </w:rPr>
        <w:t>(Vogel et al., 2007, p. 352)</w:t>
      </w:r>
      <w:r w:rsidRPr="00424BD3">
        <w:rPr>
          <w:rFonts w:cs="Arial"/>
          <w:szCs w:val="24"/>
        </w:rPr>
        <w:fldChar w:fldCharType="end"/>
      </w:r>
      <w:r w:rsidRPr="00424BD3">
        <w:rPr>
          <w:rFonts w:cs="Arial"/>
          <w:szCs w:val="24"/>
        </w:rPr>
        <w:t xml:space="preserve"> and, therefore</w:t>
      </w:r>
      <w:r w:rsidR="004F7B92">
        <w:rPr>
          <w:rFonts w:cs="Arial"/>
          <w:szCs w:val="24"/>
        </w:rPr>
        <w:t>,</w:t>
      </w:r>
      <w:r w:rsidRPr="00424BD3">
        <w:rPr>
          <w:rFonts w:cs="Arial"/>
          <w:szCs w:val="24"/>
        </w:rPr>
        <w:t xml:space="preserve"> is considered the bedrock of clinical genetic medicine. This, in turn, has brought family health history into prima</w:t>
      </w:r>
      <w:r w:rsidR="002E2671" w:rsidRPr="00424BD3">
        <w:rPr>
          <w:rFonts w:cs="Arial"/>
          <w:szCs w:val="24"/>
        </w:rPr>
        <w:t>r</w:t>
      </w:r>
      <w:r w:rsidRPr="00424BD3">
        <w:rPr>
          <w:rFonts w:cs="Arial"/>
          <w:szCs w:val="24"/>
        </w:rPr>
        <w:t xml:space="preserve">y care practice </w:t>
      </w:r>
      <w:r w:rsidRPr="00424BD3">
        <w:rPr>
          <w:rFonts w:cs="Arial"/>
          <w:szCs w:val="24"/>
        </w:rPr>
        <w:fldChar w:fldCharType="begin"/>
      </w:r>
      <w:r w:rsidR="00990F3A">
        <w:rPr>
          <w:rFonts w:cs="Arial"/>
          <w:szCs w:val="24"/>
        </w:rPr>
        <w:instrText xml:space="preserve"> ADDIN ZOTERO_ITEM CSL_CITATION {"citationID":"IbG9dtkj","properties":{"formattedCitation":"(Guttmacher et al., 2004; Vogel et al., 2007; Yoon et al., 2002)","plainCitation":"(Guttmacher et al., 2004; Vogel et al., 2007; Yoon et al., 2002)","noteIndex":0},"citationItems":[{"id":980,"uris":["http://zotero.org/users/4946941/items/PCLETTYL"],"itemData":{"id":980,"type":"article-journal","abstract":"For many observers, the term “genomic medicine” conjures up space-age images of microarray chips, bioinformatics, and designer drugs. Today, with medicine poised at the dawn of the genomic era, it is seductive to believe that such high-tech options have already become the most important genomic tools in health care. However, as so often happens in medicine, new developments do not eclipse the tried-and-true method; instead, they give it new meaning and power. Most diseases are the result of the interactions of multiple genes and environmental factors. Although these interactions are complex, almost every patient today has access to a free, . . .","container-title":"New England Journal of Medicine","DOI":"10.1056/NEJMsb042979","ISSN":"0028-4793","issue":"22","note":"publisher: Massachusetts Medical Society\n_eprint: https://doi.org/10.1056/NEJMsb042979\nPMID: 15564550","page":"2333-2336","source":"Taylor and Francis+NEJM","title":"The Family History — More Important Than Ever","volume":"351","author":[{"family":"Guttmacher","given":"Alan E."},{"family":"Collins","given":"Francis S."},{"family":"Carmona","given":"Richard H."}],"issued":{"date-parts":[["2004",11,25]]}}},{"id":974,"uris":["http://zotero.org/users/4946941/items/QK5HTDG4"],"itemData":{"id":974,"type":"article-journal","abstract":"This study examined the mediating effects of the self-stigma associated with seeking counseling and attitudes toward seeking counseling on the link between perceived public stigma and willingness to seek counseling for psychological and interpersonal concerns. Structural equation modeling of data from 676 undergraduates indicated that the link between perceived public stigma and willingness to seek counseling was fully mediated by self-stigma and attitudes. Perceptions of public stigma contributed to the experience of self-stigma, which, in turn, influenced help-seeking attitudes and eventually help-seeking willingness. Furthermore, 57% of the variance in attitudes toward counseling and 34% of the variance in willingness to seek counseling for psychological and interpersonal concerns were accounted for in the proposed model.","container-title":"Journal of Counseling Psychology","DOI":"10.1037/0022-0167.54.1.40","journalAbbreviation":"Journal of Counseling Psychology","source":"ResearchGate","title":"Perceived Public Stigma and the Willingness to Seek Counseling: The Mediating Roles of Self-Stigma and Attitudes Toward Counseling","title-short":"Perceived Public Stigma and the Willingness to Seek Counseling","volume":"54","author":[{"family":"Vogel","given":"David"},{"family":"Wade","given":"Nathaniel"},{"family":"Hackler","given":"Ashley"}],"issued":{"date-parts":[["2007",1,1]]}}},{"id":983,"uris":["http://zotero.org/users/4946941/items/AEWYUBNV"],"itemData":{"id":983,"type":"article-journal","container-title":"Genetics in Medicine","DOI":"10.1097/00125817-200207000-00009","ISSN":"1530-0366","issue":"4","journalAbbreviation":"Genet Med","language":"en","license":"2002 The American College of Medical Genetics","note":"number: 4\npublisher: Nature Publishing Group","page":"304-310","source":"www.nature.com","title":"Can family history be used as a tool for public health and preventive medicine?","volume":"4","author":[{"family":"Yoon","given":"Paula W."},{"family":"Scheuner","given":"Maren T."},{"family":"Peterson-Oehlke","given":"Kris L."},{"family":"Gwinn","given":"Marta"},{"family":"Faucett","given":"Andrew"},{"family":"Khoury","given":"Muin J."}],"issued":{"date-parts":[["2002",7]]}}}],"schema":"https://github.com/citation-style-language/schema/raw/master/csl-citation.json"} </w:instrText>
      </w:r>
      <w:r w:rsidRPr="00424BD3">
        <w:rPr>
          <w:rFonts w:cs="Arial"/>
          <w:szCs w:val="24"/>
        </w:rPr>
        <w:fldChar w:fldCharType="separate"/>
      </w:r>
      <w:r w:rsidRPr="00424BD3">
        <w:rPr>
          <w:rFonts w:cs="Arial"/>
        </w:rPr>
        <w:t>(Guttmacher et al., 2004; Vogel et al., 2007; Yoon et al., 2002)</w:t>
      </w:r>
      <w:r w:rsidRPr="00424BD3">
        <w:rPr>
          <w:rFonts w:cs="Arial"/>
          <w:szCs w:val="24"/>
        </w:rPr>
        <w:fldChar w:fldCharType="end"/>
      </w:r>
      <w:r w:rsidRPr="00424BD3">
        <w:rPr>
          <w:rFonts w:cs="Arial"/>
          <w:szCs w:val="24"/>
        </w:rPr>
        <w:t xml:space="preserve">. Family health history is a major component in </w:t>
      </w:r>
      <w:r w:rsidR="00A871D9" w:rsidRPr="00424BD3">
        <w:rPr>
          <w:rFonts w:cs="Arial"/>
          <w:szCs w:val="24"/>
        </w:rPr>
        <w:t>this</w:t>
      </w:r>
      <w:r w:rsidRPr="00424BD3">
        <w:rPr>
          <w:rFonts w:cs="Arial"/>
          <w:szCs w:val="24"/>
        </w:rPr>
        <w:t xml:space="preserve"> study since it is a way to trace the ‘genealogies’ of health and mortality outcomes within familial generations, in order to map </w:t>
      </w:r>
      <w:r w:rsidR="00502AA8" w:rsidRPr="00424BD3">
        <w:rPr>
          <w:rFonts w:cs="Arial"/>
          <w:szCs w:val="24"/>
        </w:rPr>
        <w:t>the clustering and patterning of health and mortality in families</w:t>
      </w:r>
      <w:r w:rsidRPr="00424BD3">
        <w:rPr>
          <w:rFonts w:cs="Arial"/>
          <w:szCs w:val="24"/>
        </w:rPr>
        <w:t xml:space="preserve">. </w:t>
      </w:r>
    </w:p>
    <w:p w14:paraId="1AB6F189" w14:textId="43D81EAF" w:rsidR="00E658C6" w:rsidRPr="00424BD3" w:rsidRDefault="008844E4" w:rsidP="000126EE">
      <w:pPr>
        <w:spacing w:after="0" w:line="480" w:lineRule="auto"/>
        <w:ind w:firstLine="720"/>
        <w:rPr>
          <w:rFonts w:cs="Arial"/>
          <w:szCs w:val="24"/>
        </w:rPr>
      </w:pPr>
      <w:r w:rsidRPr="00424BD3">
        <w:rPr>
          <w:rFonts w:cs="Arial"/>
          <w:szCs w:val="24"/>
        </w:rPr>
        <w:t>As a result</w:t>
      </w:r>
      <w:r w:rsidR="000F2C34" w:rsidRPr="00424BD3">
        <w:rPr>
          <w:rFonts w:cs="Arial"/>
          <w:szCs w:val="24"/>
        </w:rPr>
        <w:t xml:space="preserve"> of the dominant narrative</w:t>
      </w:r>
      <w:r w:rsidR="00631D70" w:rsidRPr="00424BD3">
        <w:rPr>
          <w:rFonts w:cs="Arial"/>
          <w:szCs w:val="24"/>
        </w:rPr>
        <w:t xml:space="preserve"> created through the convergence of </w:t>
      </w:r>
      <w:r w:rsidR="00AE6DF2" w:rsidRPr="00424BD3">
        <w:rPr>
          <w:rFonts w:cs="Arial"/>
          <w:szCs w:val="24"/>
        </w:rPr>
        <w:t>health locus of control theory</w:t>
      </w:r>
      <w:r w:rsidR="00E658C6" w:rsidRPr="00424BD3">
        <w:rPr>
          <w:rFonts w:cs="Arial"/>
          <w:szCs w:val="24"/>
        </w:rPr>
        <w:t xml:space="preserve"> and the </w:t>
      </w:r>
      <w:r w:rsidR="00AE6DF2" w:rsidRPr="00424BD3">
        <w:rPr>
          <w:rFonts w:cs="Arial"/>
          <w:szCs w:val="24"/>
        </w:rPr>
        <w:t xml:space="preserve">medicine and public health focus on </w:t>
      </w:r>
      <w:r w:rsidR="00896F1B" w:rsidRPr="00424BD3">
        <w:rPr>
          <w:rFonts w:cs="Arial"/>
          <w:szCs w:val="24"/>
        </w:rPr>
        <w:t>individual responsibility</w:t>
      </w:r>
      <w:r w:rsidR="00316E8A" w:rsidRPr="00424BD3">
        <w:rPr>
          <w:rFonts w:cs="Arial"/>
          <w:szCs w:val="24"/>
        </w:rPr>
        <w:t xml:space="preserve"> </w:t>
      </w:r>
      <w:r w:rsidRPr="00424BD3">
        <w:rPr>
          <w:rFonts w:cs="Arial"/>
          <w:szCs w:val="24"/>
        </w:rPr>
        <w:t>many individuals attribute their family health history</w:t>
      </w:r>
      <w:r w:rsidR="00CA5153" w:rsidRPr="00424BD3">
        <w:rPr>
          <w:rFonts w:cs="Arial"/>
          <w:szCs w:val="24"/>
        </w:rPr>
        <w:t xml:space="preserve">, </w:t>
      </w:r>
      <w:r w:rsidR="00316E8A" w:rsidRPr="00424BD3">
        <w:rPr>
          <w:rFonts w:cs="Arial"/>
          <w:szCs w:val="24"/>
        </w:rPr>
        <w:t>health risk</w:t>
      </w:r>
      <w:r w:rsidRPr="00424BD3">
        <w:rPr>
          <w:rFonts w:cs="Arial"/>
          <w:szCs w:val="24"/>
        </w:rPr>
        <w:t xml:space="preserve"> of disease, illness, or mortality outcomes to </w:t>
      </w:r>
      <w:r w:rsidR="00CA5153" w:rsidRPr="00424BD3">
        <w:rPr>
          <w:rFonts w:cs="Arial"/>
          <w:szCs w:val="24"/>
        </w:rPr>
        <w:t xml:space="preserve">their </w:t>
      </w:r>
      <w:r w:rsidR="00354D49" w:rsidRPr="00424BD3">
        <w:rPr>
          <w:rFonts w:cs="Arial"/>
          <w:szCs w:val="24"/>
        </w:rPr>
        <w:t>health</w:t>
      </w:r>
      <w:r w:rsidRPr="00424BD3">
        <w:rPr>
          <w:rFonts w:cs="Arial"/>
          <w:szCs w:val="24"/>
        </w:rPr>
        <w:t xml:space="preserve"> behavior </w:t>
      </w:r>
      <w:r w:rsidRPr="00424BD3">
        <w:rPr>
          <w:rFonts w:cs="Arial"/>
          <w:szCs w:val="24"/>
        </w:rPr>
        <w:fldChar w:fldCharType="begin"/>
      </w:r>
      <w:r w:rsidR="00990F3A">
        <w:rPr>
          <w:rFonts w:cs="Arial"/>
          <w:szCs w:val="24"/>
        </w:rPr>
        <w:instrText xml:space="preserve"> ADDIN ZOTERO_ITEM CSL_CITATION {"citationID":"ThWVkto5","properties":{"formattedCitation":"(Hunt et al., 2000)","plainCitation":"(Hunt et al., 2000)","noteIndex":0},"citationItems":[{"id":986,"uris":["http://zotero.org/users/4946941/items/9LQTXXIL"],"itemData":{"id":986,"type":"article-journal","abstract":"It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schema":"https://github.com/citation-style-language/schema/raw/master/csl-citation.json"} </w:instrText>
      </w:r>
      <w:r w:rsidRPr="00424BD3">
        <w:rPr>
          <w:rFonts w:cs="Arial"/>
          <w:szCs w:val="24"/>
        </w:rPr>
        <w:fldChar w:fldCharType="separate"/>
      </w:r>
      <w:r w:rsidR="00395E16" w:rsidRPr="00424BD3">
        <w:rPr>
          <w:rFonts w:cs="Arial"/>
        </w:rPr>
        <w:t>(Hunt et al., 2000)</w:t>
      </w:r>
      <w:r w:rsidRPr="00424BD3">
        <w:rPr>
          <w:rFonts w:cs="Arial"/>
          <w:szCs w:val="24"/>
        </w:rPr>
        <w:fldChar w:fldCharType="end"/>
      </w:r>
      <w:r w:rsidRPr="00424BD3">
        <w:rPr>
          <w:rFonts w:cs="Arial"/>
          <w:szCs w:val="24"/>
        </w:rPr>
        <w:t xml:space="preserve">. </w:t>
      </w:r>
    </w:p>
    <w:p w14:paraId="5B70A496" w14:textId="51FE3DC0" w:rsidR="00191886" w:rsidRPr="00424BD3" w:rsidRDefault="008844E4" w:rsidP="000126EE">
      <w:pPr>
        <w:spacing w:after="0" w:line="480" w:lineRule="auto"/>
        <w:ind w:firstLine="720"/>
        <w:rPr>
          <w:rFonts w:cs="Arial"/>
          <w:szCs w:val="24"/>
        </w:rPr>
      </w:pPr>
      <w:r w:rsidRPr="00424BD3">
        <w:rPr>
          <w:rFonts w:cs="Arial"/>
          <w:szCs w:val="24"/>
        </w:rPr>
        <w:t xml:space="preserve">However, many researchers of family health histories found that even though health education has seemed to work for individual behavior risk awareness given the </w:t>
      </w:r>
      <w:r w:rsidR="00CB3D47" w:rsidRPr="00424BD3">
        <w:rPr>
          <w:rFonts w:cs="Arial"/>
          <w:szCs w:val="24"/>
        </w:rPr>
        <w:t>substantial</w:t>
      </w:r>
      <w:r w:rsidRPr="00424BD3">
        <w:rPr>
          <w:rFonts w:cs="Arial"/>
          <w:szCs w:val="24"/>
        </w:rPr>
        <w:t xml:space="preserve"> </w:t>
      </w:r>
      <w:r w:rsidR="001E29E6" w:rsidRPr="00424BD3">
        <w:rPr>
          <w:rFonts w:cs="Arial"/>
          <w:szCs w:val="24"/>
        </w:rPr>
        <w:t>corporate</w:t>
      </w:r>
      <w:r w:rsidRPr="00424BD3">
        <w:rPr>
          <w:rFonts w:cs="Arial"/>
          <w:szCs w:val="24"/>
        </w:rPr>
        <w:t xml:space="preserve"> and political investment in </w:t>
      </w:r>
      <w:r w:rsidR="00354D49" w:rsidRPr="00424BD3">
        <w:rPr>
          <w:rFonts w:cs="Arial"/>
          <w:szCs w:val="24"/>
        </w:rPr>
        <w:t>health</w:t>
      </w:r>
      <w:r w:rsidRPr="00424BD3">
        <w:rPr>
          <w:rFonts w:cs="Arial"/>
          <w:szCs w:val="24"/>
        </w:rPr>
        <w:t xml:space="preserve"> behaviorism, some people are also aware of other factors </w:t>
      </w:r>
      <w:r w:rsidR="00A640EA" w:rsidRPr="00424BD3">
        <w:rPr>
          <w:rFonts w:cs="Arial"/>
          <w:szCs w:val="24"/>
        </w:rPr>
        <w:t xml:space="preserve">that </w:t>
      </w:r>
      <w:r w:rsidR="00191886" w:rsidRPr="00424BD3">
        <w:rPr>
          <w:rFonts w:cs="Arial"/>
          <w:szCs w:val="24"/>
        </w:rPr>
        <w:t xml:space="preserve">affect their health or may contribute to their health risk </w:t>
      </w:r>
      <w:r w:rsidRPr="00424BD3">
        <w:rPr>
          <w:rFonts w:cs="Arial"/>
          <w:szCs w:val="24"/>
        </w:rPr>
        <w:lastRenderedPageBreak/>
        <w:t>such as</w:t>
      </w:r>
      <w:r w:rsidR="008A4DA1" w:rsidRPr="00424BD3">
        <w:rPr>
          <w:rFonts w:cs="Arial"/>
          <w:szCs w:val="24"/>
        </w:rPr>
        <w:t xml:space="preserve">: </w:t>
      </w:r>
      <w:r w:rsidRPr="00424BD3">
        <w:rPr>
          <w:rFonts w:cs="Arial"/>
          <w:szCs w:val="24"/>
        </w:rPr>
        <w:t xml:space="preserve">genetics for “well-known” diseases like certain types of cancer, heart disease, diabetes, </w:t>
      </w:r>
      <w:r w:rsidR="00E3057B" w:rsidRPr="00424BD3">
        <w:rPr>
          <w:rFonts w:cs="Arial"/>
          <w:szCs w:val="24"/>
        </w:rPr>
        <w:t>etc.</w:t>
      </w:r>
      <w:r w:rsidRPr="00424BD3">
        <w:rPr>
          <w:rFonts w:cs="Arial"/>
          <w:szCs w:val="24"/>
        </w:rPr>
        <w:t xml:space="preserve">, in relation mortality and morbidity outcomes </w:t>
      </w:r>
      <w:r w:rsidRPr="00424BD3">
        <w:rPr>
          <w:rFonts w:cs="Arial"/>
          <w:szCs w:val="24"/>
        </w:rPr>
        <w:fldChar w:fldCharType="begin"/>
      </w:r>
      <w:r w:rsidR="00990F3A">
        <w:rPr>
          <w:rFonts w:cs="Arial"/>
          <w:szCs w:val="24"/>
        </w:rPr>
        <w:instrText xml:space="preserve"> ADDIN ZOTERO_ITEM CSL_CITATION {"citationID":"qSOGH5D6","properties":{"formattedCitation":"(Davison et al., 1992; Hunt et al., 2000)","plainCitation":"(Davison et al., 1992; Hunt et al., 2000)","noteIndex":0},"citationItems":[{"id":971,"uris":["http://zotero.org/users/4946941/items/I3EQKJNR"],"itemData":{"id":971,"type":"article-journal","abstract":"This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schema":"https://github.com/citation-style-language/schema/raw/master/csl-citation.json"} </w:instrText>
      </w:r>
      <w:r w:rsidRPr="00424BD3">
        <w:rPr>
          <w:rFonts w:cs="Arial"/>
          <w:szCs w:val="24"/>
        </w:rPr>
        <w:fldChar w:fldCharType="separate"/>
      </w:r>
      <w:r w:rsidR="00395E16" w:rsidRPr="00424BD3">
        <w:rPr>
          <w:rFonts w:cs="Arial"/>
        </w:rPr>
        <w:t>(Davison et al., 1992; Hunt et al., 2000)</w:t>
      </w:r>
      <w:r w:rsidRPr="00424BD3">
        <w:rPr>
          <w:rFonts w:cs="Arial"/>
          <w:szCs w:val="24"/>
        </w:rPr>
        <w:fldChar w:fldCharType="end"/>
      </w:r>
      <w:r w:rsidR="008A4DA1" w:rsidRPr="00424BD3">
        <w:rPr>
          <w:rFonts w:cs="Arial"/>
          <w:szCs w:val="24"/>
        </w:rPr>
        <w:t xml:space="preserve">; </w:t>
      </w:r>
      <w:r w:rsidRPr="00424BD3">
        <w:rPr>
          <w:rFonts w:cs="Arial"/>
          <w:szCs w:val="24"/>
        </w:rPr>
        <w:t>geopolitical</w:t>
      </w:r>
      <w:r w:rsidR="008A4DA1" w:rsidRPr="00424BD3">
        <w:rPr>
          <w:rFonts w:cs="Arial"/>
          <w:szCs w:val="24"/>
        </w:rPr>
        <w:t xml:space="preserve">; </w:t>
      </w:r>
      <w:r w:rsidRPr="00424BD3">
        <w:rPr>
          <w:rFonts w:cs="Arial"/>
          <w:szCs w:val="24"/>
        </w:rPr>
        <w:t>social</w:t>
      </w:r>
      <w:r w:rsidR="008A4DA1" w:rsidRPr="00424BD3">
        <w:rPr>
          <w:rFonts w:cs="Arial"/>
          <w:szCs w:val="24"/>
        </w:rPr>
        <w:t xml:space="preserve">; </w:t>
      </w:r>
      <w:r w:rsidRPr="00424BD3">
        <w:rPr>
          <w:rFonts w:cs="Arial"/>
          <w:szCs w:val="24"/>
        </w:rPr>
        <w:t>cultural</w:t>
      </w:r>
      <w:r w:rsidR="008A4DA1" w:rsidRPr="00424BD3">
        <w:rPr>
          <w:rFonts w:cs="Arial"/>
          <w:szCs w:val="24"/>
        </w:rPr>
        <w:t xml:space="preserve">; </w:t>
      </w:r>
      <w:r w:rsidRPr="00424BD3">
        <w:rPr>
          <w:rFonts w:cs="Arial"/>
          <w:szCs w:val="24"/>
        </w:rPr>
        <w:t>racial</w:t>
      </w:r>
      <w:r w:rsidR="008A4DA1" w:rsidRPr="00424BD3">
        <w:rPr>
          <w:rFonts w:cs="Arial"/>
          <w:szCs w:val="24"/>
        </w:rPr>
        <w:t xml:space="preserve">; </w:t>
      </w:r>
      <w:r w:rsidRPr="00424BD3">
        <w:rPr>
          <w:rFonts w:cs="Arial"/>
          <w:szCs w:val="24"/>
        </w:rPr>
        <w:t>ethnic</w:t>
      </w:r>
      <w:r w:rsidR="008A4DA1" w:rsidRPr="00424BD3">
        <w:rPr>
          <w:rFonts w:cs="Arial"/>
          <w:szCs w:val="24"/>
        </w:rPr>
        <w:t xml:space="preserve">; </w:t>
      </w:r>
      <w:r w:rsidRPr="00424BD3">
        <w:rPr>
          <w:rFonts w:cs="Arial"/>
          <w:szCs w:val="24"/>
        </w:rPr>
        <w:t>personal</w:t>
      </w:r>
      <w:r w:rsidR="008A4DA1" w:rsidRPr="00424BD3">
        <w:rPr>
          <w:rFonts w:cs="Arial"/>
          <w:szCs w:val="24"/>
        </w:rPr>
        <w:t xml:space="preserve">; </w:t>
      </w:r>
      <w:r w:rsidRPr="00424BD3">
        <w:rPr>
          <w:rFonts w:cs="Arial"/>
          <w:szCs w:val="24"/>
        </w:rPr>
        <w:t xml:space="preserve">and natural environments, all of which constitute drivers (determinants) of health </w:t>
      </w:r>
      <w:r w:rsidRPr="00424BD3">
        <w:rPr>
          <w:rFonts w:cs="Arial"/>
          <w:szCs w:val="24"/>
        </w:rPr>
        <w:fldChar w:fldCharType="begin"/>
      </w:r>
      <w:r w:rsidR="00990F3A">
        <w:rPr>
          <w:rFonts w:cs="Arial"/>
          <w:szCs w:val="24"/>
        </w:rPr>
        <w:instrText xml:space="preserve"> ADDIN ZOTERO_ITEM CSL_CITATION {"citationID":"RoxDsVHF","properties":{"formattedCitation":"(Davison et al., 1992; Walter &amp; Emery, 2006)","plainCitation":"(Davison et al., 1992; Walter &amp; Emery, 2006)","noteIndex":0},"citationItems":[{"id":971,"uris":["http://zotero.org/users/4946941/items/I3EQKJNR"],"itemData":{"id":971,"type":"article-journal","abstract":"This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Davey"}],"issued":{"date-parts":[["1992",3,1]]}}},{"id":977,"uris":["http://zotero.org/users/4946941/items/JSPN7H53"],"itemData":{"id":977,"type":"article-journal","abstract":"Background: Having an affected relative is a strong predictor of an individual's lifetime risk of developing many diseases. In primary care this is of importance in preventive healthcare. Aim: To compare and contrast perceptions of family history across common diseases among primary care patients using the theoretical framework of Leventhal's Common Sense Model (CSM). Methods: Thirty semi-structured interviews were conducted with patients identified in general practice, who had a family history of either cancer, heart disease or diabetes. We performed qualitative constant comparative analysis of transcript data. Results: People with a family history of cancer had a greater sense of personal vulnerability than people with a family history of heart disease: family history of diabetes was generally viewed as the least threatening. Using the CSM constructs we identified factors which determine individual perceptions of family history. Beliefs about consequences and timeline were influenced by witnessing painful, lingering or sudden familial death; people who felt their risk was determined by inheritance were more likely to feel vulnerable and have less control, while those who felt able to change lifestyle or behaviour felt more able to control their perceived risk. Conclusion: Factors influencing perceptions of family history may vary between individuals and between diseases. To use the family history as a tool in preventive healthcare we will need to consider the individual's personal understanding of disease risk and their ideas about cause and controllability of the familial illness. Perceived risk may then be used to motivate preventive health behaviours. (PsycInfo Database Record (c) 2020 APA, all rights reserved)","container-title":"Family Practice","DOI":"10.1093/fampra/cml006","ISSN":"1460-2229","issue":"4","note":"publisher-place: United Kingdom\npublisher: Oxford University Press","page":"472-480","source":"APA PsycNet","title":"Perceptions of family history across common diseases: A qualitative study in primary care","title-short":"Perceptions of family history across common diseases","volume":"23","author":[{"family":"Walter","given":"Fiona M."},{"family":"Emery","given":"Jon"}],"issued":{"date-parts":[["2006"]]}}}],"schema":"https://github.com/citation-style-language/schema/raw/master/csl-citation.json"} </w:instrText>
      </w:r>
      <w:r w:rsidRPr="00424BD3">
        <w:rPr>
          <w:rFonts w:cs="Arial"/>
          <w:szCs w:val="24"/>
        </w:rPr>
        <w:fldChar w:fldCharType="separate"/>
      </w:r>
      <w:r w:rsidRPr="00424BD3">
        <w:rPr>
          <w:rFonts w:cs="Arial"/>
        </w:rPr>
        <w:t>(Davison et al., 1992; Walter &amp; Emery, 2006)</w:t>
      </w:r>
      <w:r w:rsidRPr="00424BD3">
        <w:rPr>
          <w:rFonts w:cs="Arial"/>
          <w:szCs w:val="24"/>
        </w:rPr>
        <w:fldChar w:fldCharType="end"/>
      </w:r>
      <w:r w:rsidRPr="00424BD3">
        <w:rPr>
          <w:rFonts w:cs="Arial"/>
          <w:szCs w:val="24"/>
        </w:rPr>
        <w:t>.</w:t>
      </w:r>
    </w:p>
    <w:p w14:paraId="70769C33" w14:textId="361660D7" w:rsidR="00D9513E" w:rsidRPr="00424BD3" w:rsidRDefault="00C14B24" w:rsidP="000126EE">
      <w:pPr>
        <w:spacing w:after="0" w:line="480" w:lineRule="auto"/>
        <w:ind w:firstLine="720"/>
        <w:rPr>
          <w:rFonts w:cs="Arial"/>
          <w:szCs w:val="24"/>
        </w:rPr>
      </w:pPr>
      <w:r w:rsidRPr="00424BD3">
        <w:rPr>
          <w:rFonts w:cs="Arial"/>
          <w:szCs w:val="24"/>
        </w:rPr>
        <w:t>Therefore</w:t>
      </w:r>
      <w:r w:rsidR="008844E4" w:rsidRPr="00424BD3">
        <w:rPr>
          <w:rFonts w:cs="Arial"/>
          <w:szCs w:val="24"/>
        </w:rPr>
        <w:t xml:space="preserve">, this study examines the </w:t>
      </w:r>
      <w:r w:rsidR="00D9513E" w:rsidRPr="00424BD3">
        <w:rPr>
          <w:rFonts w:cs="Arial"/>
          <w:szCs w:val="24"/>
        </w:rPr>
        <w:t xml:space="preserve">women’s </w:t>
      </w:r>
      <w:r w:rsidR="008844E4" w:rsidRPr="00424BD3">
        <w:rPr>
          <w:rFonts w:cs="Arial"/>
          <w:szCs w:val="24"/>
        </w:rPr>
        <w:t xml:space="preserve">awareness of and perceptions of </w:t>
      </w:r>
      <w:r w:rsidR="00D9513E" w:rsidRPr="00424BD3">
        <w:rPr>
          <w:rFonts w:cs="Arial"/>
          <w:szCs w:val="24"/>
        </w:rPr>
        <w:t xml:space="preserve">their </w:t>
      </w:r>
      <w:r w:rsidR="000C3812" w:rsidRPr="00424BD3">
        <w:rPr>
          <w:rFonts w:cs="Arial"/>
          <w:szCs w:val="24"/>
        </w:rPr>
        <w:t>family health histor</w:t>
      </w:r>
      <w:r w:rsidR="00D9513E" w:rsidRPr="00424BD3">
        <w:rPr>
          <w:rFonts w:cs="Arial"/>
          <w:szCs w:val="24"/>
        </w:rPr>
        <w:t>ies</w:t>
      </w:r>
      <w:r w:rsidR="008844E4" w:rsidRPr="00424BD3">
        <w:rPr>
          <w:rFonts w:cs="Arial"/>
          <w:szCs w:val="24"/>
        </w:rPr>
        <w:t xml:space="preserve">. </w:t>
      </w:r>
      <w:bookmarkStart w:id="37" w:name="_Hlk107312945"/>
      <w:r w:rsidR="008844E4" w:rsidRPr="00424BD3">
        <w:rPr>
          <w:rFonts w:cs="Arial"/>
          <w:szCs w:val="24"/>
        </w:rPr>
        <w:t xml:space="preserve">A major aim of this study is on the social norming of these attitudes and beliefs about health, risk, </w:t>
      </w:r>
      <w:r w:rsidR="00D367E4" w:rsidRPr="00424BD3">
        <w:rPr>
          <w:rFonts w:cs="Arial"/>
          <w:szCs w:val="24"/>
        </w:rPr>
        <w:t>health</w:t>
      </w:r>
      <w:r w:rsidR="008844E4" w:rsidRPr="00424BD3">
        <w:rPr>
          <w:rFonts w:cs="Arial"/>
          <w:szCs w:val="24"/>
        </w:rPr>
        <w:t xml:space="preserve"> behavior, fatalism, </w:t>
      </w:r>
      <w:r w:rsidR="00E3057B" w:rsidRPr="00424BD3">
        <w:rPr>
          <w:rFonts w:cs="Arial"/>
          <w:szCs w:val="24"/>
        </w:rPr>
        <w:t>etc.</w:t>
      </w:r>
      <w:r w:rsidR="000C779E">
        <w:rPr>
          <w:rFonts w:cs="Arial"/>
          <w:szCs w:val="24"/>
        </w:rPr>
        <w:t>,</w:t>
      </w:r>
      <w:r w:rsidR="008844E4" w:rsidRPr="00424BD3">
        <w:rPr>
          <w:rFonts w:cs="Arial"/>
          <w:szCs w:val="24"/>
        </w:rPr>
        <w:t xml:space="preserve"> and other drivers of health that deeply impact awareness or lack of awareness of family health history, and therefore, of the health inequities burden carried generationally, potentially passed down from ancestors to descendants. </w:t>
      </w:r>
      <w:bookmarkEnd w:id="37"/>
    </w:p>
    <w:p w14:paraId="4CFAFD85" w14:textId="7F761EE1" w:rsidR="006C276B" w:rsidRPr="00424BD3" w:rsidRDefault="006C276B" w:rsidP="000126EE">
      <w:pPr>
        <w:spacing w:after="0" w:line="480" w:lineRule="auto"/>
        <w:ind w:firstLine="720"/>
        <w:rPr>
          <w:rFonts w:cs="Arial"/>
          <w:szCs w:val="24"/>
        </w:rPr>
      </w:pPr>
      <w:r w:rsidRPr="00424BD3">
        <w:rPr>
          <w:rFonts w:cs="Arial"/>
          <w:szCs w:val="24"/>
        </w:rPr>
        <w:t xml:space="preserve">It may be helpful to </w:t>
      </w:r>
      <w:r w:rsidR="00E3453A" w:rsidRPr="00424BD3">
        <w:rPr>
          <w:rFonts w:cs="Arial"/>
          <w:szCs w:val="24"/>
        </w:rPr>
        <w:t>review how particular social determinants impact an individual’s awareness of their family health history:</w:t>
      </w:r>
    </w:p>
    <w:p w14:paraId="52D9F81F" w14:textId="598E4BF8" w:rsidR="00E3453A" w:rsidRPr="00424BD3" w:rsidRDefault="00E3453A" w:rsidP="00E3453A">
      <w:pPr>
        <w:pStyle w:val="ListParagraph"/>
        <w:numPr>
          <w:ilvl w:val="0"/>
          <w:numId w:val="5"/>
        </w:numPr>
        <w:spacing w:after="0" w:line="480" w:lineRule="auto"/>
        <w:rPr>
          <w:rFonts w:ascii="Arial" w:hAnsi="Arial" w:cs="Arial"/>
          <w:sz w:val="24"/>
          <w:szCs w:val="24"/>
        </w:rPr>
      </w:pPr>
      <w:r w:rsidRPr="00424BD3">
        <w:rPr>
          <w:rFonts w:ascii="Arial" w:hAnsi="Arial" w:cs="Arial"/>
          <w:sz w:val="24"/>
          <w:szCs w:val="24"/>
        </w:rPr>
        <w:t xml:space="preserve">access – to health insurance, clinicians, and health care facilities </w:t>
      </w:r>
      <w:r w:rsidRPr="00424BD3">
        <w:rPr>
          <w:rFonts w:ascii="Arial" w:hAnsi="Arial" w:cs="Arial"/>
          <w:sz w:val="24"/>
          <w:szCs w:val="24"/>
        </w:rPr>
        <w:fldChar w:fldCharType="begin"/>
      </w:r>
      <w:r w:rsidR="009E4175">
        <w:rPr>
          <w:rFonts w:ascii="Arial" w:hAnsi="Arial" w:cs="Arial"/>
          <w:sz w:val="24"/>
          <w:szCs w:val="24"/>
        </w:rPr>
        <w:instrText xml:space="preserve"> ADDIN ZOTERO_ITEM CSL_CITATION {"citationID":"9cnSx7yS","properties":{"formattedCitation":"(AHRQ, 2016; AMA, 2022; Cyr et al., 2019; Douthit et al., 2015; Lavizzo-Mourey et al., 2021; McMaughan et al., 2020; Ndugga &amp; Artiga, 2021; ODPHP, 2022; Riley, 2012; Trinh et al., 2017)","plainCitation":"(AHRQ, 2016; AMA, 2022; Cyr et al., 2019; Douthit et al., 2015; Lavizzo-Mourey et al., 2021; McMaughan et al., 2020; Ndugga &amp; Artiga, 2021; ODPHP, 2022; Riley, 2012; Trinh et al., 2017)","noteIndex":0},"citationItems":[{"id":1381,"uris":["http://zotero.org/users/4946941/items/W99EKHHB"],"itemData":{"id":1381,"type":"webpage","abstract":"This Access to Health Care chartbook is part of a family of documents and tools that support the National Healthcare Quality and Disparities Report (QDR). The QDR includes annual reports to Congress mandated in the Healthcare Research and Quality Act of 1999 (P.L. 106-129). This chartbook includes a summary of disparities across measures of access to health care from the QDR and figures illustrating select measures of access to health care. A PowerPoint version is also available that users can download for presentations.","container-title":"Agency for Healthcare Research and Quality (AHRQ)","genre":"U.S. Government","language":"en-us","title":"Chartbook on Access to Health Care","URL":"https://www.ahrq.gov/research/findings/nhqrdr/chartbooks/access/index.html","author":[{"family":"AHRQ","given":""}],"accessed":{"date-parts":[["2022",9,5]]},"issued":{"date-parts":[["2016",5]]}}},{"id":1379,"uris":["http://zotero.org/users/4946941/items/KQZPH2R8"],"itemData":{"id":1379,"type":"webpage","abstract":"Read about the AMA's goal to ensure that all communities across the United States receive equal access to quality health care.","container-title":"American Medical Association (AMA)","language":"en","title":"Reducing disparities in health care","URL":"https://www.ama-assn.org/delivering-care/patient-support-advocacy/reducing-disparities-health-care","author":[{"family":"AMA","given":""}],"accessed":{"date-parts":[["2022",9,5]]},"issued":{"date-parts":[["2022"]]}}},{"id":1360,"uris":["http://zotero.org/users/4946941/items/S2FJXZD6"],"itemData":{"id":1360,"type":"article-journal","abstract":"Access to healthcare is a poorly defined construct, with insufficient understanding of differences in facilitators and barriers between US urban versus rural specialty care. We summarize recent literature and expand upon a prior conceptual access framework, adapted here specifically to urban and rural specialty care.","container-title":"BMC Health Services Research","DOI":"10.1186/s12913-019-4815-5","ISSN":"1472-6963","issue":"1","journalAbbreviation":"BMC Health Services Research","page":"974","source":"BioMed Central","title":"Access to specialty healthcare in urban versus rural US populations: a systematic literature review","title-short":"Access to specialty healthcare in urban versus rural US populations","volume":"19","author":[{"family":"Cyr","given":"Melissa E."},{"family":"Etchin","given":"Anna G."},{"family":"Guthrie","given":"Barbara J."},{"family":"Benneyan","given":"James C."}],"issued":{"date-parts":[["2019",12,18]]}}},{"id":1363,"uris":["http://zotero.org/users/4946941/items/S6VICGXG"],"itemData":{"id":1363,"type":"article-journal","abstract":"Objectives\nTo review research published before and after the passage of the Patient Protection and Affordable Care Act (2010) examining barriers in seeking or accessing health care in rural populations in the USA.\nStudy design\nThis literature review was based on a comprehensive search for all literature researching rural health care provision and access in the USA.\nMethods\nPubmed, Proquest Allied Nursing and Health Literature, National Rural Health Association (NRHA) Resource Center and Google Scholar databases were searched using the Medical Subject Headings (MeSH) ‘Rural Health Services’ and ‘Rural Health.’ MeSH subtitle headings used were ‘USA,’ ‘utilization,’ ‘trends’ and ‘supply and distribution.’ Keywords added to the search parameters were ‘access,’ ‘rural’ and ‘health care.’ Searches in Google Scholar employed the phrases ‘health care disparities in the USA,’ inequalities in ‘health care in the USA,’ ‘health care in rural USA’ and ‘access to health care in rural USA.’ After eliminating non-relevant articles, 34 articles were included.\nResults\nSignificant differences in health care access between rural and urban areas exist. Reluctance to seek health care in rural areas was based on cultural and financial constraints, often compounded by a scarcity of services, a lack of trained physicians, insufficient public transport, and poor availability of broadband internet services. Rural residents were found to have poorer health, with rural areas having difficulty in attracting and retaining physicians, and maintaining health services on a par with their urban counterparts.\nConclusions\nRural and urban health care disparities require an ongoing program of reform with the aim to improve the provision of services, promote recruitment, training and career development of rural health care professionals, increase comprehensive health insurance coverage and engage rural residents and healthcare providers in health promotion.","container-title":"Public Health","DOI":"10.1016/j.puhe.2015.04.001","ISSN":"0033-3506","issue":"6","journalAbbreviation":"Public Health","language":"en","page":"611-620","source":"ScienceDirect","title":"Exposing some important barriers to health care access in the rural USA","volume":"129","author":[{"family":"Douthit","given":"N."},{"family":"Kiv","given":"S."},{"family":"Dwolatzky","given":"T."},{"family":"Biswas","given":"S."}],"issued":{"date-parts":[["2015",6,1]]}}},{"id":1356,"uris":["http://zotero.org/users/4946941/items/FIIR2YSJ"],"itemData":{"id":1356,"type":"article-journal","container-title":"New England Journal of Medicine","DOI":"10.1056/NEJMp2008628","ISSN":"0028-4793","issue":"18","note":"publisher: Massachusetts Medical Society\n_eprint: https://doi.org/10.1056/NEJMp2008628\nPMID: 33951376","page":"1681-1684","source":"Taylor and Francis+NEJM","title":"Understanding and Mitigating Health Inequities — Past, Current, and Future Directions","volume":"384","author":[{"family":"Lavizzo-Mourey","given":"Risa J."},{"family":"Besser","given":"Richard E."},{"family":"Williams","given":"David R."}],"issued":{"date-parts":[["2021",5,6]]}}},{"id":1358,"uris":["http://zotero.org/users/4946941/items/3IKZWZWK"],"itemData":{"id":1358,"type":"article-journal","abstract":"The rapid growth of the global aging population has raised attention to the health and healthcare needs of older adults. The purpose of this mini-review is to: (1) elucidate the complex factors affecting the relationship between chronological age, socio-economic status (SES), access to care, and healthy aging using a SES-focused framework; (2) present examples of interventions from across the globe; and (3) offer recommendations for research-guided action to remediate the trend of older age being associated with lower SES, lack of access to care, and poorer health outcomes. Evidence supports a relationship between SES and healthcare access as well as healthcare access and health outcomes for older adults. Because financial resources are proportional to health status, efforts are needed to support older adults and the burdened healthcare system with financial resources. This can be most effective with grassroots approaches and interventions to improve SES among older adults and through data-driven policy and systems change.","container-title":"Frontiers in Public Health","ISSN":"2296-2565","source":"Frontiers","title":"Socioeconomic Status and Access to Healthcare: Interrelated Drivers for Healthy Aging","title-short":"Socioeconomic Status and Access to Healthcare","URL":"https://www.frontiersin.org/articles/10.3389/fpubh.2020.00231","volume":"8","author":[{"family":"McMaughan","given":"Darcy Jones"},{"family":"Oloruntoba","given":"Oluyomi"},{"family":"Smith","given":"Matthew Lee"}],"accessed":{"date-parts":[["2022",9,4]]},"issued":{"date-parts":[["2020"]]}}},{"id":1374,"uris":["http://zotero.org/users/4946941/items/7D39ZAQL"],"itemData":{"id":1374,"type":"post-weblog","abstract":"Disparities in health and health care for people of color and underserved groups are longstanding challenges. The COVID-19 pandemic has exacerbated these disparities and heightened the importance o…","container-title":"Kaiser Family Foundation","language":"en-US","title":"Disparities in Health and Health Care: 5 Key Questions and Answers","title-short":"Disparities in Health and Health Care","URL":"https://www.kff.org/racial-equity-and-health-policy/issue-brief/disparities-in-health-and-health-care-5-key-question-and-answers/","author":[{"family":"Ndugga","given":"Nambi"},{"family":"Artiga","given":"Samantha"}],"accessed":{"date-parts":[["2022",9,5]]},"issued":{"date-parts":[["2021",5,11]]}}},{"id":1378,"uris":["http://zotero.org/users/4946941/items/XY56ZP2S"],"itemData":{"id":1378,"type":"webpage","container-title":"Office of Disease Prevention and Health Promotion (ODPHP)","genre":"U.S. Government","title":"Access to Health Services.","title-short":"HealthyPeople.gov","URL":"https://www.healthypeople.gov/2020/topics-objectives/topic/social-determinants-health/interventions-resources/access-to-health","author":[{"family":"ODPHP","given":""}],"accessed":{"date-parts":[["2022",9,5]]},"issued":{"date-parts":[["2022",2,6]]}}},{"id":1365,"uris":["http://zotero.org/users/4946941/items/CU5HBC8T"],"itemData":{"id":1365,"type":"article-journal","abstract":"Health disparities, which are sometimes referred to as health inequities, have garnered an increasing amount of attention from physicians and health policy experts, as well as a renewed focus from federal health agencies. As a complex and multi-factorial construct, differential access to medical care, treatment modalities, and disparate outcomes among various racial and ethnic groups has been validated in numerous studies. The antecedents of such differences involve such “drivers” as cost and access to the healthcare system, primary care physicians, and preventive health services. In addition, the subtle role of bias in creating and/or exacerbating health disparities is well documented in the literature. This article highlights the dimensions and extent of health inequities and emphasizes the challenges facing physicians and others in addressing them.","container-title":"Transactions of the American Clinical and Climatological Association","ISSN":"0065-7778","journalAbbreviation":"Trans Am Clin Climatol Assoc","note":"PMID: 23303983\nPMCID: PMC3540621","page":"167-174","source":"PubMed Central","title":"Health Disparities: Gaps in Access, Quality and Affordability of Medical Care","title-short":"Health Disparities","volume":"123","author":[{"family":"Riley","given":"Wayne J."}],"issued":{"date-parts":[["2012"]]}}},{"id":1371,"uris":["http://zotero.org/users/4946941/items/BX9YUQRS"],"itemData":{"id":1371,"type":"article-journal","abstract":"Research has shown that sexual minorities (SMs) (e.g. lesbian, gay, and bisexual individuals), compared to their heterosexual counterparts, may engage in riskier health behaviors, are at higher risk of some adverse health outcomes, and are more likely to experience reduced health care access and utilization. However, few studies have examined how the interplay between race and sexual orientation impacts a range of health measures in a nationally representative sample of the U.S. population.","container-title":"BMC Public Health","DOI":"10.1186/s12889-017-4937-9","ISSN":"1471-2458","issue":"1","journalAbbreviation":"BMC Public Health","page":"964","source":"BioMed Central","title":"Health and healthcare disparities among U.S. women and men at the intersection of sexual orientation and race/ethnicity: a nationally representative cross-sectional study","title-short":"Health and healthcare disparities among U.S. women and men at the intersection of sexual orientation and race/ethnicity","volume":"17","author":[{"family":"Trinh","given":"Mai-Han"},{"family":"Agénor","given":"Madina"},{"family":"Austin","given":"S. Bryn"},{"family":"Jackson","given":"Chandra L."}],"issued":{"date-parts":[["2017",12,19]]}}}],"schema":"https://github.com/citation-style-language/schema/raw/master/csl-citation.json"} </w:instrText>
      </w:r>
      <w:r w:rsidRPr="00424BD3">
        <w:rPr>
          <w:rFonts w:ascii="Arial" w:hAnsi="Arial" w:cs="Arial"/>
          <w:sz w:val="24"/>
          <w:szCs w:val="24"/>
        </w:rPr>
        <w:fldChar w:fldCharType="separate"/>
      </w:r>
      <w:r w:rsidRPr="00424BD3">
        <w:rPr>
          <w:rFonts w:ascii="Arial" w:hAnsi="Arial" w:cs="Arial"/>
          <w:sz w:val="24"/>
        </w:rPr>
        <w:t>(AHRQ, 2016; AMA, 2022; Cyr et al., 2019; Douthit et al., 2015; Lavizzo-Mourey et al., 2021; McMaughan et al., 2020; Ndugga &amp; Artiga, 2021; ODPHP, 2022; Riley, 2012; Trinh et al., 2017)</w:t>
      </w:r>
      <w:r w:rsidRPr="00424BD3">
        <w:rPr>
          <w:rFonts w:ascii="Arial" w:hAnsi="Arial" w:cs="Arial"/>
          <w:sz w:val="24"/>
          <w:szCs w:val="24"/>
        </w:rPr>
        <w:fldChar w:fldCharType="end"/>
      </w:r>
      <w:r w:rsidRPr="00424BD3">
        <w:rPr>
          <w:rFonts w:ascii="Arial" w:hAnsi="Arial" w:cs="Arial"/>
          <w:sz w:val="24"/>
          <w:szCs w:val="24"/>
        </w:rPr>
        <w:t xml:space="preserve"> gender (women tend to gather FHH more than men) </w:t>
      </w:r>
      <w:r w:rsidRPr="00424BD3">
        <w:rPr>
          <w:rFonts w:ascii="Arial" w:hAnsi="Arial" w:cs="Arial"/>
          <w:sz w:val="24"/>
          <w:szCs w:val="24"/>
        </w:rPr>
        <w:fldChar w:fldCharType="begin"/>
      </w:r>
      <w:r w:rsidR="00990F3A">
        <w:rPr>
          <w:rFonts w:ascii="Arial" w:hAnsi="Arial" w:cs="Arial"/>
          <w:sz w:val="24"/>
          <w:szCs w:val="24"/>
        </w:rPr>
        <w:instrText xml:space="preserve"> ADDIN ZOTERO_ITEM CSL_CITATION {"citationID":"2YXMZcvk","properties":{"formattedCitation":"(Hughes Halbert et al., 2016; Hunt et al., 2000; Vogel et al., 2007)","plainCitation":"(Hughes Halbert et al., 2016; Hunt et al., 2000; Vogel et al., 2007)","noteIndex":0},"citationItems":[{"id":990,"uris":["http://zotero.org/users/4946941/items/S8VPBYCC"],"itemData":{"id":990,"type":"article-journal","abstract":"Family health history (FHH) is the most basic form of genomic information. Although public health efforts have been made to promote FHH collection, empirical data on the extent to which community residents in rural areas actively collect FHH is limited. Therefore, we examined rates of FHH collection in a community-based sample of South Carolina residents. We conducted a structured telephone survey in a random sample of black and white South Carolina residents. Respondents were asked if they had ever actively collected FHH from relatives using an item developed by the Centers for Disease Control and Prevention. Overall, 42 % of respondents reported that they had actively collected their FHH. Blacks were significantly more likely than whites to have collected their FHH in bivariate analysis, but race did not have a significant association with FHH collection in the multivariate model (OR = 1.36, 95 % CI = 0.79, 2.35, p = 0.26). The likelihood of collecting FHH was increased among respondents whose last medical visit occurred in the past year compared to those whose last medical visit was more than 1 year ago (OR = 2.00, 95 % CI = 1.12, 3.56, p = 0.02). In addition, older respondents had a reduced likelihood of collecting their FHH (OR = 0.69, 95 % CI = 0.53, 0.90, p = .01). Lastly, women were about twice as likely as men to have collected their FHH (OR = 1.83, 95 % CI = 1.12, 2.99, p = 0.02). Greater efforts are needed to increase the collection of FHH information; these efforts may need to target men, the elderly, and individuals who have not had a recent medical visit.","container-title":"Journal of Community Genetics","DOI":"10.1007/s12687-015-0251-3","ISSN":"1868-6001","issue":"1","journalAbbreviation":"J Community Genet","language":"en","page":"57-64","source":"Springer Link","title":"Social determinants of family health history collection","volume":"7","author":[{"family":"Hughes Halbert","given":"Chanita"},{"family":"Welch","given":"Brandon"},{"family":"Lynch","given":"Cheryl"},{"family":"Magwood","given":"Gayenell"},{"family":"Rice","given":"LaShanta"},{"family":"Jefferson","given":"Melanie"},{"family":"Riley","given":"Jodie"}],"issued":{"date-parts":[["2016",1,1]]}}},{"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id":974,"uris":["http://zotero.org/users/4946941/items/QK5HTDG4"],"itemData":{"id":974,"type":"article-journal","abstract":"This study examined the mediating effects of the self-stigma associated with seeking counseling and attitudes toward seeking counseling on the link between perceived public stigma and willingness to seek counseling for psychological and interpersonal concerns. Structural equation modeling of data from 676 undergraduates indicated that the link between perceived public stigma and willingness to seek counseling was fully mediated by self-stigma and attitudes. Perceptions of public stigma contributed to the experience of self-stigma, which, in turn, influenced help-seeking attitudes and eventually help-seeking willingness. Furthermore, 57% of the variance in attitudes toward counseling and 34% of the variance in willingness to seek counseling for psychological and interpersonal concerns were accounted for in the proposed model.","container-title":"Journal of Counseling Psychology","DOI":"10.1037/0022-0167.54.1.40","journalAbbreviation":"Journal of Counseling Psychology","source":"ResearchGate","title":"Perceived Public Stigma and the Willingness to Seek Counseling: The Mediating Roles of Self-Stigma and Attitudes Toward Counseling","title-short":"Perceived Public Stigma and the Willingness to Seek Counseling","volume":"54","author":[{"family":"Vogel","given":"David"},{"family":"Wade","given":"Nathaniel"},{"family":"Hackler","given":"Ashley"}],"issued":{"date-parts":[["2007",1,1]]}}}],"schema":"https://github.com/citation-style-language/schema/raw/master/csl-citation.json"} </w:instrText>
      </w:r>
      <w:r w:rsidRPr="00424BD3">
        <w:rPr>
          <w:rFonts w:ascii="Arial" w:hAnsi="Arial" w:cs="Arial"/>
          <w:sz w:val="24"/>
          <w:szCs w:val="24"/>
        </w:rPr>
        <w:fldChar w:fldCharType="separate"/>
      </w:r>
      <w:r w:rsidR="00395E16" w:rsidRPr="00424BD3">
        <w:rPr>
          <w:rFonts w:ascii="Arial" w:hAnsi="Arial" w:cs="Arial"/>
          <w:sz w:val="24"/>
        </w:rPr>
        <w:t>(Hughes Halbert et al., 2016; Hunt et al., 2000; Vogel et al., 2007)</w:t>
      </w:r>
      <w:r w:rsidRPr="00424BD3">
        <w:rPr>
          <w:rFonts w:ascii="Arial" w:hAnsi="Arial" w:cs="Arial"/>
          <w:sz w:val="24"/>
          <w:szCs w:val="24"/>
        </w:rPr>
        <w:fldChar w:fldCharType="end"/>
      </w:r>
      <w:r w:rsidRPr="00424BD3">
        <w:rPr>
          <w:rFonts w:ascii="Arial" w:hAnsi="Arial" w:cs="Arial"/>
          <w:sz w:val="24"/>
          <w:szCs w:val="24"/>
        </w:rPr>
        <w:t xml:space="preserve"> </w:t>
      </w:r>
    </w:p>
    <w:p w14:paraId="0F109F1F" w14:textId="05B8253E" w:rsidR="00E3453A" w:rsidRPr="00424BD3" w:rsidRDefault="00E3453A" w:rsidP="00E3453A">
      <w:pPr>
        <w:pStyle w:val="ListParagraph"/>
        <w:numPr>
          <w:ilvl w:val="0"/>
          <w:numId w:val="5"/>
        </w:numPr>
        <w:spacing w:after="0" w:line="480" w:lineRule="auto"/>
        <w:rPr>
          <w:rFonts w:ascii="Arial" w:hAnsi="Arial" w:cs="Arial"/>
          <w:sz w:val="24"/>
          <w:szCs w:val="24"/>
        </w:rPr>
      </w:pPr>
      <w:r w:rsidRPr="00424BD3">
        <w:rPr>
          <w:rFonts w:ascii="Arial" w:hAnsi="Arial" w:cs="Arial"/>
          <w:sz w:val="24"/>
          <w:szCs w:val="24"/>
        </w:rPr>
        <w:t xml:space="preserve">education (those more highly educated collect FHH more than those less educated) </w:t>
      </w:r>
      <w:r w:rsidRPr="00424BD3">
        <w:rPr>
          <w:rFonts w:ascii="Arial" w:hAnsi="Arial" w:cs="Arial"/>
          <w:sz w:val="24"/>
          <w:szCs w:val="24"/>
        </w:rPr>
        <w:fldChar w:fldCharType="begin"/>
      </w:r>
      <w:r w:rsidR="00990F3A">
        <w:rPr>
          <w:rFonts w:ascii="Arial" w:hAnsi="Arial" w:cs="Arial"/>
          <w:sz w:val="24"/>
          <w:szCs w:val="24"/>
        </w:rPr>
        <w:instrText xml:space="preserve"> ADDIN ZOTERO_ITEM CSL_CITATION {"citationID":"ukjuEPZr","properties":{"formattedCitation":"(Hughes Halbert et al., 2016; Vogel et al., 2007)","plainCitation":"(Hughes Halbert et al., 2016; Vogel et al., 2007)","noteIndex":0},"citationItems":[{"id":990,"uris":["http://zotero.org/users/4946941/items/S8VPBYCC"],"itemData":{"id":990,"type":"article-journal","abstract":"Family health history (FHH) is the most basic form of genomic information. Although public health efforts have been made to promote FHH collection, empirical data on the extent to which community residents in rural areas actively collect FHH is limited. Therefore, we examined rates of FHH collection in a community-based sample of South Carolina residents. We conducted a structured telephone survey in a random sample of black and white South Carolina residents. Respondents were asked if they had ever actively collected FHH from relatives using an item developed by the Centers for Disease Control and Prevention. Overall, 42 % of respondents reported that they had actively collected their FHH. Blacks were significantly more likely than whites to have collected their FHH in bivariate analysis, but race did not have a significant association with FHH collection in the multivariate model (OR = 1.36, 95 % CI = 0.79, 2.35, p = 0.26). The likelihood of collecting FHH was increased among respondents whose last medical visit occurred in the past year compared to those whose last medical visit was more than 1 year ago (OR = 2.00, 95 % CI = 1.12, 3.56, p = 0.02). In addition, older respondents had a reduced likelihood of collecting their FHH (OR = 0.69, 95 % CI = 0.53, 0.90, p = .01). Lastly, women were about twice as likely as men to have collected their FHH (OR = 1.83, 95 % CI = 1.12, 2.99, p = 0.02). Greater efforts are needed to increase the collection of FHH information; these efforts may need to target men, the elderly, and individuals who have not had a recent medical visit.","container-title":"Journal of Community Genetics","DOI":"10.1007/s12687-015-0251-3","ISSN":"1868-6001","issue":"1","journalAbbreviation":"J Community Genet","language":"en","page":"57-64","source":"Springer Link","title":"Social determinants of family health history collection","volume":"7","author":[{"family":"Hughes Halbert","given":"Chanita"},{"family":"Welch","given":"Brandon"},{"family":"Lynch","given":"Cheryl"},{"family":"Magwood","given":"Gayenell"},{"family":"Rice","given":"LaShanta"},{"family":"Jefferson","given":"Melanie"},{"family":"Riley","given":"Jodie"}],"issued":{"date-parts":[["2016",1,1]]}}},{"id":974,"uris":["http://zotero.org/users/4946941/items/QK5HTDG4"],"itemData":{"id":974,"type":"article-journal","abstract":"This study examined the mediating effects of the self-stigma associated with seeking counseling and attitudes toward seeking counseling on the link between perceived public stigma and willingness to seek counseling for psychological and interpersonal concerns. Structural equation modeling of data from 676 undergraduates indicated that the link between perceived public stigma and willingness to seek counseling was fully mediated by self-stigma and attitudes. Perceptions of public stigma contributed to the experience of self-stigma, which, in turn, influenced help-seeking attitudes and eventually help-seeking willingness. Furthermore, 57% of the variance in attitudes toward counseling and 34% of the variance in willingness to seek counseling for psychological and interpersonal concerns were accounted for in the proposed model.","container-title":"Journal of Counseling Psychology","DOI":"10.1037/0022-0167.54.1.40","journalAbbreviation":"Journal of Counseling Psychology","source":"ResearchGate","title":"Perceived Public Stigma and the Willingness to Seek Counseling: The Mediating Roles of Self-Stigma and Attitudes Toward Counseling","title-short":"Perceived Public Stigma and the Willingness to Seek Counseling","volume":"54","author":[{"family":"Vogel","given":"David"},{"family":"Wade","given":"Nathaniel"},{"family":"Hackler","given":"Ashley"}],"issued":{"date-parts":[["2007",1,1]]}}}],"schema":"https://github.com/citation-style-language/schema/raw/master/csl-citation.json"} </w:instrText>
      </w:r>
      <w:r w:rsidRPr="00424BD3">
        <w:rPr>
          <w:rFonts w:ascii="Arial" w:hAnsi="Arial" w:cs="Arial"/>
          <w:sz w:val="24"/>
          <w:szCs w:val="24"/>
        </w:rPr>
        <w:fldChar w:fldCharType="separate"/>
      </w:r>
      <w:r w:rsidRPr="00424BD3">
        <w:rPr>
          <w:rFonts w:ascii="Arial" w:hAnsi="Arial" w:cs="Arial"/>
          <w:sz w:val="24"/>
        </w:rPr>
        <w:t>(Hughes Halbert et al., 2016; Vogel et al., 2007)</w:t>
      </w:r>
      <w:r w:rsidRPr="00424BD3">
        <w:rPr>
          <w:rFonts w:ascii="Arial" w:hAnsi="Arial" w:cs="Arial"/>
          <w:sz w:val="24"/>
          <w:szCs w:val="24"/>
        </w:rPr>
        <w:fldChar w:fldCharType="end"/>
      </w:r>
      <w:r w:rsidRPr="00424BD3">
        <w:rPr>
          <w:rFonts w:ascii="Arial" w:hAnsi="Arial" w:cs="Arial"/>
          <w:sz w:val="24"/>
          <w:szCs w:val="24"/>
        </w:rPr>
        <w:t xml:space="preserve"> </w:t>
      </w:r>
    </w:p>
    <w:p w14:paraId="0BB52448" w14:textId="58F4D78F" w:rsidR="00E3453A" w:rsidRPr="00424BD3" w:rsidRDefault="00E3453A" w:rsidP="00E3453A">
      <w:pPr>
        <w:pStyle w:val="ListParagraph"/>
        <w:numPr>
          <w:ilvl w:val="0"/>
          <w:numId w:val="5"/>
        </w:numPr>
        <w:spacing w:after="0" w:line="480" w:lineRule="auto"/>
        <w:rPr>
          <w:rFonts w:ascii="Arial" w:hAnsi="Arial" w:cs="Arial"/>
          <w:sz w:val="24"/>
          <w:szCs w:val="24"/>
        </w:rPr>
      </w:pPr>
      <w:r w:rsidRPr="00424BD3">
        <w:rPr>
          <w:rFonts w:ascii="Arial" w:hAnsi="Arial" w:cs="Arial"/>
          <w:sz w:val="24"/>
          <w:szCs w:val="24"/>
        </w:rPr>
        <w:t xml:space="preserve">sphere of influence - who </w:t>
      </w:r>
      <w:r w:rsidR="000535D4">
        <w:rPr>
          <w:rFonts w:ascii="Arial" w:hAnsi="Arial" w:cs="Arial"/>
          <w:sz w:val="24"/>
          <w:szCs w:val="24"/>
        </w:rPr>
        <w:t>i</w:t>
      </w:r>
      <w:r w:rsidRPr="00424BD3">
        <w:rPr>
          <w:rFonts w:ascii="Arial" w:hAnsi="Arial" w:cs="Arial"/>
          <w:sz w:val="24"/>
          <w:szCs w:val="24"/>
        </w:rPr>
        <w:t xml:space="preserve">s influencing individuals to gather FHH (such as trusted community or religious leaders) </w:t>
      </w:r>
      <w:r w:rsidRPr="00424BD3">
        <w:rPr>
          <w:rFonts w:ascii="Arial" w:hAnsi="Arial" w:cs="Arial"/>
          <w:sz w:val="24"/>
          <w:szCs w:val="24"/>
        </w:rPr>
        <w:fldChar w:fldCharType="begin"/>
      </w:r>
      <w:r w:rsidR="00990F3A">
        <w:rPr>
          <w:rFonts w:ascii="Arial" w:hAnsi="Arial" w:cs="Arial"/>
          <w:sz w:val="24"/>
          <w:szCs w:val="24"/>
        </w:rPr>
        <w:instrText xml:space="preserve"> ADDIN ZOTERO_ITEM CSL_CITATION {"citationID":"kphUYuao","properties":{"formattedCitation":"(Vogel et al., 2007)","plainCitation":"(Vogel et al., 2007)","noteIndex":0},"citationItems":[{"id":974,"uris":["http://zotero.org/users/4946941/items/QK5HTDG4"],"itemData":{"id":974,"type":"article-journal","abstract":"This study examined the mediating effects of the self-stigma associated with seeking counseling and attitudes toward seeking counseling on the link between perceived public stigma and willingness to seek counseling for psychological and interpersonal concerns. Structural equation modeling of data from 676 undergraduates indicated that the link between perceived public stigma and willingness to seek counseling was fully mediated by self-stigma and attitudes. Perceptions of public stigma contributed to the experience of self-stigma, which, in turn, influenced help-seeking attitudes and eventually help-seeking willingness. Furthermore, 57% of the variance in attitudes toward counseling and 34% of the variance in willingness to seek counseling for psychological and interpersonal concerns were accounted for in the proposed model.","container-title":"Journal of Counseling Psychology","DOI":"10.1037/0022-0167.54.1.40","journalAbbreviation":"Journal of Counseling Psychology","source":"ResearchGate","title":"Perceived Public Stigma and the Willingness to Seek Counseling: The Mediating Roles of Self-Stigma and Attitudes Toward Counseling","title-short":"Perceived Public Stigma and the Willingness to Seek Counseling","volume":"54","author":[{"family":"Vogel","given":"David"},{"family":"Wade","given":"Nathaniel"},{"family":"Hackler","given":"Ashley"}],"issued":{"date-parts":[["2007",1,1]]}}}],"schema":"https://github.com/citation-style-language/schema/raw/master/csl-citation.json"} </w:instrText>
      </w:r>
      <w:r w:rsidRPr="00424BD3">
        <w:rPr>
          <w:rFonts w:ascii="Arial" w:hAnsi="Arial" w:cs="Arial"/>
          <w:sz w:val="24"/>
          <w:szCs w:val="24"/>
        </w:rPr>
        <w:fldChar w:fldCharType="separate"/>
      </w:r>
      <w:r w:rsidRPr="00424BD3">
        <w:rPr>
          <w:rFonts w:ascii="Arial" w:hAnsi="Arial" w:cs="Arial"/>
          <w:sz w:val="24"/>
        </w:rPr>
        <w:t>(Vogel et al., 2007)</w:t>
      </w:r>
      <w:r w:rsidRPr="00424BD3">
        <w:rPr>
          <w:rFonts w:ascii="Arial" w:hAnsi="Arial" w:cs="Arial"/>
          <w:sz w:val="24"/>
          <w:szCs w:val="24"/>
        </w:rPr>
        <w:fldChar w:fldCharType="end"/>
      </w:r>
    </w:p>
    <w:p w14:paraId="3F3DA497" w14:textId="3B8E4126" w:rsidR="00E3453A" w:rsidRPr="00424BD3" w:rsidRDefault="00E3453A" w:rsidP="00E3453A">
      <w:pPr>
        <w:pStyle w:val="ListParagraph"/>
        <w:numPr>
          <w:ilvl w:val="0"/>
          <w:numId w:val="5"/>
        </w:numPr>
        <w:spacing w:after="0" w:line="480" w:lineRule="auto"/>
        <w:rPr>
          <w:rFonts w:ascii="Arial" w:hAnsi="Arial" w:cs="Arial"/>
          <w:sz w:val="24"/>
          <w:szCs w:val="24"/>
        </w:rPr>
      </w:pPr>
      <w:r w:rsidRPr="00424BD3">
        <w:rPr>
          <w:rFonts w:ascii="Arial" w:hAnsi="Arial" w:cs="Arial"/>
          <w:sz w:val="24"/>
          <w:szCs w:val="24"/>
        </w:rPr>
        <w:lastRenderedPageBreak/>
        <w:t xml:space="preserve">secrecy (familial and cultural), stigma, fear, embarrassment, and denial – causing family members not to discuss FHH within the family or to share information with healthcare professionals </w:t>
      </w:r>
      <w:r w:rsidRPr="00424BD3">
        <w:rPr>
          <w:rFonts w:ascii="Arial" w:hAnsi="Arial" w:cs="Arial"/>
          <w:sz w:val="24"/>
          <w:szCs w:val="24"/>
        </w:rPr>
        <w:fldChar w:fldCharType="begin"/>
      </w:r>
      <w:r w:rsidR="00990F3A">
        <w:rPr>
          <w:rFonts w:ascii="Arial" w:hAnsi="Arial" w:cs="Arial"/>
          <w:sz w:val="24"/>
          <w:szCs w:val="24"/>
        </w:rPr>
        <w:instrText xml:space="preserve"> ADDIN ZOTERO_ITEM CSL_CITATION {"citationID":"u0L67EIl","properties":{"formattedCitation":"(Malen et al., 2016)","plainCitation":"(Malen et al., 2016)","noteIndex":0},"citationItems":[{"id":1002,"uris":["http://zotero.org/users/4946941/items/9AMZIDBA"],"itemData":{"id":1002,"type":"article-journal","abstract":"Disseminating the results of transdisciplinary health disparities research will increasingly involve discussing family health history and/or genetic information with study participants and their communities. Often, individuals’ familiarity and comfort with these topics will be unclear. To inform the dissemination activities of a Center for Population Health and Health Disparities (CPHHD) studying multilevel determinants of breast cancer disparities in Latinas, we talked with Spanish-speaking Mexican-Americans from a rural agricultural community about family health history, genetics, and disease risk. We found that participants had limited genetic literacy but were familiar with some concepts related to family health history. Participants emphasized the role of individual behavior in shaping health and expressed a strong desire for health-related information. This included genetic information about future disease risk, which participants were previously unaware of but thought could be useful for disease prevention. These findings suggest that for research dissemination to facilitate health promotion, gaps in knowledge, particularly genetic knowledge, will need to be overcome. Outreach to underserved Latino communities should take advantage of this existing knowledge of family health history and strong desire for health information, but also take care to not overstate the significance of unreplicated or low-penetrance genetic associations.","container-title":"Journal of Community Genetics","DOI":"10.1007/s12687-015-0245-1","ISSN":"1868-6001","issue":"1","journalAbbreviation":"J Community Genet","language":"en","page":"91-96","source":"Springer Link","title":"Rural Mexican-Americans’ perceptions of family health history, genetics, and disease risk: implications for disparities-focused research dissemination","title-short":"Rural Mexican-Americans’ perceptions of family health history, genetics, and disease risk","volume":"7","author":[{"family":"Malen","given":"Rachel"},{"family":"Knerr","given":"Sarah"},{"family":"Delgado","given":"Fernanda"},{"family":"Fullerton","given":"Stephanie M."},{"family":"Thompson","given":"Beti"}],"issued":{"date-parts":[["2016",1,1]]}}}],"schema":"https://github.com/citation-style-language/schema/raw/master/csl-citation.json"} </w:instrText>
      </w:r>
      <w:r w:rsidRPr="00424BD3">
        <w:rPr>
          <w:rFonts w:ascii="Arial" w:hAnsi="Arial" w:cs="Arial"/>
          <w:sz w:val="24"/>
          <w:szCs w:val="24"/>
        </w:rPr>
        <w:fldChar w:fldCharType="separate"/>
      </w:r>
      <w:r w:rsidRPr="00424BD3">
        <w:rPr>
          <w:rFonts w:ascii="Arial" w:hAnsi="Arial" w:cs="Arial"/>
          <w:sz w:val="24"/>
        </w:rPr>
        <w:t>(Malen et al., 2016)</w:t>
      </w:r>
      <w:r w:rsidRPr="00424BD3">
        <w:rPr>
          <w:rFonts w:ascii="Arial" w:hAnsi="Arial" w:cs="Arial"/>
          <w:sz w:val="24"/>
          <w:szCs w:val="24"/>
        </w:rPr>
        <w:fldChar w:fldCharType="end"/>
      </w:r>
      <w:r w:rsidRPr="00424BD3">
        <w:rPr>
          <w:rFonts w:ascii="Arial" w:hAnsi="Arial" w:cs="Arial"/>
          <w:sz w:val="24"/>
          <w:szCs w:val="24"/>
        </w:rPr>
        <w:t>. This has implications regarding health information sharing intra-socially and culturally versus inter-socially and culturally.</w:t>
      </w:r>
    </w:p>
    <w:p w14:paraId="3AE004CE" w14:textId="394E9906" w:rsidR="00E3453A" w:rsidRPr="00424BD3" w:rsidRDefault="00E3453A" w:rsidP="00E3453A">
      <w:pPr>
        <w:pStyle w:val="ListParagraph"/>
        <w:numPr>
          <w:ilvl w:val="0"/>
          <w:numId w:val="5"/>
        </w:numPr>
        <w:spacing w:after="0" w:line="480" w:lineRule="auto"/>
        <w:rPr>
          <w:rFonts w:ascii="Arial" w:hAnsi="Arial" w:cs="Arial"/>
          <w:sz w:val="24"/>
          <w:szCs w:val="24"/>
        </w:rPr>
      </w:pPr>
      <w:r w:rsidRPr="00424BD3">
        <w:rPr>
          <w:rFonts w:ascii="Arial" w:hAnsi="Arial" w:cs="Arial"/>
          <w:sz w:val="24"/>
          <w:szCs w:val="24"/>
        </w:rPr>
        <w:t xml:space="preserve">immigration (those who immigrant to the U.S. may come from countries that do not make use of family health histories, or that have lower acculturation and may not know that FHH is related to genetics or is used in relation to health risk) </w:t>
      </w:r>
      <w:r w:rsidRPr="00424BD3">
        <w:rPr>
          <w:rFonts w:ascii="Arial" w:hAnsi="Arial" w:cs="Arial"/>
          <w:sz w:val="24"/>
          <w:szCs w:val="24"/>
        </w:rPr>
        <w:fldChar w:fldCharType="begin"/>
      </w:r>
      <w:r w:rsidR="00990F3A">
        <w:rPr>
          <w:rFonts w:ascii="Arial" w:hAnsi="Arial" w:cs="Arial"/>
          <w:sz w:val="24"/>
          <w:szCs w:val="24"/>
        </w:rPr>
        <w:instrText xml:space="preserve"> ADDIN ZOTERO_ITEM CSL_CITATION {"citationID":"vMxJVtBu","properties":{"formattedCitation":"(Malen et al., 2016)","plainCitation":"(Malen et al., 2016)","noteIndex":0},"citationItems":[{"id":1002,"uris":["http://zotero.org/users/4946941/items/9AMZIDBA"],"itemData":{"id":1002,"type":"article-journal","abstract":"Disseminating the results of transdisciplinary health disparities research will increasingly involve discussing family health history and/or genetic information with study participants and their communities. Often, individuals’ familiarity and comfort with these topics will be unclear. To inform the dissemination activities of a Center for Population Health and Health Disparities (CPHHD) studying multilevel determinants of breast cancer disparities in Latinas, we talked with Spanish-speaking Mexican-Americans from a rural agricultural community about family health history, genetics, and disease risk. We found that participants had limited genetic literacy but were familiar with some concepts related to family health history. Participants emphasized the role of individual behavior in shaping health and expressed a strong desire for health-related information. This included genetic information about future disease risk, which participants were previously unaware of but thought could be useful for disease prevention. These findings suggest that for research dissemination to facilitate health promotion, gaps in knowledge, particularly genetic knowledge, will need to be overcome. Outreach to underserved Latino communities should take advantage of this existing knowledge of family health history and strong desire for health information, but also take care to not overstate the significance of unreplicated or low-penetrance genetic associations.","container-title":"Journal of Community Genetics","DOI":"10.1007/s12687-015-0245-1","ISSN":"1868-6001","issue":"1","journalAbbreviation":"J Community Genet","language":"en","page":"91-96","source":"Springer Link","title":"Rural Mexican-Americans’ perceptions of family health history, genetics, and disease risk: implications for disparities-focused research dissemination","title-short":"Rural Mexican-Americans’ perceptions of family health history, genetics, and disease risk","volume":"7","author":[{"family":"Malen","given":"Rachel"},{"family":"Knerr","given":"Sarah"},{"family":"Delgado","given":"Fernanda"},{"family":"Fullerton","given":"Stephanie M."},{"family":"Thompson","given":"Beti"}],"issued":{"date-parts":[["2016",1,1]]}}}],"schema":"https://github.com/citation-style-language/schema/raw/master/csl-citation.json"} </w:instrText>
      </w:r>
      <w:r w:rsidRPr="00424BD3">
        <w:rPr>
          <w:rFonts w:ascii="Arial" w:hAnsi="Arial" w:cs="Arial"/>
          <w:sz w:val="24"/>
          <w:szCs w:val="24"/>
        </w:rPr>
        <w:fldChar w:fldCharType="separate"/>
      </w:r>
      <w:r w:rsidRPr="00424BD3">
        <w:rPr>
          <w:rFonts w:ascii="Arial" w:hAnsi="Arial" w:cs="Arial"/>
          <w:sz w:val="24"/>
        </w:rPr>
        <w:t>(Malen et al., 2016)</w:t>
      </w:r>
      <w:r w:rsidRPr="00424BD3">
        <w:rPr>
          <w:rFonts w:ascii="Arial" w:hAnsi="Arial" w:cs="Arial"/>
          <w:sz w:val="24"/>
          <w:szCs w:val="24"/>
        </w:rPr>
        <w:fldChar w:fldCharType="end"/>
      </w:r>
    </w:p>
    <w:p w14:paraId="3F252568" w14:textId="38624862" w:rsidR="00E3453A" w:rsidRPr="00424BD3" w:rsidRDefault="00E3453A" w:rsidP="00E3453A">
      <w:pPr>
        <w:pStyle w:val="ListParagraph"/>
        <w:numPr>
          <w:ilvl w:val="0"/>
          <w:numId w:val="5"/>
        </w:numPr>
        <w:spacing w:after="0" w:line="480" w:lineRule="auto"/>
        <w:rPr>
          <w:rFonts w:ascii="Arial" w:hAnsi="Arial" w:cs="Arial"/>
          <w:sz w:val="24"/>
          <w:szCs w:val="24"/>
        </w:rPr>
      </w:pPr>
      <w:r w:rsidRPr="00424BD3">
        <w:rPr>
          <w:rFonts w:ascii="Arial" w:hAnsi="Arial" w:cs="Arial"/>
          <w:sz w:val="24"/>
          <w:szCs w:val="24"/>
        </w:rPr>
        <w:t xml:space="preserve">lack of genetic literacy - understanding regarding inherited disease risk for certain demographic groups (which may be related to healthcare access) </w:t>
      </w:r>
      <w:r w:rsidRPr="00424BD3">
        <w:rPr>
          <w:rFonts w:ascii="Arial" w:hAnsi="Arial" w:cs="Arial"/>
          <w:sz w:val="24"/>
          <w:szCs w:val="24"/>
        </w:rPr>
        <w:fldChar w:fldCharType="begin"/>
      </w:r>
      <w:r w:rsidR="00990F3A">
        <w:rPr>
          <w:rFonts w:ascii="Arial" w:hAnsi="Arial" w:cs="Arial"/>
          <w:sz w:val="24"/>
          <w:szCs w:val="24"/>
        </w:rPr>
        <w:instrText xml:space="preserve"> ADDIN ZOTERO_ITEM CSL_CITATION {"citationID":"V0QCZMzN","properties":{"formattedCitation":"(Malen et al., 2016)","plainCitation":"(Malen et al., 2016)","noteIndex":0},"citationItems":[{"id":1002,"uris":["http://zotero.org/users/4946941/items/9AMZIDBA"],"itemData":{"id":1002,"type":"article-journal","abstract":"Disseminating the results of transdisciplinary health disparities research will increasingly involve discussing family health history and/or genetic information with study participants and their communities. Often, individuals’ familiarity and comfort with these topics will be unclear. To inform the dissemination activities of a Center for Population Health and Health Disparities (CPHHD) studying multilevel determinants of breast cancer disparities in Latinas, we talked with Spanish-speaking Mexican-Americans from a rural agricultural community about family health history, genetics, and disease risk. We found that participants had limited genetic literacy but were familiar with some concepts related to family health history. Participants emphasized the role of individual behavior in shaping health and expressed a strong desire for health-related information. This included genetic information about future disease risk, which participants were previously unaware of but thought could be useful for disease prevention. These findings suggest that for research dissemination to facilitate health promotion, gaps in knowledge, particularly genetic knowledge, will need to be overcome. Outreach to underserved Latino communities should take advantage of this existing knowledge of family health history and strong desire for health information, but also take care to not overstate the significance of unreplicated or low-penetrance genetic associations.","container-title":"Journal of Community Genetics","DOI":"10.1007/s12687-015-0245-1","ISSN":"1868-6001","issue":"1","journalAbbreviation":"J Community Genet","language":"en","page":"91-96","source":"Springer Link","title":"Rural Mexican-Americans’ perceptions of family health history, genetics, and disease risk: implications for disparities-focused research dissemination","title-short":"Rural Mexican-Americans’ perceptions of family health history, genetics, and disease risk","volume":"7","author":[{"family":"Malen","given":"Rachel"},{"family":"Knerr","given":"Sarah"},{"family":"Delgado","given":"Fernanda"},{"family":"Fullerton","given":"Stephanie M."},{"family":"Thompson","given":"Beti"}],"issued":{"date-parts":[["2016",1,1]]}}}],"schema":"https://github.com/citation-style-language/schema/raw/master/csl-citation.json"} </w:instrText>
      </w:r>
      <w:r w:rsidRPr="00424BD3">
        <w:rPr>
          <w:rFonts w:ascii="Arial" w:hAnsi="Arial" w:cs="Arial"/>
          <w:sz w:val="24"/>
          <w:szCs w:val="24"/>
        </w:rPr>
        <w:fldChar w:fldCharType="separate"/>
      </w:r>
      <w:r w:rsidRPr="00424BD3">
        <w:rPr>
          <w:rFonts w:ascii="Arial" w:hAnsi="Arial" w:cs="Arial"/>
          <w:sz w:val="24"/>
        </w:rPr>
        <w:t>(Malen et al., 2016)</w:t>
      </w:r>
      <w:r w:rsidRPr="00424BD3">
        <w:rPr>
          <w:rFonts w:ascii="Arial" w:hAnsi="Arial" w:cs="Arial"/>
          <w:sz w:val="24"/>
          <w:szCs w:val="24"/>
        </w:rPr>
        <w:fldChar w:fldCharType="end"/>
      </w:r>
    </w:p>
    <w:p w14:paraId="3E75F082" w14:textId="691C08DB" w:rsidR="008844E4" w:rsidRPr="00424BD3" w:rsidRDefault="00E3453A" w:rsidP="000126EE">
      <w:pPr>
        <w:spacing w:after="0" w:line="480" w:lineRule="auto"/>
        <w:ind w:firstLine="720"/>
        <w:rPr>
          <w:rFonts w:cs="Arial"/>
          <w:szCs w:val="24"/>
        </w:rPr>
      </w:pPr>
      <w:r w:rsidRPr="00424BD3">
        <w:rPr>
          <w:rFonts w:cs="Arial"/>
          <w:szCs w:val="24"/>
        </w:rPr>
        <w:t>Additionally, s</w:t>
      </w:r>
      <w:r w:rsidR="008844E4" w:rsidRPr="00424BD3">
        <w:rPr>
          <w:rFonts w:cs="Arial"/>
          <w:szCs w:val="24"/>
        </w:rPr>
        <w:t xml:space="preserve">everal studies indicate particular psychosocial, family dynamic variables influencing awareness or lack of awareness of family health history. These include: </w:t>
      </w:r>
    </w:p>
    <w:p w14:paraId="4D988E35" w14:textId="77777777" w:rsidR="008844E4" w:rsidRPr="00424BD3" w:rsidRDefault="008844E4" w:rsidP="000126EE">
      <w:pPr>
        <w:pStyle w:val="ListParagraph"/>
        <w:numPr>
          <w:ilvl w:val="0"/>
          <w:numId w:val="4"/>
        </w:numPr>
        <w:spacing w:after="0" w:line="480" w:lineRule="auto"/>
        <w:rPr>
          <w:rFonts w:ascii="Arial" w:hAnsi="Arial" w:cs="Arial"/>
          <w:sz w:val="24"/>
          <w:szCs w:val="24"/>
        </w:rPr>
      </w:pPr>
      <w:r w:rsidRPr="00424BD3">
        <w:rPr>
          <w:rFonts w:ascii="Arial" w:hAnsi="Arial" w:cs="Arial"/>
          <w:sz w:val="24"/>
          <w:szCs w:val="24"/>
        </w:rPr>
        <w:t xml:space="preserve">the experiences of other family members, particularly those who are immediate family members, who have recently gone through a difficult illness or have died; </w:t>
      </w:r>
    </w:p>
    <w:p w14:paraId="70945F11" w14:textId="77777777" w:rsidR="008844E4" w:rsidRPr="00424BD3" w:rsidRDefault="008844E4" w:rsidP="000126EE">
      <w:pPr>
        <w:pStyle w:val="ListParagraph"/>
        <w:numPr>
          <w:ilvl w:val="0"/>
          <w:numId w:val="4"/>
        </w:numPr>
        <w:spacing w:after="0" w:line="480" w:lineRule="auto"/>
        <w:rPr>
          <w:rFonts w:ascii="Arial" w:hAnsi="Arial" w:cs="Arial"/>
          <w:sz w:val="24"/>
          <w:szCs w:val="24"/>
        </w:rPr>
      </w:pPr>
      <w:r w:rsidRPr="00424BD3">
        <w:rPr>
          <w:rFonts w:ascii="Arial" w:hAnsi="Arial" w:cs="Arial"/>
          <w:sz w:val="24"/>
          <w:szCs w:val="24"/>
        </w:rPr>
        <w:t xml:space="preserve">who are family members that are particularly emotionally close to or resemble the individual involved; </w:t>
      </w:r>
    </w:p>
    <w:p w14:paraId="07100AE3" w14:textId="77777777" w:rsidR="008844E4" w:rsidRPr="00424BD3" w:rsidRDefault="008844E4" w:rsidP="000126EE">
      <w:pPr>
        <w:pStyle w:val="ListParagraph"/>
        <w:numPr>
          <w:ilvl w:val="0"/>
          <w:numId w:val="4"/>
        </w:numPr>
        <w:spacing w:after="0" w:line="480" w:lineRule="auto"/>
        <w:rPr>
          <w:rFonts w:ascii="Arial" w:hAnsi="Arial" w:cs="Arial"/>
          <w:sz w:val="24"/>
          <w:szCs w:val="24"/>
        </w:rPr>
      </w:pPr>
      <w:r w:rsidRPr="00424BD3">
        <w:rPr>
          <w:rFonts w:ascii="Arial" w:hAnsi="Arial" w:cs="Arial"/>
          <w:sz w:val="24"/>
          <w:szCs w:val="24"/>
        </w:rPr>
        <w:t xml:space="preserve">whether individuals were socially isolated from family members; </w:t>
      </w:r>
    </w:p>
    <w:p w14:paraId="0D7E55BF" w14:textId="77777777" w:rsidR="008844E4" w:rsidRPr="00424BD3" w:rsidRDefault="008844E4" w:rsidP="000126EE">
      <w:pPr>
        <w:pStyle w:val="ListParagraph"/>
        <w:numPr>
          <w:ilvl w:val="0"/>
          <w:numId w:val="4"/>
        </w:numPr>
        <w:spacing w:after="0" w:line="480" w:lineRule="auto"/>
        <w:rPr>
          <w:rFonts w:ascii="Arial" w:hAnsi="Arial" w:cs="Arial"/>
          <w:sz w:val="24"/>
          <w:szCs w:val="24"/>
        </w:rPr>
      </w:pPr>
      <w:r w:rsidRPr="00424BD3">
        <w:rPr>
          <w:rFonts w:ascii="Arial" w:hAnsi="Arial" w:cs="Arial"/>
          <w:sz w:val="24"/>
          <w:szCs w:val="24"/>
        </w:rPr>
        <w:t xml:space="preserve">individuals’ own experiences, expectations, and salience (how likely they are to perceive the risk of getting an illness themselves); </w:t>
      </w:r>
    </w:p>
    <w:p w14:paraId="42AC4B77" w14:textId="215509CB" w:rsidR="008844E4" w:rsidRPr="00424BD3" w:rsidRDefault="008844E4" w:rsidP="000126EE">
      <w:pPr>
        <w:pStyle w:val="ListParagraph"/>
        <w:numPr>
          <w:ilvl w:val="0"/>
          <w:numId w:val="4"/>
        </w:numPr>
        <w:spacing w:after="0" w:line="480" w:lineRule="auto"/>
        <w:rPr>
          <w:rFonts w:ascii="Arial" w:hAnsi="Arial" w:cs="Arial"/>
          <w:sz w:val="24"/>
          <w:szCs w:val="24"/>
        </w:rPr>
      </w:pPr>
      <w:r w:rsidRPr="00424BD3">
        <w:rPr>
          <w:rFonts w:ascii="Arial" w:hAnsi="Arial" w:cs="Arial"/>
          <w:sz w:val="24"/>
          <w:szCs w:val="24"/>
        </w:rPr>
        <w:lastRenderedPageBreak/>
        <w:t>individuals’ perceptions of diseases and disease outcomes (</w:t>
      </w:r>
      <w:r w:rsidR="00A02CE7">
        <w:rPr>
          <w:rFonts w:ascii="Arial" w:hAnsi="Arial" w:cs="Arial"/>
          <w:sz w:val="24"/>
          <w:szCs w:val="24"/>
        </w:rPr>
        <w:t xml:space="preserve">such as </w:t>
      </w:r>
      <w:r w:rsidRPr="00424BD3">
        <w:rPr>
          <w:rFonts w:ascii="Arial" w:hAnsi="Arial" w:cs="Arial"/>
          <w:sz w:val="24"/>
          <w:szCs w:val="24"/>
        </w:rPr>
        <w:t xml:space="preserve">‘cancer always kills’); </w:t>
      </w:r>
    </w:p>
    <w:p w14:paraId="66D7EE38" w14:textId="77777777" w:rsidR="008844E4" w:rsidRPr="00424BD3" w:rsidRDefault="008844E4" w:rsidP="000126EE">
      <w:pPr>
        <w:pStyle w:val="ListParagraph"/>
        <w:numPr>
          <w:ilvl w:val="0"/>
          <w:numId w:val="4"/>
        </w:numPr>
        <w:spacing w:after="0" w:line="480" w:lineRule="auto"/>
        <w:rPr>
          <w:rFonts w:ascii="Arial" w:hAnsi="Arial" w:cs="Arial"/>
          <w:sz w:val="24"/>
          <w:szCs w:val="24"/>
        </w:rPr>
      </w:pPr>
      <w:r w:rsidRPr="00424BD3">
        <w:rPr>
          <w:rFonts w:ascii="Arial" w:hAnsi="Arial" w:cs="Arial"/>
          <w:sz w:val="24"/>
          <w:szCs w:val="24"/>
        </w:rPr>
        <w:t xml:space="preserve">whether a family member died suddenly, unexpectedly, or traumatically; </w:t>
      </w:r>
    </w:p>
    <w:p w14:paraId="04DAB9F5" w14:textId="77777777" w:rsidR="008844E4" w:rsidRPr="00424BD3" w:rsidRDefault="008844E4" w:rsidP="000126EE">
      <w:pPr>
        <w:pStyle w:val="ListParagraph"/>
        <w:numPr>
          <w:ilvl w:val="0"/>
          <w:numId w:val="4"/>
        </w:numPr>
        <w:spacing w:after="0" w:line="480" w:lineRule="auto"/>
        <w:rPr>
          <w:rFonts w:ascii="Arial" w:hAnsi="Arial" w:cs="Arial"/>
          <w:sz w:val="24"/>
          <w:szCs w:val="24"/>
        </w:rPr>
      </w:pPr>
      <w:r w:rsidRPr="00424BD3">
        <w:rPr>
          <w:rFonts w:ascii="Arial" w:hAnsi="Arial" w:cs="Arial"/>
          <w:sz w:val="24"/>
          <w:szCs w:val="24"/>
        </w:rPr>
        <w:t xml:space="preserve">culturally influenced family teachings about specific diseases </w:t>
      </w:r>
    </w:p>
    <w:p w14:paraId="561C96C9" w14:textId="3B602678" w:rsidR="008844E4" w:rsidRPr="00424BD3" w:rsidRDefault="008844E4" w:rsidP="000126EE">
      <w:pPr>
        <w:spacing w:after="0" w:line="480" w:lineRule="auto"/>
        <w:rPr>
          <w:rFonts w:cs="Arial"/>
          <w:szCs w:val="24"/>
        </w:rPr>
      </w:pPr>
      <w:r w:rsidRPr="00424BD3">
        <w:rPr>
          <w:rFonts w:cs="Arial"/>
          <w:szCs w:val="24"/>
        </w:rPr>
        <w:fldChar w:fldCharType="begin"/>
      </w:r>
      <w:r w:rsidR="00990F3A">
        <w:rPr>
          <w:rFonts w:cs="Arial"/>
          <w:szCs w:val="24"/>
        </w:rPr>
        <w:instrText xml:space="preserve"> ADDIN ZOTERO_ITEM CSL_CITATION {"citationID":"PZ4GFqMi","properties":{"formattedCitation":"(Hughes Halbert et al., 2016; Hunt et al., 2000; Malen et al., 2016; Petty &amp; Bri\\uc0\\u241{}ol, 2015; Rodr\\uc0\\u237{}guez et al., 2016; Walter &amp; Emery, 2006)","plainCitation":"(Hughes Halbert et al., 2016; Hunt et al., 2000; Malen et al., 2016; Petty &amp; Briñol, 2015; Rodríguez et al., 2016; Walter &amp; Emery, 2006)","noteIndex":0},"citationItems":[{"id":990,"uris":["http://zotero.org/users/4946941/items/S8VPBYCC"],"itemData":{"id":990,"type":"article-journal","abstract":"Family health history (FHH) is the most basic form of genomic information. Although public health efforts have been made to promote FHH collection, empirical data on the extent to which community residents in rural areas actively collect FHH is limited. Therefore, we examined rates of FHH collection in a community-based sample of South Carolina residents. We conducted a structured telephone survey in a random sample of black and white South Carolina residents. Respondents were asked if they had ever actively collected FHH from relatives using an item developed by the Centers for Disease Control and Prevention. Overall, 42 % of respondents reported that they had actively collected their FHH. Blacks were significantly more likely than whites to have collected their FHH in bivariate analysis, but race did not have a significant association with FHH collection in the multivariate model (OR = 1.36, 95 % CI = 0.79, 2.35, p = 0.26). The likelihood of collecting FHH was increased among respondents whose last medical visit occurred in the past year compared to those whose last medical visit was more than 1 year ago (OR = 2.00, 95 % CI = 1.12, 3.56, p = 0.02). In addition, older respondents had a reduced likelihood of collecting their FHH (OR = 0.69, 95 % CI = 0.53, 0.90, p = .01). Lastly, women were about twice as likely as men to have collected their FHH (OR = 1.83, 95 % CI = 1.12, 2.99, p = 0.02). Greater efforts are needed to increase the collection of FHH information; these efforts may need to target men, the elderly, and individuals who have not had a recent medical visit.","container-title":"Journal of Community Genetics","DOI":"10.1007/s12687-015-0251-3","ISSN":"1868-6001","issue":"1","journalAbbreviation":"J Community Genet","language":"en","page":"57-64","source":"Springer Link","title":"Social determinants of family health history collection","volume":"7","author":[{"family":"Hughes Halbert","given":"Chanita"},{"family":"Welch","given":"Brandon"},{"family":"Lynch","given":"Cheryl"},{"family":"Magwood","given":"Gayenell"},{"family":"Rice","given":"LaShanta"},{"family":"Jefferson","given":"Melanie"},{"family":"Riley","given":"Jodie"}],"issued":{"date-parts":[["2016",1,1]]}}},{"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id":1002,"uris":["http://zotero.org/users/4946941/items/9AMZIDBA"],"itemData":{"id":1002,"type":"article-journal","abstract":"Disseminating the results of transdisciplinary health disparities research will increasingly involve discussing family health history and/or genetic information with study participants and their communities. Often, individuals’ familiarity and comfort with these topics will be unclear. To inform the dissemination activities of a Center for Population Health and Health Disparities (CPHHD) studying multilevel determinants of breast cancer disparities in Latinas, we talked with Spanish-speaking Mexican-Americans from a rural agricultural community about family health history, genetics, and disease risk. We found that participants had limited genetic literacy but were familiar with some concepts related to family health history. Participants emphasized the role of individual behavior in shaping health and expressed a strong desire for health-related information. This included genetic information about future disease risk, which participants were previously unaware of but thought could be useful for disease prevention. These findings suggest that for research dissemination to facilitate health promotion, gaps in knowledge, particularly genetic knowledge, will need to be overcome. Outreach to underserved Latino communities should take advantage of this existing knowledge of family health history and strong desire for health information, but also take care to not overstate the significance of unreplicated or low-penetrance genetic associations.","container-title":"Journal of Community Genetics","DOI":"10.1007/s12687-015-0245-1","ISSN":"1868-6001","issue":"1","journalAbbreviation":"J Community Genet","language":"en","page":"91-96","source":"Springer Link","title":"Rural Mexican-Americans’ perceptions of family health history, genetics, and disease risk: implications for disparities-focused research dissemination","title-short":"Rural Mexican-Americans’ perceptions of family health history, genetics, and disease risk","volume":"7","author":[{"family":"Malen","given":"Rachel"},{"family":"Knerr","given":"Sarah"},{"family":"Delgado","given":"Fernanda"},{"family":"Fullerton","given":"Stephanie M."},{"family":"Thompson","given":"Beti"}],"issued":{"date-parts":[["2016",1,1]]}}},{"id":992,"uris":["http://zotero.org/users/4946941/items/653HCL4U"],"itemData":{"id":992,"type":"article-journal","abstract":"This article addresses the multiple ways in which emotions can influence attitudes and persuasion via primary and secondary (meta-) cognition. Using the elaboration likelihood model of persuasion as a guide, we review evidence for five fundamental processes that occur at different points along the elaboration continuum. When the extent of thinking is constrained to be low, emotions influence attitudes by relatively simple processes that lead them to change in a manner consistent with the valence of the emotion. When thinking is constrained to be high, emotions can serve as arguments in favour of a proposal if they are relevant to the merits of the advocacy or they can bias thinking if the emotion precedes the message. If thinking is high and emotions become salient after thinking, they can lead people to rely or not rely on the thoughts generated either because the emotion leads people to like or dislike their thoughts (affective validation) or feel more confident or doubtful in their thoughts (cognitive validation). When thinking is unconstrained, emotions influence the extent of thinking about the persuasive communication. Although prior theories have addressed one or more of these fundamental processes, no other approach has integrated them into one framework.","container-title":"Cognition and Emotion","DOI":"10.1080/02699931.2014.967183","ISSN":"0269-9931","issue":"1","note":"publisher: Routledge\n_eprint: https://doi.org/10.1080/02699931.2014.967183\nPMID: 25302943","page":"1-26","source":"Taylor and Francis+NEJM","title":"Emotion and persuasion: Cognitive and meta-cognitive processes impact attitudes","title-short":"Emotion and persuasion","volume":"29","author":[{"family":"Petty","given":"Richard E."},{"family":"Briñol","given":"Pablo"}],"issued":{"date-parts":[["2015",1,2]]}}},{"id":995,"uris":["http://zotero.org/users/4946941/items/YJC9KKMX"],"itemData":{"id":995,"type":"article-journal","abstract":"Family health history about cancer is an important prevention and health promotion tool. Yet few studies have identified family context factors that promote such discussions. We explored relations among family context (cohesion, flexibility, and openness), self-efficacy, and cancer communication (gathering family history, sharing cancer risk information, and frequency) in a diverse group of women enrolled in a randomized control trial. Baseline survey data for 472 women were analyzed. The women's average age was 34 years, 59% identified as Black, 31% had graduated high school, and 75% reported a family history of any cancer. Results showed that greater family cohesion and flexibility were related to higher communication frequency and sharing cancer information. Women who reported greater self-efficacy were more likely to have gathered family history, shared cancer risk information, and communicated more frequently with relatives. Openness was not associated with communication but was related to greater family cohesion and flexibility. Adjusting for demographic variables, self-efficacy, and family cohesion significantly predicted communication frequency. Women with higher self-efficacy were also more likely to have gathered family health history about cancer and shared cancer risk information. Future research may benefit from considering family organization and self-efficacy when developing psychosocial theories that in turn inform cancer prevention interventions.","container-title":"Journal of Health Communication","DOI":"10.1080/10810730.2015.1080328","ISSN":"1081-0730","issue":"3","note":"publisher: Taylor &amp; Francis\n_eprint: https://doi.org/10.1080/10810730.2015.1080328\nPMID: 26735646","page":"346-355","source":"Taylor and Francis+NEJM","title":"Family Ties: The Role of Family Context in Family Health History Communication About Cancer","title-short":"Family Ties","volume":"21","author":[{"family":"Rodríguez","given":"Vivian M."},{"family":"Corona","given":"Rosalie"},{"family":"Bodurtha","given":"Joann N."},{"family":"Quillin","given":"John M."}],"issued":{"date-parts":[["2016",3,3]]}}},{"id":977,"uris":["http://zotero.org/users/4946941/items/JSPN7H53"],"itemData":{"id":977,"type":"article-journal","abstract":"Background: Having an affected relative is a strong predictor of an individual's lifetime risk of developing many diseases. In primary care this is of importance in preventive healthcare. Aim: To compare and contrast perceptions of family history across common diseases among primary care patients using the theoretical framework of Leventhal's Common Sense Model (CSM). Methods: Thirty semi-structured interviews were conducted with patients identified in general practice, who had a family history of either cancer, heart disease or diabetes. We performed qualitative constant comparative analysis of transcript data. Results: People with a family history of cancer had a greater sense of personal vulnerability than people with a family history of heart disease: family history of diabetes was generally viewed as the least threatening. Using the CSM constructs we identified factors which determine individual perceptions of family history. Beliefs about consequences and timeline were influenced by witnessing painful, lingering or sudden familial death; people who felt their risk was determined by inheritance were more likely to feel vulnerable and have less control, while those who felt able to change lifestyle or behaviour felt more able to control their perceived risk. Conclusion: Factors influencing perceptions of family history may vary between individuals and between diseases. To use the family history as a tool in preventive healthcare we will need to consider the individual's personal understanding of disease risk and their ideas about cause and controllability of the familial illness. Perceived risk may then be used to motivate preventive health behaviours. (PsycInfo Database Record (c) 2020 APA, all rights reserved)","container-title":"Family Practice","DOI":"10.1093/fampra/cml006","ISSN":"1460-2229","issue":"4","note":"publisher-place: United Kingdom\npublisher: Oxford University Press","page":"472-480","source":"APA PsycNet","title":"Perceptions of family history across common diseases: A qualitative study in primary care","title-short":"Perceptions of family history across common diseases","volume":"23","author":[{"family":"Walter","given":"Fiona M."},{"family":"Emery","given":"Jon"}],"issued":{"date-parts":[["2006"]]}}}],"schema":"https://github.com/citation-style-language/schema/raw/master/csl-citation.json"} </w:instrText>
      </w:r>
      <w:r w:rsidRPr="00424BD3">
        <w:rPr>
          <w:rFonts w:cs="Arial"/>
          <w:szCs w:val="24"/>
        </w:rPr>
        <w:fldChar w:fldCharType="separate"/>
      </w:r>
      <w:r w:rsidR="00395E16" w:rsidRPr="00424BD3">
        <w:rPr>
          <w:rFonts w:cs="Arial"/>
          <w:szCs w:val="24"/>
        </w:rPr>
        <w:t>(Hughes Halbert et al., 2016; Hunt et al., 2000; Malen et al., 2016; Petty &amp; Briñol, 2015; Rodríguez et al., 2016; Walter &amp; Emery, 2006)</w:t>
      </w:r>
      <w:r w:rsidRPr="00424BD3">
        <w:rPr>
          <w:rFonts w:cs="Arial"/>
          <w:szCs w:val="24"/>
        </w:rPr>
        <w:fldChar w:fldCharType="end"/>
      </w:r>
      <w:r w:rsidRPr="00424BD3">
        <w:rPr>
          <w:rFonts w:cs="Arial"/>
          <w:szCs w:val="24"/>
        </w:rPr>
        <w:t xml:space="preserve">. </w:t>
      </w:r>
    </w:p>
    <w:p w14:paraId="22899FE6" w14:textId="4196CDC2" w:rsidR="008844E4" w:rsidRPr="00424BD3" w:rsidRDefault="00D9513E" w:rsidP="00232837">
      <w:pPr>
        <w:spacing w:after="0" w:line="480" w:lineRule="auto"/>
        <w:ind w:firstLine="720"/>
        <w:rPr>
          <w:rFonts w:cs="Arial"/>
          <w:szCs w:val="24"/>
        </w:rPr>
      </w:pPr>
      <w:r w:rsidRPr="00424BD3">
        <w:rPr>
          <w:rFonts w:cs="Arial"/>
          <w:szCs w:val="24"/>
        </w:rPr>
        <w:t>Studies</w:t>
      </w:r>
      <w:r w:rsidR="008844E4" w:rsidRPr="00424BD3">
        <w:rPr>
          <w:rFonts w:cs="Arial"/>
          <w:szCs w:val="24"/>
        </w:rPr>
        <w:t xml:space="preserve"> show that most people </w:t>
      </w:r>
      <w:r w:rsidR="008844E4" w:rsidRPr="00424BD3">
        <w:rPr>
          <w:rFonts w:cs="Arial"/>
          <w:iCs/>
          <w:szCs w:val="24"/>
        </w:rPr>
        <w:t>in national samples</w:t>
      </w:r>
      <w:r w:rsidR="008844E4" w:rsidRPr="00424BD3">
        <w:rPr>
          <w:rFonts w:cs="Arial"/>
          <w:szCs w:val="24"/>
        </w:rPr>
        <w:t xml:space="preserve"> had not collected their family health history </w:t>
      </w:r>
      <w:r w:rsidR="008844E4" w:rsidRPr="00424BD3">
        <w:rPr>
          <w:rFonts w:cs="Arial"/>
          <w:szCs w:val="24"/>
        </w:rPr>
        <w:fldChar w:fldCharType="begin"/>
      </w:r>
      <w:r w:rsidR="00990F3A">
        <w:rPr>
          <w:rFonts w:cs="Arial"/>
          <w:szCs w:val="24"/>
        </w:rPr>
        <w:instrText xml:space="preserve"> ADDIN ZOTERO_ITEM CSL_CITATION {"citationID":"haJeuCFP","properties":{"formattedCitation":"(Hughes Halbert et al., 2016)","plainCitation":"(Hughes Halbert et al., 2016)","noteIndex":0},"citationItems":[{"id":990,"uris":["http://zotero.org/users/4946941/items/S8VPBYCC"],"itemData":{"id":990,"type":"article-journal","abstract":"Family health history (FHH) is the most basic form of genomic information. Although public health efforts have been made to promote FHH collection, empirical data on the extent to which community residents in rural areas actively collect FHH is limited. Therefore, we examined rates of FHH collection in a community-based sample of South Carolina residents. We conducted a structured telephone survey in a random sample of black and white South Carolina residents. Respondents were asked if they had ever actively collected FHH from relatives using an item developed by the Centers for Disease Control and Prevention. Overall, 42 % of respondents reported that they had actively collected their FHH. Blacks were significantly more likely than whites to have collected their FHH in bivariate analysis, but race did not have a significant association with FHH collection in the multivariate model (OR = 1.36, 95 % CI = 0.79, 2.35, p = 0.26). The likelihood of collecting FHH was increased among respondents whose last medical visit occurred in the past year compared to those whose last medical visit was more than 1 year ago (OR = 2.00, 95 % CI = 1.12, 3.56, p = 0.02). In addition, older respondents had a reduced likelihood of collecting their FHH (OR = 0.69, 95 % CI = 0.53, 0.90, p = .01). Lastly, women were about twice as likely as men to have collected their FHH (OR = 1.83, 95 % CI = 1.12, 2.99, p = 0.02). Greater efforts are needed to increase the collection of FHH information; these efforts may need to target men, the elderly, and individuals who have not had a recent medical visit.","container-title":"Journal of Community Genetics","DOI":"10.1007/s12687-015-0251-3","ISSN":"1868-6001","issue":"1","journalAbbreviation":"J Community Genet","language":"en","page":"57-64","source":"Springer Link","title":"Social determinants of family health history collection","volume":"7","author":[{"family":"Hughes Halbert","given":"Chanita"},{"family":"Welch","given":"Brandon"},{"family":"Lynch","given":"Cheryl"},{"family":"Magwood","given":"Gayenell"},{"family":"Rice","given":"LaShanta"},{"family":"Jefferson","given":"Melanie"},{"family":"Riley","given":"Jodie"}],"issued":{"date-parts":[["2016",1,1]]}}}],"schema":"https://github.com/citation-style-language/schema/raw/master/csl-citation.json"} </w:instrText>
      </w:r>
      <w:r w:rsidR="008844E4" w:rsidRPr="00424BD3">
        <w:rPr>
          <w:rFonts w:cs="Arial"/>
          <w:szCs w:val="24"/>
        </w:rPr>
        <w:fldChar w:fldCharType="separate"/>
      </w:r>
      <w:r w:rsidR="008844E4" w:rsidRPr="00424BD3">
        <w:rPr>
          <w:rFonts w:cs="Arial"/>
        </w:rPr>
        <w:t>(Hughes Halbert et al., 2016)</w:t>
      </w:r>
      <w:r w:rsidR="008844E4" w:rsidRPr="00424BD3">
        <w:rPr>
          <w:rFonts w:cs="Arial"/>
          <w:szCs w:val="24"/>
        </w:rPr>
        <w:fldChar w:fldCharType="end"/>
      </w:r>
      <w:r w:rsidR="008844E4" w:rsidRPr="00424BD3">
        <w:rPr>
          <w:rFonts w:cs="Arial"/>
          <w:szCs w:val="24"/>
        </w:rPr>
        <w:t xml:space="preserve">. Women may tend to know or collect FHH more than men because of traditional caring roles within the family, their roles in health care seeking, and their wider healthcare consumerist knowledge </w:t>
      </w:r>
      <w:r w:rsidR="008844E4" w:rsidRPr="00424BD3">
        <w:rPr>
          <w:rFonts w:cs="Arial"/>
          <w:szCs w:val="24"/>
        </w:rPr>
        <w:fldChar w:fldCharType="begin"/>
      </w:r>
      <w:r w:rsidR="00990F3A">
        <w:rPr>
          <w:rFonts w:cs="Arial"/>
          <w:szCs w:val="24"/>
        </w:rPr>
        <w:instrText xml:space="preserve"> ADDIN ZOTERO_ITEM CSL_CITATION {"citationID":"iVuWStrS","properties":{"formattedCitation":"(Vogel et al., 2007)","plainCitation":"(Vogel et al., 2007)","noteIndex":0},"citationItems":[{"id":974,"uris":["http://zotero.org/users/4946941/items/QK5HTDG4"],"itemData":{"id":974,"type":"article-journal","abstract":"This study examined the mediating effects of the self-stigma associated with seeking counseling and attitudes toward seeking counseling on the link between perceived public stigma and willingness to seek counseling for psychological and interpersonal concerns. Structural equation modeling of data from 676 undergraduates indicated that the link between perceived public stigma and willingness to seek counseling was fully mediated by self-stigma and attitudes. Perceptions of public stigma contributed to the experience of self-stigma, which, in turn, influenced help-seeking attitudes and eventually help-seeking willingness. Furthermore, 57% of the variance in attitudes toward counseling and 34% of the variance in willingness to seek counseling for psychological and interpersonal concerns were accounted for in the proposed model.","container-title":"Journal of Counseling Psychology","DOI":"10.1037/0022-0167.54.1.40","journalAbbreviation":"Journal of Counseling Psychology","source":"ResearchGate","title":"Perceived Public Stigma and the Willingness to Seek Counseling: The Mediating Roles of Self-Stigma and Attitudes Toward Counseling","title-short":"Perceived Public Stigma and the Willingness to Seek Counseling","volume":"54","author":[{"family":"Vogel","given":"David"},{"family":"Wade","given":"Nathaniel"},{"family":"Hackler","given":"Ashley"}],"issued":{"date-parts":[["2007",1,1]]}}}],"schema":"https://github.com/citation-style-language/schema/raw/master/csl-citation.json"} </w:instrText>
      </w:r>
      <w:r w:rsidR="008844E4" w:rsidRPr="00424BD3">
        <w:rPr>
          <w:rFonts w:cs="Arial"/>
          <w:szCs w:val="24"/>
        </w:rPr>
        <w:fldChar w:fldCharType="separate"/>
      </w:r>
      <w:r w:rsidR="008844E4" w:rsidRPr="00424BD3">
        <w:rPr>
          <w:rFonts w:cs="Arial"/>
        </w:rPr>
        <w:t>(Vogel et al., 2007)</w:t>
      </w:r>
      <w:r w:rsidR="008844E4" w:rsidRPr="00424BD3">
        <w:rPr>
          <w:rFonts w:cs="Arial"/>
          <w:szCs w:val="24"/>
        </w:rPr>
        <w:fldChar w:fldCharType="end"/>
      </w:r>
      <w:r w:rsidR="008844E4" w:rsidRPr="00424BD3">
        <w:rPr>
          <w:rFonts w:cs="Arial"/>
          <w:szCs w:val="24"/>
        </w:rPr>
        <w:t xml:space="preserve">. For older women, however, studies </w:t>
      </w:r>
      <w:r w:rsidR="00264B4A" w:rsidRPr="00424BD3">
        <w:rPr>
          <w:rFonts w:cs="Arial"/>
          <w:szCs w:val="24"/>
        </w:rPr>
        <w:t>differ</w:t>
      </w:r>
      <w:r w:rsidR="008844E4" w:rsidRPr="00424BD3">
        <w:rPr>
          <w:rFonts w:cs="Arial"/>
          <w:szCs w:val="24"/>
        </w:rPr>
        <w:t>. Some, like</w:t>
      </w:r>
      <w:r w:rsidR="00B30B8D">
        <w:rPr>
          <w:rFonts w:cs="Arial"/>
          <w:szCs w:val="24"/>
        </w:rPr>
        <w:t xml:space="preserve"> Hughes </w:t>
      </w:r>
      <w:r w:rsidR="004046DD">
        <w:rPr>
          <w:rFonts w:cs="Arial"/>
          <w:szCs w:val="24"/>
        </w:rPr>
        <w:t>Halbert et al.</w:t>
      </w:r>
      <w:r w:rsidR="008844E4" w:rsidRPr="00424BD3">
        <w:rPr>
          <w:rFonts w:cs="Arial"/>
          <w:szCs w:val="24"/>
        </w:rPr>
        <w:t xml:space="preserve"> </w:t>
      </w:r>
      <w:r w:rsidR="008844E4" w:rsidRPr="00424BD3">
        <w:rPr>
          <w:rFonts w:cs="Arial"/>
          <w:szCs w:val="24"/>
        </w:rPr>
        <w:fldChar w:fldCharType="begin"/>
      </w:r>
      <w:r w:rsidR="004046DD">
        <w:rPr>
          <w:rFonts w:cs="Arial"/>
          <w:szCs w:val="24"/>
        </w:rPr>
        <w:instrText xml:space="preserve"> ADDIN ZOTERO_ITEM CSL_CITATION {"citationID":"su8qKvNy","properties":{"formattedCitation":"(2016)","plainCitation":"(2016)","noteIndex":0},"citationItems":[{"id":990,"uris":["http://zotero.org/users/4946941/items/S8VPBYCC"],"itemData":{"id":990,"type":"article-journal","abstract":"Family health history (FHH) is the most basic form of genomic information. Although public health efforts have been made to promote FHH collection, empirical data on the extent to which community residents in rural areas actively collect FHH is limited. Therefore, we examined rates of FHH collection in a community-based sample of South Carolina residents. We conducted a structured telephone survey in a random sample of black and white South Carolina residents. Respondents were asked if they had ever actively collected FHH from relatives using an item developed by the Centers for Disease Control and Prevention. Overall, 42 % of respondents reported that they had actively collected their FHH. Blacks were significantly more likely than whites to have collected their FHH in bivariate analysis, but race did not have a significant association with FHH collection in the multivariate model (OR = 1.36, 95 % CI = 0.79, 2.35, p = 0.26). The likelihood of collecting FHH was increased among respondents whose last medical visit occurred in the past year compared to those whose last medical visit was more than 1 year ago (OR = 2.00, 95 % CI = 1.12, 3.56, p = 0.02). In addition, older respondents had a reduced likelihood of collecting their FHH (OR = 0.69, 95 % CI = 0.53, 0.90, p = .01). Lastly, women were about twice as likely as men to have collected their FHH (OR = 1.83, 95 % CI = 1.12, 2.99, p = 0.02). Greater efforts are needed to increase the collection of FHH information; these efforts may need to target men, the elderly, and individuals who have not had a recent medical visit.","container-title":"Journal of Community Genetics","DOI":"10.1007/s12687-015-0251-3","ISSN":"1868-6001","issue":"1","journalAbbreviation":"J Community Genet","language":"en","page":"57-64","source":"Springer Link","title":"Social determinants of family health history collection","volume":"7","author":[{"family":"Hughes Halbert","given":"Chanita"},{"family":"Welch","given":"Brandon"},{"family":"Lynch","given":"Cheryl"},{"family":"Magwood","given":"Gayenell"},{"family":"Rice","given":"LaShanta"},{"family":"Jefferson","given":"Melanie"},{"family":"Riley","given":"Jodie"}],"issued":{"date-parts":[["2016",1,1]]}},"label":"page","suppress-author":true}],"schema":"https://github.com/citation-style-language/schema/raw/master/csl-citation.json"} </w:instrText>
      </w:r>
      <w:r w:rsidR="008844E4" w:rsidRPr="00424BD3">
        <w:rPr>
          <w:rFonts w:cs="Arial"/>
          <w:szCs w:val="24"/>
        </w:rPr>
        <w:fldChar w:fldCharType="separate"/>
      </w:r>
      <w:r w:rsidR="004046DD" w:rsidRPr="004046DD">
        <w:rPr>
          <w:rFonts w:cs="Arial"/>
        </w:rPr>
        <w:t>(2016)</w:t>
      </w:r>
      <w:r w:rsidR="008844E4" w:rsidRPr="00424BD3">
        <w:rPr>
          <w:rFonts w:cs="Arial"/>
          <w:szCs w:val="24"/>
        </w:rPr>
        <w:fldChar w:fldCharType="end"/>
      </w:r>
      <w:r w:rsidR="008844E4" w:rsidRPr="00424BD3">
        <w:rPr>
          <w:rFonts w:cs="Arial"/>
          <w:szCs w:val="24"/>
        </w:rPr>
        <w:t xml:space="preserve">, show that older people were even less likely than others to know or to have collected their family health history (though </w:t>
      </w:r>
      <w:r w:rsidR="000B0F8C" w:rsidRPr="00424BD3">
        <w:rPr>
          <w:rFonts w:cs="Arial"/>
          <w:szCs w:val="24"/>
        </w:rPr>
        <w:t>Black</w:t>
      </w:r>
      <w:r w:rsidR="008844E4" w:rsidRPr="00424BD3">
        <w:rPr>
          <w:rFonts w:cs="Arial"/>
          <w:szCs w:val="24"/>
        </w:rPr>
        <w:t xml:space="preserve"> people were more likely to have than white people). However, other studies show that older people are more likely to know their FHH </w:t>
      </w:r>
      <w:r w:rsidR="008844E4" w:rsidRPr="00424BD3">
        <w:rPr>
          <w:rFonts w:cs="Arial"/>
          <w:szCs w:val="24"/>
        </w:rPr>
        <w:fldChar w:fldCharType="begin"/>
      </w:r>
      <w:r w:rsidR="00990F3A">
        <w:rPr>
          <w:rFonts w:cs="Arial"/>
          <w:szCs w:val="24"/>
        </w:rPr>
        <w:instrText xml:space="preserve"> ADDIN ZOTERO_ITEM CSL_CITATION {"citationID":"Hus1JLHi","properties":{"formattedCitation":"(Ashida et al., 2011; Yoon et al., 2002)","plainCitation":"(Ashida et al., 2011; Yoon et al., 2002)","noteIndex":0},"citationItems":[{"id":1004,"uris":["http://zotero.org/users/4946941/items/JB9DTDEM"],"itemData":{"id":1004,"type":"article-journal","abstract":"Purpose: This study evaluates the role of older family members as providers of social resources within familial network systems affected by an inherited cancer susceptibility syndrome. Design and Methods: Respondents who previously participated in a study that involved genetic counseling and testing for Lynch syndrome and their family network members were invited to participate in a onetime telephone interview about family communication. Results: A total of 206 respondents from 33 families identified 2,051 social relationships (dyads). Nineteen percent of the respondents and 25% of the network members were older (≥60 years). Younger respondents (≤59 years) were more likely to nominate older network members as providers of social resources than younger members: instrumental support (odds ratio [OR] = 1.68), emotional support (OR = 1.71), help in crisis situation (OR = 2.04), and dependability when needed (OR = 2.15). Compared with younger network members, older members were more likely to be listed as encouragers of colon cancer screening by both younger (OR = 3.40) and older respondents (OR = 1.90) independent of whether support exchange occurred in the relationship. Implications: Engaging older network members in health interventions to facilitate screening behaviors and emotional well-being of younger members within families affected by inherited conditions may be beneficial. Findings can be used to empower older individuals about their important social roles in enhancing the well-being of their family members and to inform younger individuals about their older relatives’ resourcefulness to facilitate positive social interactions.","container-title":"The Gerontologist","DOI":"10.1093/geront/gnr049","ISSN":"0016-9013","issue":"6","journalAbbreviation":"The Gerontologist","page":"833-842","source":"Silverchair","title":"The Importance of Older Family Members in Providing Social Resources and Promoting Cancer Screening in Families With a Hereditary Cancer Syndrome","volume":"51","author":[{"family":"Ashida","given":"Sato"},{"family":"Hadley","given":"Donald W."},{"family":"Goergen","given":"Andrea F."},{"family":"Skapinsky","given":"Kaley F."},{"family":"Devlin","given":"Hillary C."},{"family":"Koehly","given":"Laura M."}],"issued":{"date-parts":[["2011",12,1]]}}},{"id":983,"uris":["http://zotero.org/users/4946941/items/AEWYUBNV"],"itemData":{"id":983,"type":"article-journal","container-title":"Genetics in Medicine","DOI":"10.1097/00125817-200207000-00009","ISSN":"1530-0366","issue":"4","journalAbbreviation":"Genet Med","language":"en","license":"2002 The American College of Medical Genetics","note":"number: 4\npublisher: Nature Publishing Group","page":"304-310","source":"www.nature.com","title":"Can family history be used as a tool for public health and preventive medicine?","volume":"4","author":[{"family":"Yoon","given":"Paula W."},{"family":"Scheuner","given":"Maren T."},{"family":"Peterson-Oehlke","given":"Kris L."},{"family":"Gwinn","given":"Marta"},{"family":"Faucett","given":"Andrew"},{"family":"Khoury","given":"Muin J."}],"issued":{"date-parts":[["2002",7]]}}}],"schema":"https://github.com/citation-style-language/schema/raw/master/csl-citation.json"} </w:instrText>
      </w:r>
      <w:r w:rsidR="008844E4" w:rsidRPr="00424BD3">
        <w:rPr>
          <w:rFonts w:cs="Arial"/>
          <w:szCs w:val="24"/>
        </w:rPr>
        <w:fldChar w:fldCharType="separate"/>
      </w:r>
      <w:r w:rsidR="008844E4" w:rsidRPr="00424BD3">
        <w:rPr>
          <w:rFonts w:cs="Arial"/>
        </w:rPr>
        <w:t>(Ashida et al., 2011; Yoon et al., 2002)</w:t>
      </w:r>
      <w:r w:rsidR="008844E4" w:rsidRPr="00424BD3">
        <w:rPr>
          <w:rFonts w:cs="Arial"/>
          <w:szCs w:val="24"/>
        </w:rPr>
        <w:fldChar w:fldCharType="end"/>
      </w:r>
      <w:r w:rsidR="008844E4" w:rsidRPr="00424BD3">
        <w:rPr>
          <w:rFonts w:cs="Arial"/>
          <w:szCs w:val="24"/>
        </w:rPr>
        <w:t xml:space="preserve">. </w:t>
      </w:r>
      <w:bookmarkStart w:id="38" w:name="_Hlk107312980"/>
      <w:r w:rsidR="00BD2FC8" w:rsidRPr="00424BD3">
        <w:rPr>
          <w:rFonts w:cs="Arial"/>
          <w:szCs w:val="24"/>
        </w:rPr>
        <w:t>A</w:t>
      </w:r>
      <w:r w:rsidR="008844E4" w:rsidRPr="00424BD3">
        <w:rPr>
          <w:rFonts w:cs="Arial"/>
          <w:szCs w:val="24"/>
        </w:rPr>
        <w:t xml:space="preserve">ccess may play a large part here as well because the common use of FHH in clinical settings today, and the development national level FHH health campaigns and publicly available FHH collection tools such as the CDC’s online “My Family Health Portrait” </w:t>
      </w:r>
      <w:r w:rsidR="008844E4" w:rsidRPr="00424BD3">
        <w:rPr>
          <w:rFonts w:cs="Arial"/>
          <w:szCs w:val="24"/>
        </w:rPr>
        <w:fldChar w:fldCharType="begin"/>
      </w:r>
      <w:r w:rsidR="006B2E9B">
        <w:rPr>
          <w:rFonts w:cs="Arial"/>
          <w:szCs w:val="24"/>
        </w:rPr>
        <w:instrText xml:space="preserve"> ADDIN ZOTERO_ITEM CSL_CITATION {"citationID":"6XfV5ZOO","properties":{"formattedCitation":"(CDC, 2022; Hughes Halbert et al., 2016)","plainCitation":"(CDC, 2022; Hughes Halbert et al., 2016)","noteIndex":0},"citationItems":[{"id":1007,"uris":["http://zotero.org/users/4946941/items/IJGYN7AC"],"itemData":{"id":1007,"type":"webpage","abstract":"Knowing and acting on your family health history is an important way to protect your health. Collect your family health history and share it with your doctor at your next visit.","container-title":"Centers for Disease Control and Prevention (CDC)","language":"en-us","title":"Family Health History","URL":"https://www.cdc.gov/genomics/famhistory/index.htm","author":[{"family":"CDC","given":""}],"accessed":{"date-parts":[["2022",7,16]]},"issued":{"date-parts":[["2022",5,25]]}}},{"id":990,"uris":["http://zotero.org/users/4946941/items/S8VPBYCC"],"itemData":{"id":990,"type":"article-journal","abstract":"Family health history (FHH) is the most basic form of genomic information. Although public health efforts have been made to promote FHH collection, empirical data on the extent to which community residents in rural areas actively collect FHH is limited. Therefore, we examined rates of FHH collection in a community-based sample of South Carolina residents. We conducted a structured telephone survey in a random sample of black and white South Carolina residents. Respondents were asked if they had ever actively collected FHH from relatives using an item developed by the Centers for Disease Control and Prevention. Overall, 42 % of respondents reported that they had actively collected their FHH. Blacks were significantly more likely than whites to have collected their FHH in bivariate analysis, but race did not have a significant association with FHH collection in the multivariate model (OR = 1.36, 95 % CI = 0.79, 2.35, p = 0.26). The likelihood of collecting FHH was increased among respondents whose last medical visit occurred in the past year compared to those whose last medical visit was more than 1 year ago (OR = 2.00, 95 % CI = 1.12, 3.56, p = 0.02). In addition, older respondents had a reduced likelihood of collecting their FHH (OR = 0.69, 95 % CI = 0.53, 0.90, p = .01). Lastly, women were about twice as likely as men to have collected their FHH (OR = 1.83, 95 % CI = 1.12, 2.99, p = 0.02). Greater efforts are needed to increase the collection of FHH information; these efforts may need to target men, the elderly, and individuals who have not had a recent medical visit.","container-title":"Journal of Community Genetics","DOI":"10.1007/s12687-015-0251-3","ISSN":"1868-6001","issue":"1","journalAbbreviation":"J Community Genet","language":"en","page":"57-64","source":"Springer Link","title":"Social determinants of family health history collection","volume":"7","author":[{"family":"Hughes Halbert","given":"Chanita"},{"family":"Welch","given":"Brandon"},{"family":"Lynch","given":"Cheryl"},{"family":"Magwood","given":"Gayenell"},{"family":"Rice","given":"LaShanta"},{"family":"Jefferson","given":"Melanie"},{"family":"Riley","given":"Jodie"}],"issued":{"date-parts":[["2016",1,1]]}}}],"schema":"https://github.com/citation-style-language/schema/raw/master/csl-citation.json"} </w:instrText>
      </w:r>
      <w:r w:rsidR="008844E4" w:rsidRPr="00424BD3">
        <w:rPr>
          <w:rFonts w:cs="Arial"/>
          <w:szCs w:val="24"/>
        </w:rPr>
        <w:fldChar w:fldCharType="separate"/>
      </w:r>
      <w:r w:rsidR="008844E4" w:rsidRPr="00424BD3">
        <w:rPr>
          <w:rFonts w:cs="Arial"/>
        </w:rPr>
        <w:t>(CDC, 2022; Hughes Halbert et al., 2016)</w:t>
      </w:r>
      <w:r w:rsidR="008844E4" w:rsidRPr="00424BD3">
        <w:rPr>
          <w:rFonts w:cs="Arial"/>
          <w:szCs w:val="24"/>
        </w:rPr>
        <w:fldChar w:fldCharType="end"/>
      </w:r>
      <w:r w:rsidR="008844E4" w:rsidRPr="00424BD3">
        <w:rPr>
          <w:rFonts w:cs="Arial"/>
          <w:szCs w:val="24"/>
        </w:rPr>
        <w:t xml:space="preserve"> all rely on access to clinical care, healthcare facilities, or access to the internet. </w:t>
      </w:r>
      <w:bookmarkEnd w:id="38"/>
    </w:p>
    <w:p w14:paraId="14C802DD" w14:textId="26A64937" w:rsidR="008844E4" w:rsidRPr="00424BD3" w:rsidRDefault="008844E4" w:rsidP="00232837">
      <w:pPr>
        <w:spacing w:after="0" w:line="480" w:lineRule="auto"/>
        <w:ind w:firstLine="720"/>
        <w:rPr>
          <w:rFonts w:cs="Arial"/>
          <w:szCs w:val="24"/>
        </w:rPr>
      </w:pPr>
      <w:r w:rsidRPr="00424BD3">
        <w:rPr>
          <w:rFonts w:cs="Arial"/>
          <w:szCs w:val="24"/>
        </w:rPr>
        <w:t>There may be the phenomena of people not taking the older members of their family into account when outlining their family health history. In turn, older people discount themselves and their perceptions that they have any family health histor</w:t>
      </w:r>
      <w:r w:rsidR="000D09AA" w:rsidRPr="00424BD3">
        <w:rPr>
          <w:rFonts w:cs="Arial"/>
          <w:szCs w:val="24"/>
        </w:rPr>
        <w:t>ies</w:t>
      </w:r>
      <w:r w:rsidRPr="00424BD3">
        <w:rPr>
          <w:rFonts w:cs="Arial"/>
          <w:szCs w:val="24"/>
        </w:rPr>
        <w:t xml:space="preserve"> of any given disease </w:t>
      </w:r>
      <w:r w:rsidRPr="00424BD3">
        <w:rPr>
          <w:rFonts w:cs="Arial"/>
          <w:szCs w:val="24"/>
        </w:rPr>
        <w:fldChar w:fldCharType="begin"/>
      </w:r>
      <w:r w:rsidR="00990F3A">
        <w:rPr>
          <w:rFonts w:cs="Arial"/>
          <w:szCs w:val="24"/>
        </w:rPr>
        <w:instrText xml:space="preserve"> ADDIN ZOTERO_ITEM CSL_CITATION {"citationID":"RidQw913","properties":{"formattedCitation":"(Hunt et al., 2000)","plainCitation":"(Hunt et al., 2000)","noteIndex":0},"citationItems":[{"id":986,"uris":["http://zotero.org/users/4946941/items/9LQTXXIL"],"itemData":{"id":986,"type":"article-journal","abstract":"It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schema":"https://github.com/citation-style-language/schema/raw/master/csl-citation.json"} </w:instrText>
      </w:r>
      <w:r w:rsidRPr="00424BD3">
        <w:rPr>
          <w:rFonts w:cs="Arial"/>
          <w:szCs w:val="24"/>
        </w:rPr>
        <w:fldChar w:fldCharType="separate"/>
      </w:r>
      <w:r w:rsidR="00395E16" w:rsidRPr="00424BD3">
        <w:rPr>
          <w:rFonts w:cs="Arial"/>
        </w:rPr>
        <w:t>(Hunt et al., 2000)</w:t>
      </w:r>
      <w:r w:rsidRPr="00424BD3">
        <w:rPr>
          <w:rFonts w:cs="Arial"/>
          <w:szCs w:val="24"/>
        </w:rPr>
        <w:fldChar w:fldCharType="end"/>
      </w:r>
      <w:bookmarkStart w:id="39" w:name="_Hlk107312986"/>
      <w:r w:rsidRPr="00424BD3">
        <w:rPr>
          <w:rFonts w:cs="Arial"/>
          <w:szCs w:val="24"/>
        </w:rPr>
        <w:t xml:space="preserve">. </w:t>
      </w:r>
      <w:r w:rsidR="000D09AA" w:rsidRPr="00424BD3">
        <w:rPr>
          <w:rFonts w:cs="Arial"/>
          <w:szCs w:val="24"/>
        </w:rPr>
        <w:t>It may be</w:t>
      </w:r>
      <w:r w:rsidRPr="00424BD3">
        <w:rPr>
          <w:rFonts w:cs="Arial"/>
          <w:szCs w:val="24"/>
        </w:rPr>
        <w:t xml:space="preserve"> that the social norming of ageism plays </w:t>
      </w:r>
      <w:r w:rsidRPr="00424BD3">
        <w:rPr>
          <w:rFonts w:cs="Arial"/>
          <w:szCs w:val="24"/>
        </w:rPr>
        <w:lastRenderedPageBreak/>
        <w:t xml:space="preserve">a role here, as does norming around health, resulting in normed internalizations of beliefs, attitudes, and perceptions </w:t>
      </w:r>
      <w:r w:rsidRPr="00424BD3">
        <w:rPr>
          <w:rFonts w:cs="Arial"/>
          <w:szCs w:val="24"/>
        </w:rPr>
        <w:fldChar w:fldCharType="begin"/>
      </w:r>
      <w:r w:rsidR="00990F3A">
        <w:rPr>
          <w:rFonts w:cs="Arial"/>
          <w:szCs w:val="24"/>
        </w:rPr>
        <w:instrText xml:space="preserve"> ADDIN ZOTERO_ITEM CSL_CITATION {"citationID":"bSaIv6jQ","properties":{"formattedCitation":"(K. Hunt et al., 2000)","plainCitation":"(K. Hunt et al., 2000)","dontUpdate":true,"noteIndex":0},"citationItems":[{"id":986,"uris":["http://zotero.org/users/4946941/items/9LQTXXIL"],"itemData":{"id":986,"type":"article-journal","abstract":"It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schema":"https://github.com/citation-style-language/schema/raw/master/csl-citation.json"} </w:instrText>
      </w:r>
      <w:r w:rsidRPr="00424BD3">
        <w:rPr>
          <w:rFonts w:cs="Arial"/>
          <w:szCs w:val="24"/>
        </w:rPr>
        <w:fldChar w:fldCharType="separate"/>
      </w:r>
      <w:r w:rsidRPr="00424BD3">
        <w:rPr>
          <w:rFonts w:cs="Arial"/>
        </w:rPr>
        <w:t>(K. Hunt et al., 2000</w:t>
      </w:r>
      <w:r w:rsidRPr="00424BD3">
        <w:rPr>
          <w:rFonts w:cs="Arial"/>
          <w:szCs w:val="24"/>
        </w:rPr>
        <w:fldChar w:fldCharType="end"/>
      </w:r>
      <w:r w:rsidRPr="00424BD3">
        <w:rPr>
          <w:rFonts w:cs="Arial"/>
          <w:szCs w:val="24"/>
        </w:rPr>
        <w:t xml:space="preserve">, citing </w:t>
      </w:r>
      <w:r w:rsidRPr="00424BD3">
        <w:rPr>
          <w:rFonts w:cs="Arial"/>
          <w:szCs w:val="24"/>
        </w:rPr>
        <w:fldChar w:fldCharType="begin"/>
      </w:r>
      <w:r w:rsidR="00990F3A">
        <w:rPr>
          <w:rFonts w:cs="Arial"/>
          <w:szCs w:val="24"/>
        </w:rPr>
        <w:instrText xml:space="preserve"> ADDIN ZOTERO_ITEM CSL_CITATION {"citationID":"F1hyd9oS","properties":{"formattedCitation":"(Backett &amp; Davison, 1995; C. C. Butler et al., 1998; Kreuter &amp; Strecher, 1995)","plainCitation":"(Backett &amp; Davison, 1995; C. C. Butler et al., 1998; Kreuter &amp; Strecher, 1995)","noteIndex":0},"citationItems":[{"id":1011,"uris":["http://zotero.org/users/4946941/items/B95N5SLU"],"itemData":{"id":1011,"type":"article-journal","abstract":"Drawing on two qualitative studies carried out independently in the U.K. this paper examines the cultural construction of physical and social ageing, and the part this plays in commonsense assessments of daily health relevant behaviour. The concepts of lifecourse and lifestyle are examined as they are presented in both social scientific and lay discourse. The collaborative inductive analysis was based on the observation from both studies that respondents regularly accounted for health and illness, and their associated behaviours, in terms of individuals perceived social circumstances and obligations. Position in the lifecourse was regularly used to express and encapsulate these constellations of socio-cultural processes and variables. The analysis focuses on three stages of the lifecourse as identified by respondents: and examines how these were related in lay discourse to particular health-relevant behaviours or lifestyles. It is concluded that it is important for health promotion to work with rather than against cultural norms and every day principles of social organisation in order better to understand lay perceptions of what constitutes acceptable health-relevant behaviour.","container-title":"Social Science &amp; Medicine","DOI":"10.1016/0277-9536(95)80007-7","ISSN":"0277-9536","issue":"5","journalAbbreviation":"Social Science &amp; Medicine","language":"en","page":"629-638","source":"ScienceDirect","title":"Lifecourse and lifestyle: The social and cultural location of health behaviours","title-short":"Lifecourse and lifestyle","volume":"40","author":[{"family":"Backett","given":"Kathryn C."},{"family":"Davison","given":"Charlie"}],"issued":{"date-parts":[["1995",3,1]]}}},{"id":1015,"uris":["http://zotero.org/users/4946941/items/X8KPDA2G"],"itemData":{"id":1015,"type":"article-journal","abstract":"Objectives: To better understand reasons for antibiotics being prescribed for sore throats despite well known evidence that they are generally of little help.\nDesign: Qualitative study with semi-structured interviews.\nSetting: General practices in South Wales.\nSubjects: 21 general practitioners and 17 of their patients who had recently consulted for a sore throat or upper respiratory tract infection.\nMain outcome measures: Subjects' experience of management of the illness, patients' expectations, beliefs about antibiotic treatment for sore throats, and ideas for reducing prescribing.\nResults: Doctors knew of the evidence for marginal effectiveness yet often prescribed for good relationships with patients. Possible patient benefit outweighed theoretical community risk from resistant bacteria. Most doctors found prescribing “against the evidence” uncomfortable and realised this probably increased workload. Explanations of the distinction between virus and bacterium often led to perceived confusion. Clinicians were divided on the value of leaflets and national campaigns, but several favoured patient empowerment for self care by other members of the primary care team. Patient expectations were seldom made explicit, and many were not met. A third of patients had a clear expectation for antibiotics, and mothers were more likely to accept non-antibiotic treatment for their children than for themselves. Satisfaction was not necessarily related to receiving antibiotics, with many seeking reassurance, further information, and pain relief.\nConclusions: This prescribing decision is greatly influenced by considerations of the doctor-patient relationship. Consulting strategies that make patient expectations explicit without damaging relationships might reduce unwanted antibiotics. Repeating evidence for lack of effectiveness is unlikely to change doctors' prescribing, but information about risk to individual patients might. Emphasising positive aspects of non-antibiotic treatment and lack of efficacy in general might be helpful.","container-title":"BMJ","DOI":"10.1136/bmj.317.7159.637","ISSN":"0959-8138, 1468-5833","issue":"7159","journalAbbreviation":"BMJ","language":"en","license":"© 1998 BMJ Publishing Group Ltd.","note":"publisher: British Medical Journal Publishing Group\nsection: General Practice\nPMID: 9727992","page":"637-642","source":"www.bmj.com","title":"Understanding the culture of prescribing: qualitative study of general practitioners' and patients' perceptions of antibiotics for sore throats","title-short":"Understanding the culture of prescribing","volume":"317","author":[{"family":"Butler","given":"Christopher C."},{"family":"Rollnick","given":"Stephen"},{"family":"Pill","given":"Roisin"},{"family":"Maggs-Rapport","given":"Frances"},{"family":"Stott","given":"Nigel"}],"issued":{"date-parts":[["1998",9,5]]}}},{"id":1013,"uris":["http://zotero.org/users/4946941/items/64APTPE7"],"itemData":{"id":1013,"type":"article-journal","abstract":"We sought to identify and correct inaccurate perceptions of risk among 1,317 adult patients in a primary care setting. Patients' perceived risks of heart attack, stroke, cancer, and motor vehicle crash were assessed and compared with a measure of risk derived from a health risk appraisal. Patients were then randomly assigned to receive computer-generated individualized risk feedback, risk feedback plus behavioral change feedback, or no feedback. Changes in perceived risk from baseline to a 6-month follow-up were compared across study groups. Results showed that individualized risk feedback was effective in increasing perceived stroke risk among patients who had underestimated their stroke risk at baseline and in reducing perceived risk of cancer among patients who had overestimated their cancer risk at baseline. Individualized risk feedback did not alter patients' perception of their heart attack and motor vehicle crash risks.","container-title":"Health Psychology: Official Journal of the Division of Health Psychology, American Psychological Association","DOI":"10.1037//0278-6133.14.1.56","ISSN":"0278-6133","issue":"1","journalAbbreviation":"Health Psychol","language":"eng","note":"PMID: 7737074","page":"56-63","source":"PubMed","title":"Changing inaccurate perceptions of health risk: results from a randomized trial","title-short":"Changing inaccurate perceptions of health risk","volume":"14","author":[{"family":"Kreuter","given":"M. W."},{"family":"Strecher","given":"V. J."}],"issued":{"date-parts":[["1995",1]]}}}],"schema":"https://github.com/citation-style-language/schema/raw/master/csl-citation.json"} </w:instrText>
      </w:r>
      <w:r w:rsidRPr="00424BD3">
        <w:rPr>
          <w:rFonts w:cs="Arial"/>
          <w:szCs w:val="24"/>
        </w:rPr>
        <w:fldChar w:fldCharType="separate"/>
      </w:r>
      <w:r w:rsidR="001F2B17" w:rsidRPr="00424BD3">
        <w:rPr>
          <w:rFonts w:cs="Arial"/>
        </w:rPr>
        <w:t>(Backett &amp; Davison, 1995; C. C. Butler et al., 1998; Kreuter &amp; Strecher, 1995)</w:t>
      </w:r>
      <w:r w:rsidRPr="00424BD3">
        <w:rPr>
          <w:rFonts w:cs="Arial"/>
          <w:szCs w:val="24"/>
        </w:rPr>
        <w:fldChar w:fldCharType="end"/>
      </w:r>
      <w:r w:rsidRPr="00424BD3">
        <w:rPr>
          <w:rFonts w:cs="Arial"/>
          <w:szCs w:val="24"/>
        </w:rPr>
        <w:t xml:space="preserve">, for older people that they may reproduce in their own families, and that may keep them from awareness of structural drivers of health. </w:t>
      </w:r>
      <w:bookmarkEnd w:id="39"/>
      <w:r w:rsidRPr="00424BD3">
        <w:rPr>
          <w:rFonts w:cs="Arial"/>
          <w:szCs w:val="24"/>
        </w:rPr>
        <w:fldChar w:fldCharType="begin"/>
      </w:r>
      <w:r w:rsidR="00990F3A">
        <w:rPr>
          <w:rFonts w:cs="Arial"/>
          <w:szCs w:val="24"/>
        </w:rPr>
        <w:instrText xml:space="preserve"> ADDIN ZOTERO_ITEM CSL_CITATION {"citationID":"tOMfn6UE","properties":{"formattedCitation":"(Hunt et al., 2000)","plainCitation":"(Hunt et al., 2000)","noteIndex":0},"citationItems":[{"id":986,"uris":["http://zotero.org/users/4946941/items/9LQTXXIL"],"itemData":{"id":986,"type":"article-journal","abstract":"It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schema":"https://github.com/citation-style-language/schema/raw/master/csl-citation.json"} </w:instrText>
      </w:r>
      <w:r w:rsidRPr="00424BD3">
        <w:rPr>
          <w:rFonts w:cs="Arial"/>
          <w:szCs w:val="24"/>
        </w:rPr>
        <w:fldChar w:fldCharType="separate"/>
      </w:r>
      <w:r w:rsidR="00395E16" w:rsidRPr="00424BD3">
        <w:rPr>
          <w:rFonts w:cs="Arial"/>
        </w:rPr>
        <w:t>(Hunt et al., 2000)</w:t>
      </w:r>
      <w:r w:rsidRPr="00424BD3">
        <w:rPr>
          <w:rFonts w:cs="Arial"/>
          <w:szCs w:val="24"/>
        </w:rPr>
        <w:fldChar w:fldCharType="end"/>
      </w:r>
      <w:r w:rsidRPr="00424BD3">
        <w:rPr>
          <w:rFonts w:cs="Arial"/>
          <w:szCs w:val="24"/>
        </w:rPr>
        <w:t xml:space="preserve"> also found that people ascribe social determinants of health such as housing and living conditions as less important to family health history than </w:t>
      </w:r>
      <w:r w:rsidR="00D367E4" w:rsidRPr="00424BD3">
        <w:rPr>
          <w:rFonts w:cs="Arial"/>
          <w:szCs w:val="24"/>
        </w:rPr>
        <w:t>health</w:t>
      </w:r>
      <w:r w:rsidRPr="00424BD3">
        <w:rPr>
          <w:rFonts w:cs="Arial"/>
          <w:szCs w:val="24"/>
        </w:rPr>
        <w:t xml:space="preserve"> behavior and family ‘tendencies’, and that visible risks (such as weight, smoking, etc</w:t>
      </w:r>
      <w:r w:rsidR="00C47545">
        <w:rPr>
          <w:rFonts w:cs="Arial"/>
          <w:szCs w:val="24"/>
        </w:rPr>
        <w:t>.</w:t>
      </w:r>
      <w:r w:rsidRPr="00424BD3">
        <w:rPr>
          <w:rFonts w:cs="Arial"/>
          <w:szCs w:val="24"/>
        </w:rPr>
        <w:t xml:space="preserve">) are factored </w:t>
      </w:r>
      <w:r w:rsidR="000D09AA" w:rsidRPr="00424BD3">
        <w:rPr>
          <w:rFonts w:cs="Arial"/>
          <w:szCs w:val="24"/>
        </w:rPr>
        <w:t>as more important</w:t>
      </w:r>
      <w:r w:rsidRPr="00424BD3">
        <w:rPr>
          <w:rFonts w:cs="Arial"/>
          <w:szCs w:val="24"/>
        </w:rPr>
        <w:t xml:space="preserve"> by individuals than hidden risks (blood pressure, for example). Additionally, families tend to know more about familial health and mortality generalities than specifics, e.g., “I think he had something with his heart” rather than “He had congenital heart failure”. In relation to subjective life expectancy (SLE) (when individuals estimate their own life expectancy), which is </w:t>
      </w:r>
      <w:r w:rsidR="005B6D71">
        <w:rPr>
          <w:rFonts w:cs="Arial"/>
          <w:szCs w:val="24"/>
        </w:rPr>
        <w:t xml:space="preserve">a </w:t>
      </w:r>
      <w:r w:rsidRPr="00424BD3">
        <w:rPr>
          <w:rFonts w:cs="Arial"/>
          <w:szCs w:val="24"/>
        </w:rPr>
        <w:t xml:space="preserve">predictor of individual behaviors in relation to health, parental longevity </w:t>
      </w:r>
      <w:r w:rsidR="00381442" w:rsidRPr="00424BD3">
        <w:rPr>
          <w:rFonts w:cs="Arial"/>
          <w:szCs w:val="24"/>
        </w:rPr>
        <w:t xml:space="preserve">is </w:t>
      </w:r>
      <w:r w:rsidRPr="00424BD3">
        <w:rPr>
          <w:rFonts w:cs="Arial"/>
          <w:szCs w:val="24"/>
        </w:rPr>
        <w:t xml:space="preserve">the dominant factor in </w:t>
      </w:r>
      <w:r w:rsidR="00381442" w:rsidRPr="00424BD3">
        <w:rPr>
          <w:rFonts w:cs="Arial"/>
          <w:szCs w:val="24"/>
        </w:rPr>
        <w:t xml:space="preserve">the assessment by individuals </w:t>
      </w:r>
      <w:r w:rsidR="00E51FB8" w:rsidRPr="00424BD3">
        <w:rPr>
          <w:rFonts w:cs="Arial"/>
          <w:szCs w:val="24"/>
        </w:rPr>
        <w:t xml:space="preserve">in </w:t>
      </w:r>
      <w:r w:rsidRPr="00424BD3">
        <w:rPr>
          <w:rFonts w:cs="Arial"/>
          <w:szCs w:val="24"/>
        </w:rPr>
        <w:t xml:space="preserve">relation to SLE. However, individuals were also more likely to relate the experiences of first-degree same sex relatives than second-degree or non-same sex relatives </w:t>
      </w:r>
      <w:r w:rsidRPr="00424BD3">
        <w:rPr>
          <w:rFonts w:cs="Arial"/>
          <w:szCs w:val="24"/>
        </w:rPr>
        <w:fldChar w:fldCharType="begin"/>
      </w:r>
      <w:r w:rsidR="00990F3A">
        <w:rPr>
          <w:rFonts w:cs="Arial"/>
          <w:szCs w:val="24"/>
        </w:rPr>
        <w:instrText xml:space="preserve"> ADDIN ZOTERO_ITEM CSL_CITATION {"citationID":"b2Ye9kSn","properties":{"formattedCitation":"(Zick et al., 2014)","plainCitation":"(Zick et al., 2014)","noteIndex":0},"citationItems":[{"id":962,"uris":["http://zotero.org/users/4946941/items/B9XS6RE2"],"itemData":{"id":962,"type":"article-journal","abstract":"Subjective life expectancy is a powerful predictor of a variety of health and economic behaviors. This research expands upon the life expectancy literature by examining the influence of familial health histories. Using a genetic/environmental model, we hypothesize that individuals’ assessments of their life expectancies will be linked to the health of first-degree and second-degree relatives, with same-sex relatives’ health exercising a stronger effect than that of opposite-sex relatives. Multivariate analyses based on data from a 2009 survey merged with familial health records (N = 1,019) confirm that the health experiences of same-sex, first-degree relatives are linked to respondents’ subjective life expectancy. The relationship between the health experiences of second-degree relatives and subjective life expectancy is much less pronounced. These findings have the potential not only to inform our understanding of health behaviors but also to encourage communication between patients and health professionals aimed at promoting preventative behaviors.","container-title":"Research on Aging","DOI":"10.1177/0164027513482948","ISSN":"0164-0275","issue":"2","journalAbbreviation":"Res Aging","language":"en","note":"publisher: SAGE Publications Inc","page":"244-266","source":"SAGE Journals","title":"Family, Frailty, and Fatal Futures? Own-Health and Family-Health Predictors of Subjective Life Expectancy","title-short":"Family, Frailty, and Fatal Futures?","volume":"36","author":[{"family":"Zick","given":"Cathleen D."},{"family":"Smith","given":"Ken R."},{"family":"Mayer","given":"Robert N."},{"family":"Taylor","given":"Lorayne B."}],"issued":{"date-parts":[["2014",3,1]]}}}],"schema":"https://github.com/citation-style-language/schema/raw/master/csl-citation.json"} </w:instrText>
      </w:r>
      <w:r w:rsidRPr="00424BD3">
        <w:rPr>
          <w:rFonts w:cs="Arial"/>
          <w:szCs w:val="24"/>
        </w:rPr>
        <w:fldChar w:fldCharType="separate"/>
      </w:r>
      <w:r w:rsidRPr="00424BD3">
        <w:rPr>
          <w:rFonts w:cs="Arial"/>
        </w:rPr>
        <w:t>(Zick et al., 2014)</w:t>
      </w:r>
      <w:r w:rsidRPr="00424BD3">
        <w:rPr>
          <w:rFonts w:cs="Arial"/>
          <w:szCs w:val="24"/>
        </w:rPr>
        <w:fldChar w:fldCharType="end"/>
      </w:r>
      <w:r w:rsidRPr="00424BD3">
        <w:rPr>
          <w:rFonts w:cs="Arial"/>
          <w:szCs w:val="24"/>
        </w:rPr>
        <w:t xml:space="preserve">. This is important for </w:t>
      </w:r>
      <w:r w:rsidR="00021CD1" w:rsidRPr="00424BD3">
        <w:rPr>
          <w:rFonts w:cs="Arial"/>
          <w:szCs w:val="24"/>
        </w:rPr>
        <w:t xml:space="preserve">this </w:t>
      </w:r>
      <w:r w:rsidRPr="00424BD3">
        <w:rPr>
          <w:rFonts w:cs="Arial"/>
          <w:szCs w:val="24"/>
        </w:rPr>
        <w:t>study which focuses on self-reported first and second-degree familial health and mortality histories among older women born with the sex of female, and any gender-specific effects thereof.</w:t>
      </w:r>
    </w:p>
    <w:p w14:paraId="582296A0" w14:textId="0D245128" w:rsidR="008844E4" w:rsidRPr="00424BD3" w:rsidRDefault="008844E4" w:rsidP="000126EE">
      <w:pPr>
        <w:spacing w:after="0" w:line="480" w:lineRule="auto"/>
        <w:ind w:firstLine="720"/>
        <w:rPr>
          <w:rFonts w:cs="Arial"/>
          <w:szCs w:val="24"/>
        </w:rPr>
      </w:pPr>
      <w:r w:rsidRPr="00424BD3">
        <w:rPr>
          <w:rFonts w:cs="Arial"/>
          <w:szCs w:val="24"/>
        </w:rPr>
        <w:t>While the time period of some of the early research on family health history</w:t>
      </w:r>
      <w:r w:rsidR="00DA4CF7" w:rsidRPr="00424BD3">
        <w:rPr>
          <w:rFonts w:cs="Arial"/>
          <w:szCs w:val="24"/>
        </w:rPr>
        <w:t xml:space="preserve"> must be considered</w:t>
      </w:r>
      <w:r w:rsidRPr="00424BD3">
        <w:rPr>
          <w:rFonts w:cs="Arial"/>
          <w:szCs w:val="24"/>
        </w:rPr>
        <w:t>, and</w:t>
      </w:r>
      <w:r w:rsidR="004B0616">
        <w:rPr>
          <w:rFonts w:cs="Arial"/>
          <w:szCs w:val="24"/>
        </w:rPr>
        <w:t>,</w:t>
      </w:r>
      <w:r w:rsidRPr="00424BD3">
        <w:rPr>
          <w:rFonts w:cs="Arial"/>
          <w:szCs w:val="24"/>
        </w:rPr>
        <w:t xml:space="preserve"> therefore</w:t>
      </w:r>
      <w:r w:rsidR="004B0616">
        <w:rPr>
          <w:rFonts w:cs="Arial"/>
          <w:szCs w:val="24"/>
        </w:rPr>
        <w:t>,</w:t>
      </w:r>
      <w:r w:rsidRPr="00424BD3">
        <w:rPr>
          <w:rFonts w:cs="Arial"/>
          <w:szCs w:val="24"/>
        </w:rPr>
        <w:t xml:space="preserve"> the prevalence of health promotion</w:t>
      </w:r>
      <w:r w:rsidR="00FD0924" w:rsidRPr="00424BD3">
        <w:rPr>
          <w:rFonts w:cs="Arial"/>
          <w:szCs w:val="24"/>
        </w:rPr>
        <w:t xml:space="preserve"> models</w:t>
      </w:r>
      <w:r w:rsidRPr="00424BD3">
        <w:rPr>
          <w:rFonts w:cs="Arial"/>
          <w:szCs w:val="24"/>
        </w:rPr>
        <w:t xml:space="preserve"> as the focus of Global North governments health and economic policymaking </w:t>
      </w:r>
      <w:r w:rsidRPr="00424BD3">
        <w:rPr>
          <w:rFonts w:cs="Arial"/>
          <w:szCs w:val="24"/>
        </w:rPr>
        <w:fldChar w:fldCharType="begin"/>
      </w:r>
      <w:r w:rsidR="00990F3A">
        <w:rPr>
          <w:rFonts w:cs="Arial"/>
          <w:szCs w:val="24"/>
        </w:rPr>
        <w:instrText xml:space="preserve"> ADDIN ZOTERO_ITEM CSL_CITATION {"citationID":"pdfQX8yK","properties":{"formattedCitation":"(Hunt et al., 2000)","plainCitation":"(Hunt et al., 2000)","noteIndex":0},"citationItems":[{"id":986,"uris":["http://zotero.org/users/4946941/items/9LQTXXIL"],"itemData":{"id":986,"type":"article-journal","abstract":"It has been argued that perceptions of familial tendencies to disease are common and important in decisions about health-related behaviours. Indeed, it has been suggested that the increased `geneticization' of society may lead to an increased fatalism about health, which could undermine initiatives aimed at reducing coronary-prone behaviour. To date, much of the research on lay perceptions of inheritance has been based on people at high risk of particular genetic disorders or on qualitative research with small general population samples. Here we investigate perceptions of a family history of heart disease, using quantitative techniques, to test hypotheses about the relationship between a perceived family history (pFH), coronary `candidacy' and adherence to health promotion advice which were raised by earlier anthropological work. We find that reported perceptions of a family history of heart disease are common, particularly amongst women in middle-age. In isolation a pFH is not related to current smoking; however, the odds of smoking are lower for those with a pFH of heart disease when account is also taken of other attitudinal factors (the `salience' of heart disease and the strength of adherence to conventional coronary health promotion).","container-title":"Health Education Research","DOI":"10.1093/her/15.2.131","ISSN":"0268-1153","issue":"2","journalAbbreviation":"Health Education Research","page":"131-143","source":"Silverchair","title":"Are perceptions of a family history of heart disease related to health-related attitudes and behaviour?","volume":"15","author":[{"family":"Hunt","given":"Kate"},{"family":"Davison","given":"Charlie"},{"family":"Emslie","given":"Carol"},{"family":"Ford","given":"Graeme"}],"issued":{"date-parts":[["2000",4,1]]}}}],"schema":"https://github.com/citation-style-language/schema/raw/master/csl-citation.json"} </w:instrText>
      </w:r>
      <w:r w:rsidRPr="00424BD3">
        <w:rPr>
          <w:rFonts w:cs="Arial"/>
          <w:szCs w:val="24"/>
        </w:rPr>
        <w:fldChar w:fldCharType="separate"/>
      </w:r>
      <w:r w:rsidR="00395E16" w:rsidRPr="00424BD3">
        <w:rPr>
          <w:rFonts w:cs="Arial"/>
        </w:rPr>
        <w:t>(Hunt et al., 2000)</w:t>
      </w:r>
      <w:r w:rsidRPr="00424BD3">
        <w:rPr>
          <w:rFonts w:cs="Arial"/>
          <w:szCs w:val="24"/>
        </w:rPr>
        <w:fldChar w:fldCharType="end"/>
      </w:r>
      <w:r w:rsidRPr="00424BD3">
        <w:rPr>
          <w:rFonts w:cs="Arial"/>
          <w:szCs w:val="24"/>
        </w:rPr>
        <w:t xml:space="preserve">, it </w:t>
      </w:r>
      <w:r w:rsidR="00CB73D4" w:rsidRPr="00424BD3">
        <w:rPr>
          <w:rFonts w:cs="Arial"/>
          <w:szCs w:val="24"/>
        </w:rPr>
        <w:t>could be said</w:t>
      </w:r>
      <w:r w:rsidRPr="00424BD3">
        <w:rPr>
          <w:rFonts w:cs="Arial"/>
          <w:szCs w:val="24"/>
        </w:rPr>
        <w:t xml:space="preserve"> that </w:t>
      </w:r>
      <w:r w:rsidR="00A50D3D" w:rsidRPr="00424BD3">
        <w:rPr>
          <w:rFonts w:cs="Arial"/>
          <w:szCs w:val="24"/>
        </w:rPr>
        <w:t>the health promotion model</w:t>
      </w:r>
      <w:r w:rsidRPr="00424BD3">
        <w:rPr>
          <w:rFonts w:cs="Arial"/>
          <w:szCs w:val="24"/>
        </w:rPr>
        <w:t xml:space="preserve"> remains the primary ‘way of doing health’ in the United States. </w:t>
      </w:r>
      <w:bookmarkStart w:id="40" w:name="_Hlk107312994"/>
    </w:p>
    <w:p w14:paraId="41F956C2" w14:textId="1EDE68C8" w:rsidR="008844E4" w:rsidRPr="00424BD3" w:rsidRDefault="008844E4" w:rsidP="000126EE">
      <w:pPr>
        <w:pStyle w:val="Heading2"/>
        <w:spacing w:before="0" w:line="480" w:lineRule="auto"/>
        <w:jc w:val="center"/>
        <w:rPr>
          <w:rFonts w:ascii="Arial" w:hAnsi="Arial" w:cs="Arial"/>
          <w:b/>
          <w:bCs/>
          <w:color w:val="auto"/>
          <w:sz w:val="24"/>
          <w:szCs w:val="24"/>
        </w:rPr>
      </w:pPr>
      <w:bookmarkStart w:id="41" w:name="_Toc118232307"/>
      <w:bookmarkEnd w:id="40"/>
      <w:r w:rsidRPr="00424BD3">
        <w:rPr>
          <w:rFonts w:ascii="Arial" w:hAnsi="Arial" w:cs="Arial"/>
          <w:b/>
          <w:bCs/>
          <w:color w:val="auto"/>
          <w:sz w:val="24"/>
          <w:szCs w:val="24"/>
        </w:rPr>
        <w:lastRenderedPageBreak/>
        <w:t>Place and Older Women’s Health Inequities</w:t>
      </w:r>
      <w:bookmarkEnd w:id="41"/>
    </w:p>
    <w:p w14:paraId="15823A21" w14:textId="244AE524" w:rsidR="008844E4" w:rsidRPr="00424BD3" w:rsidRDefault="008844E4" w:rsidP="000126EE">
      <w:pPr>
        <w:spacing w:after="0" w:line="480" w:lineRule="auto"/>
        <w:ind w:firstLine="720"/>
        <w:rPr>
          <w:rFonts w:cs="Arial"/>
          <w:szCs w:val="24"/>
        </w:rPr>
      </w:pPr>
      <w:r w:rsidRPr="00424BD3">
        <w:rPr>
          <w:rFonts w:cs="Arial"/>
          <w:szCs w:val="24"/>
        </w:rPr>
        <w:t xml:space="preserve">The research on place-effects of health and mortality is long and established </w:t>
      </w:r>
      <w:r w:rsidRPr="00424BD3">
        <w:rPr>
          <w:rFonts w:cs="Arial"/>
          <w:szCs w:val="24"/>
        </w:rPr>
        <w:fldChar w:fldCharType="begin"/>
      </w:r>
      <w:r w:rsidR="00990F3A">
        <w:rPr>
          <w:rFonts w:cs="Arial"/>
          <w:szCs w:val="24"/>
        </w:rPr>
        <w:instrText xml:space="preserve"> ADDIN ZOTERO_ITEM CSL_CITATION {"citationID":"OaHKbbHr","properties":{"formattedCitation":"(Finkelstein et al., 2021; Kuuire &amp; Dassah, 2020; Macintyre et al., 2002)","plainCitation":"(Finkelstein et al., 2021; Kuuire &amp; Dassah, 2020; Macintyre et al., 2002)","noteIndex":0},"citationItems":[{"id":1019,"uris":["http://zotero.org/users/4946941/items/Y8H5X4PM"],"itemData":{"id":1019,"type":"article-journal","abstract":"We estimate the effect of current location on elderly mortality by analyzing outcomes of movers in the Medicare population. We control for movers' origin locations as well as a rich vector of pre-move health measures. We also develop a novel strategy to adjust for remaining unobservables, using the correlation of residual mortality with movers' origins to gauge the importance of omitted variables. We estimate substantial effects of current location. Moving from a tenth to a ninetieth percentile location would increase life expectancy at age 65 by 1.1 years, and equalizing location effects would reduce cross-sectional variation in life expectancy by 15 percent. Places with favorable life expectancy effects tend to have higher quality and quantity of health care, less extreme climates, lower crime rates, and higher socioeconomic status.","container-title":"American Economic Review","DOI":"10.1257/aer.20190825","ISSN":"0002-8282","issue":"8","language":"en","page":"2697-2735","source":"www.aeaweb.org","title":"Place-Based Drivers of Mortality: Evidence from Migration","title-short":"Place-Based Drivers of Mortality","volume":"111","author":[{"family":"Finkelstein","given":"Amy"},{"family":"Gentzkow","given":"Matthew"},{"family":"Williams","given":"Heidi"}],"issued":{"date-parts":[["2021",8]]}}},{"id":1022,"uris":["http://zotero.org/users/4946941/items/DG6YYRDD"],"itemData":{"id":1022,"type":"chapter","container-title":"International Encyclopedia of Human Geography","ISBN":"978-0-08-102296-2","language":"en","note":"DOI: 10.1016/B978-0-08-102295-5.10412-3","page":"125-128","publisher":"Elsevier","source":"DOI.org (Crossref)","title":"Place and Health","URL":"https://linkinghub.elsevier.com/retrieve/pii/B9780081022955104123","author":[{"family":"Kuuire","given":"Vincent"},{"family":"Dassah","given":"Ebenezer"}],"accessed":{"date-parts":[["2022",7,16]]},"issued":{"date-parts":[["2020"]]}}},{"id":1023,"uris":["http://zotero.org/users/4946941/items/GMVNFH4U"],"itemData":{"id":1023,"type":"article-journal","abstract":"In this paper we highlight what we consider to be a lack of adequate conceptualisation, operationalisation and measurement of “place effects”. We briefly review recent historical trends in the study of the effects of place on health in industrial countries, and argue that “place effects” often appear to have the status of a residual category, an unspecified black box of somewhat mystical influences on health which remain after investigators have controlled for a range of individual and place characteristics. We note that the distinction between “composition” and “context” may be more apparent than real, and that features of both material infrastructure and collective social functioning may influence health. We suggest using a framework of universal human needs as a basis for thinking about how places may influence health, and recommend the testing of hypotheses about specific chains of causation that might link place of residence with health outcomes.","collection-title":"Selected papers from the 9th International Symposium on Medical G eography","container-title":"Social Science &amp; Medicine","DOI":"10.1016/S0277-9536(01)00214-3","ISSN":"0277-9536","issue":"1","journalAbbreviation":"Social Science &amp; Medicine","language":"en","page":"125-139","source":"ScienceDirect","title":"Place effects on health: how can we conceptualise, operationalise and measure them?","title-short":"Place effects on health","volume":"55","author":[{"family":"Macintyre","given":"Sally"},{"family":"Ellaway","given":"Anne"},{"family":"Cummins","given":"Steven"}],"issued":{"date-parts":[["2002",7,1]]}}}],"schema":"https://github.com/citation-style-language/schema/raw/master/csl-citation.json"} </w:instrText>
      </w:r>
      <w:r w:rsidRPr="00424BD3">
        <w:rPr>
          <w:rFonts w:cs="Arial"/>
          <w:szCs w:val="24"/>
        </w:rPr>
        <w:fldChar w:fldCharType="separate"/>
      </w:r>
      <w:r w:rsidRPr="00424BD3">
        <w:rPr>
          <w:rFonts w:cs="Arial"/>
        </w:rPr>
        <w:t>(Finkelstein et al., 2021; Kuuire &amp; Dassah, 2020; Macintyre et al., 2002)</w:t>
      </w:r>
      <w:r w:rsidRPr="00424BD3">
        <w:rPr>
          <w:rFonts w:cs="Arial"/>
          <w:szCs w:val="24"/>
        </w:rPr>
        <w:fldChar w:fldCharType="end"/>
      </w:r>
      <w:r w:rsidRPr="00424BD3">
        <w:rPr>
          <w:rFonts w:cs="Arial"/>
          <w:szCs w:val="24"/>
        </w:rPr>
        <w:t xml:space="preserve">. Comparing area variables through a geographic / spatial lens is important because research shows that </w:t>
      </w:r>
      <w:r w:rsidR="00054565" w:rsidRPr="00424BD3">
        <w:rPr>
          <w:rFonts w:cs="Arial"/>
          <w:szCs w:val="24"/>
        </w:rPr>
        <w:t xml:space="preserve">people’s </w:t>
      </w:r>
      <w:r w:rsidRPr="00424BD3">
        <w:rPr>
          <w:rFonts w:cs="Arial"/>
          <w:szCs w:val="24"/>
        </w:rPr>
        <w:t>health inequit</w:t>
      </w:r>
      <w:r w:rsidR="00535510" w:rsidRPr="00424BD3">
        <w:rPr>
          <w:rFonts w:cs="Arial"/>
          <w:szCs w:val="24"/>
        </w:rPr>
        <w:t>ies across the social determinants are</w:t>
      </w:r>
      <w:r w:rsidRPr="00424BD3">
        <w:rPr>
          <w:rFonts w:cs="Arial"/>
          <w:szCs w:val="24"/>
        </w:rPr>
        <w:t xml:space="preserve"> greatly influenced by geographical factors. In fact,</w:t>
      </w:r>
      <w:r w:rsidR="007041FE" w:rsidRPr="00424BD3">
        <w:rPr>
          <w:rFonts w:cs="Arial"/>
          <w:szCs w:val="24"/>
        </w:rPr>
        <w:t xml:space="preserve"> when looking at life expectancy </w:t>
      </w:r>
      <w:r w:rsidR="00535510" w:rsidRPr="00424BD3">
        <w:rPr>
          <w:rFonts w:cs="Arial"/>
          <w:szCs w:val="24"/>
        </w:rPr>
        <w:t xml:space="preserve">of males and females </w:t>
      </w:r>
      <w:r w:rsidR="007041FE" w:rsidRPr="00424BD3">
        <w:rPr>
          <w:rFonts w:cs="Arial"/>
          <w:szCs w:val="24"/>
        </w:rPr>
        <w:t>at the county level</w:t>
      </w:r>
      <w:r w:rsidR="00535510" w:rsidRPr="00424BD3">
        <w:rPr>
          <w:rFonts w:cs="Arial"/>
          <w:szCs w:val="24"/>
        </w:rPr>
        <w:t xml:space="preserve"> across all U.S. states</w:t>
      </w:r>
      <w:r w:rsidR="007041FE" w:rsidRPr="00424BD3">
        <w:rPr>
          <w:rFonts w:cs="Arial"/>
          <w:szCs w:val="24"/>
        </w:rPr>
        <w:t>,</w:t>
      </w:r>
      <w:r w:rsidRPr="00424BD3">
        <w:rPr>
          <w:rFonts w:cs="Arial"/>
          <w:szCs w:val="24"/>
        </w:rPr>
        <w:t xml:space="preserve"> Arora </w:t>
      </w:r>
      <w:r w:rsidR="00FC2F7D">
        <w:rPr>
          <w:rFonts w:cs="Arial"/>
          <w:szCs w:val="24"/>
        </w:rPr>
        <w:t>et al.</w:t>
      </w:r>
      <w:r w:rsidR="007041FE"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{"citationID":"kjRWYSCV","properties":{"formattedCitation":"(2016)","plainCitation":"(2016)","noteIndex":0},"citationItems":[{"id":584,"uris":["http://zotero.org/users/4946941/items/3BDPA5LL"],"itemData":{"id":584,"type":"article-journal","abstract":"Geographic disparities in life expectancy are substantial and not fully explained by differences in race and socioeconomic status. To develop policies that address these inequalities, it is essential to identify other factors that account for this variation. In this study we investigated whether population well-being—a comprehensive measure of physical, mental, and social health—helps explain geographic variation in life expectancy. At the county level, we found that for every 1-standard-deviation (4.2-point) increase in the well-being score, life expectancy was 1.9 years higher for females and 2.6 years higher for males. Life expectancy and well-being remained positively associated, even after race, poverty, and education were controlled for. In addition, well-being partially mediated the established associations of race, poverty, and education with life expectancy. These findings highlight well-being as an important metric of a population’s health and longevity and as a promising focus for intervention.","container-title":"Health Affairs","DOI":"10.1377/hlthaff.2016.0715","ISSN":"0278-2715","issue":"11","note":"publisher: Health Affairs","page":"2075-2082","source":"healthaffairs.org (Atypon)","title":"Population Well-Being Measures Help Explain Geographic Disparities In Life Expectancy At The County Level","volume":"35","author":[{"family":"Arora","given":"Anita"},{"family":"Spatz","given":"Erica"},{"family":"Herrin","given":"Jeph"},{"family":"Riley","given":"Carley"},{"family":"Roy","given":"Brita"},{"family":"Kell","given":"Kenneth"},{"family":"Coberley","given":"Carter"},{"family":"Rula","given":"Elizabeth"},{"family":"Krumholz","given":"Harlan M."}],"issued":{"date-parts":[["2016",11]]}},"suppress-author":true}],"schema":"https://github.com/citation-style-language/schema/raw/master/csl-citation.json"} </w:instrText>
      </w:r>
      <w:r w:rsidRPr="00424BD3">
        <w:rPr>
          <w:rFonts w:cs="Arial"/>
          <w:szCs w:val="24"/>
        </w:rPr>
        <w:fldChar w:fldCharType="separate"/>
      </w:r>
      <w:r w:rsidRPr="00424BD3">
        <w:rPr>
          <w:rFonts w:cs="Arial"/>
        </w:rPr>
        <w:t>(2016)</w:t>
      </w:r>
      <w:r w:rsidRPr="00424BD3">
        <w:rPr>
          <w:rFonts w:cs="Arial"/>
          <w:szCs w:val="24"/>
        </w:rPr>
        <w:fldChar w:fldCharType="end"/>
      </w:r>
      <w:r w:rsidRPr="00424BD3">
        <w:rPr>
          <w:rFonts w:cs="Arial"/>
          <w:szCs w:val="24"/>
        </w:rPr>
        <w:t xml:space="preserve"> stated that </w:t>
      </w:r>
      <w:r w:rsidR="002D5494" w:rsidRPr="00424BD3">
        <w:rPr>
          <w:rFonts w:cs="Arial"/>
          <w:szCs w:val="24"/>
        </w:rPr>
        <w:t>“geographic dispa</w:t>
      </w:r>
      <w:r w:rsidR="00D13B91" w:rsidRPr="00424BD3">
        <w:rPr>
          <w:rFonts w:cs="Arial"/>
          <w:szCs w:val="24"/>
        </w:rPr>
        <w:t xml:space="preserve">rities </w:t>
      </w:r>
      <w:r w:rsidRPr="00424BD3">
        <w:rPr>
          <w:rFonts w:cs="Arial"/>
          <w:szCs w:val="24"/>
        </w:rPr>
        <w:t>in life expectancy</w:t>
      </w:r>
      <w:r w:rsidR="00D13B91" w:rsidRPr="00424BD3">
        <w:rPr>
          <w:rFonts w:cs="Arial"/>
          <w:szCs w:val="24"/>
        </w:rPr>
        <w:t xml:space="preserve"> are substantia</w:t>
      </w:r>
      <w:r w:rsidR="00724637" w:rsidRPr="00424BD3">
        <w:rPr>
          <w:rFonts w:cs="Arial"/>
          <w:szCs w:val="24"/>
        </w:rPr>
        <w:t>l</w:t>
      </w:r>
      <w:r w:rsidR="00D13B91" w:rsidRPr="00424BD3">
        <w:rPr>
          <w:rFonts w:cs="Arial"/>
          <w:szCs w:val="24"/>
        </w:rPr>
        <w:t xml:space="preserve"> and</w:t>
      </w:r>
      <w:r w:rsidRPr="00424BD3">
        <w:rPr>
          <w:rFonts w:cs="Arial"/>
          <w:szCs w:val="24"/>
        </w:rPr>
        <w:t xml:space="preserve"> are not fully explained by differences in race and socioeconomic status” (p. 2075). This is indicative of environment’s inclusion as a social determinant of health, and the large body of literature on place-based mortality and health inequity research </w:t>
      </w:r>
      <w:r w:rsidRPr="00424BD3">
        <w:rPr>
          <w:rFonts w:cs="Arial"/>
          <w:szCs w:val="24"/>
        </w:rPr>
        <w:fldChar w:fldCharType="begin"/>
      </w:r>
      <w:r w:rsidR="00990F3A">
        <w:rPr>
          <w:rFonts w:cs="Arial"/>
          <w:szCs w:val="24"/>
        </w:rPr>
        <w:instrText xml:space="preserve"> ADDIN ZOTERO_ITEM CSL_CITATION {"citationID":"jG4AAZqp","properties":{"formattedCitation":"(Bambra et al., 2010; Marmot et al., 2012; Marmot &amp; Wilkinson, 2005; Wilkinson &amp; Marmot, 2003)","plainCitation":"(Bambra et al., 2010; Marmot et al., 2012; Marmot &amp; Wilkinson, 2005; Wilkinson &amp; Marmot, 2003)","noteIndex":0},"citationItems":[{"id":588,"uris":["http://zotero.org/users/4946941/items/4A29ZJ5Q"],"itemData":{"id":588,"type":"article-journal","abstract":"Background There is increasing pressure to tackle the wider social determinants of health through the implementation of appropriate interventions. However, turning these demands for better evidence about interventions around the social determinants of health into action requires identifying what we already know and highlighting areas for further development.\nMethods Systematic review methodology was used to identify systematic reviews (from 2000 to 2007, developed countries only) that described the health effects of any intervention based on the wider social determinants of health: water and sanitation, agriculture and food, access to health and social care services, unemployment and welfare, working conditions, housing and living environment, education, and transport.\nResults Thirty systematic reviews were identified. Generally, the effects of interventions on health inequalities were unclear. However, there is suggestive systematic review evidence that certain categories of intervention may impact positively on inequalities or on the health of specific disadvantaged groups, particularly interventions in the fields of housing and the work environment.\nConclusion Intervention studies that address inequalities in health are a priority area for future public health research.","container-title":"Journal of Epidemiology &amp; Community Health","DOI":"10.1136/jech.2008.082743","ISSN":"0143-005X, 1470-2738","issue":"4","language":"en","license":"© 2010, Published by the BMJ Publishing Group Limited For permission to use, (where not already granted under a licence) please go to http://group.bmj.com/group/rights-licensing/permissions.. This is an open-access article distributed under the terms of the Creative Commons Attribution Non-commercial License, which permits use, distribution, and reproduction in any medium, provided the original work is properly cited, the use is non commercial and is otherwise in compliance with the license. See: http://creativecommons.org/licenses/by-nc/2.0/ and http://creativecommons.org/licenses/by-nc/2.0/legalcode.","note":"publisher: BMJ Publishing Group Ltd\nsection: Review\nPMID: 19692738","page":"284-291","source":"jech.bmj.com","title":"Tackling the wider social determinants of health and health inequalities: evidence from systematic reviews","title-short":"Tackling the wider social determinants of health and health inequalities","volume":"64","author":[{"family":"Bambra","given":"C."},{"family":"Gibson","given":"M."},{"family":"Sowden","given":"A."},{"family":"Wright","given":"K."},{"family":"Whitehead","given":"M."},{"family":"Petticrew","given":"M."}],"issued":{"date-parts":[["2010",4,1]]}}},{"id":719,"uris":["http://zotero.org/users/4946941/items/PYIIA728"],"itemData":{"id":719,"type":"article-journal","container-title":"The lancet","issue":"9846","language":"en","page":"1011–1029","title":"WHO European review of social determinants of health and the health divide","volume":"380","author":[{"family":"Marmot","given":"M."},{"family":"Allen","given":"J."},{"family":"Bell","given":"R."},{"family":"Bloomer","given":"E."},{"family":"Goldblatt","given":"P."}],"issued":{"date-parts":[["2012"]]}}},{"id":718,"uris":["http://zotero.org/users/4946941/items/7487FR7C"],"itemData":{"id":718,"type":"book","language":"en","publisher":"OUP Oxford","title":"Social determinants of health","editor":[{"family":"Marmot","given":"M."},{"family":"Wilkinson","given":"R."}],"issued":{"date-parts":[["2005"]]}}},{"id":861,"uris":["http://zotero.org/users/4946941/items/ZC4ELB7J"],"itemData":{"id":861,"type":"document","language":"en","title":"Social determinants of health: the solid facts. World Health Organization, Europe","URL":"https://www.euro.who.int/__data/assets/pdf_file/0005/98438/e81384.pdf","editor":[{"family":"Wilkinson","given":"R.G."},{"family":"Marmot","given":"M."}],"issued":{"date-parts":[["2003"]]}}}],"schema":"https://github.com/citation-style-language/schema/raw/master/csl-citation.json"} </w:instrText>
      </w:r>
      <w:r w:rsidRPr="00424BD3">
        <w:rPr>
          <w:rFonts w:cs="Arial"/>
          <w:szCs w:val="24"/>
        </w:rPr>
        <w:fldChar w:fldCharType="separate"/>
      </w:r>
      <w:r w:rsidRPr="00424BD3">
        <w:rPr>
          <w:rFonts w:cs="Arial"/>
        </w:rPr>
        <w:t>(Bambra et al., 2010; Marmot et al., 2012; Marmot &amp; Wilkinson, 2005; Wilkinson &amp; Marmot, 2003)</w:t>
      </w:r>
      <w:r w:rsidRPr="00424BD3">
        <w:rPr>
          <w:rFonts w:cs="Arial"/>
          <w:szCs w:val="24"/>
        </w:rPr>
        <w:fldChar w:fldCharType="end"/>
      </w:r>
      <w:r w:rsidRPr="00424BD3">
        <w:rPr>
          <w:rFonts w:cs="Arial"/>
          <w:szCs w:val="24"/>
        </w:rPr>
        <w:t xml:space="preserve">. </w:t>
      </w:r>
    </w:p>
    <w:p w14:paraId="3FFCBBCF" w14:textId="28458641" w:rsidR="008844E4" w:rsidRPr="00424BD3" w:rsidRDefault="008844E4" w:rsidP="000126EE">
      <w:pPr>
        <w:spacing w:after="0" w:line="480" w:lineRule="auto"/>
        <w:ind w:firstLine="720"/>
        <w:rPr>
          <w:rFonts w:cs="Arial"/>
          <w:szCs w:val="24"/>
        </w:rPr>
      </w:pPr>
      <w:r w:rsidRPr="00424BD3">
        <w:rPr>
          <w:rFonts w:cs="Arial"/>
          <w:szCs w:val="24"/>
        </w:rPr>
        <w:t xml:space="preserve">Montez, </w:t>
      </w:r>
      <w:r w:rsidR="00FC2F7D">
        <w:rPr>
          <w:rFonts w:cs="Arial"/>
          <w:szCs w:val="24"/>
        </w:rPr>
        <w:t>et al.</w:t>
      </w:r>
      <w:r w:rsidRPr="00424BD3">
        <w:rPr>
          <w:rFonts w:cs="Arial"/>
          <w:szCs w:val="24"/>
        </w:rPr>
        <w:t xml:space="preserve"> </w:t>
      </w:r>
      <w:r w:rsidRPr="00424BD3">
        <w:rPr>
          <w:rFonts w:cs="Arial"/>
          <w:szCs w:val="24"/>
        </w:rPr>
        <w:fldChar w:fldCharType="begin"/>
      </w:r>
      <w:r w:rsidR="00990F3A">
        <w:rPr>
          <w:rFonts w:cs="Arial"/>
          <w:szCs w:val="24"/>
        </w:rPr>
        <w:instrText xml:space="preserve"> ADDIN ZOTERO_ITEM CSL_CITATION {"citationID":"qtSmdqOF","properties":{"formattedCitation":"(2016)","plainCitation":"(2016)","noteIndex":0},"citationItems":[{"id":742,"uris":["http://zotero.org/users/4946941/items/P45WWNS7"],"itemData":{"id":742,"type":"article-journal","container-title":"SSM-population health","language":"en","page":"561–571","title":"Explaining inequities in women's mortality between US States","volume":"2","author":[{"family":"Montez","given":"J.K."},{"family":"Zajacova","given":"A."},{"family":"Hayward","given":"M.D."}],"issued":{"date-parts":[["2016"]]}},"suppress-author":true}],"schema":"https://github.com/citation-style-language/schema/raw/master/csl-citation.json"} </w:instrText>
      </w:r>
      <w:r w:rsidRPr="00424BD3">
        <w:rPr>
          <w:rFonts w:cs="Arial"/>
          <w:szCs w:val="24"/>
        </w:rPr>
        <w:fldChar w:fldCharType="separate"/>
      </w:r>
      <w:r w:rsidRPr="00424BD3">
        <w:rPr>
          <w:rFonts w:cs="Arial"/>
        </w:rPr>
        <w:t>(2016)</w:t>
      </w:r>
      <w:r w:rsidRPr="00424BD3">
        <w:rPr>
          <w:rFonts w:cs="Arial"/>
          <w:szCs w:val="24"/>
        </w:rPr>
        <w:fldChar w:fldCharType="end"/>
      </w:r>
      <w:r w:rsidRPr="00424BD3">
        <w:rPr>
          <w:rFonts w:cs="Arial"/>
          <w:szCs w:val="24"/>
        </w:rPr>
        <w:t xml:space="preserve"> demonstrated </w:t>
      </w:r>
      <w:r w:rsidR="0041552A" w:rsidRPr="00424BD3">
        <w:rPr>
          <w:rFonts w:cs="Arial"/>
          <w:szCs w:val="24"/>
        </w:rPr>
        <w:t>substantial</w:t>
      </w:r>
      <w:r w:rsidRPr="00424BD3">
        <w:rPr>
          <w:rFonts w:cs="Arial"/>
          <w:szCs w:val="24"/>
        </w:rPr>
        <w:t xml:space="preserve"> inequalities in women’s mortality between U.S. states. </w:t>
      </w:r>
      <w:r w:rsidR="0041552A" w:rsidRPr="00424BD3">
        <w:rPr>
          <w:rFonts w:cs="Arial"/>
          <w:szCs w:val="24"/>
        </w:rPr>
        <w:t>R</w:t>
      </w:r>
      <w:r w:rsidRPr="00424BD3">
        <w:rPr>
          <w:rFonts w:cs="Arial"/>
          <w:szCs w:val="24"/>
        </w:rPr>
        <w:t xml:space="preserve">esearch also identifies the American South as having “poorer health and mortality outcomes …with respect to many measures of health and well-being”, </w:t>
      </w:r>
      <w:r w:rsidRPr="00424BD3">
        <w:rPr>
          <w:rFonts w:cs="Arial"/>
          <w:szCs w:val="24"/>
        </w:rPr>
        <w:fldChar w:fldCharType="begin"/>
      </w:r>
      <w:r w:rsidR="00990F3A">
        <w:rPr>
          <w:rFonts w:cs="Arial"/>
          <w:szCs w:val="24"/>
        </w:rPr>
        <w:instrText xml:space="preserve"> ADDIN ZOTERO_ITEM CSL_CITATION {"citationID":"Apm2kvns","properties":{"formattedCitation":"(Fenelon, 2013, p. 2)","plainCitation":"(Fenelon, 2013, p. 2)","noteIndex":0},"citationItems":[{"id":663,"uris":["http://zotero.org/users/4946941/items/BS8W89LP"],"itemData":{"id":663,"type":"article-journal","container-title":"Population and Development Review","issue":"4","language":"en","page":"611–634","title":"Geographic Divergence in Mortality in the United States","volume":"39","author":[{"family":"Fenelon","given":"A."}],"issued":{"date-parts":[["2013"]]}},"locator":"2","label":"page"}],"schema":"https://github.com/citation-style-language/schema/raw/master/csl-citation.json"} </w:instrText>
      </w:r>
      <w:r w:rsidRPr="00424BD3">
        <w:rPr>
          <w:rFonts w:cs="Arial"/>
          <w:szCs w:val="24"/>
        </w:rPr>
        <w:fldChar w:fldCharType="separate"/>
      </w:r>
      <w:r w:rsidR="00031036" w:rsidRPr="00031036">
        <w:rPr>
          <w:rFonts w:cs="Arial"/>
        </w:rPr>
        <w:t>(Fenelon, 2013, p. 2)</w:t>
      </w:r>
      <w:r w:rsidRPr="00424BD3">
        <w:rPr>
          <w:rFonts w:cs="Arial"/>
          <w:szCs w:val="24"/>
        </w:rPr>
        <w:fldChar w:fldCharType="end"/>
      </w:r>
      <w:r w:rsidRPr="00424BD3">
        <w:rPr>
          <w:rFonts w:cs="Arial"/>
          <w:szCs w:val="24"/>
        </w:rPr>
        <w:t xml:space="preserve"> and that the, “Southern disadvantage”, phenomenon is at its worst in the Central Southern states of Alabama, Kentucky, Mississippi, and Tennessee, with rural areas in these four states being worst </w:t>
      </w:r>
      <w:r w:rsidRPr="00424BD3">
        <w:rPr>
          <w:rFonts w:cs="Arial"/>
          <w:szCs w:val="24"/>
        </w:rPr>
        <w:fldChar w:fldCharType="begin"/>
      </w:r>
      <w:r w:rsidR="00990F3A">
        <w:rPr>
          <w:rFonts w:cs="Arial"/>
          <w:szCs w:val="24"/>
        </w:rPr>
        <w:instrText xml:space="preserve"> ADDIN ZOTERO_ITEM CSL_CITATION {"citationID":"9vQLideO","properties":{"formattedCitation":"(Fenelon, 2013)","plainCitation":"(Fenelon, 2013)","noteIndex":0},"citationItems":[{"id":663,"uris":["http://zotero.org/users/4946941/items/BS8W89LP"],"itemData":{"id":663,"type":"article-journal","container-title":"Population and Development Review","issue":"4","language":"en","page":"611–634","title":"Geographic Divergence in Mortality in the United States","volume":"39","author":[{"family":"Fenelon","given":"A."}],"issued":{"date-parts":[["2013"]]}}}],"schema":"https://github.com/citation-style-language/schema/raw/master/csl-citation.json"} </w:instrText>
      </w:r>
      <w:r w:rsidRPr="00424BD3">
        <w:rPr>
          <w:rFonts w:cs="Arial"/>
          <w:szCs w:val="24"/>
        </w:rPr>
        <w:fldChar w:fldCharType="separate"/>
      </w:r>
      <w:r w:rsidRPr="00424BD3">
        <w:rPr>
          <w:rFonts w:cs="Arial"/>
        </w:rPr>
        <w:t>(Fenelon, 2013)</w:t>
      </w:r>
      <w:r w:rsidRPr="00424BD3">
        <w:rPr>
          <w:rFonts w:cs="Arial"/>
          <w:szCs w:val="24"/>
        </w:rPr>
        <w:fldChar w:fldCharType="end"/>
      </w:r>
      <w:r w:rsidRPr="00424BD3">
        <w:rPr>
          <w:rFonts w:cs="Arial"/>
          <w:szCs w:val="24"/>
        </w:rPr>
        <w:t>.</w:t>
      </w:r>
      <w:r w:rsidR="00180F3E" w:rsidRPr="00424BD3">
        <w:rPr>
          <w:rFonts w:cs="Arial"/>
          <w:szCs w:val="24"/>
        </w:rPr>
        <w:t xml:space="preserve"> </w:t>
      </w:r>
      <w:r w:rsidRPr="00424BD3">
        <w:rPr>
          <w:rFonts w:cs="Arial"/>
          <w:szCs w:val="24"/>
        </w:rPr>
        <w:t xml:space="preserve">Appalachian areas of the U.S., of which East Tennessee is a part, have been shown to have deeply ingrained geo-cultural norms which impact health also. This includes strong ties to religious beliefs and local social networks, as well as “distrust of outsiders, and distrust of formalized medical systems” </w:t>
      </w:r>
      <w:r w:rsidRPr="00424BD3">
        <w:rPr>
          <w:rFonts w:cs="Arial"/>
          <w:szCs w:val="24"/>
        </w:rPr>
        <w:fldChar w:fldCharType="begin"/>
      </w:r>
      <w:r w:rsidR="00990F3A">
        <w:rPr>
          <w:rFonts w:cs="Arial"/>
          <w:szCs w:val="24"/>
        </w:rPr>
        <w:instrText xml:space="preserve"> ADDIN ZOTERO_ITEM CSL_CITATION {"citationID":"qFA5gTQ0","properties":{"formattedCitation":"(McGarvey et al., 2011, pp. 348\\uc0\\u8211{}349)","plainCitation":"(McGarvey et al., 2011, pp. 348–349)","noteIndex":0},"citationItems":[{"id":1025,"uris":["http://zotero.org/users/4946941/items/SL8NC8ZG"],"itemData":{"id":1025,"type":"article-journal","abstract":"The examination of health disparities among people within Appalachian counties compared to people living in other counties is needed to find ways to strategically target improvements in community health in the United States of America (USA). Methods: A telephone survey of a random sample of adults living in households within communities of all counties of the state of Virginia (VA) in the USA was conducted. Findings: Health status was poorer among those in communities within Appalachian counties in VA and health insurance did not make a difference. Health perception was significantly worse in residents within communities in Appalachian counties compared to non-Appalachian community residents (30.5 vs. 17.4% rated their health status as poor/fair), and was worse even among those with no chronic diseases. Within communities in Appalachian counties, black residents report significantly better health perception than do white residents. Conclusion: Residents living in communities in Appalachian counties in VA are not receiving adequate health care, even among those with health insurance. More research with a larger ethnic minority sample is needed to investigate the racial/ethnic disparities in self-reported health and health care utilization within communities.","container-title":"Journal of Community Health","DOI":"10.1007/s10900-010-9315-9","ISSN":"0094-5145","issue":"3","journalAbbreviation":"J Community Health","note":"PMID: 20862529\nPMCID: PMC3089820","page":"348-356","source":"PubMed Central","title":"Health Disparities Between Appalachian and Non-Appalachian Counties in Virginia USA","volume":"36","author":[{"family":"McGarvey","given":"Elizabeth L."},{"family":"Leon-Verdin","given":"MaGuadalupe"},{"family":"Killos","given":"Lydia F."},{"family":"Guterbock","given":"Thomas"},{"family":"Cohn","given":"Wendy F."}],"issued":{"date-parts":[["2011"]]}},"locator":"348-349"}],"schema":"https://github.com/citation-style-language/schema/raw/master/csl-citation.json"} </w:instrText>
      </w:r>
      <w:r w:rsidRPr="00424BD3">
        <w:rPr>
          <w:rFonts w:cs="Arial"/>
          <w:szCs w:val="24"/>
        </w:rPr>
        <w:fldChar w:fldCharType="separate"/>
      </w:r>
      <w:r w:rsidRPr="00424BD3">
        <w:rPr>
          <w:rFonts w:cs="Arial"/>
          <w:szCs w:val="24"/>
        </w:rPr>
        <w:t>(McGarvey et al., 2011, pp. 348–349)</w:t>
      </w:r>
      <w:r w:rsidRPr="00424BD3">
        <w:rPr>
          <w:rFonts w:cs="Arial"/>
          <w:szCs w:val="24"/>
        </w:rPr>
        <w:fldChar w:fldCharType="end"/>
      </w:r>
      <w:r w:rsidRPr="00424BD3">
        <w:rPr>
          <w:rFonts w:cs="Arial"/>
          <w:szCs w:val="24"/>
        </w:rPr>
        <w:t xml:space="preserve">. These factors are discussed in the internalization of norms section of this </w:t>
      </w:r>
      <w:r w:rsidR="001046A6" w:rsidRPr="00424BD3">
        <w:rPr>
          <w:rFonts w:cs="Arial"/>
          <w:szCs w:val="24"/>
        </w:rPr>
        <w:t>chapter (</w:t>
      </w:r>
      <w:r w:rsidR="001046A6" w:rsidRPr="00446084">
        <w:rPr>
          <w:rFonts w:cs="Arial"/>
          <w:szCs w:val="24"/>
        </w:rPr>
        <w:t>page</w:t>
      </w:r>
      <w:r w:rsidR="00D110BF" w:rsidRPr="00446084">
        <w:rPr>
          <w:rFonts w:cs="Arial"/>
          <w:szCs w:val="24"/>
        </w:rPr>
        <w:t>s</w:t>
      </w:r>
      <w:r w:rsidR="001046A6" w:rsidRPr="00446084">
        <w:rPr>
          <w:rFonts w:cs="Arial"/>
          <w:szCs w:val="24"/>
        </w:rPr>
        <w:t xml:space="preserve"> </w:t>
      </w:r>
      <w:r w:rsidR="00271F64" w:rsidRPr="00446084">
        <w:rPr>
          <w:rFonts w:cs="Arial"/>
          <w:szCs w:val="24"/>
        </w:rPr>
        <w:t>30</w:t>
      </w:r>
      <w:r w:rsidR="001046A6" w:rsidRPr="00446084">
        <w:rPr>
          <w:rFonts w:cs="Arial"/>
          <w:szCs w:val="24"/>
        </w:rPr>
        <w:t>-</w:t>
      </w:r>
      <w:r w:rsidR="001046A6" w:rsidRPr="00CB429D">
        <w:rPr>
          <w:rFonts w:cs="Arial"/>
          <w:szCs w:val="24"/>
        </w:rPr>
        <w:lastRenderedPageBreak/>
        <w:t>3</w:t>
      </w:r>
      <w:r w:rsidR="00271F64" w:rsidRPr="00CB429D">
        <w:rPr>
          <w:rFonts w:cs="Arial"/>
          <w:szCs w:val="24"/>
        </w:rPr>
        <w:t>4</w:t>
      </w:r>
      <w:r w:rsidR="001046A6" w:rsidRPr="00CB429D">
        <w:rPr>
          <w:rFonts w:cs="Arial"/>
          <w:szCs w:val="24"/>
        </w:rPr>
        <w:t>)</w:t>
      </w:r>
      <w:r w:rsidRPr="00CB429D">
        <w:rPr>
          <w:rFonts w:cs="Arial"/>
          <w:szCs w:val="24"/>
        </w:rPr>
        <w:t xml:space="preserve">, in Chapter </w:t>
      </w:r>
      <w:r w:rsidR="00B51F36" w:rsidRPr="00CB429D">
        <w:rPr>
          <w:rFonts w:cs="Arial"/>
          <w:szCs w:val="24"/>
        </w:rPr>
        <w:t>Six</w:t>
      </w:r>
      <w:r w:rsidRPr="00424BD3">
        <w:rPr>
          <w:rFonts w:cs="Arial"/>
          <w:szCs w:val="24"/>
        </w:rPr>
        <w:t xml:space="preserve"> on older women’s perceptions, attitudes</w:t>
      </w:r>
      <w:r w:rsidR="005E06A2">
        <w:rPr>
          <w:rFonts w:cs="Arial"/>
          <w:szCs w:val="24"/>
        </w:rPr>
        <w:t>,</w:t>
      </w:r>
      <w:r w:rsidRPr="00424BD3">
        <w:rPr>
          <w:rFonts w:cs="Arial"/>
          <w:szCs w:val="24"/>
        </w:rPr>
        <w:t xml:space="preserve"> and beliefs of health, mortality and health inequalities, and Chapter </w:t>
      </w:r>
      <w:r w:rsidR="00B51F36" w:rsidRPr="00424BD3">
        <w:rPr>
          <w:rFonts w:cs="Arial"/>
          <w:szCs w:val="24"/>
        </w:rPr>
        <w:t>Seven</w:t>
      </w:r>
      <w:r w:rsidRPr="00424BD3">
        <w:rPr>
          <w:rFonts w:cs="Arial"/>
          <w:szCs w:val="24"/>
        </w:rPr>
        <w:t xml:space="preserve">, the </w:t>
      </w:r>
      <w:r w:rsidR="00B51F36" w:rsidRPr="00424BD3">
        <w:rPr>
          <w:rFonts w:cs="Arial"/>
          <w:szCs w:val="24"/>
        </w:rPr>
        <w:t>findings</w:t>
      </w:r>
      <w:r w:rsidRPr="00424BD3">
        <w:rPr>
          <w:rFonts w:cs="Arial"/>
          <w:szCs w:val="24"/>
        </w:rPr>
        <w:t xml:space="preserve"> of</w:t>
      </w:r>
      <w:r w:rsidR="00A94AFE" w:rsidRPr="00424BD3">
        <w:rPr>
          <w:rFonts w:cs="Arial"/>
          <w:szCs w:val="24"/>
        </w:rPr>
        <w:t xml:space="preserve"> the </w:t>
      </w:r>
      <w:r w:rsidRPr="00424BD3">
        <w:rPr>
          <w:rFonts w:cs="Arial"/>
          <w:szCs w:val="24"/>
        </w:rPr>
        <w:t>interviews with this study’s participants.</w:t>
      </w:r>
    </w:p>
    <w:p w14:paraId="5DBDDA66" w14:textId="68455FCE" w:rsidR="008844E4" w:rsidRPr="00424BD3" w:rsidRDefault="008844E4" w:rsidP="000126EE">
      <w:pPr>
        <w:spacing w:after="0" w:line="480" w:lineRule="auto"/>
        <w:ind w:firstLine="720"/>
        <w:rPr>
          <w:rFonts w:cs="Arial"/>
          <w:szCs w:val="24"/>
        </w:rPr>
      </w:pPr>
      <w:r w:rsidRPr="00424BD3">
        <w:rPr>
          <w:rFonts w:cs="Arial"/>
          <w:szCs w:val="24"/>
        </w:rPr>
        <w:t xml:space="preserve">For East Tennessee, geographic isolation is also a major factor </w:t>
      </w:r>
      <w:r w:rsidRPr="00424BD3">
        <w:rPr>
          <w:rFonts w:cs="Arial"/>
          <w:szCs w:val="24"/>
        </w:rPr>
        <w:fldChar w:fldCharType="begin"/>
      </w:r>
      <w:r w:rsidR="00990F3A">
        <w:rPr>
          <w:rFonts w:cs="Arial"/>
          <w:szCs w:val="24"/>
        </w:rPr>
        <w:instrText xml:space="preserve"> ADDIN ZOTERO_ITEM CSL_CITATION {"citationID":"a0IXrn3B","properties":{"formattedCitation":"(Behringer &amp; Friedell, 2006)","plainCitation":"(Behringer &amp; Friedell, 2006)","noteIndex":0},"citationItems":[{"id":1028,"uris":["http://zotero.org/users/4946941/items/T66PJRLR"],"itemData":{"id":1028,"type":"article-journal","container-title":"Preventing Chronic Disease","ISSN":"1545-1151","issue":"4","journalAbbreviation":"Prev Chronic Dis","note":"PMID: 16978488\nPMCID: PMC1779277","page":"A113","source":"PubMed Central","title":"Appalachia: Where Place Matters in Health","title-short":"Appalachia","volume":"3","author":[{"family":"Behringer","given":"Bruce"},{"family":"Friedell","given":"Gilbert H"}],"issued":{"date-parts":[["2006",9,15]]}}}],"schema":"https://github.com/citation-style-language/schema/raw/master/csl-citation.json"} </w:instrText>
      </w:r>
      <w:r w:rsidRPr="00424BD3">
        <w:rPr>
          <w:rFonts w:cs="Arial"/>
          <w:szCs w:val="24"/>
        </w:rPr>
        <w:fldChar w:fldCharType="separate"/>
      </w:r>
      <w:r w:rsidRPr="00424BD3">
        <w:rPr>
          <w:rFonts w:cs="Arial"/>
        </w:rPr>
        <w:t>(Behringer &amp; Friedell, 2006)</w:t>
      </w:r>
      <w:r w:rsidRPr="00424BD3">
        <w:rPr>
          <w:rFonts w:cs="Arial"/>
          <w:szCs w:val="24"/>
        </w:rPr>
        <w:fldChar w:fldCharType="end"/>
      </w:r>
      <w:r w:rsidRPr="00424BD3">
        <w:rPr>
          <w:rFonts w:cs="Arial"/>
          <w:szCs w:val="24"/>
        </w:rPr>
        <w:t xml:space="preserve">. Appalachia is largely defined by its mountain chain, and mountain / mountain foothill communities, large parts of which have low population density, are rural, and isolated </w:t>
      </w:r>
      <w:r w:rsidRPr="00424BD3">
        <w:rPr>
          <w:rFonts w:cs="Arial"/>
          <w:szCs w:val="24"/>
        </w:rPr>
        <w:fldChar w:fldCharType="begin"/>
      </w:r>
      <w:r w:rsidR="00990F3A">
        <w:rPr>
          <w:rFonts w:cs="Arial"/>
          <w:szCs w:val="24"/>
        </w:rPr>
        <w:instrText xml:space="preserve"> ADDIN ZOTERO_ITEM CSL_CITATION {"citationID":"Uh2YbNB6","properties":{"formattedCitation":"(Behringer &amp; Friedell, 2006; Huttlinger et al., 2004; McGarvey et al., 2011; Studts et al., 2013; Thompson et al., 2021)","plainCitation":"(Behringer &amp; Friedell, 2006; Huttlinger et al., 2004; McGarvey et al., 2011; Studts et al., 2013; Thompson et al., 2021)","noteIndex":0},"citationItems":[{"id":1028,"uris":["http://zotero.org/users/4946941/items/T66PJRLR"],"itemData":{"id":1028,"type":"article-journal","container-title":"Preventing Chronic Disease","ISSN":"1545-1151","issue":"4","journalAbbreviation":"Prev Chronic Dis","note":"PMID: 16978488\nPMCID: PMC1779277","page":"A113","source":"PubMed Central","title":"Appalachia: Where Place Matters in Health","title-short":"Appalachia","volume":"3","author":[{"family":"Behringer","given":"Bruce"},{"family":"Friedell","given":"Gilbert H"}],"issued":{"date-parts":[["2006",9,15]]}}},{"id":1035,"uris":["http://zotero.org/users/4946941/items/HCCEQ5Y7"],"itemData":{"id":1035,"type":"article-journal","container-title":"Public Health Nursing","DOI":"10.1111/j.0737-1209.2004.021203.x","ISSN":"0737-1209, 1525-1446","issue":"2","journalAbbreviation":"Public Health Nurs","language":"en","page":"103-110","source":"DOI.org (Crossref)","title":"Health Care in Appalachia: A Population-Based Approach","title-short":"Health Care in Appalachia","volume":"21","author":[{"family":"Huttlinger","given":"Kathleen"},{"family":"Schaller-Ayers","given":"Jennifer"},{"family":"Lawson","given":"Tony"}],"issued":{"date-parts":[["2004",3]]}}},{"id":1025,"uris":["http://zotero.org/users/4946941/items/SL8NC8ZG"],"itemData":{"id":1025,"type":"article-journal","abstract":"The examination of health disparities among people within Appalachian counties compared to people living in other counties is needed to find ways to strategically target improvements in community health in the United States of America (USA). Methods: A telephone survey of a random sample of adults living in households within communities of all counties of the state of Virginia (VA) in the USA was conducted. Findings: Health status was poorer among those in communities within Appalachian counties in VA and health insurance did not make a difference. Health perception was significantly worse in residents within communities in Appalachian counties compared to non-Appalachian community residents (30.5 vs. 17.4% rated their health status as poor/fair), and was worse even among those with no chronic diseases. Within communities in Appalachian counties, black residents report significantly better health perception than do white residents. Conclusion: Residents living in communities in Appalachian counties in VA are not receiving adequate health care, even among those with health insurance. More research with a larger ethnic minority sample is needed to investigate the racial/ethnic disparities in self-reported health and health care utilization within communities.","container-title":"Journal of Community Health","DOI":"10.1007/s10900-010-9315-9","ISSN":"0094-5145","issue":"3","journalAbbreviation":"J Community Health","note":"PMID: 20862529\nPMCID: PMC3089820","page":"348-356","source":"PubMed Central","title":"Health Disparities Between Appalachian and Non-Appalachian Counties in Virginia USA","volume":"36","author":[{"family":"McGarvey","given":"Elizabeth L."},{"family":"Leon-Verdin","given":"MaGuadalupe"},{"family":"Killos","given":"Lydia F."},{"family":"Guterbock","given":"Thomas"},{"family":"Cohn","given":"Wendy F."}],"issued":{"date-parts":[["2011"]]}}},{"id":1030,"uris":["http://zotero.org/users/4946941/items/Q3DIB2ZQ"],"itemData":{"id":1030,"type":"article-journal","abstract":"Although cervical cancer rates in the United States have declined sharply in recent decades, certain groups of women remain at elevated risk, including middle-aged and older women in central Appalachia. Cross-sectional baseline data from a community-based randomized controlled trial were examined to identify barriers to cervical cancer screening. Questionnaires assessing barriers were administered to 345 Appalachian women aged 40–64, years when Papanicolaou (Pap) testing declines and cervical cancer rates increase. Consistent with the PRECEDE/PROCEED framework, participants identified barriers included predisposing, enabling, and reinforcing factors. Descriptive and bivariate analyses are reported, identifying (a) the most frequently endorsed barriers to screening, and (b) significant associations of barriers with sociodemographic characteristics in the sample. Recommendations are provided to decrease these barriers and, ultimately, improve rates of Pap tests among this traditionally underserved and disproportionately affected group.","container-title":"Journal of Community Health","DOI":"10.1007/s10900-012-9639-8","ISSN":"1573-3610","issue":"3","journalAbbreviation":"J Community Health","language":"en","page":"500-512","source":"Springer Link","title":"Barriers to Cervical Cancer Screening Among Middle-Aged and Older Rural Appalachian Women","volume":"38","author":[{"family":"Studts","given":"Christina R."},{"family":"Tarasenko","given":"Yelena N."},{"family":"Schoenberg","given":"Nancy E."}],"issued":{"date-parts":[["2013",6,1]]}}},{"id":1034,"uris":["http://zotero.org/users/4946941/items/KFFGLWRI"],"itemData":{"id":1034,"type":"article-journal","abstract":"Objective:Appalachian women continue to die younger than in other US regions. We performed a rapid scoping review to summarize women?s health research in Appalachia from 2000 to 2019, including health topics, study populations, theoretical frameworks, methods, and findings.Data Source:We searched bibliographic databases (eg, PubMed, PsycINFO, Google Scholar) for literature focusing on women?s health in Appalachia.Study Inclusion and Exclusion Criteria:Included articles were: (1) on women?s health in Appalachia; (2) published January 2000 to June 2019; (3) peer-reviewed; and (4) written in English. We excluded studies without reported data findings.Data Extraction:Two coders reviewed articles for descriptive information to create summary tables comparing variables of interest.Data Synthesis:Two coders co-reviewed a sub-sample to ensure consensus and refine data charting categories. We categorized major findings across the social-ecological framework.Results:A search of nearly 2 decades of literature revealed 81 articles, which primarily focused on cancer disparities (49.4%) and prenatal/pregnancy outcomes (23.5%). Many of these research studies took place in Central Appalachia (eg, 42.0% in Kentucky) with reproductive or middle-aged women (82.7%). Half of the studies employed quantitative methods, and half used qualitative methods, with few mixed method or community-engaged approaches (3.7%). Nearly half (40.7%) did not specify a theoretical framework. Findings included complex multi-level factors with few articles exploring the co-occurrence of factors across multiple levels.Conclusions:Future studies should: 1) systematically include Appalachian women at various life stages from under-represented sub-regions; 2) expand the use of rigorous methods and specified theoretical frameworks to account for complex interactions of social-ecological factors; and 3) build upon existing community assets to improve health in this vulnerable population.","container-title":"American Journal of Health Promotion","DOI":"10.1177/08901171211011388","ISSN":"0890-1171","issue":"7","journalAbbreviation":"Am J Health Promot","language":"en","note":"publisher: SAGE Publications Inc","page":"1015-1027","source":"SAGE Journals","title":"Place, Power, and Premature Mortality: A Rapid Scoping Review on the Health of Women in Appalachia","title-short":"Place, Power, and Premature Mortality","volume":"35","author":[{"family":"Thompson","given":"Jessica R."},{"family":"Risser","given":"Lauren R."},{"family":"Dunfee","given":"Madeline N."},{"family":"Schoenberg","given":"Nancy E."},{"family":"Burke","given":"Jessica G."}],"issued":{"date-parts":[["2021",9,1]]}}}],"schema":"https://github.com/citation-style-language/schema/raw/master/csl-citation.json"} </w:instrText>
      </w:r>
      <w:r w:rsidRPr="00424BD3">
        <w:rPr>
          <w:rFonts w:cs="Arial"/>
          <w:szCs w:val="24"/>
        </w:rPr>
        <w:fldChar w:fldCharType="separate"/>
      </w:r>
      <w:r w:rsidRPr="00424BD3">
        <w:rPr>
          <w:rFonts w:cs="Arial"/>
        </w:rPr>
        <w:t>(Behringer &amp; Friedell, 2006; Huttlinger et al., 2004; McGarvey et al., 2011; Studts et al., 2013; Thompson et al., 2021)</w:t>
      </w:r>
      <w:r w:rsidRPr="00424BD3">
        <w:rPr>
          <w:rFonts w:cs="Arial"/>
          <w:szCs w:val="24"/>
        </w:rPr>
        <w:fldChar w:fldCharType="end"/>
      </w:r>
      <w:r w:rsidRPr="00424BD3">
        <w:rPr>
          <w:rFonts w:cs="Arial"/>
          <w:szCs w:val="24"/>
        </w:rPr>
        <w:t xml:space="preserve">. </w:t>
      </w:r>
      <w:r w:rsidR="004A0789" w:rsidRPr="00424BD3">
        <w:rPr>
          <w:rFonts w:cs="Arial"/>
          <w:szCs w:val="24"/>
        </w:rPr>
        <w:t>The r</w:t>
      </w:r>
      <w:r w:rsidRPr="00424BD3">
        <w:rPr>
          <w:rFonts w:cs="Arial"/>
          <w:szCs w:val="24"/>
        </w:rPr>
        <w:t>urality of areas, like East Tennessee, also deeply affect</w:t>
      </w:r>
      <w:r w:rsidR="004A0789" w:rsidRPr="00424BD3">
        <w:rPr>
          <w:rFonts w:cs="Arial"/>
          <w:szCs w:val="24"/>
        </w:rPr>
        <w:t>s</w:t>
      </w:r>
      <w:r w:rsidRPr="00424BD3">
        <w:rPr>
          <w:rFonts w:cs="Arial"/>
          <w:szCs w:val="24"/>
        </w:rPr>
        <w:t xml:space="preserve"> health outcomes and inequities, with well-established evidence showing that rural areas</w:t>
      </w:r>
      <w:r w:rsidR="00294478" w:rsidRPr="00424BD3">
        <w:rPr>
          <w:rFonts w:cs="Arial"/>
          <w:szCs w:val="24"/>
        </w:rPr>
        <w:t>, as opposed to urban areas, suffer from the “rural</w:t>
      </w:r>
      <w:r w:rsidR="003911C5" w:rsidRPr="00424BD3">
        <w:rPr>
          <w:rFonts w:cs="Arial"/>
          <w:szCs w:val="24"/>
        </w:rPr>
        <w:t xml:space="preserve"> health </w:t>
      </w:r>
      <w:r w:rsidR="00294478" w:rsidRPr="00424BD3">
        <w:rPr>
          <w:rFonts w:cs="Arial"/>
          <w:szCs w:val="24"/>
        </w:rPr>
        <w:t xml:space="preserve">mortality penalty” </w:t>
      </w:r>
      <w:r w:rsidR="00395E16" w:rsidRPr="00424BD3">
        <w:rPr>
          <w:rFonts w:cs="Arial"/>
          <w:szCs w:val="24"/>
        </w:rPr>
        <w:fldChar w:fldCharType="begin"/>
      </w:r>
      <w:r w:rsidR="00990F3A">
        <w:rPr>
          <w:rFonts w:cs="Arial"/>
          <w:szCs w:val="24"/>
        </w:rPr>
        <w:instrText xml:space="preserve"> ADDIN ZOTERO_ITEM CSL_CITATION {"citationID":"D3Lz2VEW","properties":{"formattedCitation":"(Miller &amp; Vasan, 2021b, p. 267)","plainCitation":"(Miller &amp; Vasan, 2021b, p. 267)","noteIndex":0},"citationItems":[{"id":1589,"uris":["http://zotero.org/users/4946941/items/F3R6MDE9"],"itemData":{"id":1589,"type":"article-journal","abstract":"Rural-urban differences in morbidity and mortality across the United States have been well documented and termed the “rural mortality penalty”. However, research studies frequently treat rural areas as homogeneous and often do not account for geospatial variability in rural health risks by both county, state, region, race, and sex within the United States. Additionally, people living in the rural South of the US have higher rates of morbidity and mortality compared to both their urban counterparts and other rural areas. Of those living in southern rural communities, people of color experience higher rates of death and disease compared to white populations. Although there is a wealth of research that uses individual-level behaviors to explain rural-urban health disparities, there is less focus on how community and structural factors influence these differences. This review focuses on the “southern rural health penalty”, a term coined by the authors, which refers to the high rate of mortality and morbidity in southern rural areas in the USA compared to both urban areas and non-southern rural places. We use macrosocial determinants of health to explain possible reasons for the “southern rural health penalty”. This review can guide future research on rural health between southern and non-southern populations in the US and examine if macrosocial determinants of health can explain health disparities within southern rural populations.","container-title":"Social Science &amp; Medicine","DOI":"10.1016/j.socscimed.2020.113443","ISSN":"0277-9536","journalAbbreviation":"Social Science &amp; Medicine","language":"en","page":"113443","source":"ScienceDirect","title":"The southern rural health and mortality penalty: A review of regional health inequities in the United States","title-short":"The southern rural health and mortality penalty","volume":"268","author":[{"family":"Miller","given":"Charlotte E."},{"family":"Vasan","given":"Ramachandran S."}],"issued":{"date-parts":[["2021",1,1]]}},"locator":"267","label":"page"}],"schema":"https://github.com/citation-style-language/schema/raw/master/csl-citation.json"} </w:instrText>
      </w:r>
      <w:r w:rsidR="00395E16" w:rsidRPr="00424BD3">
        <w:rPr>
          <w:rFonts w:cs="Arial"/>
          <w:szCs w:val="24"/>
        </w:rPr>
        <w:fldChar w:fldCharType="separate"/>
      </w:r>
      <w:r w:rsidR="00917726" w:rsidRPr="00424BD3">
        <w:rPr>
          <w:rFonts w:cs="Arial"/>
        </w:rPr>
        <w:t>(Miller &amp; Vasan, 2021b, p. 267)</w:t>
      </w:r>
      <w:r w:rsidR="00395E16" w:rsidRPr="00424BD3">
        <w:rPr>
          <w:rFonts w:cs="Arial"/>
          <w:szCs w:val="24"/>
        </w:rPr>
        <w:fldChar w:fldCharType="end"/>
      </w:r>
      <w:r w:rsidR="003911C5" w:rsidRPr="00424BD3">
        <w:rPr>
          <w:rFonts w:cs="Arial"/>
          <w:szCs w:val="24"/>
        </w:rPr>
        <w:t xml:space="preserve"> </w:t>
      </w:r>
      <w:r w:rsidR="00F80094" w:rsidRPr="00424BD3">
        <w:rPr>
          <w:rFonts w:cs="Arial"/>
          <w:szCs w:val="24"/>
        </w:rPr>
        <w:t>with East Tennessee being part of</w:t>
      </w:r>
      <w:r w:rsidR="00E16046" w:rsidRPr="00424BD3">
        <w:rPr>
          <w:rFonts w:cs="Arial"/>
          <w:szCs w:val="24"/>
        </w:rPr>
        <w:t xml:space="preserve"> “Southern rural mortality penalty” </w:t>
      </w:r>
      <w:r w:rsidR="00E16046" w:rsidRPr="00424BD3">
        <w:rPr>
          <w:rFonts w:cs="Arial"/>
          <w:szCs w:val="24"/>
        </w:rPr>
        <w:fldChar w:fldCharType="begin"/>
      </w:r>
      <w:r w:rsidR="00990F3A">
        <w:rPr>
          <w:rFonts w:cs="Arial"/>
          <w:szCs w:val="24"/>
        </w:rPr>
        <w:instrText xml:space="preserve"> ADDIN ZOTERO_ITEM CSL_CITATION {"citationID":"YugDUqLU","properties":{"formattedCitation":"(Miller &amp; Vasan, 2021b, p. 267)","plainCitation":"(Miller &amp; Vasan, 2021b, p. 267)","noteIndex":0},"citationItems":[{"id":1589,"uris":["http://zotero.org/users/4946941/items/F3R6MDE9"],"itemData":{"id":1589,"type":"article-journal","abstract":"Rural-urban differences in morbidity and mortality across the United States have been well documented and termed the “rural mortality penalty”. However, research studies frequently treat rural areas as homogeneous and often do not account for geospatial variability in rural health risks by both county, state, region, race, and sex within the United States. Additionally, people living in the rural South of the US have higher rates of morbidity and mortality compared to both their urban counterparts and other rural areas. Of those living in southern rural communities, people of color experience higher rates of death and disease compared to white populations. Although there is a wealth of research that uses individual-level behaviors to explain rural-urban health disparities, there is less focus on how community and structural factors influence these differences. This review focuses on the “southern rural health penalty”, a term coined by the authors, which refers to the high rate of mortality and morbidity in southern rural areas in the USA compared to both urban areas and non-southern rural places. We use macrosocial determinants of health to explain possible reasons for the “southern rural health penalty”. This review can guide future research on rural health between southern and non-southern populations in the US and examine if macrosocial determinants of health can explain health disparities within southern rural populations.","container-title":"Social Science &amp; Medicine","DOI":"10.1016/j.socscimed.2020.113443","ISSN":"0277-9536","journalAbbreviation":"Social Science &amp; Medicine","language":"en","page":"113443","source":"ScienceDirect","title":"The southern rural health and mortality penalty: A review of regional health inequities in the United States","title-short":"The southern rural health and mortality penalty","volume":"268","author":[{"family":"Miller","given":"Charlotte E."},{"family":"Vasan","given":"Ramachandran S."}],"issued":{"date-parts":[["2021",1,1]]}},"locator":"267","label":"page"}],"schema":"https://github.com/citation-style-language/schema/raw/master/csl-citation.json"} </w:instrText>
      </w:r>
      <w:r w:rsidR="00E16046" w:rsidRPr="00424BD3">
        <w:rPr>
          <w:rFonts w:cs="Arial"/>
          <w:szCs w:val="24"/>
        </w:rPr>
        <w:fldChar w:fldCharType="separate"/>
      </w:r>
      <w:r w:rsidR="00D32233" w:rsidRPr="00424BD3">
        <w:rPr>
          <w:rFonts w:cs="Arial"/>
        </w:rPr>
        <w:t>(Miller &amp; Vasan, 2021b, p. 267)</w:t>
      </w:r>
      <w:r w:rsidR="00E16046" w:rsidRPr="00424BD3">
        <w:rPr>
          <w:rFonts w:cs="Arial"/>
          <w:szCs w:val="24"/>
        </w:rPr>
        <w:fldChar w:fldCharType="end"/>
      </w:r>
      <w:r w:rsidR="00397149" w:rsidRPr="00424BD3">
        <w:rPr>
          <w:rFonts w:cs="Arial"/>
          <w:szCs w:val="24"/>
        </w:rPr>
        <w:t xml:space="preserve">. </w:t>
      </w:r>
      <w:r w:rsidR="00196AD8" w:rsidRPr="00424BD3">
        <w:rPr>
          <w:rFonts w:cs="Arial"/>
          <w:szCs w:val="24"/>
        </w:rPr>
        <w:t xml:space="preserve">Additionally, </w:t>
      </w:r>
      <w:r w:rsidR="00051C06" w:rsidRPr="00424BD3">
        <w:rPr>
          <w:rFonts w:cs="Arial"/>
          <w:szCs w:val="24"/>
        </w:rPr>
        <w:t xml:space="preserve">its geographic location as part of </w:t>
      </w:r>
      <w:r w:rsidR="00B224FF" w:rsidRPr="00424BD3">
        <w:rPr>
          <w:rFonts w:cs="Arial"/>
          <w:szCs w:val="24"/>
        </w:rPr>
        <w:t xml:space="preserve">the East South Central Region of </w:t>
      </w:r>
      <w:r w:rsidR="00051C06" w:rsidRPr="00424BD3">
        <w:rPr>
          <w:rFonts w:cs="Arial"/>
          <w:szCs w:val="24"/>
        </w:rPr>
        <w:t xml:space="preserve">Appalachia, </w:t>
      </w:r>
      <w:r w:rsidR="00A82F64" w:rsidRPr="00424BD3">
        <w:rPr>
          <w:rFonts w:cs="Arial"/>
          <w:szCs w:val="24"/>
        </w:rPr>
        <w:t xml:space="preserve">makes it one of the rural Southern states </w:t>
      </w:r>
      <w:r w:rsidR="00960FFB">
        <w:rPr>
          <w:rFonts w:cs="Arial"/>
          <w:szCs w:val="24"/>
        </w:rPr>
        <w:t>with the</w:t>
      </w:r>
      <w:r w:rsidR="00A82F64" w:rsidRPr="00424BD3">
        <w:rPr>
          <w:rFonts w:cs="Arial"/>
          <w:szCs w:val="24"/>
        </w:rPr>
        <w:t xml:space="preserve"> lowest life expectancy and highest mortality rate</w:t>
      </w:r>
      <w:r w:rsidR="009706E0" w:rsidRPr="00424BD3">
        <w:rPr>
          <w:rFonts w:cs="Arial"/>
          <w:szCs w:val="24"/>
        </w:rPr>
        <w:t>s in the U.S.</w:t>
      </w:r>
      <w:r w:rsidR="00960FFB">
        <w:rPr>
          <w:rFonts w:cs="Arial"/>
          <w:szCs w:val="24"/>
        </w:rPr>
        <w:t xml:space="preserve"> </w:t>
      </w:r>
      <w:r w:rsidR="009706E0" w:rsidRPr="00424BD3">
        <w:rPr>
          <w:rFonts w:cs="Arial"/>
          <w:szCs w:val="24"/>
        </w:rPr>
        <w:fldChar w:fldCharType="begin"/>
      </w:r>
      <w:r w:rsidR="00990F3A">
        <w:rPr>
          <w:rFonts w:cs="Arial"/>
          <w:szCs w:val="24"/>
        </w:rPr>
        <w:instrText xml:space="preserve"> ADDIN ZOTERO_ITEM CSL_CITATION {"citationID":"O87vGv47","properties":{"formattedCitation":"(Miller &amp; Vasan, 2021b)","plainCitation":"(Miller &amp; Vasan, 2021b)","noteIndex":0},"citationItems":[{"id":1589,"uris":["http://zotero.org/users/4946941/items/F3R6MDE9"],"itemData":{"id":1589,"type":"article-journal","abstract":"Rural-urban differences in morbidity and mortality across the United States have been well documented and termed the “rural mortality penalty”. However, research studies frequently treat rural areas as homogeneous and often do not account for geospatial variability in rural health risks by both county, state, region, race, and sex within the United States. Additionally, people living in the rural South of the US have higher rates of morbidity and mortality compared to both their urban counterparts and other rural areas. Of those living in southern rural communities, people of color experience higher rates of death and disease compared to white populations. Although there is a wealth of research that uses individual-level behaviors to explain rural-urban health disparities, there is less focus on how community and structural factors influence these differences. This review focuses on the “southern rural health penalty”, a term coined by the authors, which refers to the high rate of mortality and morbidity in southern rural areas in the USA compared to both urban areas and non-southern rural places. We use macrosocial determinants of health to explain possible reasons for the “southern rural health penalty”. This review can guide future research on rural health between southern and non-southern populations in the US and examine if macrosocial determinants of health can explain health disparities within southern rural populations.","container-title":"Social Science &amp; Medicine","DOI":"10.1016/j.socscimed.2020.113443","ISSN":"0277-9536","journalAbbreviation":"Social Science &amp; Medicine","language":"en","page":"113443","source":"ScienceDirect","title":"The southern rural health and mortality penalty: A review of regional health inequities in the United States","title-short":"The southern rural health and mortality penalty","volume":"268","author":[{"family":"Miller","given":"Charlotte E."},{"family":"Vasan","given":"Ramachandran S."}],"issued":{"date-parts":[["2021",1,1]]}}}],"schema":"https://github.com/citation-style-language/schema/raw/master/csl-citation.json"} </w:instrText>
      </w:r>
      <w:r w:rsidR="009706E0" w:rsidRPr="00424BD3">
        <w:rPr>
          <w:rFonts w:cs="Arial"/>
          <w:szCs w:val="24"/>
        </w:rPr>
        <w:fldChar w:fldCharType="separate"/>
      </w:r>
      <w:r w:rsidR="009706E0" w:rsidRPr="00424BD3">
        <w:rPr>
          <w:rFonts w:cs="Arial"/>
        </w:rPr>
        <w:t>(Miller &amp; Vasan, 2021b)</w:t>
      </w:r>
      <w:r w:rsidR="009706E0" w:rsidRPr="00424BD3">
        <w:rPr>
          <w:rFonts w:cs="Arial"/>
          <w:szCs w:val="24"/>
        </w:rPr>
        <w:fldChar w:fldCharType="end"/>
      </w:r>
      <w:r w:rsidR="009706E0" w:rsidRPr="00424BD3">
        <w:rPr>
          <w:rFonts w:cs="Arial"/>
          <w:szCs w:val="24"/>
        </w:rPr>
        <w:t xml:space="preserve">. </w:t>
      </w:r>
      <w:r w:rsidR="00E957F5" w:rsidRPr="00424BD3">
        <w:rPr>
          <w:rFonts w:cs="Arial"/>
          <w:szCs w:val="24"/>
        </w:rPr>
        <w:t xml:space="preserve">The rural mortality penalty </w:t>
      </w:r>
      <w:r w:rsidR="00E57083" w:rsidRPr="00424BD3">
        <w:rPr>
          <w:rFonts w:cs="Arial"/>
          <w:szCs w:val="24"/>
        </w:rPr>
        <w:t xml:space="preserve">is </w:t>
      </w:r>
      <w:r w:rsidRPr="00424BD3">
        <w:rPr>
          <w:rFonts w:cs="Arial"/>
          <w:szCs w:val="24"/>
        </w:rPr>
        <w:t xml:space="preserve">due to several </w:t>
      </w:r>
      <w:r w:rsidR="00FA275E" w:rsidRPr="00424BD3">
        <w:rPr>
          <w:rFonts w:cs="Arial"/>
          <w:szCs w:val="24"/>
        </w:rPr>
        <w:t xml:space="preserve">intersectional </w:t>
      </w:r>
      <w:r w:rsidRPr="00424BD3">
        <w:rPr>
          <w:rFonts w:cs="Arial"/>
          <w:szCs w:val="24"/>
        </w:rPr>
        <w:t xml:space="preserve">factors, such as </w:t>
      </w:r>
      <w:r w:rsidR="00D61292" w:rsidRPr="00424BD3">
        <w:rPr>
          <w:rFonts w:cs="Arial"/>
          <w:szCs w:val="24"/>
        </w:rPr>
        <w:t>“</w:t>
      </w:r>
      <w:r w:rsidR="005765E4" w:rsidRPr="00424BD3">
        <w:rPr>
          <w:rFonts w:cs="Arial"/>
          <w:szCs w:val="24"/>
        </w:rPr>
        <w:t>geospatial clustering of individual risk factors”</w:t>
      </w:r>
      <w:r w:rsidR="00D32233" w:rsidRPr="00424BD3">
        <w:rPr>
          <w:rFonts w:cs="Arial"/>
          <w:szCs w:val="24"/>
        </w:rPr>
        <w:t xml:space="preserve"> </w:t>
      </w:r>
      <w:r w:rsidR="00D32233" w:rsidRPr="00424BD3">
        <w:rPr>
          <w:rFonts w:cs="Arial"/>
          <w:szCs w:val="24"/>
        </w:rPr>
        <w:fldChar w:fldCharType="begin"/>
      </w:r>
      <w:r w:rsidR="00990F3A">
        <w:rPr>
          <w:rFonts w:cs="Arial"/>
          <w:szCs w:val="24"/>
        </w:rPr>
        <w:instrText xml:space="preserve"> ADDIN ZOTERO_ITEM CSL_CITATION {"citationID":"BBBfKIRr","properties":{"formattedCitation":"(Miller &amp; Vasan, 2021b, p. 268)","plainCitation":"(Miller &amp; Vasan, 2021b, p. 268)","noteIndex":0},"citationItems":[{"id":1589,"uris":["http://zotero.org/users/4946941/items/F3R6MDE9"],"itemData":{"id":1589,"type":"article-journal","abstract":"Rural-urban differences in morbidity and mortality across the United States have been well documented and termed the “rural mortality penalty”. However, research studies frequently treat rural areas as homogeneous and often do not account for geospatial variability in rural health risks by both county, state, region, race, and sex within the United States. Additionally, people living in the rural South of the US have higher rates of morbidity and mortality compared to both their urban counterparts and other rural areas. Of those living in southern rural communities, people of color experience higher rates of death and disease compared to white populations. Although there is a wealth of research that uses individual-level behaviors to explain rural-urban health disparities, there is less focus on how community and structural factors influence these differences. This review focuses on the “southern rural health penalty”, a term coined by the authors, which refers to the high rate of mortality and morbidity in southern rural areas in the USA compared to both urban areas and non-southern rural places. We use macrosocial determinants of health to explain possible reasons for the “southern rural health penalty”. This review can guide future research on rural health between southern and non-southern populations in the US and examine if macrosocial determinants of health can explain health disparities within southern rural populations.","container-title":"Social Science &amp; Medicine","DOI":"10.1016/j.socscimed.2020.113443","ISSN":"0277-9536","journalAbbreviation":"Social Science &amp; Medicine","language":"en","page":"113443","source":"ScienceDirect","title":"The southern rural health and mortality penalty: A review of regional health inequities in the United States","title-short":"The southern rural health and mortality penalty","volume":"268","author":[{"family":"Miller","given":"Charlotte E."},{"family":"Vasan","given":"Ramachandran S."}],"issued":{"date-parts":[["2021",1,1]]}},"locator":"268","label":"page"}],"schema":"https://github.com/citation-style-language/schema/raw/master/csl-citation.json"} </w:instrText>
      </w:r>
      <w:r w:rsidR="00D32233" w:rsidRPr="00424BD3">
        <w:rPr>
          <w:rFonts w:cs="Arial"/>
          <w:szCs w:val="24"/>
        </w:rPr>
        <w:fldChar w:fldCharType="separate"/>
      </w:r>
      <w:r w:rsidR="00D32233" w:rsidRPr="00424BD3">
        <w:rPr>
          <w:rFonts w:cs="Arial"/>
        </w:rPr>
        <w:t>(Miller &amp; Vasan, 2021b, p. 268)</w:t>
      </w:r>
      <w:r w:rsidR="00D32233" w:rsidRPr="00424BD3">
        <w:rPr>
          <w:rFonts w:cs="Arial"/>
          <w:szCs w:val="24"/>
        </w:rPr>
        <w:fldChar w:fldCharType="end"/>
      </w:r>
      <w:r w:rsidR="00FA275E" w:rsidRPr="00424BD3">
        <w:rPr>
          <w:rFonts w:cs="Arial"/>
          <w:szCs w:val="24"/>
        </w:rPr>
        <w:t>,</w:t>
      </w:r>
      <w:r w:rsidR="00287799" w:rsidRPr="00424BD3">
        <w:rPr>
          <w:rFonts w:cs="Arial"/>
          <w:szCs w:val="24"/>
        </w:rPr>
        <w:t xml:space="preserve"> structural and historical racism</w:t>
      </w:r>
      <w:r w:rsidR="004C3F78" w:rsidRPr="00424BD3">
        <w:rPr>
          <w:rFonts w:cs="Arial"/>
          <w:szCs w:val="24"/>
        </w:rPr>
        <w:t xml:space="preserve"> and Jim Crow segregation laws</w:t>
      </w:r>
      <w:r w:rsidR="00FA275E" w:rsidRPr="00424BD3">
        <w:rPr>
          <w:rFonts w:cs="Arial"/>
          <w:szCs w:val="24"/>
        </w:rPr>
        <w:t xml:space="preserve">, </w:t>
      </w:r>
      <w:r w:rsidR="00E957F5" w:rsidRPr="00424BD3">
        <w:rPr>
          <w:rFonts w:cs="Arial"/>
          <w:szCs w:val="24"/>
        </w:rPr>
        <w:t>higher</w:t>
      </w:r>
      <w:r w:rsidR="004C3F78" w:rsidRPr="00424BD3">
        <w:rPr>
          <w:rFonts w:cs="Arial"/>
          <w:szCs w:val="24"/>
        </w:rPr>
        <w:t xml:space="preserve"> poverty</w:t>
      </w:r>
      <w:r w:rsidRPr="00424BD3">
        <w:rPr>
          <w:rFonts w:cs="Arial"/>
          <w:szCs w:val="24"/>
        </w:rPr>
        <w:t xml:space="preserve">, </w:t>
      </w:r>
      <w:r w:rsidR="00FA275E" w:rsidRPr="00424BD3">
        <w:rPr>
          <w:rFonts w:cs="Arial"/>
          <w:szCs w:val="24"/>
        </w:rPr>
        <w:t xml:space="preserve">less education, </w:t>
      </w:r>
      <w:r w:rsidR="0045337F" w:rsidRPr="00424BD3">
        <w:rPr>
          <w:rFonts w:cs="Arial"/>
          <w:szCs w:val="24"/>
        </w:rPr>
        <w:t xml:space="preserve">greater </w:t>
      </w:r>
      <w:r w:rsidRPr="00424BD3">
        <w:rPr>
          <w:rFonts w:cs="Arial"/>
          <w:szCs w:val="24"/>
        </w:rPr>
        <w:t>lack of access</w:t>
      </w:r>
      <w:r w:rsidR="00E02F3D" w:rsidRPr="00424BD3">
        <w:rPr>
          <w:rFonts w:cs="Arial"/>
          <w:szCs w:val="24"/>
        </w:rPr>
        <w:t xml:space="preserve"> to healthcare</w:t>
      </w:r>
      <w:r w:rsidR="00F50D0C" w:rsidRPr="00424BD3">
        <w:rPr>
          <w:rFonts w:cs="Arial"/>
          <w:szCs w:val="24"/>
        </w:rPr>
        <w:t>, healthy food, recreational facilities</w:t>
      </w:r>
      <w:r w:rsidRPr="00424BD3">
        <w:rPr>
          <w:rFonts w:cs="Arial"/>
          <w:szCs w:val="24"/>
        </w:rPr>
        <w:t xml:space="preserve">, </w:t>
      </w:r>
      <w:r w:rsidR="0045337F" w:rsidRPr="00424BD3">
        <w:rPr>
          <w:rFonts w:cs="Arial"/>
          <w:szCs w:val="24"/>
        </w:rPr>
        <w:t xml:space="preserve">higher levels of unemployment, </w:t>
      </w:r>
      <w:r w:rsidRPr="00424BD3">
        <w:rPr>
          <w:rFonts w:cs="Arial"/>
          <w:szCs w:val="24"/>
        </w:rPr>
        <w:t xml:space="preserve">and </w:t>
      </w:r>
      <w:r w:rsidR="00FE403B" w:rsidRPr="00424BD3">
        <w:rPr>
          <w:rFonts w:cs="Arial"/>
          <w:szCs w:val="24"/>
        </w:rPr>
        <w:t xml:space="preserve">greater </w:t>
      </w:r>
      <w:r w:rsidRPr="00424BD3">
        <w:rPr>
          <w:rFonts w:cs="Arial"/>
          <w:szCs w:val="24"/>
        </w:rPr>
        <w:t xml:space="preserve">lack of care-seeking </w:t>
      </w:r>
      <w:r w:rsidRPr="00424BD3">
        <w:rPr>
          <w:rFonts w:cs="Arial"/>
          <w:szCs w:val="24"/>
        </w:rPr>
        <w:fldChar w:fldCharType="begin"/>
      </w:r>
      <w:r w:rsidR="00990F3A">
        <w:rPr>
          <w:rFonts w:cs="Arial"/>
          <w:szCs w:val="24"/>
        </w:rPr>
        <w:instrText xml:space="preserve"> ADDIN ZOTERO_ITEM CSL_CITATION {"citationID":"tfPoxKk1","properties":{"formattedCitation":"(McGarvey et al., 2011; Miller &amp; Vasan, 2021b)","plainCitation":"(McGarvey et al., 2011; Miller &amp; Vasan, 2021b)","noteIndex":0},"citationItems":[{"id":1025,"uris":["http://zotero.org/users/4946941/items/SL8NC8ZG"],"itemData":{"id":1025,"type":"article-journal","abstract":"The examination of health disparities among people within Appalachian counties compared to people living in other counties is needed to find ways to strategically target improvements in community health in the United States of America (USA). Methods: A telephone survey of a random sample of adults living in households within communities of all counties of the state of Virginia (VA) in the USA was conducted. Findings: Health status was poorer among those in communities within Appalachian counties in VA and health insurance did not make a difference. Health perception was significantly worse in residents within communities in Appalachian counties compared to non-Appalachian community residents (30.5 vs. 17.4% rated their health status as poor/fair), and was worse even among those with no chronic diseases. Within communities in Appalachian counties, black residents report significantly better health perception than do white residents. Conclusion: Residents living in communities in Appalachian counties in VA are not receiving adequate health care, even among those with health insurance. More research with a larger ethnic minority sample is needed to investigate the racial/ethnic disparities in self-reported health and health care utilization within communities.","container-title":"Journal of Community Health","DOI":"10.1007/s10900-010-9315-9","ISSN":"0094-5145","issue":"3","journalAbbreviation":"J Community Health","note":"PMID: 20862529\nPMCID: PMC3089820","page":"348-356","source":"PubMed Central","title":"Health Disparities Between Appalachian and Non-Appalachian Counties in Virginia USA","volume":"36","author":[{"family":"McGarvey","given":"Elizabeth L."},{"family":"Leon-Verdin","given":"MaGuadalupe"},{"family":"Killos","given":"Lydia F."},{"family":"Guterbock","given":"Thomas"},{"family":"Cohn","given":"Wendy F."}],"issued":{"date-parts":[["2011"]]}}},{"id":1589,"uris":["http://zotero.org/users/4946941/items/F3R6MDE9"],"itemData":{"id":1589,"type":"article-journal","abstract":"Rural-urban differences in morbidity and mortality across the United States have been well documented and termed the “rural mortality penalty”. However, research studies frequently treat rural areas as homogeneous and often do not account for geospatial variability in rural health risks by both county, state, region, race, and sex within the United States. Additionally, people living in the rural South of the US have higher rates of morbidity and mortality compared to both their urban counterparts and other rural areas. Of those living in southern rural communities, people of color experience higher rates of death and disease compared to white populations. Although there is a wealth of research that uses individual-level behaviors to explain rural-urban health disparities, there is less focus on how community and structural factors influence these differences. This review focuses on the “southern rural health penalty”, a term coined by the authors, which refers to the high rate of mortality and morbidity in southern rural areas in the USA compared to both urban areas and non-southern rural places. We use macrosocial determinants of health to explain possible reasons for the “southern rural health penalty”. This review can guide future research on rural health between southern and non-southern populations in the US and examine if macrosocial determinants of health can explain health disparities within southern rural populations.","container-title":"Social Science &amp; Medicine","DOI":"10.1016/j.socscimed.2020.113443","ISSN":"0277-9536","journalAbbreviation":"Social Science &amp; Medicine","language":"en","page":"113443","source":"ScienceDirect","title":"The southern rural health and mortality penalty: A review of regional health inequities in the United States","title-short":"The southern rural health and mortality penalty","volume":"268","author":[{"family":"Miller","given":"Charlotte E."},{"family":"Vasan","given":"Ramachandran S."}],"issued":{"date-parts":[["2021",1,1]]}}}],"schema":"https://github.com/citation-style-language/schema/raw/master/csl-citation.json"} </w:instrText>
      </w:r>
      <w:r w:rsidRPr="00424BD3">
        <w:rPr>
          <w:rFonts w:cs="Arial"/>
          <w:szCs w:val="24"/>
        </w:rPr>
        <w:fldChar w:fldCharType="separate"/>
      </w:r>
      <w:r w:rsidR="00CF6542" w:rsidRPr="00424BD3">
        <w:rPr>
          <w:rFonts w:cs="Arial"/>
        </w:rPr>
        <w:t>(McGarvey et al., 2011; Miller &amp; Vasan, 2021b)</w:t>
      </w:r>
      <w:r w:rsidRPr="00424BD3">
        <w:rPr>
          <w:rFonts w:cs="Arial"/>
          <w:szCs w:val="24"/>
        </w:rPr>
        <w:fldChar w:fldCharType="end"/>
      </w:r>
      <w:r w:rsidRPr="00424BD3">
        <w:rPr>
          <w:rFonts w:cs="Arial"/>
          <w:szCs w:val="24"/>
        </w:rPr>
        <w:t xml:space="preserve">. </w:t>
      </w:r>
      <w:r w:rsidR="005A139E" w:rsidRPr="00424BD3">
        <w:rPr>
          <w:rFonts w:cs="Arial"/>
          <w:szCs w:val="24"/>
        </w:rPr>
        <w:t xml:space="preserve">Regions like East Tennessee </w:t>
      </w:r>
      <w:r w:rsidR="004E5CAD" w:rsidRPr="00424BD3">
        <w:rPr>
          <w:rFonts w:cs="Arial"/>
          <w:szCs w:val="24"/>
        </w:rPr>
        <w:t xml:space="preserve">tend to have the worst of the worst rural penalty outcomes. </w:t>
      </w:r>
      <w:r w:rsidR="004405DA" w:rsidRPr="00424BD3">
        <w:rPr>
          <w:rFonts w:cs="Arial"/>
          <w:szCs w:val="24"/>
        </w:rPr>
        <w:t>Whe</w:t>
      </w:r>
      <w:r w:rsidR="00A4289E">
        <w:rPr>
          <w:rFonts w:cs="Arial"/>
          <w:szCs w:val="24"/>
        </w:rPr>
        <w:t>n</w:t>
      </w:r>
      <w:r w:rsidR="004405DA" w:rsidRPr="00424BD3">
        <w:rPr>
          <w:rFonts w:cs="Arial"/>
          <w:szCs w:val="24"/>
        </w:rPr>
        <w:t xml:space="preserve"> areas are this deeply affected by health inequities</w:t>
      </w:r>
      <w:r w:rsidR="00A4289E">
        <w:rPr>
          <w:rFonts w:cs="Arial"/>
          <w:szCs w:val="24"/>
        </w:rPr>
        <w:t>,</w:t>
      </w:r>
      <w:r w:rsidR="004405DA" w:rsidRPr="00424BD3">
        <w:rPr>
          <w:rFonts w:cs="Arial"/>
          <w:szCs w:val="24"/>
        </w:rPr>
        <w:t xml:space="preserve"> combined with geographic isolation, s</w:t>
      </w:r>
      <w:r w:rsidRPr="00424BD3">
        <w:rPr>
          <w:rFonts w:cs="Arial"/>
          <w:szCs w:val="24"/>
        </w:rPr>
        <w:t xml:space="preserve">hared attitudes and beliefs about health and healthcare are so strong that some researchers have identified the </w:t>
      </w:r>
      <w:r w:rsidRPr="00424BD3">
        <w:rPr>
          <w:rFonts w:cs="Arial"/>
          <w:szCs w:val="24"/>
        </w:rPr>
        <w:lastRenderedPageBreak/>
        <w:t xml:space="preserve">need for cultural competency training for doctors practicing in Appalachian areas </w:t>
      </w:r>
      <w:r w:rsidRPr="00424BD3">
        <w:rPr>
          <w:rFonts w:cs="Arial"/>
          <w:szCs w:val="24"/>
        </w:rPr>
        <w:fldChar w:fldCharType="begin"/>
      </w:r>
      <w:r w:rsidR="00990F3A">
        <w:rPr>
          <w:rFonts w:cs="Arial"/>
          <w:szCs w:val="24"/>
        </w:rPr>
        <w:instrText xml:space="preserve"> ADDIN ZOTERO_ITEM CSL_CITATION {"citationID":"noLo34A3","properties":{"formattedCitation":"(Huttlinger et al., 2004)","plainCitation":"(Huttlinger et al., 2004)","noteIndex":0},"citationItems":[{"id":1035,"uris":["http://zotero.org/users/4946941/items/HCCEQ5Y7"],"itemData":{"id":1035,"type":"article-journal","container-title":"Public Health Nursing","DOI":"10.1111/j.0737-1209.2004.021203.x","ISSN":"0737-1209, 1525-1446","issue":"2","journalAbbreviation":"Public Health Nurs","language":"en","page":"103-110","source":"DOI.org (Crossref)","title":"Health Care in Appalachia: A Population-Based Approach","title-short":"Health Care in Appalachia","volume":"21","author":[{"family":"Huttlinger","given":"Kathleen"},{"family":"Schaller-Ayers","given":"Jennifer"},{"family":"Lawson","given":"Tony"}],"issued":{"date-parts":[["2004",3]]}}}],"schema":"https://github.com/citation-style-language/schema/raw/master/csl-citation.json"} </w:instrText>
      </w:r>
      <w:r w:rsidRPr="00424BD3">
        <w:rPr>
          <w:rFonts w:cs="Arial"/>
          <w:szCs w:val="24"/>
        </w:rPr>
        <w:fldChar w:fldCharType="separate"/>
      </w:r>
      <w:r w:rsidRPr="00424BD3">
        <w:rPr>
          <w:rFonts w:cs="Arial"/>
        </w:rPr>
        <w:t>(Huttlinger et al., 2004)</w:t>
      </w:r>
      <w:r w:rsidRPr="00424BD3">
        <w:rPr>
          <w:rFonts w:cs="Arial"/>
          <w:szCs w:val="24"/>
        </w:rPr>
        <w:fldChar w:fldCharType="end"/>
      </w:r>
      <w:r w:rsidRPr="00424BD3">
        <w:rPr>
          <w:rFonts w:cs="Arial"/>
          <w:szCs w:val="24"/>
        </w:rPr>
        <w:t xml:space="preserve">. </w:t>
      </w:r>
    </w:p>
    <w:p w14:paraId="577071F7" w14:textId="513A9839" w:rsidR="00E722C5" w:rsidRPr="00424BD3" w:rsidRDefault="008844E4" w:rsidP="000126EE">
      <w:pPr>
        <w:spacing w:after="0" w:line="480" w:lineRule="auto"/>
        <w:ind w:firstLine="720"/>
        <w:rPr>
          <w:rFonts w:cs="Arial"/>
          <w:szCs w:val="24"/>
        </w:rPr>
      </w:pPr>
      <w:r w:rsidRPr="00424BD3">
        <w:rPr>
          <w:rFonts w:cs="Arial"/>
          <w:szCs w:val="24"/>
        </w:rPr>
        <w:t xml:space="preserve">Researchers today often identify places as ‘deprived areas’ or ‘health disparity regions’, and Appalachia is almost always included </w:t>
      </w:r>
      <w:r w:rsidRPr="00424BD3">
        <w:rPr>
          <w:rFonts w:cs="Arial"/>
          <w:szCs w:val="24"/>
        </w:rPr>
        <w:fldChar w:fldCharType="begin"/>
      </w:r>
      <w:r w:rsidR="009E4175">
        <w:rPr>
          <w:rFonts w:cs="Arial"/>
          <w:szCs w:val="24"/>
        </w:rPr>
        <w:instrText xml:space="preserve"> ADDIN ZOTERO_ITEM CSL_CITATION {"citationID":"l9AycexH","properties":{"formattedCitation":"(APA, 2018; Marshall et al., 2017; McGarvey et al., 2011; RHIH, 2019)","plainCitation":"(APA, 2018; Marshall et al., 2017; McGarvey et al., 2011; RHIH, 2019)","noteIndex":0},"citationItems":[{"id":1039,"uris":["http://zotero.org/users/4946941/items/LNKM54JX"],"itemData":{"id":1039,"type":"document","publisher":"American Psychiatry Association (APA)","title":"Mental Health Disparities: Appalachian People","URL":"https://www.psychiatry.org/File%20Library/Psychiatrists/Cultural-Competency/Mental-Health-Disparities/Mental-Health-Facts-for-Appalachian-People.pdf","author":[{"family":"APA","given":""}],"issued":{"date-parts":[["2018"]]}}},{"id":1036,"uris":["http://zotero.org/users/4946941/items/AC3T37UW"],"itemData":{"id":1036,"type":"document","publisher":"Robert Wood Johnson Foundation; Appalachian Regional Commission; Foundation for Healthy Kentucky; PDA, Inc.; The Cecil G. Sheps Center For Health Services Research","title":"Health Disparities in Appalachia","URL":"https://www.arc.gov/wp-content/uploads/2020/06/Health_Disparities_in_Appalachia_August_2017.pdf","author":[{"family":"Marshall","given":"Julie L."},{"family":"Silberman","given":"Pam"},{"family":"Thomas","given":"Logan"},{"family":"Holding","given":"William"},{"family":"Lane","given":"Nancy"},{"family":"Villamil","given":"Lisa"},{"family":"Holmes","given":"G. Mark"},{"family":"Arcury","given":"Thomas A."},{"family":"Randolph","given":"Randy"},{"family":"Thomas","given":"Sharita"},{"family":"Lane","given":"Maura"},{"family":"Latus","given":"Janine"},{"family":"Rodgers","given":"Jonathan"},{"family":"Ivey","given":"Kelly"}],"issued":{"date-parts":[["2017"]]}}},{"id":1025,"uris":["http://zotero.org/users/4946941/items/SL8NC8ZG"],"itemData":{"id":1025,"type":"article-journal","abstract":"The examination of health disparities among people within Appalachian counties compared to people living in other counties is needed to find ways to strategically target improvements in community health in the United States of America (USA). Methods: A telephone survey of a random sample of adults living in households within communities of all counties of the state of Virginia (VA) in the USA was conducted. Findings: Health status was poorer among those in communities within Appalachian counties in VA and health insurance did not make a difference. Health perception was significantly worse in residents within communities in Appalachian counties compared to non-Appalachian community residents (30.5 vs. 17.4% rated their health status as poor/fair), and was worse even among those with no chronic diseases. Within communities in Appalachian counties, black residents report significantly better health perception than do white residents. Conclusion: Residents living in communities in Appalachian counties in VA are not receiving adequate health care, even among those with health insurance. More research with a larger ethnic minority sample is needed to investigate the racial/ethnic disparities in self-reported health and health care utilization within communities.","container-title":"Journal of Community Health","DOI":"10.1007/s10900-010-9315-9","ISSN":"0094-5145","issue":"3","journalAbbreviation":"J Community Health","note":"PMID: 20862529\nPMCID: PMC3089820","page":"348-356","source":"PubMed Central","title":"Health Disparities Between Appalachian and Non-Appalachian Counties in Virginia USA","volume":"36","author":[{"family":"McGarvey","given":"Elizabeth L."},{"family":"Leon-Verdin","given":"MaGuadalupe"},{"family":"Killos","given":"Lydia F."},{"family":"Guterbock","given":"Thomas"},{"family":"Cohn","given":"Wendy F."}],"issued":{"date-parts":[["2011"]]}}},{"id":1037,"uris":["http://zotero.org/users/4946941/items/WB3HNEUH"],"itemData":{"id":1037,"type":"webpage","abstract":"Provides information on health disparities and the causes of these disparities in rural areas. Discusses rural versus urban mortality and life expectancy, and resources and programs to address rural health disparities. Provides information on regions throughout the U.S. that experience higher level of rural health disparities.","container-title":"Rural Health Information Hub (RHIH)","language":"en","title":"Rural Health Disparities Overview - Rural Health Information Hub","URL":"https://www.ruralhealthinfo.org/topics/rural-health-disparities","author":[{"family":"RHIH","given":""}],"accessed":{"date-parts":[["2022",7,16]]},"issued":{"date-parts":[["2019"]]}}}],"schema":"https://github.com/citation-style-language/schema/raw/master/csl-citation.json"} </w:instrText>
      </w:r>
      <w:r w:rsidRPr="00424BD3">
        <w:rPr>
          <w:rFonts w:cs="Arial"/>
          <w:szCs w:val="24"/>
        </w:rPr>
        <w:fldChar w:fldCharType="separate"/>
      </w:r>
      <w:r w:rsidRPr="00424BD3">
        <w:rPr>
          <w:rFonts w:cs="Arial"/>
        </w:rPr>
        <w:t>(APA, 2018; Marshall et al., 2017; McGarvey et al., 2011; RHIH, 2019)</w:t>
      </w:r>
      <w:r w:rsidRPr="00424BD3">
        <w:rPr>
          <w:rFonts w:cs="Arial"/>
          <w:szCs w:val="24"/>
        </w:rPr>
        <w:fldChar w:fldCharType="end"/>
      </w:r>
      <w:r w:rsidRPr="00424BD3">
        <w:rPr>
          <w:rFonts w:cs="Arial"/>
          <w:szCs w:val="24"/>
        </w:rPr>
        <w:t xml:space="preserve">. While this helps researchers, health bodies, and governments qualify areas for economic aid, policymaking and intervention design, it adds to internalization of norms by creating or reinforcing place-stigmatization </w:t>
      </w:r>
      <w:r w:rsidRPr="00424BD3">
        <w:rPr>
          <w:rFonts w:cs="Arial"/>
          <w:szCs w:val="24"/>
        </w:rPr>
        <w:fldChar w:fldCharType="begin"/>
      </w:r>
      <w:r w:rsidR="00990F3A">
        <w:rPr>
          <w:rFonts w:cs="Arial"/>
          <w:szCs w:val="24"/>
        </w:rPr>
        <w:instrText xml:space="preserve"> ADDIN ZOTERO_ITEM CSL_CITATION {"citationID":"LWkETMje","properties":{"formattedCitation":"(Studts et al., 2013)","plainCitation":"(Studts et al., 2013)","noteIndex":0},"citationItems":[{"id":1030,"uris":["http://zotero.org/users/4946941/items/Q3DIB2ZQ"],"itemData":{"id":1030,"type":"article-journal","abstract":"Although cervical cancer rates in the United States have declined sharply in recent decades, certain groups of women remain at elevated risk, including middle-aged and older women in central Appalachia. Cross-sectional baseline data from a community-based randomized controlled trial were examined to identify barriers to cervical cancer screening. Questionnaires assessing barriers were administered to 345 Appalachian women aged 40–64, years when Papanicolaou (Pap) testing declines and cervical cancer rates increase. Consistent with the PRECEDE/PROCEED framework, participants identified barriers included predisposing, enabling, and reinforcing factors. Descriptive and bivariate analyses are reported, identifying (a) the most frequently endorsed barriers to screening, and (b) significant associations of barriers with sociodemographic characteristics in the sample. Recommendations are provided to decrease these barriers and, ultimately, improve rates of Pap tests among this traditionally underserved and disproportionately affected group.","container-title":"Journal of Community Health","DOI":"10.1007/s10900-012-9639-8","ISSN":"1573-3610","issue":"3","journalAbbreviation":"J Community Health","language":"en","page":"500-512","source":"Springer Link","title":"Barriers to Cervical Cancer Screening Among Middle-Aged and Older Rural Appalachian Women","volume":"38","author":[{"family":"Studts","given":"Christina R."},{"family":"Tarasenko","given":"Yelena N."},{"family":"Schoenberg","given":"Nancy E."}],"issued":{"date-parts":[["2013",6,1]]}}}],"schema":"https://github.com/citation-style-language/schema/raw/master/csl-citation.json"} </w:instrText>
      </w:r>
      <w:r w:rsidRPr="00424BD3">
        <w:rPr>
          <w:rFonts w:cs="Arial"/>
          <w:szCs w:val="24"/>
        </w:rPr>
        <w:fldChar w:fldCharType="separate"/>
      </w:r>
      <w:r w:rsidRPr="00424BD3">
        <w:rPr>
          <w:rFonts w:cs="Arial"/>
        </w:rPr>
        <w:t>(Studts et al., 2013)</w:t>
      </w:r>
      <w:r w:rsidRPr="00424BD3">
        <w:rPr>
          <w:rFonts w:cs="Arial"/>
          <w:szCs w:val="24"/>
        </w:rPr>
        <w:fldChar w:fldCharType="end"/>
      </w:r>
      <w:r w:rsidRPr="00424BD3">
        <w:rPr>
          <w:rFonts w:cs="Arial"/>
          <w:szCs w:val="24"/>
        </w:rPr>
        <w:t>. People living in or near stigmatized places</w:t>
      </w:r>
      <w:r w:rsidR="005C2151" w:rsidRPr="00424BD3">
        <w:rPr>
          <w:rFonts w:cs="Arial"/>
          <w:szCs w:val="24"/>
        </w:rPr>
        <w:t>, such as certain areas of Appalachia</w:t>
      </w:r>
      <w:r w:rsidR="00481597" w:rsidRPr="00424BD3">
        <w:rPr>
          <w:rFonts w:cs="Arial"/>
          <w:szCs w:val="24"/>
        </w:rPr>
        <w:t xml:space="preserve">, </w:t>
      </w:r>
      <w:r w:rsidR="00EF47D2" w:rsidRPr="00424BD3">
        <w:rPr>
          <w:rFonts w:cs="Arial"/>
          <w:szCs w:val="24"/>
        </w:rPr>
        <w:t xml:space="preserve">compared to non-stigmatized places, </w:t>
      </w:r>
      <w:r w:rsidRPr="00424BD3">
        <w:rPr>
          <w:rFonts w:cs="Arial"/>
          <w:szCs w:val="24"/>
        </w:rPr>
        <w:t>have a much more normed resistance to, fear and worry of, or shame about health and clinical intervention, are more fatalistic about health, have worse health outcomes, higher premature mortality, poorer self-reported health, poorer perceived relative deprivation, and</w:t>
      </w:r>
      <w:r w:rsidR="0013603B" w:rsidRPr="00424BD3">
        <w:rPr>
          <w:rFonts w:cs="Arial"/>
          <w:szCs w:val="24"/>
        </w:rPr>
        <w:t xml:space="preserve">, as noted in the previous paragraph, </w:t>
      </w:r>
      <w:r w:rsidR="00951E3B" w:rsidRPr="00424BD3">
        <w:rPr>
          <w:rFonts w:cs="Arial"/>
          <w:szCs w:val="24"/>
        </w:rPr>
        <w:t>greater</w:t>
      </w:r>
      <w:r w:rsidRPr="00424BD3">
        <w:rPr>
          <w:rFonts w:cs="Arial"/>
          <w:szCs w:val="24"/>
        </w:rPr>
        <w:t xml:space="preserve"> health inequities </w:t>
      </w:r>
      <w:r w:rsidRPr="00424BD3">
        <w:rPr>
          <w:rFonts w:cs="Arial"/>
          <w:szCs w:val="24"/>
        </w:rPr>
        <w:fldChar w:fldCharType="begin"/>
      </w:r>
      <w:r w:rsidR="00990F3A">
        <w:rPr>
          <w:rFonts w:cs="Arial"/>
          <w:szCs w:val="24"/>
        </w:rPr>
        <w:instrText xml:space="preserve"> ADDIN ZOTERO_ITEM CSL_CITATION {"citationID":"8ZinhIgI","properties":{"formattedCitation":"(Behringer &amp; Friedell, 2006; McGarvey et al., 2011; Miller &amp; Vasan, 2021b; Studts et al., 2013)","plainCitation":"(Behringer &amp; Friedell, 2006; McGarvey et al., 2011; Miller &amp; Vasan, 2021b; Studts et al., 2013)","noteIndex":0},"citationItems":[{"id":1028,"uris":["http://zotero.org/users/4946941/items/T66PJRLR"],"itemData":{"id":1028,"type":"article-journal","container-title":"Preventing Chronic Disease","ISSN":"1545-1151","issue":"4","journalAbbreviation":"Prev Chronic Dis","note":"PMID: 16978488\nPMCID: PMC1779277","page":"A113","source":"PubMed Central","title":"Appalachia: Where Place Matters in Health","title-short":"Appalachia","volume":"3","author":[{"family":"Behringer","given":"Bruce"},{"family":"Friedell","given":"Gilbert H"}],"issued":{"date-parts":[["2006",9,15]]}}},{"id":1025,"uris":["http://zotero.org/users/4946941/items/SL8NC8ZG"],"itemData":{"id":1025,"type":"article-journal","abstract":"The examination of health disparities among people within Appalachian counties compared to people living in other counties is needed to find ways to strategically target improvements in community health in the United States of America (USA). Methods: A telephone survey of a random sample of adults living in households within communities of all counties of the state of Virginia (VA) in the USA was conducted. Findings: Health status was poorer among those in communities within Appalachian counties in VA and health insurance did not make a difference. Health perception was significantly worse in residents within communities in Appalachian counties compared to non-Appalachian community residents (30.5 vs. 17.4% rated their health status as poor/fair), and was worse even among those with no chronic diseases. Within communities in Appalachian counties, black residents report significantly better health perception than do white residents. Conclusion: Residents living in communities in Appalachian counties in VA are not receiving adequate health care, even among those with health insurance. More research with a larger ethnic minority sample is needed to investigate the racial/ethnic disparities in self-reported health and health care utilization within communities.","container-title":"Journal of Community Health","DOI":"10.1007/s10900-010-9315-9","ISSN":"0094-5145","issue":"3","journalAbbreviation":"J Community Health","note":"PMID: 20862529\nPMCID: PMC3089820","page":"348-356","source":"PubMed Central","title":"Health Disparities Between Appalachian and Non-Appalachian Counties in Virginia USA","volume":"36","author":[{"family":"McGarvey","given":"Elizabeth L."},{"family":"Leon-Verdin","given":"MaGuadalupe"},{"family":"Killos","given":"Lydia F."},{"family":"Guterbock","given":"Thomas"},{"family":"Cohn","given":"Wendy F."}],"issued":{"date-parts":[["2011"]]}}},{"id":1589,"uris":["http://zotero.org/users/4946941/items/F3R6MDE9"],"itemData":{"id":1589,"type":"article-journal","abstract":"Rural-urban differences in morbidity and mortality across the United States have been well documented and termed the “rural mortality penalty”. However, research studies frequently treat rural areas as homogeneous and often do not account for geospatial variability in rural health risks by both county, state, region, race, and sex within the United States. Additionally, people living in the rural South of the US have higher rates of morbidity and mortality compared to both their urban counterparts and other rural areas. Of those living in southern rural communities, people of color experience higher rates of death and disease compared to white populations. Although there is a wealth of research that uses individual-level behaviors to explain rural-urban health disparities, there is less focus on how community and structural factors influence these differences. This review focuses on the “southern rural health penalty”, a term coined by the authors, which refers to the high rate of mortality and morbidity in southern rural areas in the USA compared to both urban areas and non-southern rural places. We use macrosocial determinants of health to explain possible reasons for the “southern rural health penalty”. This review can guide future research on rural health between southern and non-southern populations in the US and examine if macrosocial determinants of health can explain health disparities within southern rural populations.","container-title":"Social Science &amp; Medicine","DOI":"10.1016/j.socscimed.2020.113443","ISSN":"0277-9536","journalAbbreviation":"Social Science &amp; Medicine","language":"en","page":"113443","source":"ScienceDirect","title":"The southern rural health and mortality penalty: A review of regional health inequities in the United States","title-short":"The southern rural health and mortality penalty","volume":"268","author":[{"family":"Miller","given":"Charlotte E."},{"family":"Vasan","given":"Ramachandran S."}],"issued":{"date-parts":[["2021",1,1]]}}},{"id":1030,"uris":["http://zotero.org/users/4946941/items/Q3DIB2ZQ"],"itemData":{"id":1030,"type":"article-journal","abstract":"Although cervical cancer rates in the United States have declined sharply in recent decades, certain groups of women remain at elevated risk, including middle-aged and older women in central Appalachia. Cross-sectional baseline data from a community-based randomized controlled trial were examined to identify barriers to cervical cancer screening. Questionnaires assessing barriers were administered to 345 Appalachian women aged 40–64, years when Papanicolaou (Pap) testing declines and cervical cancer rates increase. Consistent with the PRECEDE/PROCEED framework, participants identified barriers included predisposing, enabling, and reinforcing factors. Descriptive and bivariate analyses are reported, identifying (a) the most frequently endorsed barriers to screening, and (b) significant associations of barriers with sociodemographic characteristics in the sample. Recommendations are provided to decrease these barriers and, ultimately, improve rates of Pap tests among this traditionally underserved and disproportionately affected group.","container-title":"Journal of Community Health","DOI":"10.1007/s10900-012-9639-8","ISSN":"1573-3610","issue":"3","journalAbbreviation":"J Community Health","language":"en","page":"500-512","source":"Springer Link","title":"Barriers to Cervical Cancer Screening Among Middle-Aged and Older Rural Appalachian Women","volume":"38","author":[{"family":"Studts","given":"Christina R."},{"family":"Tarasenko","given":"Yelena N."},{"family":"Schoenberg","given":"Nancy E."}],"issued":{"date-parts":[["2013",6,1]]}}}],"schema":"https://github.com/citation-style-language/schema/raw/master/csl-citation.json"} </w:instrText>
      </w:r>
      <w:r w:rsidRPr="00424BD3">
        <w:rPr>
          <w:rFonts w:cs="Arial"/>
          <w:szCs w:val="24"/>
        </w:rPr>
        <w:fldChar w:fldCharType="separate"/>
      </w:r>
      <w:r w:rsidR="00B314C4" w:rsidRPr="00424BD3">
        <w:rPr>
          <w:rFonts w:cs="Arial"/>
        </w:rPr>
        <w:t>(Behringer &amp; Friedell, 2006; McGarvey et al., 2011; Miller &amp; Vasan, 2021b; Studts et al., 2013)</w:t>
      </w:r>
      <w:r w:rsidRPr="00424BD3">
        <w:rPr>
          <w:rFonts w:cs="Arial"/>
          <w:szCs w:val="24"/>
        </w:rPr>
        <w:fldChar w:fldCharType="end"/>
      </w:r>
      <w:r w:rsidRPr="00424BD3">
        <w:rPr>
          <w:rFonts w:cs="Arial"/>
          <w:szCs w:val="24"/>
        </w:rPr>
        <w:t xml:space="preserve">. Most of the women in this study were not born or raised in Appalachian regions but have lived in East Tennessee for more than half their lives. One major purpose of this study was to determine if they perceived place as mattering or making a difference in their health, and if they perceived a difference in health effects, outcomes or attitudes and beliefs depending upon the areas in which they lived and worked. </w:t>
      </w:r>
      <w:r w:rsidR="00FA3C1B" w:rsidRPr="00424BD3">
        <w:rPr>
          <w:rFonts w:cs="Arial"/>
          <w:szCs w:val="24"/>
        </w:rPr>
        <w:t xml:space="preserve">For a breakdown </w:t>
      </w:r>
      <w:r w:rsidR="00A83CE0" w:rsidRPr="00424BD3">
        <w:rPr>
          <w:rFonts w:cs="Arial"/>
          <w:szCs w:val="24"/>
        </w:rPr>
        <w:t>on the women’s residence places by city, state, and number of the women who lived in each, see Table 5 in Appendix 1.</w:t>
      </w:r>
    </w:p>
    <w:p w14:paraId="7F2748A8" w14:textId="77777777" w:rsidR="00E722C5" w:rsidRPr="00424BD3" w:rsidRDefault="00E722C5" w:rsidP="000126EE">
      <w:pPr>
        <w:spacing w:after="0" w:line="480" w:lineRule="auto"/>
        <w:rPr>
          <w:rFonts w:cs="Arial"/>
          <w:szCs w:val="24"/>
        </w:rPr>
      </w:pPr>
      <w:r w:rsidRPr="00424BD3">
        <w:rPr>
          <w:rFonts w:cs="Arial"/>
          <w:szCs w:val="24"/>
        </w:rPr>
        <w:br w:type="page"/>
      </w:r>
    </w:p>
    <w:p w14:paraId="7DCC20D7" w14:textId="77777777" w:rsidR="00793AA0" w:rsidRPr="00424BD3" w:rsidRDefault="008844E4" w:rsidP="00793AA0">
      <w:pPr>
        <w:pStyle w:val="Heading1"/>
        <w:spacing w:before="0" w:line="480" w:lineRule="auto"/>
        <w:jc w:val="center"/>
        <w:rPr>
          <w:rFonts w:ascii="Arial" w:hAnsi="Arial" w:cs="Arial"/>
          <w:b/>
          <w:bCs/>
          <w:color w:val="auto"/>
          <w:sz w:val="24"/>
          <w:szCs w:val="24"/>
        </w:rPr>
      </w:pPr>
      <w:bookmarkStart w:id="42" w:name="_Toc118232308"/>
      <w:r w:rsidRPr="00424BD3">
        <w:rPr>
          <w:rFonts w:ascii="Arial" w:hAnsi="Arial" w:cs="Arial"/>
          <w:b/>
          <w:bCs/>
          <w:color w:val="auto"/>
          <w:sz w:val="24"/>
          <w:szCs w:val="24"/>
        </w:rPr>
        <w:lastRenderedPageBreak/>
        <w:t>CHAPTER THREE</w:t>
      </w:r>
      <w:bookmarkEnd w:id="42"/>
    </w:p>
    <w:p w14:paraId="7F621093" w14:textId="00C0C181" w:rsidR="008844E4" w:rsidRPr="00424BD3" w:rsidRDefault="008844E4" w:rsidP="00793AA0">
      <w:pPr>
        <w:pStyle w:val="Heading1"/>
        <w:spacing w:before="0" w:line="480" w:lineRule="auto"/>
        <w:jc w:val="center"/>
        <w:rPr>
          <w:rFonts w:ascii="Arial" w:hAnsi="Arial" w:cs="Arial"/>
          <w:b/>
          <w:bCs/>
          <w:color w:val="auto"/>
          <w:sz w:val="24"/>
          <w:szCs w:val="24"/>
        </w:rPr>
      </w:pPr>
      <w:bookmarkStart w:id="43" w:name="_Toc118232309"/>
      <w:r w:rsidRPr="00424BD3">
        <w:rPr>
          <w:rFonts w:ascii="Arial" w:hAnsi="Arial" w:cs="Arial"/>
          <w:b/>
          <w:bCs/>
          <w:color w:val="auto"/>
          <w:sz w:val="24"/>
          <w:szCs w:val="24"/>
        </w:rPr>
        <w:t>MATERIALS AND METHODS</w:t>
      </w:r>
      <w:bookmarkEnd w:id="43"/>
    </w:p>
    <w:p w14:paraId="0399685A" w14:textId="259AFF25" w:rsidR="008844E4" w:rsidRPr="00424BD3" w:rsidRDefault="008844E4" w:rsidP="000126EE">
      <w:pPr>
        <w:pStyle w:val="Heading2"/>
        <w:spacing w:before="0" w:line="480" w:lineRule="auto"/>
        <w:jc w:val="center"/>
        <w:rPr>
          <w:rFonts w:ascii="Arial" w:hAnsi="Arial" w:cs="Arial"/>
          <w:b/>
          <w:bCs/>
          <w:color w:val="auto"/>
          <w:sz w:val="24"/>
          <w:szCs w:val="24"/>
        </w:rPr>
      </w:pPr>
      <w:bookmarkStart w:id="44" w:name="_Toc118232310"/>
      <w:r w:rsidRPr="00424BD3">
        <w:rPr>
          <w:rFonts w:ascii="Arial" w:hAnsi="Arial" w:cs="Arial"/>
          <w:b/>
          <w:bCs/>
          <w:color w:val="auto"/>
          <w:sz w:val="24"/>
          <w:szCs w:val="24"/>
        </w:rPr>
        <w:t>Introduction</w:t>
      </w:r>
      <w:bookmarkEnd w:id="44"/>
    </w:p>
    <w:p w14:paraId="693687E2" w14:textId="77777777" w:rsidR="00145003" w:rsidRDefault="00145003" w:rsidP="000126EE">
      <w:pPr>
        <w:spacing w:after="0" w:line="480" w:lineRule="auto"/>
        <w:ind w:firstLine="720"/>
        <w:rPr>
          <w:rFonts w:cs="Arial"/>
          <w:szCs w:val="24"/>
        </w:rPr>
      </w:pPr>
    </w:p>
    <w:p w14:paraId="2F45019D" w14:textId="487957D9" w:rsidR="008844E4" w:rsidRPr="00424BD3" w:rsidRDefault="008844E4" w:rsidP="000126EE">
      <w:pPr>
        <w:spacing w:after="0" w:line="480" w:lineRule="auto"/>
        <w:ind w:firstLine="720"/>
        <w:rPr>
          <w:rFonts w:cs="Arial"/>
          <w:szCs w:val="24"/>
        </w:rPr>
      </w:pPr>
      <w:r w:rsidRPr="00424BD3">
        <w:rPr>
          <w:rFonts w:cs="Arial"/>
          <w:szCs w:val="24"/>
        </w:rPr>
        <w:t xml:space="preserve">In order to mitigate the health inequities that older women face, it is necessary to engage with and examine their perceptions, attitudes and beliefs about those inequities and component parts such as mortality outcomes </w:t>
      </w:r>
      <w:r w:rsidRPr="00424BD3">
        <w:rPr>
          <w:rFonts w:cs="Arial"/>
          <w:szCs w:val="24"/>
        </w:rPr>
        <w:fldChar w:fldCharType="begin"/>
      </w:r>
      <w:r w:rsidR="00990F3A">
        <w:rPr>
          <w:rFonts w:cs="Arial"/>
          <w:szCs w:val="24"/>
        </w:rPr>
        <w:instrText xml:space="preserve"> ADDIN ZOTERO_ITEM CSL_CITATION {"citationID":"VMuJBoY6","properties":{"formattedCitation":"(B\\uc0\\u233{}cares &amp; Zhang, 2018; Hosseinpoor et al., 2012; E. Phelan &amp; LoGerfo, 2005; Pinquart &amp; S\\uc0\\u246{}rensen, 2001; Tannenbaum et al., 2005)","plainCitation":"(Bécares &amp; Zhang, 2018; Hosseinpoor et al., 2012; E. Phelan &amp; LoGerfo, 2005; Pinquart &amp; Sörensen, 2001; Tannenbaum et al., 2005)","noteIndex":0},"citationItems":[{"id":1048,"uris":["http://zotero.org/users/4946941/items/7LNGWSUP"],"itemData":{"id":1048,"type":"article-journal","container-title":"American Journal of Epidemiology","DOI":"10.1093/aje/kwx326","ISSN":"0002-9262, 1476-6256","issue":"5","language":"en","page":"924-932","source":"DOI.org (Crossref)","title":"Perceived Interpersonal Discrimination and Older Women’s Mental Health: Accumulation Across Domains, Attributions, and Time","title-short":"Perceived Interpersonal Discrimination and Older Women’s Mental Health","volume":"187","author":[{"family":"Bécares","given":"Laia"},{"family":"Zhang","given":"Nan"}],"issued":{"date-parts":[["2018",5,1]]}}},{"id":1043,"uris":["http://zotero.org/users/4946941/items/849EDSDW"],"itemData":{"id":1043,"type":"article-journal","abstract":"Background Women and men share similar health challenges yet women report poorer health. The study investigates the social determinants of self-reported health in women and men, and male-female differences in health. Methods Data on 103154 men and 125728 women were analysed from 57 countries in the World Health Survey 2002–2004. Item Response Theory was used to construct a composite measure of health. Associations between health and determinants were assessed using multivariate linear regression. Blinder-Oaxaca decomposition partitioned the inequality in health between women and men into an “explained\" component that arises because men and women differ in social and economic characteristics, and an “unexplained\" component due to the differential effects of these characteristics. Decomposition was repeated for 18 countries in the World Health Organization (WHO) African region and 19 countries in the WHO European region. Results Women's health was significantly lower than men's. Health was associated with education, household economic status, employment, and marital status after controlling for age. In the pooled analysis decomposition showed that 30% of the inequality was “explained\", of which almost 75% came from employment, education, marital status. The differential effects of being in paid employment increased the inequality. When countries in Africa and Europe were compared, the “explained\" component (31% and 39% respectively) was largely attributed to the social determinants in the African countries and to women's longevity in the European countries. Being in paid employment had a greater positive effect on the health of males in both regions. Conclusions Ways in which age and the social determinants contribute to the poorer health status of women compared with men varies between groups of countries. This study highlights the need for action to address social structures, institutional discrimination and harmful gender norms and roles that differently influence health with ageing.","container-title":"PLOS ONE","DOI":"10.1371/journal.pone.0034799","ISSN":"1932-6203","issue":"4","journalAbbreviation":"PLOS ONE","language":"en","note":"publisher: Public Library of Science","page":"e34799","source":"PLoS Journals","title":"Social Determinants of Self-Reported Health in Women and Men: Understanding the Role of Gender in Population Health","title-short":"Social Determinants of Self-Reported Health in Women and Men","volume":"7","author":[{"family":"Hosseinpoor","given":"Ahmad Reza"},{"family":"Williams","given":"Jennifer Stewart"},{"family":"Amin","given":"Avni"},{"family":"Carvalho","given":"Islene Araujo","dropping-particle":"de"},{"family":"Beard","given":"John"},{"family":"Boerma","given":"Ties"},{"family":"Kowal","given":"Paul"},{"family":"Naidoo","given":"Nirmala"},{"family":"Chatterji","given":"Somnath"}],"issued":{"date-parts":[["2012",4,13]]}}},{"id":770,"uris":["http://zotero.org/users/4946941/items/A8ZM7MRY"],"itemData":{"id":770,"type":"article-journal","container-title":"Cmaj","issue":"2","language":"en","page":"165–166","title":"New insights into the health priorities and needs of older women","volume":"173","author":[{"family":"Phelan","given":"E."},{"family":"LoGerfo","given":"J."}],"issued":{"date-parts":[["2005"]]}}},{"id":1040,"uris":["http://zotero.org/users/4946941/items/AKGRHXIH"],"itemData":{"id":1040,"type":"article-journal","abstract":"Because of women's higher risk of being widowed, having health problems, and needing care, one might expect them to have a more negative self-concept and lower subjective well-being (SWB). However, women may also have greater access to sources of SWB (e.g., relations to adult children) and may engage in processes to protect the self (e.g., lowered aspirations). Meta-analysis was used to synthesize findings from 300 empirical studies on gender differences in life satisfaction, happiness, self-esteem, loneliness, subjective health, and subjective age in late adulthood. Older women reported significantly lower SWB and less positive self-concept than men on all measures, except subjective age, although gender accounted for less than 1% of the variance in well-being and self-concept. Smaller gender differences in SWB were found in younger than in older groups. Statistically controlling for gender differences in widowhood, health, and socioeconomic status decreased gender differences in SWB. Cohort differences in SWB are reported as well.","container-title":"The Journals of Gerontology: Series B","DOI":"10.1093/geronb/56.4.P195","ISSN":"1079-5014","issue":"4","journalAbbreviation":"The Journals of Gerontology: Series B","page":"P195-P213","source":"Silverchair","title":"Gender Differences in Self-Concept and Psychological Well-Being in Old Age: A Meta-Analysis","title-short":"Gender Differences in Self-Concept and Psychological Well-Being in Old Age","volume":"56","author":[{"family":"Pinquart","given":"Martin"},{"family":"Sörensen","given":"Silvia"}],"issued":{"date-parts":[["2001",7,1]]}}},{"id":811,"uris":["http://zotero.org/users/4946941/items/QLPRZK8X"],"itemData":{"id":811,"type":"article-journal","container-title":"Cmaj","issue":"2","language":"en","page":"153–159","title":"Older women's health priorities and perceptions of care delivery: results of the WOW health survey","volume":"173","author":[{"family":"Tannenbaum","given":"C."},{"family":"Mayo","given":"N."},{"family":"Ducharme","given":"F."}],"issued":{"date-parts":[["2005"]]}}}],"schema":"https://github.com/citation-style-language/schema/raw/master/csl-citation.json"} </w:instrText>
      </w:r>
      <w:r w:rsidRPr="00424BD3">
        <w:rPr>
          <w:rFonts w:cs="Arial"/>
          <w:szCs w:val="24"/>
        </w:rPr>
        <w:fldChar w:fldCharType="separate"/>
      </w:r>
      <w:r w:rsidR="001F2B17" w:rsidRPr="00424BD3">
        <w:rPr>
          <w:rFonts w:cs="Arial"/>
          <w:szCs w:val="24"/>
        </w:rPr>
        <w:t>(Bécares &amp; Zhang, 2018; Hosseinpoor et al., 2012; E. Phelan &amp; LoGerfo, 2005; Pinquart &amp; Sörensen, 2001; Tannenbaum et al., 2005)</w:t>
      </w:r>
      <w:r w:rsidRPr="00424BD3">
        <w:rPr>
          <w:rFonts w:cs="Arial"/>
          <w:szCs w:val="24"/>
        </w:rPr>
        <w:fldChar w:fldCharType="end"/>
      </w:r>
      <w:r w:rsidRPr="00424BD3">
        <w:rPr>
          <w:rFonts w:cs="Arial"/>
          <w:szCs w:val="24"/>
        </w:rPr>
        <w:t>. As noted in earlier chapters, older women face several factors which exacerbate the</w:t>
      </w:r>
      <w:r w:rsidR="00211E8F" w:rsidRPr="00424BD3">
        <w:rPr>
          <w:rFonts w:cs="Arial"/>
          <w:szCs w:val="24"/>
        </w:rPr>
        <w:t xml:space="preserve"> h</w:t>
      </w:r>
      <w:r w:rsidR="0082770B" w:rsidRPr="00424BD3">
        <w:rPr>
          <w:rFonts w:cs="Arial"/>
          <w:szCs w:val="24"/>
        </w:rPr>
        <w:t>e</w:t>
      </w:r>
      <w:r w:rsidRPr="00424BD3">
        <w:rPr>
          <w:rFonts w:cs="Arial"/>
          <w:szCs w:val="24"/>
        </w:rPr>
        <w:t>alth inequities</w:t>
      </w:r>
      <w:r w:rsidR="00211E8F" w:rsidRPr="00424BD3">
        <w:rPr>
          <w:rFonts w:cs="Arial"/>
          <w:szCs w:val="24"/>
        </w:rPr>
        <w:t xml:space="preserve"> they </w:t>
      </w:r>
      <w:r w:rsidR="0082770B" w:rsidRPr="00424BD3">
        <w:rPr>
          <w:rFonts w:cs="Arial"/>
          <w:szCs w:val="24"/>
        </w:rPr>
        <w:t xml:space="preserve">face </w:t>
      </w:r>
      <w:r w:rsidRPr="00424BD3">
        <w:rPr>
          <w:rFonts w:cs="Arial"/>
          <w:szCs w:val="24"/>
        </w:rPr>
        <w:fldChar w:fldCharType="begin"/>
      </w:r>
      <w:r w:rsidR="00D52B29">
        <w:rPr>
          <w:rFonts w:cs="Arial"/>
          <w:szCs w:val="24"/>
        </w:rPr>
        <w:instrText xml:space="preserve"> ADDIN ZOTERO_ITEM CSL_CITATION {"citationID":"PgTsXIng","properties":{"formattedCitation":"(Arber, 2006; Bierman &amp; Clancy, 2001; CAB, 2017; McGuire et al., 2008; Velez et al., 2019; WHO, 2007)","plainCitation":"(Arber, 2006; Bierman &amp; Clancy, 2001; CAB, 2017; McGuire et al., 2008; Velez et al., 2019; WHO, 2007)","noteIndex":0},"citationItems":[{"id":583,"uris":["http://zotero.org/users/4946941/items/65XXARN7"],"itemData":{"id":583,"type":"chapter","container-title":"Ageing and diversity: Multiple pathways and cultural migrations","event-place":"Britol","page":"61-76","publisher":"Policy Press","publisher-place":"Britol","title":"Gender trajectories: How age and marital status influence patterns of gender inequality in later life","author":[{"family":"Arber","given":"Sara"}],"issued":{"date-parts":[["2006"]]}}},{"id":605,"uris":["http://zotero.org/users/4946941/items/I97EFADJ"],"itemData":{"id":605,"type":"article-journal","abstract":"Older women experience a high burden of chronic illness, disability, and comorbidity, and this burden is highest among socioeconomically disadvantaged and minority women. The consequences of a mismatch between the organization, delivery, and financing of health care for older women and their actual needs fall disproportionately on low-income and minority women. New sources of data, such as the Medicare Health Outcomes Survey, a new quality measure for Medicare+Choice plans, will provide valuable information to practitioners about the health and functioning of older women in general and about socioeconomically disadvantaged and minority women in particular. This information can be used to develop and implement interventions to improve the quality and outcomes of care for vulnerable subgroups of older women. There is cause for optimism that by improving the quality of clinical preventive services and the management of common chronic conditions and geriatric syndromes it will be possible to improve functional health outcomes, prevent or postpone disability, and extend active life expectancy for all older women while making progress toward eliminating health disparities among the most disadvantaged.","container-title":"Journal of the American Medical Women's Association (1972)","ISSN":"1551-8221","issue":"4","journalAbbreviation":"J Am Med Womens Assoc (1972)","language":"eng","note":"PMID: 11759783","page":"155-9, 188","source":"Europe PMC","title":"Health disparities among older women: identifying opportunities to improve quality of care and functional health outcomes","title-short":"Health disparities among older women","volume":"56","author":[{"family":"Bierman","given":"A S"},{"family":"Clancy","given":"C M"}],"issued":{"date-parts":[["2001",1,1]]}}},{"id":930,"uris":["http://zotero.org/users/4946941/items/YP85Q6HX"],"itemData":{"id":930,"type":"document","language":"https://www.ageing-better.org.uk/sites/default/files/2017-12/Inequalities%20insight%20report.pdf","publisher":"Centre for Ageing Better (CAB)","title":"Inequalities in Later Life. The issue and the implications for policy and practice.","author":[{"family":"CAB","given":""}],"issued":{"date-parts":[["2017"]]}}},{"id":731,"uris":["http://zotero.org/users/4946941/items/N6KN4GF3"],"itemData":{"id":731,"type":"article-journal","container-title":"Nursing &amp; Health Sciences","DOI":"10.1111/j.1442-2018.2007.00336.x","issue":"1","language":"en","page":"11–16","title":"Ageism revisited: A study measuring ageism in East Tennessee, USA","volume":"10","author":[{"family":"McGuire","given":"S.L."},{"family":"Klein","given":"D.A."},{"family":"Chen","given":"S.L."}],"issued":{"date-parts":[["2008"]]}}},{"id":854,"uris":["http://zotero.org/users/4946941/items/9LK9FFXH"],"itemData":{"id":854,"type":"article-journal","container-title":"Data in brief","language":"en","page":"103811","title":"Data on the association between age at natural menopause and physical function in older women from the International Mobility in Aging Study (IMIAS","volume":"23","author":[{"family":"Velez","given":"M.P."},{"family":"Rosendaal","given":"N."},{"family":"Alvarado","given":"B."},{"family":"Câmara","given":"S."},{"family":"Belanger","given":"E."},{"family":"Pirkle","given":"C.M."}],"issued":{"date-parts":[["2019"]]}}},{"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Pr="00424BD3">
        <w:rPr>
          <w:rFonts w:cs="Arial"/>
          <w:szCs w:val="24"/>
        </w:rPr>
        <w:fldChar w:fldCharType="separate"/>
      </w:r>
      <w:r w:rsidRPr="00424BD3">
        <w:rPr>
          <w:rFonts w:cs="Arial"/>
        </w:rPr>
        <w:t>(Arber, 2006; Bierman &amp; Clancy, 2001; CAB, 2017; McGuire et al., 2008; Velez et al., 2019; WHO, 2007)</w:t>
      </w:r>
      <w:r w:rsidRPr="00424BD3">
        <w:rPr>
          <w:rFonts w:cs="Arial"/>
          <w:szCs w:val="24"/>
        </w:rPr>
        <w:fldChar w:fldCharType="end"/>
      </w:r>
      <w:r w:rsidRPr="00424BD3">
        <w:rPr>
          <w:rFonts w:cs="Arial"/>
          <w:szCs w:val="24"/>
        </w:rPr>
        <w:t xml:space="preserve">. Older women in the United States have also historically and continue to face deeply influential social health norming pressures, particularly around </w:t>
      </w:r>
      <w:r w:rsidR="004E28C7" w:rsidRPr="00424BD3">
        <w:rPr>
          <w:rFonts w:cs="Arial"/>
          <w:szCs w:val="24"/>
        </w:rPr>
        <w:t xml:space="preserve">narrative </w:t>
      </w:r>
      <w:r w:rsidRPr="00424BD3">
        <w:rPr>
          <w:rFonts w:cs="Arial"/>
          <w:szCs w:val="24"/>
        </w:rPr>
        <w:t xml:space="preserve">of individual responsibility and </w:t>
      </w:r>
      <w:r w:rsidR="00D367E4" w:rsidRPr="00424BD3">
        <w:rPr>
          <w:rFonts w:cs="Arial"/>
          <w:szCs w:val="24"/>
        </w:rPr>
        <w:t>health</w:t>
      </w:r>
      <w:r w:rsidRPr="00424BD3">
        <w:rPr>
          <w:rFonts w:cs="Arial"/>
          <w:szCs w:val="24"/>
        </w:rPr>
        <w:t xml:space="preserve"> behavior </w:t>
      </w:r>
      <w:r w:rsidR="0031795D" w:rsidRPr="00424BD3">
        <w:rPr>
          <w:rFonts w:cs="Arial"/>
          <w:szCs w:val="24"/>
        </w:rPr>
        <w:t xml:space="preserve">being the key causes of </w:t>
      </w:r>
      <w:r w:rsidRPr="00424BD3">
        <w:rPr>
          <w:rFonts w:cs="Arial"/>
          <w:szCs w:val="24"/>
        </w:rPr>
        <w:t xml:space="preserve">health and mortality outcomes </w:t>
      </w:r>
      <w:r w:rsidRPr="00424BD3">
        <w:rPr>
          <w:rFonts w:cs="Arial"/>
          <w:szCs w:val="24"/>
        </w:rPr>
        <w:fldChar w:fldCharType="begin"/>
      </w:r>
      <w:r w:rsidR="00990F3A">
        <w:rPr>
          <w:rFonts w:cs="Arial"/>
          <w:szCs w:val="24"/>
        </w:rPr>
        <w:instrText xml:space="preserve"> ADDIN ZOTERO_ITEM CSL_CITATION {"citationID":"TBcmHVOR","properties":{"formattedCitation":"(Cruikshank, 2013; Horne, 2014)","plainCitation":"(Cruikshank, 2013; Horne, 2014)","noteIndex":0},"citationItems":[{"id":642,"uris":["http://zotero.org/users/4946941/items/MU5IA34Q"],"itemData":{"id":642,"type":"book","language":"en","publisher":"Rowman &amp; Littlefield Publishers","title":"Learning to be old: Gender, culture, and aging","author":[{"family":"Cruikshank","given":"M."}],"issued":{"date-parts":[["2013"]]}}},{"id":883,"uris":["http://zotero.org/users/4946941/items/UNBDJGNS"],"itemData":{"id":883,"type":"chapter","container-title":"The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Pr="00424BD3">
        <w:rPr>
          <w:rFonts w:cs="Arial"/>
          <w:szCs w:val="24"/>
        </w:rPr>
        <w:fldChar w:fldCharType="separate"/>
      </w:r>
      <w:r w:rsidRPr="00424BD3">
        <w:rPr>
          <w:rFonts w:cs="Arial"/>
        </w:rPr>
        <w:t>(Cruikshank, 2013; Horne, 2014)</w:t>
      </w:r>
      <w:r w:rsidRPr="00424BD3">
        <w:rPr>
          <w:rFonts w:cs="Arial"/>
          <w:szCs w:val="24"/>
        </w:rPr>
        <w:fldChar w:fldCharType="end"/>
      </w:r>
      <w:r w:rsidRPr="00424BD3">
        <w:rPr>
          <w:rFonts w:cs="Arial"/>
          <w:szCs w:val="24"/>
        </w:rPr>
        <w:t>. Th</w:t>
      </w:r>
      <w:r w:rsidR="0031795D" w:rsidRPr="00424BD3">
        <w:rPr>
          <w:rFonts w:cs="Arial"/>
          <w:szCs w:val="24"/>
        </w:rPr>
        <w:t>is has</w:t>
      </w:r>
      <w:r w:rsidRPr="00424BD3">
        <w:rPr>
          <w:rFonts w:cs="Arial"/>
          <w:szCs w:val="24"/>
        </w:rPr>
        <w:t xml:space="preserve"> impacted</w:t>
      </w:r>
      <w:r w:rsidR="0031795D" w:rsidRPr="00424BD3">
        <w:rPr>
          <w:rFonts w:cs="Arial"/>
          <w:szCs w:val="24"/>
        </w:rPr>
        <w:t xml:space="preserve"> </w:t>
      </w:r>
      <w:r w:rsidRPr="00424BD3">
        <w:rPr>
          <w:rFonts w:cs="Arial"/>
          <w:szCs w:val="24"/>
        </w:rPr>
        <w:t xml:space="preserve">the health and mortality perceptions and experiences of older women in the U.S. </w:t>
      </w:r>
      <w:r w:rsidRPr="00424BD3">
        <w:rPr>
          <w:rFonts w:cs="Arial"/>
          <w:szCs w:val="24"/>
        </w:rPr>
        <w:fldChar w:fldCharType="begin"/>
      </w:r>
      <w:r w:rsidR="00990F3A">
        <w:rPr>
          <w:rFonts w:cs="Arial"/>
          <w:szCs w:val="24"/>
        </w:rPr>
        <w:instrText xml:space="preserve"> ADDIN ZOTERO_ITEM CSL_CITATION {"citationID":"Ax6zygoE","properties":{"formattedCitation":"(Cruikshank, 2013; Horne, 2014)","plainCitation":"(Cruikshank, 2013; Horne, 2014)","noteIndex":0},"citationItems":[{"id":642,"uris":["http://zotero.org/users/4946941/items/MU5IA34Q"],"itemData":{"id":642,"type":"book","language":"en","publisher":"Rowman &amp; Littlefield Publishers","title":"Learning to be old: Gender, culture, and aging","author":[{"family":"Cruikshank","given":"M."}],"issued":{"date-parts":[["2013"]]}}},{"id":883,"uris":["http://zotero.org/users/4946941/items/UNBDJGNS"],"itemData":{"id":883,"type":"chapter","container-title":"The Complexity of Social Norms","event-place":"Cham","ISBN":"978-3-319-05307-3","language":"en","note":"DOI: 10.1007/978-3-319-05308-0_6","page":"105-120","publisher":"Springer International Publishing","publisher-place":"Cham","source":"DOI.org (Crossref)","title":"The Relational Foundation of Norm Enforcement","URL":"http://link.springer.com/10.1007/978-3-319-05308-0_6","editor":[{"family":"Xenitidou","given":"Maria"},{"family":"Edmonds","given":"Bruce"}],"author":[{"family":"Horne","given":"Christine"}],"accessed":{"date-parts":[["2022",7,14]]},"issued":{"date-parts":[["2014"]]}}}],"schema":"https://github.com/citation-style-language/schema/raw/master/csl-citation.json"} </w:instrText>
      </w:r>
      <w:r w:rsidRPr="00424BD3">
        <w:rPr>
          <w:rFonts w:cs="Arial"/>
          <w:szCs w:val="24"/>
        </w:rPr>
        <w:fldChar w:fldCharType="separate"/>
      </w:r>
      <w:r w:rsidRPr="00424BD3">
        <w:rPr>
          <w:rFonts w:cs="Arial"/>
        </w:rPr>
        <w:t>(Cruikshank, 2013; Horne, 2014)</w:t>
      </w:r>
      <w:r w:rsidRPr="00424BD3">
        <w:rPr>
          <w:rFonts w:cs="Arial"/>
          <w:szCs w:val="24"/>
        </w:rPr>
        <w:fldChar w:fldCharType="end"/>
      </w:r>
      <w:r w:rsidRPr="00424BD3">
        <w:rPr>
          <w:rFonts w:cs="Arial"/>
          <w:szCs w:val="24"/>
        </w:rPr>
        <w:t xml:space="preserve">. Additionally, place and geopolitics attenuates these impacts, especially in highly conservative, neoliberal areas of the U.S. such as East Tennessee </w:t>
      </w:r>
      <w:r w:rsidRPr="00424BD3">
        <w:rPr>
          <w:rFonts w:cs="Arial"/>
          <w:szCs w:val="24"/>
        </w:rPr>
        <w:fldChar w:fldCharType="begin"/>
      </w:r>
      <w:r w:rsidR="00990F3A">
        <w:rPr>
          <w:rFonts w:cs="Arial"/>
          <w:szCs w:val="24"/>
        </w:rPr>
        <w:instrText xml:space="preserve"> ADDIN ZOTERO_ITEM CSL_CITATION {"citationID":"9vB5X0dp","properties":{"formattedCitation":"(Galvin, 2002; Hook &amp; Markus, 2020; Yoder, 2002)","plainCitation":"(Galvin, 2002; Hook &amp; Markus, 2020; Yoder, 2002)","noteIndex":0},"citationItems":[{"id":893,"uris":["http://zotero.org/users/4946941/items/ZSLQCID7"],"itemData":{"id":893,"type":"article-journal","abstract":"This article seeks to demonstrate that chronic illness is increasingly being viewed as culpability in the face of known risks, an instance of moral failure that requires the intervention of a range of political technologies. I argue that, in many western nations, it is becoming less acceptable to enter and remain in a physically incapacitated state: it clashes too uncomfortably with the image of the ‘good citizen’ as someone who actively participates in social and economic life, makes rational choices and is independent, self-reliant and responsible. By engaging in a genealogical analysis of chronic illness and individual responsibility, exploring how they are placed within the framework of contemporary ‘risk-society’, employing the insights derived from recent governmentality studies and developing a case study based on the current Australian experience with health promotion and welfare reform, I investigate the ways in which the concepts of health and illness are currently being deployed as tools of ‘government’.","container-title":"Health","DOI":"10.1177/136345930200600201","ISSN":"1363-4593","issue":"2","journalAbbreviation":"Health (London)","language":"en","note":"publisher: SAGE Publications Ltd","page":"107-137","source":"SAGE Journals","title":"Disturbing Notions of Chronic Illness and Individual Responsibility: Towards a Genealogy of Morals","title-short":"Disturbing Notions of Chronic Illness and Individual Responsibility","volume":"6","author":[{"family":"Galvin","given":"Rose"}],"issued":{"date-parts":[["2002",4,1]]}}},{"id":889,"uris":["http://zotero.org/users/4946941/items/SDSZWP2C"],"itemData":{"id":889,"type":"article-journal","abstract":"The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cs="Arial"/>
          <w:szCs w:val="24"/>
        </w:rPr>
        <w:fldChar w:fldCharType="separate"/>
      </w:r>
      <w:r w:rsidRPr="00424BD3">
        <w:rPr>
          <w:rFonts w:cs="Arial"/>
        </w:rPr>
        <w:t>(Galvin, 2002; Hook &amp; Markus, 2020; Yoder, 2002)</w:t>
      </w:r>
      <w:r w:rsidRPr="00424BD3">
        <w:rPr>
          <w:rFonts w:cs="Arial"/>
          <w:szCs w:val="24"/>
        </w:rPr>
        <w:fldChar w:fldCharType="end"/>
      </w:r>
      <w:r w:rsidRPr="00424BD3">
        <w:rPr>
          <w:rFonts w:cs="Arial"/>
          <w:szCs w:val="24"/>
        </w:rPr>
        <w:t>.</w:t>
      </w:r>
    </w:p>
    <w:p w14:paraId="055BB15D" w14:textId="7878843E" w:rsidR="008844E4" w:rsidRPr="00424BD3" w:rsidRDefault="008844E4" w:rsidP="000126EE">
      <w:pPr>
        <w:spacing w:after="0" w:line="480" w:lineRule="auto"/>
        <w:ind w:firstLine="720"/>
        <w:rPr>
          <w:rFonts w:cs="Arial"/>
          <w:szCs w:val="24"/>
        </w:rPr>
      </w:pPr>
      <w:r w:rsidRPr="00424BD3">
        <w:rPr>
          <w:rFonts w:cs="Arial"/>
          <w:szCs w:val="24"/>
        </w:rPr>
        <w:t xml:space="preserve">This </w:t>
      </w:r>
      <w:r w:rsidR="00B50602">
        <w:rPr>
          <w:rFonts w:cs="Arial"/>
          <w:szCs w:val="24"/>
        </w:rPr>
        <w:t>chapter</w:t>
      </w:r>
      <w:r w:rsidR="00B50602" w:rsidRPr="00424BD3">
        <w:rPr>
          <w:rFonts w:cs="Arial"/>
          <w:szCs w:val="24"/>
        </w:rPr>
        <w:t xml:space="preserve"> </w:t>
      </w:r>
      <w:r w:rsidRPr="00424BD3">
        <w:rPr>
          <w:rFonts w:cs="Arial"/>
          <w:szCs w:val="24"/>
        </w:rPr>
        <w:t xml:space="preserve">presents an examination of these factors in relation to older women’s genealogical (familial) and geographical health and mortality outcomes histories. </w:t>
      </w:r>
      <w:r w:rsidR="00B50602">
        <w:rPr>
          <w:rFonts w:cs="Arial"/>
          <w:szCs w:val="24"/>
        </w:rPr>
        <w:t>It</w:t>
      </w:r>
      <w:r w:rsidRPr="00424BD3">
        <w:rPr>
          <w:rFonts w:cs="Arial"/>
          <w:szCs w:val="24"/>
        </w:rPr>
        <w:t xml:space="preserve"> describes the research philosophy, research strategy, sampling and </w:t>
      </w:r>
      <w:r w:rsidRPr="00424BD3">
        <w:rPr>
          <w:rFonts w:cs="Arial"/>
          <w:szCs w:val="24"/>
        </w:rPr>
        <w:lastRenderedPageBreak/>
        <w:t>interview technique and design, sampl</w:t>
      </w:r>
      <w:r w:rsidR="00B50602">
        <w:rPr>
          <w:rFonts w:cs="Arial"/>
          <w:szCs w:val="24"/>
        </w:rPr>
        <w:t>e</w:t>
      </w:r>
      <w:r w:rsidRPr="00424BD3">
        <w:rPr>
          <w:rFonts w:cs="Arial"/>
          <w:szCs w:val="24"/>
        </w:rPr>
        <w:t xml:space="preserve"> size, data analysis framework, and coding strategy, used in this study. </w:t>
      </w:r>
    </w:p>
    <w:p w14:paraId="29B001A5" w14:textId="0873C351" w:rsidR="008844E4" w:rsidRPr="00424BD3" w:rsidRDefault="008844E4" w:rsidP="000126EE">
      <w:pPr>
        <w:pStyle w:val="Heading2"/>
        <w:spacing w:before="0" w:line="480" w:lineRule="auto"/>
        <w:jc w:val="center"/>
        <w:rPr>
          <w:rFonts w:ascii="Arial" w:hAnsi="Arial" w:cs="Arial"/>
          <w:b/>
          <w:bCs/>
          <w:color w:val="auto"/>
          <w:sz w:val="24"/>
          <w:szCs w:val="24"/>
        </w:rPr>
      </w:pPr>
      <w:bookmarkStart w:id="45" w:name="_Toc118232311"/>
      <w:r w:rsidRPr="00424BD3">
        <w:rPr>
          <w:rFonts w:ascii="Arial" w:hAnsi="Arial" w:cs="Arial"/>
          <w:b/>
          <w:bCs/>
          <w:color w:val="auto"/>
          <w:sz w:val="24"/>
          <w:szCs w:val="24"/>
        </w:rPr>
        <w:t>Research Philosophy</w:t>
      </w:r>
      <w:bookmarkEnd w:id="45"/>
    </w:p>
    <w:p w14:paraId="603BEE02" w14:textId="70A65471" w:rsidR="008844E4" w:rsidRPr="00424BD3" w:rsidRDefault="008844E4" w:rsidP="000126EE">
      <w:pPr>
        <w:spacing w:after="0" w:line="480" w:lineRule="auto"/>
        <w:ind w:firstLine="720"/>
        <w:rPr>
          <w:rFonts w:cs="Arial"/>
          <w:szCs w:val="24"/>
        </w:rPr>
      </w:pPr>
      <w:r w:rsidRPr="00424BD3">
        <w:rPr>
          <w:rFonts w:cs="Arial"/>
          <w:szCs w:val="24"/>
        </w:rPr>
        <w:t>Because the purpose of this study is to gather and explore participants</w:t>
      </w:r>
      <w:r w:rsidR="00B50602">
        <w:rPr>
          <w:rFonts w:cs="Arial"/>
          <w:szCs w:val="24"/>
        </w:rPr>
        <w:t>’</w:t>
      </w:r>
      <w:r w:rsidRPr="00424BD3">
        <w:rPr>
          <w:rFonts w:cs="Arial"/>
          <w:szCs w:val="24"/>
        </w:rPr>
        <w:t xml:space="preserve"> lived experiences and their perceptions of health inequities and mortality outcomes within a complex, inter-generational, interrelated socially constructed health ‘world’, this research </w:t>
      </w:r>
      <w:r w:rsidR="005742B4" w:rsidRPr="00424BD3">
        <w:rPr>
          <w:rFonts w:cs="Arial"/>
          <w:szCs w:val="24"/>
        </w:rPr>
        <w:t xml:space="preserve">is undertaken </w:t>
      </w:r>
      <w:r w:rsidRPr="00424BD3">
        <w:rPr>
          <w:rFonts w:cs="Arial"/>
          <w:szCs w:val="24"/>
        </w:rPr>
        <w:t xml:space="preserve">from a </w:t>
      </w:r>
      <w:r w:rsidRPr="00424BD3">
        <w:rPr>
          <w:rFonts w:cs="Arial"/>
          <w:bCs/>
          <w:szCs w:val="24"/>
        </w:rPr>
        <w:t>critical and feminist geographies approach. Critical</w:t>
      </w:r>
      <w:r w:rsidRPr="00424BD3">
        <w:rPr>
          <w:rFonts w:cs="Arial"/>
          <w:szCs w:val="24"/>
        </w:rPr>
        <w:t xml:space="preserve"> geographies work to not only challenge and influence the general public, but policy and decision-makers as well </w:t>
      </w:r>
      <w:r w:rsidRPr="00424BD3">
        <w:rPr>
          <w:rFonts w:cs="Arial"/>
          <w:szCs w:val="24"/>
        </w:rPr>
        <w:fldChar w:fldCharType="begin"/>
      </w:r>
      <w:r w:rsidR="00990F3A">
        <w:rPr>
          <w:rFonts w:cs="Arial"/>
          <w:szCs w:val="24"/>
        </w:rPr>
        <w:instrText xml:space="preserve"> ADDIN ZOTERO_ITEM CSL_CITATION {"citationID":"hDmmmimO","properties":{"formattedCitation":"(Fuller &amp; Kitchin, 2004)","plainCitation":"(Fuller &amp; Kitchin, 2004)","noteIndex":0},"citationItems":[{"id":1050,"uris":["http://zotero.org/users/4946941/items/2IQU7TR7"],"itemData":{"id":1050,"type":"document","title":"Radical theory/Critical praxis: Making a difference beyond the academy?","author":[{"family":"Fuller","given":"Duncan"},{"family":"Kitchin","given":"Rob"}],"issued":{"date-parts":[["2004"]]}}}],"schema":"https://github.com/citation-style-language/schema/raw/master/csl-citation.json"} </w:instrText>
      </w:r>
      <w:r w:rsidRPr="00424BD3">
        <w:rPr>
          <w:rFonts w:cs="Arial"/>
          <w:szCs w:val="24"/>
        </w:rPr>
        <w:fldChar w:fldCharType="separate"/>
      </w:r>
      <w:r w:rsidRPr="00424BD3">
        <w:rPr>
          <w:rFonts w:cs="Arial"/>
        </w:rPr>
        <w:t>(Fuller &amp; Kitchin, 2004)</w:t>
      </w:r>
      <w:r w:rsidRPr="00424BD3">
        <w:rPr>
          <w:rFonts w:cs="Arial"/>
          <w:szCs w:val="24"/>
        </w:rPr>
        <w:fldChar w:fldCharType="end"/>
      </w:r>
      <w:r w:rsidRPr="00424BD3">
        <w:rPr>
          <w:rFonts w:cs="Arial"/>
          <w:szCs w:val="24"/>
        </w:rPr>
        <w:t xml:space="preserve">. As such, they make space for researcher-activists and researcher-activist geographies </w:t>
      </w:r>
      <w:r w:rsidRPr="00424BD3">
        <w:rPr>
          <w:rFonts w:cs="Arial"/>
          <w:szCs w:val="24"/>
        </w:rPr>
        <w:fldChar w:fldCharType="begin"/>
      </w:r>
      <w:r w:rsidR="00990F3A">
        <w:rPr>
          <w:rFonts w:cs="Arial"/>
          <w:szCs w:val="24"/>
        </w:rPr>
        <w:instrText xml:space="preserve"> ADDIN ZOTERO_ITEM CSL_CITATION {"citationID":"muqHJHnV","properties":{"formattedCitation":"(Blomley, 2008)","plainCitation":"(Blomley, 2008)","noteIndex":0},"citationItems":[{"id":1051,"uris":["http://zotero.org/users/4946941/items/G7GYTG73"],"itemData":{"id":1051,"type":"article-journal","container-title":"Progress in Human Geography","DOI":"10.1177/0309132507084401","ISSN":"0309-1325","issue":"2","journalAbbreviation":"Progress in Human Geography","language":"en","note":"publisher: SAGE Publications Ltd","page":"285-293","source":"SAGE Journals","title":"The spaces of critical geography","volume":"32","author":[{"family":"Blomley","given":"Nicholas"}],"issued":{"date-parts":[["2008",4,1]]}}}],"schema":"https://github.com/citation-style-language/schema/raw/master/csl-citation.json"} </w:instrText>
      </w:r>
      <w:r w:rsidRPr="00424BD3">
        <w:rPr>
          <w:rFonts w:cs="Arial"/>
          <w:szCs w:val="24"/>
        </w:rPr>
        <w:fldChar w:fldCharType="separate"/>
      </w:r>
      <w:r w:rsidRPr="00424BD3">
        <w:rPr>
          <w:rFonts w:cs="Arial"/>
        </w:rPr>
        <w:t>(Blomley, 2008)</w:t>
      </w:r>
      <w:r w:rsidRPr="00424BD3">
        <w:rPr>
          <w:rFonts w:cs="Arial"/>
          <w:szCs w:val="24"/>
        </w:rPr>
        <w:fldChar w:fldCharType="end"/>
      </w:r>
      <w:r w:rsidRPr="00424BD3">
        <w:rPr>
          <w:rFonts w:cs="Arial"/>
          <w:szCs w:val="24"/>
        </w:rPr>
        <w:t xml:space="preserve"> and for participatory research and engagement </w:t>
      </w:r>
      <w:r w:rsidRPr="00424BD3">
        <w:rPr>
          <w:rFonts w:cs="Arial"/>
          <w:szCs w:val="24"/>
        </w:rPr>
        <w:fldChar w:fldCharType="begin"/>
      </w:r>
      <w:r w:rsidR="00990F3A">
        <w:rPr>
          <w:rFonts w:cs="Arial"/>
          <w:szCs w:val="24"/>
        </w:rPr>
        <w:instrText xml:space="preserve"> ADDIN ZOTERO_ITEM CSL_CITATION {"citationID":"ykiFXod0","properties":{"formattedCitation":"(Fuller &amp; Kitchin, 2004)","plainCitation":"(Fuller &amp; Kitchin, 2004)","noteIndex":0},"citationItems":[{"id":1050,"uris":["http://zotero.org/users/4946941/items/2IQU7TR7"],"itemData":{"id":1050,"type":"document","title":"Radical theory/Critical praxis: Making a difference beyond the academy?","author":[{"family":"Fuller","given":"Duncan"},{"family":"Kitchin","given":"Rob"}],"issued":{"date-parts":[["2004"]]}}}],"schema":"https://github.com/citation-style-language/schema/raw/master/csl-citation.json"} </w:instrText>
      </w:r>
      <w:r w:rsidRPr="00424BD3">
        <w:rPr>
          <w:rFonts w:cs="Arial"/>
          <w:szCs w:val="24"/>
        </w:rPr>
        <w:fldChar w:fldCharType="separate"/>
      </w:r>
      <w:r w:rsidRPr="00424BD3">
        <w:rPr>
          <w:rFonts w:cs="Arial"/>
        </w:rPr>
        <w:t>(Fuller &amp; Kitchin, 2004)</w:t>
      </w:r>
      <w:r w:rsidRPr="00424BD3">
        <w:rPr>
          <w:rFonts w:cs="Arial"/>
          <w:szCs w:val="24"/>
        </w:rPr>
        <w:fldChar w:fldCharType="end"/>
      </w:r>
      <w:r w:rsidRPr="00424BD3">
        <w:rPr>
          <w:rFonts w:cs="Arial"/>
          <w:szCs w:val="24"/>
        </w:rPr>
        <w:t>. Critical geograph</w:t>
      </w:r>
      <w:r w:rsidR="00611932">
        <w:rPr>
          <w:rFonts w:cs="Arial"/>
          <w:szCs w:val="24"/>
        </w:rPr>
        <w:t xml:space="preserve">ers sometimes </w:t>
      </w:r>
      <w:r w:rsidRPr="00424BD3">
        <w:rPr>
          <w:rFonts w:cs="Arial"/>
          <w:szCs w:val="24"/>
        </w:rPr>
        <w:t>attempt to dissolve the walls between academia and participants</w:t>
      </w:r>
      <w:r w:rsidR="00611932">
        <w:rPr>
          <w:rFonts w:cs="Arial"/>
          <w:szCs w:val="24"/>
        </w:rPr>
        <w:t xml:space="preserve">, what is sometimes called participant action research or activist </w:t>
      </w:r>
      <w:r w:rsidR="00C47545">
        <w:rPr>
          <w:rFonts w:cs="Arial"/>
          <w:szCs w:val="24"/>
        </w:rPr>
        <w:t>research and</w:t>
      </w:r>
      <w:r w:rsidR="00611932">
        <w:rPr>
          <w:rFonts w:cs="Arial"/>
          <w:szCs w:val="24"/>
        </w:rPr>
        <w:t xml:space="preserve"> allows the </w:t>
      </w:r>
      <w:r w:rsidRPr="00424BD3">
        <w:rPr>
          <w:rFonts w:cs="Arial"/>
          <w:szCs w:val="24"/>
        </w:rPr>
        <w:t xml:space="preserve">researcher to engage in direct action on social justice issues alongside those they study. Likewise, </w:t>
      </w:r>
      <w:r w:rsidR="00611932">
        <w:rPr>
          <w:rFonts w:cs="Arial"/>
          <w:szCs w:val="24"/>
        </w:rPr>
        <w:t>f</w:t>
      </w:r>
      <w:r w:rsidRPr="00424BD3">
        <w:rPr>
          <w:rFonts w:cs="Arial"/>
          <w:szCs w:val="24"/>
        </w:rPr>
        <w:t xml:space="preserve">eminist geographies </w:t>
      </w:r>
      <w:r w:rsidR="00693C69" w:rsidRPr="00424BD3">
        <w:rPr>
          <w:rFonts w:cs="Arial"/>
          <w:szCs w:val="24"/>
        </w:rPr>
        <w:t>encourage</w:t>
      </w:r>
      <w:r w:rsidRPr="00424BD3">
        <w:rPr>
          <w:rFonts w:cs="Arial"/>
          <w:szCs w:val="24"/>
        </w:rPr>
        <w:t xml:space="preserve"> researchers to examine the patriarchal and power-relations </w:t>
      </w:r>
      <w:r w:rsidR="00611932">
        <w:rPr>
          <w:rFonts w:cs="Arial"/>
          <w:szCs w:val="24"/>
        </w:rPr>
        <w:t>inherent to</w:t>
      </w:r>
      <w:r w:rsidRPr="00424BD3">
        <w:rPr>
          <w:rFonts w:cs="Arial"/>
          <w:szCs w:val="24"/>
        </w:rPr>
        <w:t xml:space="preserve"> older women’s health inequities </w:t>
      </w:r>
      <w:r w:rsidRPr="00424BD3">
        <w:rPr>
          <w:rFonts w:cs="Arial"/>
          <w:szCs w:val="24"/>
        </w:rPr>
        <w:fldChar w:fldCharType="begin"/>
      </w:r>
      <w:r w:rsidR="00990F3A">
        <w:rPr>
          <w:rFonts w:cs="Arial"/>
          <w:szCs w:val="24"/>
        </w:rPr>
        <w:instrText xml:space="preserve"> ADDIN ZOTERO_ITEM CSL_CITATION {"citationID":"KybfZ1zg","properties":{"formattedCitation":"(Fuller &amp; Kitchin, 2004)","plainCitation":"(Fuller &amp; Kitchin, 2004)","noteIndex":0},"citationItems":[{"id":1050,"uris":["http://zotero.org/users/4946941/items/2IQU7TR7"],"itemData":{"id":1050,"type":"document","title":"Radical theory/Critical praxis: Making a difference beyond the academy?","author":[{"family":"Fuller","given":"Duncan"},{"family":"Kitchin","given":"Rob"}],"issued":{"date-parts":[["2004"]]}}}],"schema":"https://github.com/citation-style-language/schema/raw/master/csl-citation.json"} </w:instrText>
      </w:r>
      <w:r w:rsidRPr="00424BD3">
        <w:rPr>
          <w:rFonts w:cs="Arial"/>
          <w:szCs w:val="24"/>
        </w:rPr>
        <w:fldChar w:fldCharType="separate"/>
      </w:r>
      <w:r w:rsidRPr="00424BD3">
        <w:rPr>
          <w:rFonts w:cs="Arial"/>
        </w:rPr>
        <w:t>(Fuller &amp; Kitchin, 2004)</w:t>
      </w:r>
      <w:r w:rsidRPr="00424BD3">
        <w:rPr>
          <w:rFonts w:cs="Arial"/>
          <w:szCs w:val="24"/>
        </w:rPr>
        <w:fldChar w:fldCharType="end"/>
      </w:r>
      <w:r w:rsidRPr="00424BD3">
        <w:rPr>
          <w:rFonts w:cs="Arial"/>
          <w:szCs w:val="24"/>
        </w:rPr>
        <w:t xml:space="preserve">. Both encourage researchers to question all aspects of research and praxis, and to be self-reflexive – questioning a researcher’s own positionality and bias </w:t>
      </w:r>
      <w:r w:rsidRPr="00424BD3">
        <w:rPr>
          <w:rFonts w:cs="Arial"/>
          <w:szCs w:val="24"/>
        </w:rPr>
        <w:fldChar w:fldCharType="begin"/>
      </w:r>
      <w:r w:rsidR="00990F3A">
        <w:rPr>
          <w:rFonts w:cs="Arial"/>
          <w:szCs w:val="24"/>
        </w:rPr>
        <w:instrText xml:space="preserve"> ADDIN ZOTERO_ITEM CSL_CITATION {"citationID":"9VcsBU9V","properties":{"formattedCitation":"(Fuller &amp; Kitchin, 2004)","plainCitation":"(Fuller &amp; Kitchin, 2004)","noteIndex":0},"citationItems":[{"id":1050,"uris":["http://zotero.org/users/4946941/items/2IQU7TR7"],"itemData":{"id":1050,"type":"document","title":"Radical theory/Critical praxis: Making a difference beyond the academy?","author":[{"family":"Fuller","given":"Duncan"},{"family":"Kitchin","given":"Rob"}],"issued":{"date-parts":[["2004"]]}}}],"schema":"https://github.com/citation-style-language/schema/raw/master/csl-citation.json"} </w:instrText>
      </w:r>
      <w:r w:rsidRPr="00424BD3">
        <w:rPr>
          <w:rFonts w:cs="Arial"/>
          <w:szCs w:val="24"/>
        </w:rPr>
        <w:fldChar w:fldCharType="separate"/>
      </w:r>
      <w:r w:rsidRPr="00424BD3">
        <w:rPr>
          <w:rFonts w:cs="Arial"/>
        </w:rPr>
        <w:t>(Fuller &amp; Kitchin, 2004)</w:t>
      </w:r>
      <w:r w:rsidRPr="00424BD3">
        <w:rPr>
          <w:rFonts w:cs="Arial"/>
          <w:szCs w:val="24"/>
        </w:rPr>
        <w:fldChar w:fldCharType="end"/>
      </w:r>
      <w:r w:rsidRPr="00424BD3">
        <w:rPr>
          <w:rFonts w:cs="Arial"/>
          <w:szCs w:val="24"/>
        </w:rPr>
        <w:t xml:space="preserve">. These methodological philosophies compliment </w:t>
      </w:r>
      <w:r w:rsidR="008A638A" w:rsidRPr="00424BD3">
        <w:rPr>
          <w:rFonts w:cs="Arial"/>
          <w:szCs w:val="24"/>
        </w:rPr>
        <w:t>ecosocial</w:t>
      </w:r>
      <w:r w:rsidRPr="00424BD3">
        <w:rPr>
          <w:rFonts w:cs="Arial"/>
          <w:szCs w:val="24"/>
        </w:rPr>
        <w:t xml:space="preserve"> theory in that all challenge researchers to carefully consider the relationship between themselves and the people they are researching, and to work to not ‘objectify’ the people / participants with whom they engage </w:t>
      </w:r>
      <w:r w:rsidRPr="00424BD3">
        <w:rPr>
          <w:rFonts w:cs="Arial"/>
          <w:szCs w:val="24"/>
        </w:rPr>
        <w:fldChar w:fldCharType="begin"/>
      </w:r>
      <w:r w:rsidR="00990F3A">
        <w:rPr>
          <w:rFonts w:cs="Arial"/>
          <w:szCs w:val="24"/>
        </w:rPr>
        <w:instrText xml:space="preserve"> ADDIN ZOTERO_ITEM CSL_CITATION {"citationID":"ZQF4JUX8","properties":{"formattedCitation":"(Fuller &amp; Kitchin, 2004)","plainCitation":"(Fuller &amp; Kitchin, 2004)","noteIndex":0},"citationItems":[{"id":1050,"uris":["http://zotero.org/users/4946941/items/2IQU7TR7"],"itemData":{"id":1050,"type":"document","title":"Radical theory/Critical praxis: Making a difference beyond the academy?","author":[{"family":"Fuller","given":"Duncan"},{"family":"Kitchin","given":"Rob"}],"issued":{"date-parts":[["2004"]]}}}],"schema":"https://github.com/citation-style-language/schema/raw/master/csl-citation.json"} </w:instrText>
      </w:r>
      <w:r w:rsidRPr="00424BD3">
        <w:rPr>
          <w:rFonts w:cs="Arial"/>
          <w:szCs w:val="24"/>
        </w:rPr>
        <w:fldChar w:fldCharType="separate"/>
      </w:r>
      <w:r w:rsidRPr="00424BD3">
        <w:rPr>
          <w:rFonts w:cs="Arial"/>
        </w:rPr>
        <w:t>(Fuller &amp; Kitchin, 2004)</w:t>
      </w:r>
      <w:r w:rsidRPr="00424BD3">
        <w:rPr>
          <w:rFonts w:cs="Arial"/>
          <w:szCs w:val="24"/>
        </w:rPr>
        <w:fldChar w:fldCharType="end"/>
      </w:r>
      <w:r w:rsidRPr="00424BD3">
        <w:rPr>
          <w:rFonts w:cs="Arial"/>
          <w:szCs w:val="24"/>
        </w:rPr>
        <w:t xml:space="preserve">. While these methodologies continue to have challenges, such as closing the gap for academics between using the language of </w:t>
      </w:r>
      <w:r w:rsidRPr="00424BD3">
        <w:rPr>
          <w:rFonts w:cs="Arial"/>
          <w:szCs w:val="24"/>
        </w:rPr>
        <w:lastRenderedPageBreak/>
        <w:t xml:space="preserve">social justice and issuing calls to action in our research or on being “impartial” scholars, these methodologies embrace the ‘messiness’ and nuances of people’s experiences and perceptions which result in complicated and complex research studies and outcomes such as this study. </w:t>
      </w:r>
    </w:p>
    <w:p w14:paraId="76269F1C" w14:textId="2C5B5044" w:rsidR="008844E4" w:rsidRPr="00424BD3" w:rsidRDefault="008844E4" w:rsidP="000126EE">
      <w:pPr>
        <w:pStyle w:val="Heading2"/>
        <w:spacing w:before="0" w:line="480" w:lineRule="auto"/>
        <w:jc w:val="center"/>
        <w:rPr>
          <w:rFonts w:ascii="Arial" w:hAnsi="Arial" w:cs="Arial"/>
          <w:b/>
          <w:bCs/>
          <w:color w:val="auto"/>
          <w:sz w:val="24"/>
          <w:szCs w:val="24"/>
        </w:rPr>
      </w:pPr>
      <w:bookmarkStart w:id="46" w:name="_Toc118232312"/>
      <w:r w:rsidRPr="00424BD3">
        <w:rPr>
          <w:rFonts w:ascii="Arial" w:hAnsi="Arial" w:cs="Arial"/>
          <w:b/>
          <w:bCs/>
          <w:color w:val="auto"/>
          <w:sz w:val="24"/>
          <w:szCs w:val="24"/>
        </w:rPr>
        <w:t>Research Strategy</w:t>
      </w:r>
      <w:bookmarkEnd w:id="46"/>
    </w:p>
    <w:p w14:paraId="42B2F3F3" w14:textId="0B35212E" w:rsidR="008844E4" w:rsidRPr="00424BD3" w:rsidRDefault="008844E4" w:rsidP="000126EE">
      <w:pPr>
        <w:spacing w:after="0" w:line="480" w:lineRule="auto"/>
        <w:ind w:firstLine="720"/>
        <w:rPr>
          <w:rFonts w:cs="Arial"/>
          <w:szCs w:val="24"/>
        </w:rPr>
      </w:pPr>
      <w:r w:rsidRPr="00424BD3">
        <w:rPr>
          <w:rFonts w:cs="Arial"/>
          <w:szCs w:val="24"/>
        </w:rPr>
        <w:t xml:space="preserve">This qualitative study undertakes </w:t>
      </w:r>
      <w:r w:rsidR="0053678C" w:rsidRPr="00424BD3">
        <w:rPr>
          <w:rFonts w:cs="Arial"/>
          <w:szCs w:val="24"/>
        </w:rPr>
        <w:t>research</w:t>
      </w:r>
      <w:r w:rsidR="000F16EF">
        <w:rPr>
          <w:rFonts w:cs="Arial"/>
          <w:szCs w:val="24"/>
        </w:rPr>
        <w:t xml:space="preserve"> of</w:t>
      </w:r>
      <w:r w:rsidR="0053678C" w:rsidRPr="00424BD3">
        <w:rPr>
          <w:rFonts w:cs="Arial"/>
          <w:szCs w:val="24"/>
        </w:rPr>
        <w:t xml:space="preserve"> </w:t>
      </w:r>
      <w:r w:rsidRPr="00424BD3">
        <w:rPr>
          <w:rFonts w:cs="Arial"/>
          <w:szCs w:val="24"/>
        </w:rPr>
        <w:t>older women in East Tennessee through purposive sampling in order to examine a) how their perceptions of and lived experiences with gendered health inequities, and the social determinants (</w:t>
      </w:r>
      <w:r w:rsidR="008E29F7">
        <w:rPr>
          <w:rFonts w:cs="Arial"/>
          <w:szCs w:val="24"/>
        </w:rPr>
        <w:t>SDOH</w:t>
      </w:r>
      <w:r w:rsidRPr="00424BD3">
        <w:rPr>
          <w:rFonts w:cs="Arial"/>
          <w:szCs w:val="24"/>
        </w:rPr>
        <w:t xml:space="preserve">) thereof, are situated in their genealogical (familial) and geographical health and mortality outcomes and b) how their perceptions and experiences of health inequities and their familial mortality outcomes histories are characterized by the geopolitical and social norms in which they live. One-hour </w:t>
      </w:r>
      <w:r w:rsidR="0053678C" w:rsidRPr="00424BD3">
        <w:rPr>
          <w:rFonts w:cs="Arial"/>
          <w:szCs w:val="24"/>
        </w:rPr>
        <w:t xml:space="preserve">long </w:t>
      </w:r>
      <w:r w:rsidRPr="00424BD3">
        <w:rPr>
          <w:rFonts w:cs="Arial"/>
          <w:szCs w:val="24"/>
        </w:rPr>
        <w:t xml:space="preserve">semi-structured interviews were conducted in the Spring and Summer of 2021. In keeping with Rice &amp; Ezzy’s </w:t>
      </w:r>
      <w:r w:rsidRPr="00424BD3">
        <w:rPr>
          <w:rFonts w:cs="Arial"/>
          <w:szCs w:val="24"/>
        </w:rPr>
        <w:fldChar w:fldCharType="begin"/>
      </w:r>
      <w:r w:rsidR="00990F3A">
        <w:rPr>
          <w:rFonts w:cs="Arial"/>
          <w:szCs w:val="24"/>
        </w:rPr>
        <w:instrText xml:space="preserve"> ADDIN ZOTERO_ITEM CSL_CITATION {"citationID":"qGrjDkNM","properties":{"formattedCitation":"(2001)","plainCitation":"(2001)","noteIndex":0},"citationItems":[{"id":778,"uris":["http://zotero.org/users/4946941/items/4VAA7UT9"],"itemData":{"id":778,"type":"book","event-place":"Melbourne, Vic","language":"en","publisher":"Oxford University Press","publisher-place":"Melbourne, Vic","title":"Qualitative research methods: A health focus","author":[{"family":"Rice","given":"P.L."},{"family":"Ezzy","given":"D."}],"issued":{"date-parts":[["2001"]]}},"suppress-author":true}],"schema":"https://github.com/citation-style-language/schema/raw/master/csl-citation.json"} </w:instrText>
      </w:r>
      <w:r w:rsidRPr="00424BD3">
        <w:rPr>
          <w:rFonts w:cs="Arial"/>
          <w:szCs w:val="24"/>
        </w:rPr>
        <w:fldChar w:fldCharType="separate"/>
      </w:r>
      <w:r w:rsidRPr="00424BD3">
        <w:rPr>
          <w:rFonts w:cs="Arial"/>
        </w:rPr>
        <w:t>(2001)</w:t>
      </w:r>
      <w:r w:rsidRPr="00424BD3">
        <w:rPr>
          <w:rFonts w:cs="Arial"/>
          <w:szCs w:val="24"/>
        </w:rPr>
        <w:fldChar w:fldCharType="end"/>
      </w:r>
      <w:r w:rsidRPr="00424BD3">
        <w:rPr>
          <w:rFonts w:cs="Arial"/>
          <w:szCs w:val="24"/>
        </w:rPr>
        <w:t xml:space="preserve"> interpretive rigor in qualitative research criteria, the recordings of interviews were transcribed and reviewed for accuracy. </w:t>
      </w:r>
    </w:p>
    <w:p w14:paraId="66459801" w14:textId="440FCF4F" w:rsidR="008844E4" w:rsidRPr="00424BD3" w:rsidRDefault="008844E4" w:rsidP="000126EE">
      <w:pPr>
        <w:pStyle w:val="Heading3"/>
        <w:spacing w:before="0" w:line="480" w:lineRule="auto"/>
        <w:rPr>
          <w:rFonts w:ascii="Arial" w:hAnsi="Arial" w:cs="Arial"/>
          <w:b/>
          <w:bCs/>
          <w:i/>
          <w:iCs/>
          <w:color w:val="auto"/>
        </w:rPr>
      </w:pPr>
      <w:bookmarkStart w:id="47" w:name="_Toc118232313"/>
      <w:r w:rsidRPr="00424BD3">
        <w:rPr>
          <w:rFonts w:ascii="Arial" w:hAnsi="Arial" w:cs="Arial"/>
          <w:b/>
          <w:bCs/>
          <w:i/>
          <w:iCs/>
          <w:color w:val="auto"/>
        </w:rPr>
        <w:t xml:space="preserve">Geographical and </w:t>
      </w:r>
      <w:r w:rsidR="00055AC8">
        <w:rPr>
          <w:rFonts w:ascii="Arial" w:hAnsi="Arial" w:cs="Arial"/>
          <w:b/>
          <w:bCs/>
          <w:i/>
          <w:iCs/>
          <w:color w:val="auto"/>
        </w:rPr>
        <w:t>H</w:t>
      </w:r>
      <w:r w:rsidRPr="00424BD3">
        <w:rPr>
          <w:rFonts w:ascii="Arial" w:hAnsi="Arial" w:cs="Arial"/>
          <w:b/>
          <w:bCs/>
          <w:i/>
          <w:iCs/>
          <w:color w:val="auto"/>
        </w:rPr>
        <w:t xml:space="preserve">ealth </w:t>
      </w:r>
      <w:r w:rsidR="00055AC8">
        <w:rPr>
          <w:rFonts w:ascii="Arial" w:hAnsi="Arial" w:cs="Arial"/>
          <w:b/>
          <w:bCs/>
          <w:i/>
          <w:iCs/>
          <w:color w:val="auto"/>
        </w:rPr>
        <w:t>P</w:t>
      </w:r>
      <w:r w:rsidRPr="00424BD3">
        <w:rPr>
          <w:rFonts w:ascii="Arial" w:hAnsi="Arial" w:cs="Arial"/>
          <w:b/>
          <w:bCs/>
          <w:i/>
          <w:iCs/>
          <w:color w:val="auto"/>
        </w:rPr>
        <w:t xml:space="preserve">rofile of </w:t>
      </w:r>
      <w:r w:rsidR="00055AC8">
        <w:rPr>
          <w:rFonts w:ascii="Arial" w:hAnsi="Arial" w:cs="Arial"/>
          <w:b/>
          <w:bCs/>
          <w:i/>
          <w:iCs/>
          <w:color w:val="auto"/>
        </w:rPr>
        <w:t>P</w:t>
      </w:r>
      <w:r w:rsidRPr="00424BD3">
        <w:rPr>
          <w:rFonts w:ascii="Arial" w:hAnsi="Arial" w:cs="Arial"/>
          <w:b/>
          <w:bCs/>
          <w:i/>
          <w:iCs/>
          <w:color w:val="auto"/>
        </w:rPr>
        <w:t xml:space="preserve">articipant </w:t>
      </w:r>
      <w:r w:rsidR="00055AC8">
        <w:rPr>
          <w:rFonts w:ascii="Arial" w:hAnsi="Arial" w:cs="Arial"/>
          <w:b/>
          <w:bCs/>
          <w:i/>
          <w:iCs/>
          <w:color w:val="auto"/>
        </w:rPr>
        <w:t>C</w:t>
      </w:r>
      <w:r w:rsidRPr="00424BD3">
        <w:rPr>
          <w:rFonts w:ascii="Arial" w:hAnsi="Arial" w:cs="Arial"/>
          <w:b/>
          <w:bCs/>
          <w:i/>
          <w:iCs/>
          <w:color w:val="auto"/>
        </w:rPr>
        <w:t>ounties</w:t>
      </w:r>
      <w:bookmarkEnd w:id="47"/>
    </w:p>
    <w:p w14:paraId="16E53954" w14:textId="31E8F7BB" w:rsidR="008844E4" w:rsidRPr="00424BD3" w:rsidRDefault="008844E4" w:rsidP="000126EE">
      <w:pPr>
        <w:spacing w:after="0" w:line="480" w:lineRule="auto"/>
        <w:ind w:firstLine="720"/>
        <w:rPr>
          <w:rFonts w:cs="Arial"/>
          <w:szCs w:val="24"/>
        </w:rPr>
      </w:pPr>
      <w:r w:rsidRPr="00424BD3">
        <w:rPr>
          <w:rFonts w:cs="Arial"/>
          <w:szCs w:val="24"/>
        </w:rPr>
        <w:t xml:space="preserve">East Tennessee, the southeastern region of Tennessee, along the Appalachian mountain chain, is approximately 180 miles east of Nashville. It is part of southern Appalachia, historically considered one of the most socioeconomically deprived areas within the United States </w:t>
      </w:r>
      <w:r w:rsidRPr="00424BD3">
        <w:rPr>
          <w:rFonts w:cs="Arial"/>
          <w:szCs w:val="24"/>
        </w:rPr>
        <w:fldChar w:fldCharType="begin"/>
      </w:r>
      <w:r w:rsidR="00990F3A">
        <w:rPr>
          <w:rFonts w:cs="Arial"/>
          <w:szCs w:val="24"/>
        </w:rPr>
        <w:instrText xml:space="preserve"> ADDIN ZOTERO_ITEM CSL_CITATION {"citationID":"GbQux1pE","properties":{"formattedCitation":"(Fenelon, 2013; Woolf et al., 2019)","plainCitation":"(Fenelon, 2013; Woolf et al., 2019)","noteIndex":0},"citationItems":[{"id":663,"uris":["http://zotero.org/users/4946941/items/BS8W89LP"],"itemData":{"id":663,"type":"article-journal","container-title":"Population and Development Review","issue":"4","language":"en","page":"611–634","title":"Geographic Divergence in Mortality in the United States","volume":"39","author":[{"family":"Fenelon","given":"A."}],"issued":{"date-parts":[["2013"]]}}},{"id":864,"uris":["http://zotero.org/users/4946941/items/34TCGVYH"],"itemData":{"id":864,"type":"article-journal","container-title":"Life Expectancy Implications for Appalachia: Implications for Appalachia. Journal of Appalachian Health","issue":"1","language":"en","page":"6–14","title":"The Social Determinants of Health and the Decline in U.S","volume":"1","author":[{"family":"Woolf","given":"S.H."},{"family":"Schoomaker","given":"H."},{"family":"Hill","given":"L."},{"family":"Orndahl","given":"C.M."}],"issued":{"date-parts":[["2019"]]}}}],"schema":"https://github.com/citation-style-language/schema/raw/master/csl-citation.json"} </w:instrText>
      </w:r>
      <w:r w:rsidRPr="00424BD3">
        <w:rPr>
          <w:rFonts w:cs="Arial"/>
          <w:szCs w:val="24"/>
        </w:rPr>
        <w:fldChar w:fldCharType="separate"/>
      </w:r>
      <w:r w:rsidRPr="00424BD3">
        <w:rPr>
          <w:rFonts w:cs="Arial"/>
        </w:rPr>
        <w:t>(Fenelon, 2013; Woolf et al., 2019)</w:t>
      </w:r>
      <w:r w:rsidRPr="00424BD3">
        <w:rPr>
          <w:rFonts w:cs="Arial"/>
          <w:szCs w:val="24"/>
        </w:rPr>
        <w:fldChar w:fldCharType="end"/>
      </w:r>
      <w:r w:rsidRPr="00424BD3">
        <w:rPr>
          <w:rFonts w:cs="Arial"/>
          <w:szCs w:val="24"/>
        </w:rPr>
        <w:t>.</w:t>
      </w:r>
      <w:r w:rsidRPr="00846A04">
        <w:rPr>
          <w:rStyle w:val="FootnoteReference"/>
        </w:rPr>
        <w:footnoteReference w:id="7"/>
      </w:r>
      <w:r w:rsidRPr="00424BD3">
        <w:rPr>
          <w:rFonts w:cs="Arial"/>
          <w:szCs w:val="24"/>
        </w:rPr>
        <w:t xml:space="preserve"> The participants in this </w:t>
      </w:r>
      <w:r w:rsidRPr="00424BD3">
        <w:rPr>
          <w:rFonts w:cs="Arial"/>
          <w:szCs w:val="24"/>
        </w:rPr>
        <w:lastRenderedPageBreak/>
        <w:t>study reside in three counties – Blount, Sevier, and Knox which are located in the foothills of the Smoky Mountains</w:t>
      </w:r>
      <w:r w:rsidRPr="00846A04">
        <w:rPr>
          <w:rStyle w:val="FootnoteReference"/>
        </w:rPr>
        <w:footnoteReference w:id="8"/>
      </w:r>
      <w:r w:rsidRPr="00424BD3">
        <w:rPr>
          <w:rFonts w:cs="Arial"/>
          <w:szCs w:val="24"/>
        </w:rPr>
        <w:t>. All three counties have majority “white” populations</w:t>
      </w:r>
      <w:r w:rsidRPr="00846A04">
        <w:rPr>
          <w:rStyle w:val="FootnoteReference"/>
        </w:rPr>
        <w:footnoteReference w:id="9"/>
      </w:r>
      <w:r w:rsidRPr="00424BD3">
        <w:rPr>
          <w:rFonts w:cs="Arial"/>
          <w:szCs w:val="24"/>
        </w:rPr>
        <w:t xml:space="preserve">. This majority is expected to remain through 2070, though population increases are expected in those who identify as Hispanic, Other Non-Hispanic, and </w:t>
      </w:r>
      <w:r w:rsidR="000B0F8C" w:rsidRPr="00424BD3">
        <w:rPr>
          <w:rFonts w:cs="Arial"/>
          <w:szCs w:val="24"/>
        </w:rPr>
        <w:t>Black</w:t>
      </w:r>
      <w:r w:rsidRPr="00424BD3">
        <w:rPr>
          <w:rFonts w:cs="Arial"/>
          <w:szCs w:val="24"/>
        </w:rPr>
        <w:t xml:space="preserve"> Non-Hispanic in all three counties </w:t>
      </w:r>
      <w:r w:rsidRPr="00424BD3">
        <w:rPr>
          <w:rFonts w:cs="Arial"/>
          <w:szCs w:val="24"/>
        </w:rPr>
        <w:fldChar w:fldCharType="begin"/>
      </w:r>
      <w:r w:rsidR="00023341">
        <w:rPr>
          <w:rFonts w:cs="Arial"/>
          <w:szCs w:val="24"/>
        </w:rPr>
        <w:instrText xml:space="preserve"> ADDIN ZOTERO_ITEM CSL_CITATION {"citationID":"XV6dSHSf","properties":{"formattedCitation":"(UT Boyd Center, 2021)","plainCitation":"(UT Boyd Center, 2021)","noteIndex":0},"citationItems":[{"id":831,"uris":["http://zotero.org/users/4946941/items/BZITVQ5M"],"itemData":{"id":831,"type":"document","language":"en","publisher":"The University of Tennessee, Boyd Center for Business &amp; Economic Research (UT Boyd Center)","title":"Tennessee State Data Center. 2018 to 2070 Tennessee Population Projection","URL":"https://myutk.maps.arcgis.com/apps/opsdashboard/index.html#/cbf0d40870304807a0de26ddf6779604","author":[{"family":"UT Boyd Center","given":""}],"issued":{"date-parts":[["2021"]]}}}],"schema":"https://github.com/citation-style-language/schema/raw/master/csl-citation.json"} </w:instrText>
      </w:r>
      <w:r w:rsidRPr="00424BD3">
        <w:rPr>
          <w:rFonts w:cs="Arial"/>
          <w:szCs w:val="24"/>
        </w:rPr>
        <w:fldChar w:fldCharType="separate"/>
      </w:r>
      <w:r w:rsidRPr="00424BD3">
        <w:rPr>
          <w:rFonts w:cs="Arial"/>
        </w:rPr>
        <w:t>(UT Boyd Center, 2021)</w:t>
      </w:r>
      <w:r w:rsidRPr="00424BD3">
        <w:rPr>
          <w:rFonts w:cs="Arial"/>
          <w:szCs w:val="24"/>
        </w:rPr>
        <w:fldChar w:fldCharType="end"/>
      </w:r>
      <w:r w:rsidRPr="00424BD3">
        <w:rPr>
          <w:rFonts w:cs="Arial"/>
          <w:szCs w:val="24"/>
        </w:rPr>
        <w:t xml:space="preserve">. See Tables 1-3 in Appendix 1 for county-level population characteristics and statistics, and a county-level snapshot of additional selected county indicators. </w:t>
      </w:r>
    </w:p>
    <w:p w14:paraId="72D5129F" w14:textId="2EADA412" w:rsidR="008844E4" w:rsidRPr="00424BD3" w:rsidRDefault="008844E4" w:rsidP="000126EE">
      <w:pPr>
        <w:pStyle w:val="Heading2"/>
        <w:spacing w:before="0" w:line="480" w:lineRule="auto"/>
        <w:jc w:val="center"/>
        <w:rPr>
          <w:rFonts w:ascii="Arial" w:hAnsi="Arial" w:cs="Arial"/>
          <w:b/>
          <w:bCs/>
          <w:color w:val="auto"/>
          <w:sz w:val="24"/>
          <w:szCs w:val="24"/>
        </w:rPr>
      </w:pPr>
      <w:bookmarkStart w:id="48" w:name="_Toc118232314"/>
      <w:r w:rsidRPr="00424BD3">
        <w:rPr>
          <w:rFonts w:ascii="Arial" w:hAnsi="Arial" w:cs="Arial"/>
          <w:b/>
          <w:bCs/>
          <w:color w:val="auto"/>
          <w:sz w:val="24"/>
          <w:szCs w:val="24"/>
        </w:rPr>
        <w:t>Data Analysis Framework</w:t>
      </w:r>
      <w:bookmarkEnd w:id="48"/>
    </w:p>
    <w:p w14:paraId="7338460F" w14:textId="03EBDC4E" w:rsidR="008844E4" w:rsidRPr="00424BD3" w:rsidRDefault="008844E4" w:rsidP="000126EE">
      <w:pPr>
        <w:spacing w:after="0" w:line="480" w:lineRule="auto"/>
        <w:ind w:firstLine="720"/>
        <w:rPr>
          <w:rFonts w:cs="Arial"/>
          <w:szCs w:val="24"/>
        </w:rPr>
      </w:pPr>
      <w:r w:rsidRPr="00424BD3">
        <w:rPr>
          <w:rFonts w:cs="Arial"/>
          <w:szCs w:val="24"/>
        </w:rPr>
        <w:t xml:space="preserve">Data analysis of this study was undertaken using critical discourse analysis (CDA). Like </w:t>
      </w:r>
      <w:r w:rsidR="008A638A" w:rsidRPr="00424BD3">
        <w:rPr>
          <w:rFonts w:cs="Arial"/>
          <w:szCs w:val="24"/>
        </w:rPr>
        <w:t>ecosocial</w:t>
      </w:r>
      <w:r w:rsidRPr="00424BD3">
        <w:rPr>
          <w:rFonts w:cs="Arial"/>
          <w:szCs w:val="24"/>
        </w:rPr>
        <w:t xml:space="preserve"> theory and critical and feminist geographies, critical discourse analysis centers on meaning-making, the inter-relationships between people and the contexts in which they are situated, how they perceive and experience those contexts, what fundamental causes may be at play in discursive practices, and how power shapes the ideologies surrounding these issues </w:t>
      </w:r>
      <w:r w:rsidRPr="00424BD3">
        <w:rPr>
          <w:rFonts w:cs="Arial"/>
          <w:szCs w:val="24"/>
        </w:rPr>
        <w:fldChar w:fldCharType="begin"/>
      </w:r>
      <w:r w:rsidR="00990F3A">
        <w:rPr>
          <w:rFonts w:cs="Arial"/>
          <w:szCs w:val="24"/>
        </w:rPr>
        <w:instrText xml:space="preserve"> ADDIN ZOTERO_ITEM CSL_CITATION {"citationID":"rJaIgfB8","properties":{"formattedCitation":"(Mogashoa, 2014)","plainCitation":"(Mogashoa, 2014)","noteIndex":0},"citationItems":[{"id":1054,"uris":["http://zotero.org/users/4946941/items/SMCVTMDZ"],"itemData":{"id":1054,"type":"article-journal","container-title":"International Journal of Humanities Social Sciences and Education,","issue":"7","page":"104-113","title":"Understanding critical discourse analysis in qualitative research.","volume":"1","author":[{"family":"Mogashoa","given":"Tebogo"}],"issued":{"date-parts":[["2014"]]}}}],"schema":"https://github.com/citation-style-language/schema/raw/master/csl-citation.json"} </w:instrText>
      </w:r>
      <w:r w:rsidRPr="00424BD3">
        <w:rPr>
          <w:rFonts w:cs="Arial"/>
          <w:szCs w:val="24"/>
        </w:rPr>
        <w:fldChar w:fldCharType="separate"/>
      </w:r>
      <w:r w:rsidRPr="00424BD3">
        <w:rPr>
          <w:rFonts w:cs="Arial"/>
        </w:rPr>
        <w:t>(Mogashoa, 2014)</w:t>
      </w:r>
      <w:r w:rsidRPr="00424BD3">
        <w:rPr>
          <w:rFonts w:cs="Arial"/>
          <w:szCs w:val="24"/>
        </w:rPr>
        <w:fldChar w:fldCharType="end"/>
      </w:r>
      <w:r w:rsidRPr="00424BD3">
        <w:rPr>
          <w:rFonts w:cs="Arial"/>
          <w:szCs w:val="24"/>
        </w:rPr>
        <w:t xml:space="preserve">. It is interdisciplinary, adductive, and historically contextual, allowing for a wide range of data </w:t>
      </w:r>
      <w:r w:rsidRPr="00424BD3">
        <w:rPr>
          <w:rFonts w:cs="Arial"/>
          <w:szCs w:val="24"/>
        </w:rPr>
        <w:lastRenderedPageBreak/>
        <w:t xml:space="preserve">collection methods across a wide range of issues and spaces. It is also disruptive, which fits with research intended to disrupt the status quo of traditional ways of understanding and treating older women </w:t>
      </w:r>
      <w:r w:rsidRPr="00424BD3">
        <w:rPr>
          <w:rFonts w:cs="Arial"/>
          <w:szCs w:val="24"/>
        </w:rPr>
        <w:fldChar w:fldCharType="begin"/>
      </w:r>
      <w:r w:rsidR="00990F3A">
        <w:rPr>
          <w:rFonts w:cs="Arial"/>
          <w:szCs w:val="24"/>
        </w:rPr>
        <w:instrText xml:space="preserve"> ADDIN ZOTERO_ITEM CSL_CITATION {"citationID":"1TSaHqiK","properties":{"formattedCitation":"(Mogashoa, 2014, pp. 110\\uc0\\u8211{}111)","plainCitation":"(Mogashoa, 2014, pp. 110–111)","noteIndex":0},"citationItems":[{"id":1054,"uris":["http://zotero.org/users/4946941/items/SMCVTMDZ"],"itemData":{"id":1054,"type":"article-journal","container-title":"International Journal of Humanities Social Sciences and Education,","issue":"7","page":"104-113","title":"Understanding critical discourse analysis in qualitative research.","volume":"1","author":[{"family":"Mogashoa","given":"Tebogo"}],"issued":{"date-parts":[["2014"]]}},"locator":"110-111"}],"schema":"https://github.com/citation-style-language/schema/raw/master/csl-citation.json"} </w:instrText>
      </w:r>
      <w:r w:rsidRPr="00424BD3">
        <w:rPr>
          <w:rFonts w:cs="Arial"/>
          <w:szCs w:val="24"/>
        </w:rPr>
        <w:fldChar w:fldCharType="separate"/>
      </w:r>
      <w:r w:rsidRPr="00424BD3">
        <w:rPr>
          <w:rFonts w:cs="Arial"/>
          <w:szCs w:val="24"/>
        </w:rPr>
        <w:t>(Mogashoa, 2014, pp. 110–111)</w:t>
      </w:r>
      <w:r w:rsidRPr="00424BD3">
        <w:rPr>
          <w:rFonts w:cs="Arial"/>
          <w:szCs w:val="24"/>
        </w:rPr>
        <w:fldChar w:fldCharType="end"/>
      </w:r>
      <w:r w:rsidRPr="00424BD3">
        <w:rPr>
          <w:rFonts w:cs="Arial"/>
          <w:szCs w:val="24"/>
        </w:rPr>
        <w:t xml:space="preserve">. </w:t>
      </w:r>
    </w:p>
    <w:p w14:paraId="50E4A7A8" w14:textId="208BAA27" w:rsidR="008844E4" w:rsidRPr="00424BD3" w:rsidRDefault="00222D8A" w:rsidP="000126EE">
      <w:pPr>
        <w:spacing w:after="0" w:line="480" w:lineRule="auto"/>
        <w:ind w:firstLine="720"/>
        <w:rPr>
          <w:rFonts w:cs="Arial"/>
          <w:szCs w:val="24"/>
        </w:rPr>
      </w:pPr>
      <w:r w:rsidRPr="00424BD3">
        <w:rPr>
          <w:rFonts w:cs="Arial"/>
          <w:szCs w:val="24"/>
        </w:rPr>
        <w:t xml:space="preserve">This </w:t>
      </w:r>
      <w:r w:rsidR="008844E4" w:rsidRPr="00424BD3">
        <w:rPr>
          <w:rFonts w:cs="Arial"/>
          <w:szCs w:val="24"/>
        </w:rPr>
        <w:t xml:space="preserve">study collects and examines the words (and silences) of older women regarding extremely sensitive subjects – health and death – covering their and their families’ lifespans. It tries to convey the power relationships under which older women have formed their perceptions of health inequities and mortality outcomes and how those relationships (socially, structurally, individually) have shaped their experiences, thoughts and beliefs. Critical discourse analysis allows me to question not only the women’s speech patterns but also the patterns they adhere or do not adhere to regarding socially constructed health norms. Understanding norms as a causal factor in determining their understandings of the social determinants of health or any systemic factors involved in </w:t>
      </w:r>
      <w:r w:rsidR="00A869A3" w:rsidRPr="00424BD3">
        <w:rPr>
          <w:rFonts w:cs="Arial"/>
          <w:szCs w:val="24"/>
        </w:rPr>
        <w:t>their</w:t>
      </w:r>
      <w:r w:rsidR="00A869A3">
        <w:rPr>
          <w:rFonts w:cs="Arial"/>
          <w:szCs w:val="24"/>
        </w:rPr>
        <w:t>s</w:t>
      </w:r>
      <w:r w:rsidR="008844E4" w:rsidRPr="00424BD3">
        <w:rPr>
          <w:rFonts w:cs="Arial"/>
          <w:szCs w:val="24"/>
        </w:rPr>
        <w:t xml:space="preserve"> and their family’s health and mortality outcomes is imperative to examining their perceptions of policy and other decision-making processes which shape their health and mitigate or exacerbate their health inequities. Critical discourse analysis provides the mechanism to examine “the underlying meaning of words” </w:t>
      </w:r>
      <w:r w:rsidR="008844E4" w:rsidRPr="00424BD3">
        <w:rPr>
          <w:rFonts w:cs="Arial"/>
          <w:szCs w:val="24"/>
        </w:rPr>
        <w:fldChar w:fldCharType="begin"/>
      </w:r>
      <w:r w:rsidR="00990F3A">
        <w:rPr>
          <w:rFonts w:cs="Arial"/>
          <w:szCs w:val="24"/>
        </w:rPr>
        <w:instrText xml:space="preserve"> ADDIN ZOTERO_ITEM CSL_CITATION {"citationID":"MqrnXIaA","properties":{"formattedCitation":"(Mogashoa, 2014, p. 105)","plainCitation":"(Mogashoa, 2014, p. 105)","noteIndex":0},"citationItems":[{"id":1054,"uris":["http://zotero.org/users/4946941/items/SMCVTMDZ"],"itemData":{"id":1054,"type":"article-journal","container-title":"International Journal of Humanities Social Sciences and Education,","issue":"7","page":"104-113","title":"Understanding critical discourse analysis in qualitative research.","volume":"1","author":[{"family":"Mogashoa","given":"Tebogo"}],"issued":{"date-parts":[["2014"]]}},"locator":"105"}],"schema":"https://github.com/citation-style-language/schema/raw/master/csl-citation.json"} </w:instrText>
      </w:r>
      <w:r w:rsidR="008844E4" w:rsidRPr="00424BD3">
        <w:rPr>
          <w:rFonts w:cs="Arial"/>
          <w:szCs w:val="24"/>
        </w:rPr>
        <w:fldChar w:fldCharType="separate"/>
      </w:r>
      <w:r w:rsidR="008844E4" w:rsidRPr="00424BD3">
        <w:rPr>
          <w:rFonts w:cs="Arial"/>
        </w:rPr>
        <w:t>(Mogashoa, 2014, p. 105)</w:t>
      </w:r>
      <w:r w:rsidR="008844E4" w:rsidRPr="00424BD3">
        <w:rPr>
          <w:rFonts w:cs="Arial"/>
          <w:szCs w:val="24"/>
        </w:rPr>
        <w:fldChar w:fldCharType="end"/>
      </w:r>
      <w:r w:rsidR="008844E4" w:rsidRPr="00424BD3">
        <w:rPr>
          <w:rFonts w:cs="Arial"/>
          <w:szCs w:val="24"/>
        </w:rPr>
        <w:t xml:space="preserve">. For a generation of women brought up in a patriarchal Jim Crow dominated society, who were normed into silences or beliefs that their health inequities and outcomes were their fault, piecing together the underlying meaning of their words, in light of the social context in which they were formed, is of the utmost importance. </w:t>
      </w:r>
    </w:p>
    <w:p w14:paraId="6F00BBC2" w14:textId="26924C22" w:rsidR="008844E4" w:rsidRPr="00424BD3" w:rsidRDefault="008844E4" w:rsidP="00E025AC">
      <w:pPr>
        <w:spacing w:after="0" w:line="480" w:lineRule="auto"/>
        <w:ind w:firstLine="720"/>
        <w:rPr>
          <w:rFonts w:cs="Arial"/>
          <w:szCs w:val="24"/>
        </w:rPr>
      </w:pPr>
      <w:r w:rsidRPr="00424BD3">
        <w:rPr>
          <w:rFonts w:cs="Arial"/>
          <w:szCs w:val="24"/>
        </w:rPr>
        <w:t xml:space="preserve">While there are those who find critical discourse analysis to be too interpretive, too complicated in keeping track of each academic field’s epistemological approaches </w:t>
      </w:r>
      <w:r w:rsidRPr="00424BD3">
        <w:rPr>
          <w:rFonts w:cs="Arial"/>
          <w:szCs w:val="24"/>
        </w:rPr>
        <w:lastRenderedPageBreak/>
        <w:t xml:space="preserve">to CDA, or not neutral enough, for the purposes of </w:t>
      </w:r>
      <w:r w:rsidR="00E17657" w:rsidRPr="00424BD3">
        <w:rPr>
          <w:rFonts w:cs="Arial"/>
          <w:szCs w:val="24"/>
        </w:rPr>
        <w:t xml:space="preserve">this </w:t>
      </w:r>
      <w:r w:rsidRPr="00424BD3">
        <w:rPr>
          <w:rFonts w:cs="Arial"/>
          <w:szCs w:val="24"/>
        </w:rPr>
        <w:t>study</w:t>
      </w:r>
      <w:r w:rsidR="004E7587" w:rsidRPr="00424BD3">
        <w:rPr>
          <w:rFonts w:cs="Arial"/>
          <w:szCs w:val="24"/>
        </w:rPr>
        <w:t xml:space="preserve"> </w:t>
      </w:r>
      <w:r w:rsidR="00225301" w:rsidRPr="00424BD3">
        <w:rPr>
          <w:rFonts w:cs="Arial"/>
          <w:szCs w:val="24"/>
        </w:rPr>
        <w:fldChar w:fldCharType="begin"/>
      </w:r>
      <w:r w:rsidR="00990F3A">
        <w:rPr>
          <w:rFonts w:cs="Arial"/>
          <w:szCs w:val="24"/>
        </w:rPr>
        <w:instrText xml:space="preserve"> ADDIN ZOTERO_ITEM CSL_CITATION {"citationID":"zod8UgDt","properties":{"formattedCitation":"(Grochalska, 2020; Mogashoa, 2014)","plainCitation":"(Grochalska, 2020; Mogashoa, 2014)","noteIndex":0},"citationItems":[{"id":1592,"uris":["http://zotero.org/users/4946941/items/QT79U46E"],"itemData":{"id":1592,"type":"article-journal","abstract":"The paper is an in-depth analysis of the constraints and challenges that the researcher of Critical Discourse Analysis (CDA) faces in practices connected to the research processes. To fully understand where that trouble derives from, we need to examine the notion of discourse and the process of CDA itself. Then the major issues will be exemplified by particular experiences gained in the process of conducting the research project “Women in Intimate Relationships: The Empirical and Critical Study” financed by the Polish National Science Centre (NCN no 2011/01/D/HS6/02470). On one side, the text is an attempt to structure and systematize the knowledge about difficulties caused by the CDA processes, but on the other, it can be read as a kind of “warning notice” that can save very young researchers from making significant mistakes before they start their CDA investigations.","container-title":"Kultura i Edukacja","ISSN":"1230-266X","issue":"2(128)","language":"en","page":"98-112","source":"bibliotekanauki.pl","title":"Research Practices in Critical Discourse Analysis: Constraints and Challenges","title-short":"Research Practices in Critical Discourse Analysis","author":[{"family":"Grochalska","given":"Monika"}],"issued":{"date-parts":[["2020",6,30]]}}},{"id":1054,"uris":["http://zotero.org/users/4946941/items/SMCVTMDZ"],"itemData":{"id":1054,"type":"article-journal","container-title":"International Journal of Humanities Social Sciences and Education,","issue":"7","page":"104-113","title":"Understanding critical discourse analysis in qualitative research.","volume":"1","author":[{"family":"Mogashoa","given":"Tebogo"}],"issued":{"date-parts":[["2014"]]}}}],"schema":"https://github.com/citation-style-language/schema/raw/master/csl-citation.json"} </w:instrText>
      </w:r>
      <w:r w:rsidR="00225301" w:rsidRPr="00424BD3">
        <w:rPr>
          <w:rFonts w:cs="Arial"/>
          <w:szCs w:val="24"/>
        </w:rPr>
        <w:fldChar w:fldCharType="separate"/>
      </w:r>
      <w:r w:rsidR="0050551E" w:rsidRPr="00424BD3">
        <w:rPr>
          <w:rFonts w:cs="Arial"/>
        </w:rPr>
        <w:t>(Grochalska, 2020; Mogashoa, 2014)</w:t>
      </w:r>
      <w:r w:rsidR="00225301" w:rsidRPr="00424BD3">
        <w:rPr>
          <w:rFonts w:cs="Arial"/>
          <w:szCs w:val="24"/>
        </w:rPr>
        <w:fldChar w:fldCharType="end"/>
      </w:r>
      <w:r w:rsidRPr="00424BD3">
        <w:rPr>
          <w:rFonts w:cs="Arial"/>
          <w:szCs w:val="24"/>
        </w:rPr>
        <w:t xml:space="preserve">, the advantages of CDA outweigh any complications. </w:t>
      </w:r>
    </w:p>
    <w:p w14:paraId="2710E320" w14:textId="77777777" w:rsidR="000038BA" w:rsidRPr="00424BD3" w:rsidRDefault="000038BA" w:rsidP="00E025AC">
      <w:pPr>
        <w:pStyle w:val="Heading2"/>
        <w:spacing w:before="0" w:line="480" w:lineRule="auto"/>
        <w:jc w:val="center"/>
        <w:rPr>
          <w:rFonts w:ascii="Arial" w:hAnsi="Arial" w:cs="Arial"/>
          <w:b/>
          <w:bCs/>
          <w:color w:val="auto"/>
          <w:sz w:val="24"/>
          <w:szCs w:val="24"/>
        </w:rPr>
      </w:pPr>
      <w:bookmarkStart w:id="49" w:name="_Toc118232315"/>
      <w:r w:rsidRPr="00424BD3">
        <w:rPr>
          <w:rFonts w:ascii="Arial" w:hAnsi="Arial" w:cs="Arial"/>
          <w:b/>
          <w:bCs/>
          <w:color w:val="auto"/>
          <w:sz w:val="24"/>
          <w:szCs w:val="24"/>
        </w:rPr>
        <w:t>Sampling Process</w:t>
      </w:r>
      <w:bookmarkEnd w:id="49"/>
    </w:p>
    <w:p w14:paraId="4DE60B28" w14:textId="5BEEE08E" w:rsidR="000038BA" w:rsidRPr="00424BD3" w:rsidRDefault="000038BA" w:rsidP="00E025AC">
      <w:pPr>
        <w:spacing w:after="0" w:line="480" w:lineRule="auto"/>
        <w:ind w:firstLine="720"/>
        <w:rPr>
          <w:rFonts w:cs="Arial"/>
          <w:szCs w:val="24"/>
        </w:rPr>
      </w:pPr>
      <w:r w:rsidRPr="00424BD3">
        <w:rPr>
          <w:rFonts w:cs="Arial"/>
          <w:szCs w:val="24"/>
        </w:rPr>
        <w:t xml:space="preserve">Women aged </w:t>
      </w:r>
      <w:r w:rsidR="00815F08" w:rsidRPr="00424BD3">
        <w:rPr>
          <w:rFonts w:cs="Arial"/>
          <w:szCs w:val="24"/>
        </w:rPr>
        <w:t>65</w:t>
      </w:r>
      <w:r w:rsidRPr="00424BD3">
        <w:rPr>
          <w:rFonts w:cs="Arial"/>
          <w:szCs w:val="24"/>
        </w:rPr>
        <w:t xml:space="preserve"> </w:t>
      </w:r>
      <w:r w:rsidR="00E025AC" w:rsidRPr="00424BD3">
        <w:rPr>
          <w:rFonts w:cs="Arial"/>
          <w:szCs w:val="24"/>
        </w:rPr>
        <w:t xml:space="preserve">years </w:t>
      </w:r>
      <w:r w:rsidR="00815F08" w:rsidRPr="00424BD3">
        <w:rPr>
          <w:rFonts w:cs="Arial"/>
          <w:szCs w:val="24"/>
        </w:rPr>
        <w:t xml:space="preserve">and over </w:t>
      </w:r>
      <w:r w:rsidRPr="00424BD3">
        <w:rPr>
          <w:rFonts w:cs="Arial"/>
          <w:szCs w:val="24"/>
        </w:rPr>
        <w:t xml:space="preserve">from counties in East Tennessee were invited to participate in one screening survey and one in-depth interview. They were recruited via an email and flyer circulated by local organizations on behalf of the researcher and well as by word-of-mouth. The researcher sent a letter or email of introduction and a flyer to each identified organization for which clients or members were recruited. The organizations consisted of those whose primary members or clients are people aged </w:t>
      </w:r>
      <w:r w:rsidR="008612C2" w:rsidRPr="00424BD3">
        <w:rPr>
          <w:rFonts w:cs="Arial"/>
          <w:szCs w:val="24"/>
        </w:rPr>
        <w:t>65 years</w:t>
      </w:r>
      <w:r w:rsidRPr="00424BD3">
        <w:rPr>
          <w:rFonts w:cs="Arial"/>
          <w:szCs w:val="24"/>
        </w:rPr>
        <w:t xml:space="preserve"> and older, or whose services provide for a large number of people aged 65</w:t>
      </w:r>
      <w:r w:rsidR="008612C2" w:rsidRPr="00424BD3">
        <w:rPr>
          <w:rFonts w:cs="Arial"/>
          <w:szCs w:val="24"/>
        </w:rPr>
        <w:t xml:space="preserve"> years</w:t>
      </w:r>
      <w:r w:rsidRPr="00424BD3">
        <w:rPr>
          <w:rFonts w:cs="Arial"/>
          <w:szCs w:val="24"/>
        </w:rPr>
        <w:t xml:space="preserve"> and over. The researcher had a good relationship with each of the organizations to whom a request to circulate the recruitment materials was submitted. The letter or email of introduction to the organizations explained that the researcher was contacting them to ask for their assistance in disseminating the flyer and information about the study. The researcher explained that the organization would not be asked to recruit potential participants, but only to share the information with their members or clients. The researcher specified that potential participants would be asked to contact the researcher if they were interested in participating in the study. </w:t>
      </w:r>
    </w:p>
    <w:p w14:paraId="0D46D0C8" w14:textId="52F89493" w:rsidR="000038BA" w:rsidRPr="00424BD3" w:rsidRDefault="000038BA" w:rsidP="000126EE">
      <w:pPr>
        <w:spacing w:after="0" w:line="480" w:lineRule="auto"/>
        <w:ind w:firstLine="720"/>
        <w:rPr>
          <w:rFonts w:cs="Arial"/>
          <w:szCs w:val="24"/>
        </w:rPr>
      </w:pPr>
      <w:r w:rsidRPr="00424BD3">
        <w:rPr>
          <w:rFonts w:cs="Arial"/>
          <w:szCs w:val="24"/>
        </w:rPr>
        <w:t>Potential participants who heard about the study through word-of-mouth either contacted the researcher directly or were contacted via phone or email by the researcher. Potential participants who did contact the researcher (whether by email or phone), including those who had heard of the study by word-of-mouth, were emailed or mailed a set of three screening questions, which they returned by email or mail.</w:t>
      </w:r>
    </w:p>
    <w:p w14:paraId="70C43490" w14:textId="522E4FC2" w:rsidR="000038BA" w:rsidRPr="00424BD3" w:rsidRDefault="000038BA" w:rsidP="00056298">
      <w:pPr>
        <w:spacing w:after="0" w:line="480" w:lineRule="auto"/>
        <w:ind w:firstLine="720"/>
        <w:rPr>
          <w:rFonts w:cs="Arial"/>
          <w:szCs w:val="24"/>
        </w:rPr>
      </w:pPr>
      <w:r w:rsidRPr="00424BD3">
        <w:rPr>
          <w:rFonts w:cs="Arial"/>
          <w:szCs w:val="24"/>
        </w:rPr>
        <w:lastRenderedPageBreak/>
        <w:t>The screening survey consisted of three criteria questions: confirmation that the potential participants were over the age of 65</w:t>
      </w:r>
      <w:r w:rsidR="008612C2" w:rsidRPr="00424BD3">
        <w:rPr>
          <w:rFonts w:cs="Arial"/>
          <w:szCs w:val="24"/>
        </w:rPr>
        <w:t xml:space="preserve"> years</w:t>
      </w:r>
      <w:r w:rsidRPr="00424BD3">
        <w:rPr>
          <w:rFonts w:cs="Arial"/>
          <w:szCs w:val="24"/>
        </w:rPr>
        <w:t xml:space="preserve">; that they usually reside in one of a </w:t>
      </w:r>
      <w:r w:rsidR="007278AB">
        <w:rPr>
          <w:rFonts w:cs="Arial"/>
          <w:szCs w:val="24"/>
        </w:rPr>
        <w:t>set</w:t>
      </w:r>
      <w:r w:rsidRPr="00424BD3">
        <w:rPr>
          <w:rFonts w:cs="Arial"/>
          <w:szCs w:val="24"/>
        </w:rPr>
        <w:t xml:space="preserve"> of counties typically referred to as “East Tennessee” counties; and that they were born with the biological sex of female. Women were excluded from the research interview if all three of those criteria were not met. If they met the screening requirements, they were then emailed or mailed the main consent form along with an audio recording consent form, detailing the aims and scope of the research and their rights regarding withdrawing, stopping the interview at any time, asking questions, or choosing not to participate, as well as ensuring both confidentiality and their anonymity. Consent forms were then either returned via the university’s secured Vault </w:t>
      </w:r>
      <w:r w:rsidR="00D11F0A">
        <w:rPr>
          <w:rFonts w:cs="Arial"/>
          <w:szCs w:val="24"/>
        </w:rPr>
        <w:t xml:space="preserve">virtual private network </w:t>
      </w:r>
      <w:r w:rsidR="00B73950">
        <w:rPr>
          <w:rFonts w:cs="Arial"/>
          <w:szCs w:val="24"/>
        </w:rPr>
        <w:t xml:space="preserve">(VPN) </w:t>
      </w:r>
      <w:r w:rsidRPr="00424BD3">
        <w:rPr>
          <w:rFonts w:cs="Arial"/>
          <w:szCs w:val="24"/>
        </w:rPr>
        <w:t xml:space="preserve">or mailed to the researcher using a </w:t>
      </w:r>
      <w:r w:rsidR="00D11F0A">
        <w:rPr>
          <w:rFonts w:cs="Arial"/>
          <w:szCs w:val="24"/>
        </w:rPr>
        <w:t>self-addressed stamped envelope</w:t>
      </w:r>
      <w:r w:rsidRPr="00424BD3">
        <w:rPr>
          <w:rFonts w:cs="Arial"/>
          <w:szCs w:val="24"/>
        </w:rPr>
        <w:t xml:space="preserve"> provided by the researcher. All research materials including introduction emails, the flyer, the screening survey</w:t>
      </w:r>
      <w:r w:rsidR="00B73950">
        <w:rPr>
          <w:rFonts w:cs="Arial"/>
          <w:szCs w:val="24"/>
        </w:rPr>
        <w:t>,</w:t>
      </w:r>
      <w:r w:rsidRPr="00424BD3">
        <w:rPr>
          <w:rFonts w:cs="Arial"/>
          <w:szCs w:val="24"/>
        </w:rPr>
        <w:t xml:space="preserve"> and the consent form were sent to the organizations and to potential participants via the university’s secure VPN email server and storage vault or via postal mail and stored securely in a lockbox in the researcher’s home.</w:t>
      </w:r>
    </w:p>
    <w:p w14:paraId="32216316" w14:textId="033F0357" w:rsidR="000038BA" w:rsidRPr="00424BD3" w:rsidRDefault="000038BA" w:rsidP="00056298">
      <w:pPr>
        <w:pStyle w:val="Heading2"/>
        <w:spacing w:before="0" w:line="480" w:lineRule="auto"/>
        <w:jc w:val="center"/>
        <w:rPr>
          <w:rFonts w:ascii="Arial" w:hAnsi="Arial" w:cs="Arial"/>
          <w:b/>
          <w:bCs/>
          <w:color w:val="auto"/>
          <w:sz w:val="24"/>
          <w:szCs w:val="24"/>
        </w:rPr>
      </w:pPr>
      <w:bookmarkStart w:id="50" w:name="_Toc118232316"/>
      <w:r w:rsidRPr="00424BD3">
        <w:rPr>
          <w:rFonts w:ascii="Arial" w:hAnsi="Arial" w:cs="Arial"/>
          <w:b/>
          <w:bCs/>
          <w:color w:val="auto"/>
          <w:sz w:val="24"/>
          <w:szCs w:val="24"/>
        </w:rPr>
        <w:t>Interview</w:t>
      </w:r>
      <w:r w:rsidR="003A789D">
        <w:rPr>
          <w:rFonts w:ascii="Arial" w:hAnsi="Arial" w:cs="Arial"/>
          <w:b/>
          <w:bCs/>
          <w:color w:val="auto"/>
          <w:sz w:val="24"/>
          <w:szCs w:val="24"/>
        </w:rPr>
        <w:t>ing and Interview</w:t>
      </w:r>
      <w:r w:rsidRPr="00424BD3">
        <w:rPr>
          <w:rFonts w:ascii="Arial" w:hAnsi="Arial" w:cs="Arial"/>
          <w:b/>
          <w:bCs/>
          <w:color w:val="auto"/>
          <w:sz w:val="24"/>
          <w:szCs w:val="24"/>
        </w:rPr>
        <w:t xml:space="preserve"> Process</w:t>
      </w:r>
      <w:bookmarkEnd w:id="50"/>
    </w:p>
    <w:p w14:paraId="07DD60C4" w14:textId="222D432C" w:rsidR="00AB78EE" w:rsidRDefault="00B02A0F" w:rsidP="004A5052">
      <w:pPr>
        <w:spacing w:after="0" w:line="480" w:lineRule="auto"/>
        <w:ind w:firstLine="720"/>
      </w:pPr>
      <w:r>
        <w:t>Interviewing provides many advantages long noted in the literature, including the development of thick descriptions and meaning interpretation; a more holistic view of participants answers in the situated context in which they are currently placed</w:t>
      </w:r>
      <w:r w:rsidR="006563AE">
        <w:t xml:space="preserve">; </w:t>
      </w:r>
      <w:r>
        <w:t xml:space="preserve">greater insight into </w:t>
      </w:r>
      <w:r w:rsidR="006563AE">
        <w:t xml:space="preserve">the </w:t>
      </w:r>
      <w:r w:rsidR="0078702F">
        <w:t>participant’s</w:t>
      </w:r>
      <w:r>
        <w:t xml:space="preserve"> perceptions, thoughts, feelings, attitudes, and beliefs; the capture of participant’s literal and metaphorical voices and words; an allowance for adaptation to participant needs regarding time and space to respond; an allowance for </w:t>
      </w:r>
      <w:r>
        <w:lastRenderedPageBreak/>
        <w:t>the researcher to examine their own bias in asking questions and expectations around answers; the opportunity for researcher</w:t>
      </w:r>
      <w:r w:rsidR="00B0183F">
        <w:t>s</w:t>
      </w:r>
      <w:r>
        <w:t xml:space="preserve"> to seek clarification from participant</w:t>
      </w:r>
      <w:r w:rsidR="00B0183F">
        <w:t>s</w:t>
      </w:r>
      <w:r>
        <w:t xml:space="preserve"> in real-time or in follow-up conversations; the ability to see the participant’s physical reactions (body language); and the opportunity to record interviews among others</w:t>
      </w:r>
      <w:r w:rsidR="00ED78AB">
        <w:t xml:space="preserve"> </w:t>
      </w:r>
      <w:r w:rsidR="00AB78EE" w:rsidRPr="00B0183F">
        <w:fldChar w:fldCharType="begin"/>
      </w:r>
      <w:r w:rsidR="00AB78EE" w:rsidRPr="00B0183F">
        <w:instrText xml:space="preserve"> ADDIN ZOTERO_ITEM CSL_CITATION {"citationID":"DfnY0h9O","properties":{"formattedCitation":"(Alshenqeeti, 2014; Berg &amp; Lune, 2017; J. B. Hamilton, 2020; Kirsch &amp; Brandt, 2002; Nathan et al., 2019)","plainCitation":"(Alshenqeeti, 2014; Berg &amp; Lune, 2017; J. B. Hamilton, 2020; Kirsch &amp; Brandt, 2002; Nathan et al., 2019)","noteIndex":0},"citationItems":[{"id":1596,"uris":["http://zotero.org/users/4946941/items/NTWTT9SI"],"itemData":{"id":1596,"type":"article-journal","abstract":"Through this paper I would critically assess the value and limitations of interviewing as a research instrument. Therefore, my discussion, which would be based on methodological issues allied with the use of interviews in qualitative social science research, is two-fold. Firstly, I briefly review the literature concerning the use of interviews, discuss interviews' types and illustrate the differences between these types. Then, issues regarding interviewing in practice will be discussed, ending this part with a brief review of the notion of interviewing in linguistic research. Secondly, a critical evaluation of the method will be presented, including a consideration of its usefulness and pitfalls, followed by discussing issues of validity and reliability of using interviews as a research instrument. To end with, ethical issues concerning the use of interviews will be discussed before drawing on our conclusion.","container-title":"English Linguistics Research","DOI":"10.5430/elr.v3n1p39","ISSN":"1927-6036","issue":"1","language":"en","license":"Copyright (c)","note":"number: 1","page":"39","source":"www.sciedu.ca","title":"Interviewing as a Data Collection Method: A Critical Review","title-short":"Interviewing as a Data Collection Method","volume":"3","author":[{"family":"Alshenqeeti","given":"Hamza"}],"issued":{"date-parts":[["2014",3,29]]}}},{"id":1599,"uris":["http://zotero.org/users/4946941/items/EE83ZKYN"],"itemData":{"id":1599,"type":"book","call-number":"H61 .B4715 2017","collection-title":"Books a la carte","edition":"Ninth edition","event-place":"Boston","ISBN":"978-0-13-420213-6","language":"en","number-of-pages":"240","publisher":"Pearson","publisher-place":"Boston","source":"Library of Congress ISBN","title":"Qualitative research methods for the social sciences","author":[{"family":"Berg","given":"Bruce L."},{"family":"Lune","given":"Howard"}],"issued":{"date-parts":[["2017"]]}}},{"id":1626,"uris":["http://zotero.org/users/4946941/items/YSTBQILP"],"itemData":{"id":1626,"type":"article-journal","abstract":"Achieving rigor using selected criteria to determine trustworthiness using qualitative methods has been without critical evaluation. In this article, strategies such as prolonged engagement and thick, rich description; negative case analysis; peer review or briefing; clarifying researcher bias; member checking; and, investigator triangulation and intercoder reliability are evaluated for appropriateness among an African American Appalachian rural population. Achieving rigor using qualitative methods among participants living in rural communities is time intensive requiring attention to quality versus quantity of time spent in interviews, building trusting relationships, an awareness of interviewer bias and assumptions, and appropriately evaluated strategies that enhance validity. Strategies to achieve rigor in qualitative methods should not be used as a one size fits all approach as this practice might actually diminish rigor. Among underrepresented populations, strategies should be adapted or not used at all.","container-title":"Qualitative Health Research","DOI":"10.1177/1049732319860267","ISSN":"1049-7323","issue":"2","journalAbbreviation":"Qual Health Res","language":"en","note":"publisher: SAGE Publications Inc","page":"196-204","source":"SAGE Journals","title":"Rigor in Qualitative Methods: An Evaluation of Strategies Among Underrepresented Rural Communities","title-short":"Rigor in Qualitative Methods","volume":"30","author":[{"family":"Hamilton","given":"Jill B."}],"issued":{"date-parts":[["2020",1,1]]}}},{"id":1652,"uris":["http://zotero.org/users/4946941/items/68JMSBHP"],"itemData":{"id":1652,"type":"article-journal","abstract":"Collecting data from fathers has been an ongoing problem for researchers interested in developing a comprehensive view of the mother-child relationship from data-producing samples of families. The sampling design for a recent pilot of an intervention addressing the mother-child relationship included multiple data sources. One component required obtaining data from fathers of school-age children whose mothers were in the treatment phase for early-stage breast cancer. It was anticipated that information provided by fathers would be a valuable addition for describing the quality of the mother-child relationship and providing an important adjunct to understanding how the mother?s cancer experiences influenced her relationship with her child. Telephone interviewing was selected as the method for collecting data from the fathers. Limitations and strengths of this method are discussed along with utilization of the method. Telephone interviewing of the fathers was subsequently incorporated into a full clinical trial of the intervention.","container-title":"Journal of Family Nursing","DOI":"10.1177/107484070200800105","ISSN":"1074-8407","issue":"1","journalAbbreviation":"J Fam Nurs","language":"en","note":"publisher: SAGE Publications Inc","page":"73-84","source":"SAGE Journals","title":"Telephone Interviewing: A Method to Reach Fathers in Family Research","title-short":"Telephone Interviewing","volume":"8","author":[{"family":"Kirsch","given":"Sallie E. Davis"},{"family":"Brandt","given":"Patricia A."}],"issued":{"date-parts":[["2002",2,1]]}}},{"id":1605,"uris":["http://zotero.org/users/4946941/items/GAJ7J2JQ"],"itemData":{"id":1605,"type":"chapter","container-title":"Handbook of Research Methods in Health Social Sciences","page":"391–410","publisher":"Springer Singapore","source":"PhilPapers","title":"Qualitative Interviewing","editor":[{"family":"Liamputtong","given":"Pranee"}],"author":[{"family":"Nathan","given":"Sally"},{"family":"Newman","given":"Christy"},{"family":"Lancaster","given":"Kari"}],"issued":{"date-parts":[["2019"]]}}}],"schema":"https://github.com/citation-style-language/schema/raw/master/csl-citation.json"} </w:instrText>
      </w:r>
      <w:r w:rsidR="00AB78EE" w:rsidRPr="00B0183F">
        <w:fldChar w:fldCharType="separate"/>
      </w:r>
      <w:r w:rsidR="00AB78EE" w:rsidRPr="00B0183F">
        <w:rPr>
          <w:rFonts w:cs="Arial"/>
        </w:rPr>
        <w:t>(Alshenqeeti, 2014; Berg &amp; Lune, 2017; J. B. Hamilton, 2020; Kirsch &amp; Brandt, 2002; Nathan et al., 2019)</w:t>
      </w:r>
      <w:r w:rsidR="00AB78EE" w:rsidRPr="00B0183F">
        <w:fldChar w:fldCharType="end"/>
      </w:r>
      <w:r w:rsidR="00C1672A" w:rsidRPr="00B0183F">
        <w:t>.</w:t>
      </w:r>
      <w:r w:rsidR="00C1672A">
        <w:t xml:space="preserve"> </w:t>
      </w:r>
    </w:p>
    <w:p w14:paraId="4BEF499A" w14:textId="1CB0F0C6" w:rsidR="00B02A0F" w:rsidRDefault="00B02A0F" w:rsidP="004A5052">
      <w:pPr>
        <w:spacing w:after="0" w:line="480" w:lineRule="auto"/>
        <w:ind w:firstLine="720"/>
      </w:pPr>
      <w:r>
        <w:t xml:space="preserve">Because these interviews took place during the Covid-19 pandemic, the use of video conferencing software allowed for face-to-face video chatting and recording. Telephone interviews accommodated for those who do not have access to computer technology </w:t>
      </w:r>
      <w:r w:rsidR="00C1672A" w:rsidRPr="00784533">
        <w:fldChar w:fldCharType="begin"/>
      </w:r>
      <w:r w:rsidR="00C1672A" w:rsidRPr="00784533">
        <w:instrText xml:space="preserve"> ADDIN ZOTERO_ITEM CSL_CITATION {"citationID":"uPcsQAYi","properties":{"formattedCitation":"(Kirsch &amp; Brandt, 2002)","plainCitation":"(Kirsch &amp; Brandt, 2002)","noteIndex":0},"citationItems":[{"id":1652,"uris":["http://zotero.org/users/4946941/items/68JMSBHP"],"itemData":{"id":1652,"type":"article-journal","abstract":"Collecting data from fathers has been an ongoing problem for researchers interested in developing a comprehensive view of the mother-child relationship from data-producing samples of families. The sampling design for a recent pilot of an intervention addressing the mother-child relationship included multiple data sources. One component required obtaining data from fathers of school-age children whose mothers were in the treatment phase for early-stage breast cancer. It was anticipated that information provided by fathers would be a valuable addition for describing the quality of the mother-child relationship and providing an important adjunct to understanding how the mother?s cancer experiences influenced her relationship with her child. Telephone interviewing was selected as the method for collecting data from the fathers. Limitations and strengths of this method are discussed along with utilization of the method. Telephone interviewing of the fathers was subsequently incorporated into a full clinical trial of the intervention.","container-title":"Journal of Family Nursing","DOI":"10.1177/107484070200800105","ISSN":"1074-8407","issue":"1","journalAbbreviation":"J Fam Nurs","language":"en","note":"publisher: SAGE Publications Inc","page":"73-84","source":"SAGE Journals","title":"Telephone Interviewing: A Method to Reach Fathers in Family Research","title-short":"Telephone Interviewing","volume":"8","author":[{"family":"Kirsch","given":"Sallie E. Davis"},{"family":"Brandt","given":"Patricia A."}],"issued":{"date-parts":[["2002",2,1]]}}}],"schema":"https://github.com/citation-style-language/schema/raw/master/csl-citation.json"} </w:instrText>
      </w:r>
      <w:r w:rsidR="00C1672A" w:rsidRPr="00784533">
        <w:fldChar w:fldCharType="separate"/>
      </w:r>
      <w:r w:rsidR="00C1672A" w:rsidRPr="00784533">
        <w:rPr>
          <w:rFonts w:cs="Arial"/>
        </w:rPr>
        <w:t>(Kirsch &amp; Brandt, 2002)</w:t>
      </w:r>
      <w:r w:rsidR="00C1672A" w:rsidRPr="00784533">
        <w:fldChar w:fldCharType="end"/>
      </w:r>
      <w:r w:rsidRPr="00784533">
        <w:t>.</w:t>
      </w:r>
      <w:r>
        <w:t xml:space="preserve"> Both video conferencing and telephone interviews remove travel obstacles and costs for participants, allow for a greater reach in accessing participants in various geographical locations and at various times and time zones</w:t>
      </w:r>
      <w:r w:rsidR="00FA0A63">
        <w:t xml:space="preserve"> </w:t>
      </w:r>
      <w:r w:rsidR="00FA0A63" w:rsidRPr="00784533">
        <w:fldChar w:fldCharType="begin"/>
      </w:r>
      <w:r w:rsidR="00FA0A63" w:rsidRPr="00784533">
        <w:instrText xml:space="preserve"> ADDIN ZOTERO_ITEM CSL_CITATION {"citationID":"EJfJ4eT5","properties":{"formattedCitation":"(Khan &amp; MacEachen, 2022; Kirsch &amp; Brandt, 2002)","plainCitation":"(Khan &amp; MacEachen, 2022; Kirsch &amp; Brandt, 2002)","noteIndex":0},"citationItems":[{"id":1607,"uris":["http://zotero.org/users/4946941/items/ZA4WEQR8"],"itemData":{"id":1607,"type":"article-journal","abstract":"Qualitative research is an increasingly popular research approach for tackling the evolving complexity of social issues. With this rise in use, methods of qualitative data collection are becoming highly diverse, moving away from conventional approaches and welcoming more innovative and creative methods of data collection in a quest to produce critically and theoretically engaged new knowledge. Although traditional face-to-face interviews remain a compelling and popular means, modern innovative technology-based interviewing, such as videoconference interviews, can play a pivotal role in qualitative research. This article argues that this approach is pragmatic because video conferencing interviews are relatively affordable for research teams and, for many research participants, they are more accessible than face-to-face interviews. On the other hand, it provides a unique opportunity for researchers and participants by compressing the time-space divide, facilitating safety, reducing travel-related expenses, accessing transnational participants, maintaining social distance, and protecting personal space and privacy. Yet, this article also argues that videoconferencing can be dogged by practical challenges that might conflict with the holistic quality of qualitative research, such as dropped calls and loss of intimacy compared to traditional in-person interviews. This article presents the experiences of a young researcher, who reflects on how and why he conducted Skype interviews in his research. The article concludes that, despite the relative merits and demerits, videoconference interviews can be a useful supplement or replacement for traditional face-to-face interviews. However, more research is needed to gain a robust understanding of how this type of interview meets basic assumptions about the quality of interviews and affects the overall rigor of qualitative research.","container-title":"International Journal of Qualitative Methods","DOI":"10.1177/16094069221090063","ISSN":"1609-4069","language":"en","note":"publisher: SAGE Publications Inc","page":"16094069221090063","source":"SAGE Journals","title":"An Alternative Method of Interviewing: Critical Reflections on Videoconference Interviews for Qualitative Data Collection","title-short":"An Alternative Method of Interviewing","volume":"21","author":[{"family":"Khan","given":"Tauhid Hossain"},{"family":"MacEachen","given":"Ellen"}],"issued":{"date-parts":[["2022",1,1]]}}},{"id":1652,"uris":["http://zotero.org/users/4946941/items/68JMSBHP"],"itemData":{"id":1652,"type":"article-journal","abstract":"Collecting data from fathers has been an ongoing problem for researchers interested in developing a comprehensive view of the mother-child relationship from data-producing samples of families. The sampling design for a recent pilot of an intervention addressing the mother-child relationship included multiple data sources. One component required obtaining data from fathers of school-age children whose mothers were in the treatment phase for early-stage breast cancer. It was anticipated that information provided by fathers would be a valuable addition for describing the quality of the mother-child relationship and providing an important adjunct to understanding how the mother?s cancer experiences influenced her relationship with her child. Telephone interviewing was selected as the method for collecting data from the fathers. Limitations and strengths of this method are discussed along with utilization of the method. Telephone interviewing of the fathers was subsequently incorporated into a full clinical trial of the intervention.","container-title":"Journal of Family Nursing","DOI":"10.1177/107484070200800105","ISSN":"1074-8407","issue":"1","journalAbbreviation":"J Fam Nurs","language":"en","note":"publisher: SAGE Publications Inc","page":"73-84","source":"SAGE Journals","title":"Telephone Interviewing: A Method to Reach Fathers in Family Research","title-short":"Telephone Interviewing","volume":"8","author":[{"family":"Kirsch","given":"Sallie E. Davis"},{"family":"Brandt","given":"Patricia A."}],"issued":{"date-parts":[["2002",2,1]]}}}],"schema":"https://github.com/citation-style-language/schema/raw/master/csl-citation.json"} </w:instrText>
      </w:r>
      <w:r w:rsidR="00FA0A63" w:rsidRPr="00784533">
        <w:fldChar w:fldCharType="separate"/>
      </w:r>
      <w:r w:rsidR="00FA0A63" w:rsidRPr="00784533">
        <w:rPr>
          <w:rFonts w:cs="Arial"/>
        </w:rPr>
        <w:t>(Khan &amp; MacEachen, 2022; Kirsch &amp; Brandt, 2002)</w:t>
      </w:r>
      <w:r w:rsidR="00FA0A63" w:rsidRPr="00784533">
        <w:fldChar w:fldCharType="end"/>
      </w:r>
      <w:r>
        <w:t xml:space="preserve">. I used Zoom software to conduct </w:t>
      </w:r>
      <w:r w:rsidR="00784533">
        <w:t>most of</w:t>
      </w:r>
      <w:r>
        <w:t xml:space="preserve"> the interviews in the study because Zoom provides transcripts that allow researchers to review and correct </w:t>
      </w:r>
      <w:r w:rsidR="00784533">
        <w:t xml:space="preserve">them </w:t>
      </w:r>
      <w:r>
        <w:t>while reviewing and listening back to the interview. I also used a recording device for the telephone interviews I conducted as well as the one in-person interview I conducted.</w:t>
      </w:r>
    </w:p>
    <w:p w14:paraId="34130B5E" w14:textId="62A768DD" w:rsidR="0096657F" w:rsidRDefault="00B02A0F" w:rsidP="004A5052">
      <w:pPr>
        <w:spacing w:after="0" w:line="480" w:lineRule="auto"/>
        <w:ind w:firstLine="720"/>
      </w:pPr>
      <w:r>
        <w:t xml:space="preserve">However, interviewing as a method comes with concerns as well. These </w:t>
      </w:r>
      <w:r w:rsidR="00AF0A46">
        <w:t>include</w:t>
      </w:r>
      <w:r>
        <w:t xml:space="preserve"> establishing the validity and reliability of participant responses; the subjectivity of respondents, who opinions may change over time; possible misinterpretation by the researcher; the power dynamic between the researcher and the participant; the positionality and the potential subconscious bias of the researcher; and, in cases of structured or semi-structured interviews, the shaping of the study through the types of </w:t>
      </w:r>
      <w:r>
        <w:lastRenderedPageBreak/>
        <w:t xml:space="preserve">and layout of the questions asked </w:t>
      </w:r>
      <w:r w:rsidR="00B3197F">
        <w:fldChar w:fldCharType="begin"/>
      </w:r>
      <w:r w:rsidR="00D03C7E">
        <w:instrText xml:space="preserve"> ADDIN ZOTERO_ITEM CSL_CITATION {"citationID":"ZGQNbb5z","properties":{"formattedCitation":"(Alshenqeeti, 2014; J. B. Hamilton, 2020; Khan &amp; MacEachen, 2022; Nathan et al., 2019)","plainCitation":"(Alshenqeeti, 2014; J. B. Hamilton, 2020; Khan &amp; MacEachen, 2022; Nathan et al., 2019)","noteIndex":0},"citationItems":[{"id":1596,"uris":["http://zotero.org/users/4946941/items/NTWTT9SI"],"itemData":{"id":1596,"type":"article-journal","abstract":"Through this paper I would critically assess the value and limitations of interviewing as a research instrument. Therefore, my discussion, which would be based on methodological issues allied with the use of interviews in qualitative social science research, is two-fold. Firstly, I briefly review the literature concerning the use of interviews, discuss interviews' types and illustrate the differences between these types. Then, issues regarding interviewing in practice will be discussed, ending this part with a brief review of the notion of interviewing in linguistic research. Secondly, a critical evaluation of the method will be presented, including a consideration of its usefulness and pitfalls, followed by discussing issues of validity and reliability of using interviews as a research instrument. To end with, ethical issues concerning the use of interviews will be discussed before drawing on our conclusion.","container-title":"English Linguistics Research","DOI":"10.5430/elr.v3n1p39","ISSN":"1927-6036","issue":"1","language":"en","license":"Copyright (c)","note":"number: 1","page":"39","source":"www.sciedu.ca","title":"Interviewing as a Data Collection Method: A Critical Review","title-short":"Interviewing as a Data Collection Method","volume":"3","author":[{"family":"Alshenqeeti","given":"Hamza"}],"issued":{"date-parts":[["2014",3,29]]}}},{"id":1626,"uris":["http://zotero.org/users/4946941/items/YSTBQILP"],"itemData":{"id":1626,"type":"article-journal","abstract":"Achieving rigor using selected criteria to determine trustworthiness using qualitative methods has been without critical evaluation. In this article, strategies such as prolonged engagement and thick, rich description; negative case analysis; peer review or briefing; clarifying researcher bias; member checking; and, investigator triangulation and intercoder reliability are evaluated for appropriateness among an African American Appalachian rural population. Achieving rigor using qualitative methods among participants living in rural communities is time intensive requiring attention to quality versus quantity of time spent in interviews, building trusting relationships, an awareness of interviewer bias and assumptions, and appropriately evaluated strategies that enhance validity. Strategies to achieve rigor in qualitative methods should not be used as a one size fits all approach as this practice might actually diminish rigor. Among underrepresented populations, strategies should be adapted or not used at all.","container-title":"Qualitative Health Research","DOI":"10.1177/1049732319860267","ISSN":"1049-7323","issue":"2","journalAbbreviation":"Qual Health Res","language":"en","note":"publisher: SAGE Publications Inc","page":"196-204","source":"SAGE Journals","title":"Rigor in Qualitative Methods: An Evaluation of Strategies Among Underrepresented Rural Communities","title-short":"Rigor in Qualitative Methods","volume":"30","author":[{"family":"Hamilton","given":"Jill B."}],"issued":{"date-parts":[["2020",1,1]]}}},{"id":1607,"uris":["http://zotero.org/users/4946941/items/ZA4WEQR8"],"itemData":{"id":1607,"type":"article-journal","abstract":"Qualitative research is an increasingly popular research approach for tackling the evolving complexity of social issues. With this rise in use, methods of qualitative data collection are becoming highly diverse, moving away from conventional approaches and welcoming more innovative and creative methods of data collection in a quest to produce critically and theoretically engaged new knowledge. Although traditional face-to-face interviews remain a compelling and popular means, modern innovative technology-based interviewing, such as videoconference interviews, can play a pivotal role in qualitative research. This article argues that this approach is pragmatic because video conferencing interviews are relatively affordable for research teams and, for many research participants, they are more accessible than face-to-face interviews. On the other hand, it provides a unique opportunity for researchers and participants by compressing the time-space divide, facilitating safety, reducing travel-related expenses, accessing transnational participants, maintaining social distance, and protecting personal space and privacy. Yet, this article also argues that videoconferencing can be dogged by practical challenges that might conflict with the holistic quality of qualitative research, such as dropped calls and loss of intimacy compared to traditional in-person interviews. This article presents the experiences of a young researcher, who reflects on how and why he conducted Skype interviews in his research. The article concludes that, despite the relative merits and demerits, videoconference interviews can be a useful supplement or replacement for traditional face-to-face interviews. However, more research is needed to gain a robust understanding of how this type of interview meets basic assumptions about the quality of interviews and affects the overall rigor of qualitative research.","container-title":"International Journal of Qualitative Methods","DOI":"10.1177/16094069221090063","ISSN":"1609-4069","language":"en","note":"publisher: SAGE Publications Inc","page":"16094069221090063","source":"SAGE Journals","title":"An Alternative Method of Interviewing: Critical Reflections on Videoconference Interviews for Qualitative Data Collection","title-short":"An Alternative Method of Interviewing","volume":"21","author":[{"family":"Khan","given":"Tauhid Hossain"},{"family":"MacEachen","given":"Ellen"}],"issued":{"date-parts":[["2022",1,1]]}}},{"id":1605,"uris":["http://zotero.org/users/4946941/items/GAJ7J2JQ"],"itemData":{"id":1605,"type":"chapter","container-title":"Handbook of Research Methods in Health Social Sciences","page":"391–410","publisher":"Springer Singapore","source":"PhilPapers","title":"Qualitative Interviewing","editor":[{"family":"Liamputtong","given":"Pranee"}],"author":[{"family":"Nathan","given":"Sally"},{"family":"Newman","given":"Christy"},{"family":"Lancaster","given":"Kari"}],"issued":{"date-parts":[["2019"]]}}}],"schema":"https://github.com/citation-style-language/schema/raw/master/csl-citation.json"} </w:instrText>
      </w:r>
      <w:r w:rsidR="00B3197F">
        <w:fldChar w:fldCharType="separate"/>
      </w:r>
      <w:r w:rsidR="00D03C7E" w:rsidRPr="00D03C7E">
        <w:rPr>
          <w:rFonts w:cs="Arial"/>
        </w:rPr>
        <w:t>(Alshenqeeti, 2014; J. B. Hamilton, 2020; Khan &amp; MacEachen, 2022; Nathan et al., 2019)</w:t>
      </w:r>
      <w:r w:rsidR="00B3197F">
        <w:fldChar w:fldCharType="end"/>
      </w:r>
      <w:r w:rsidR="0092771C">
        <w:t xml:space="preserve">. </w:t>
      </w:r>
      <w:r>
        <w:t>For telephone interviews, there is the lack of ability to see the body language of the participant, and one must rely on the voice affect and the capturing of pauses, sighs, stutters, etc</w:t>
      </w:r>
      <w:r w:rsidR="008D7DB5">
        <w:t>.,</w:t>
      </w:r>
      <w:r w:rsidR="0092771C">
        <w:t xml:space="preserve"> </w:t>
      </w:r>
      <w:r w:rsidR="0050268F">
        <w:fldChar w:fldCharType="begin"/>
      </w:r>
      <w:r w:rsidR="0050268F">
        <w:instrText xml:space="preserve"> ADDIN ZOTERO_ITEM CSL_CITATION {"citationID":"vNws74hW","properties":{"formattedCitation":"(Kirsch &amp; Brandt, 2002)","plainCitation":"(Kirsch &amp; Brandt, 2002)","noteIndex":0},"citationItems":[{"id":1652,"uris":["http://zotero.org/users/4946941/items/68JMSBHP"],"itemData":{"id":1652,"type":"article-journal","abstract":"Collecting data from fathers has been an ongoing problem for researchers interested in developing a comprehensive view of the mother-child relationship from data-producing samples of families. The sampling design for a recent pilot of an intervention addressing the mother-child relationship included multiple data sources. One component required obtaining data from fathers of school-age children whose mothers were in the treatment phase for early-stage breast cancer. It was anticipated that information provided by fathers would be a valuable addition for describing the quality of the mother-child relationship and providing an important adjunct to understanding how the mother?s cancer experiences influenced her relationship with her child. Telephone interviewing was selected as the method for collecting data from the fathers. Limitations and strengths of this method are discussed along with utilization of the method. Telephone interviewing of the fathers was subsequently incorporated into a full clinical trial of the intervention.","container-title":"Journal of Family Nursing","DOI":"10.1177/107484070200800105","ISSN":"1074-8407","issue":"1","journalAbbreviation":"J Fam Nurs","language":"en","note":"publisher: SAGE Publications Inc","page":"73-84","source":"SAGE Journals","title":"Telephone Interviewing: A Method to Reach Fathers in Family Research","title-short":"Telephone Interviewing","volume":"8","author":[{"family":"Kirsch","given":"Sallie E. Davis"},{"family":"Brandt","given":"Patricia A."}],"issued":{"date-parts":[["2002",2,1]]}}}],"schema":"https://github.com/citation-style-language/schema/raw/master/csl-citation.json"} </w:instrText>
      </w:r>
      <w:r w:rsidR="0050268F">
        <w:fldChar w:fldCharType="separate"/>
      </w:r>
      <w:r w:rsidR="0050268F" w:rsidRPr="0050268F">
        <w:rPr>
          <w:rFonts w:cs="Arial"/>
        </w:rPr>
        <w:t>(Kirsch &amp; Brandt, 2002)</w:t>
      </w:r>
      <w:r w:rsidR="0050268F">
        <w:fldChar w:fldCharType="end"/>
      </w:r>
      <w:r>
        <w:t xml:space="preserve">. Telephone interviews also require strong note-taking skills and, sometimes, shorter time spaces in which to interview participants </w:t>
      </w:r>
      <w:r w:rsidR="00D8331C" w:rsidRPr="00E72018">
        <w:fldChar w:fldCharType="begin"/>
      </w:r>
      <w:r w:rsidR="00D8331C" w:rsidRPr="00E72018">
        <w:instrText xml:space="preserve"> ADDIN ZOTERO_ITEM CSL_CITATION {"citationID":"SK9sQONH","properties":{"formattedCitation":"(Kirsch &amp; Brandt, 2002)","plainCitation":"(Kirsch &amp; Brandt, 2002)","noteIndex":0},"citationItems":[{"id":1652,"uris":["http://zotero.org/users/4946941/items/68JMSBHP"],"itemData":{"id":1652,"type":"article-journal","abstract":"Collecting data from fathers has been an ongoing problem for researchers interested in developing a comprehensive view of the mother-child relationship from data-producing samples of families. The sampling design for a recent pilot of an intervention addressing the mother-child relationship included multiple data sources. One component required obtaining data from fathers of school-age children whose mothers were in the treatment phase for early-stage breast cancer. It was anticipated that information provided by fathers would be a valuable addition for describing the quality of the mother-child relationship and providing an important adjunct to understanding how the mother?s cancer experiences influenced her relationship with her child. Telephone interviewing was selected as the method for collecting data from the fathers. Limitations and strengths of this method are discussed along with utilization of the method. Telephone interviewing of the fathers was subsequently incorporated into a full clinical trial of the intervention.","container-title":"Journal of Family Nursing","DOI":"10.1177/107484070200800105","ISSN":"1074-8407","issue":"1","journalAbbreviation":"J Fam Nurs","language":"en","note":"publisher: SAGE Publications Inc","page":"73-84","source":"SAGE Journals","title":"Telephone Interviewing: A Method to Reach Fathers in Family Research","title-short":"Telephone Interviewing","volume":"8","author":[{"family":"Kirsch","given":"Sallie E. Davis"},{"family":"Brandt","given":"Patricia A."}],"issued":{"date-parts":[["2002",2,1]]}}}],"schema":"https://github.com/citation-style-language/schema/raw/master/csl-citation.json"} </w:instrText>
      </w:r>
      <w:r w:rsidR="00D8331C" w:rsidRPr="00E72018">
        <w:fldChar w:fldCharType="separate"/>
      </w:r>
      <w:r w:rsidR="00D8331C" w:rsidRPr="00E72018">
        <w:rPr>
          <w:rFonts w:cs="Arial"/>
        </w:rPr>
        <w:t>(Kirsch &amp; Brandt, 2002)</w:t>
      </w:r>
      <w:r w:rsidR="00D8331C" w:rsidRPr="00E72018">
        <w:fldChar w:fldCharType="end"/>
      </w:r>
      <w:r>
        <w:t xml:space="preserve">. This was not the case for me because all of my participants were retired and were able to set up the interviews at a time </w:t>
      </w:r>
      <w:r w:rsidR="00374AEE">
        <w:t xml:space="preserve">that was </w:t>
      </w:r>
      <w:r>
        <w:t>most convenient for them. Still, it is a consideration. There is also debate among some scholars that the small sample sizes often required by one-on-one interviews or done because of the time-consuming nature of one-on-one interviews may lead to a lack of generalizability</w:t>
      </w:r>
      <w:r w:rsidR="00D8331C">
        <w:t xml:space="preserve"> </w:t>
      </w:r>
      <w:r w:rsidR="00D8331C">
        <w:fldChar w:fldCharType="begin"/>
      </w:r>
      <w:r w:rsidR="00041E7D">
        <w:instrText xml:space="preserve"> ADDIN ZOTERO_ITEM CSL_CITATION {"citationID":"VfAyK8rS","properties":{"formattedCitation":"(Alshenqeeti, 2014; Hammersley, 2008, 2021; Kaliber, 2019)","plainCitation":"(Alshenqeeti, 2014; Hammersley, 2008, 2021; Kaliber, 2019)","noteIndex":0},"citationItems":[{"id":1596,"uris":["http://zotero.org/users/4946941/items/NTWTT9SI"],"itemData":{"id":1596,"type":"article-journal","abstract":"Through this paper I would critically assess the value and limitations of interviewing as a research instrument. Therefore, my discussion, which would be based on methodological issues allied with the use of interviews in qualitative social science research, is two-fold. Firstly, I briefly review the literature concerning the use of interviews, discuss interviews' types and illustrate the differences between these types. Then, issues regarding interviewing in practice will be discussed, ending this part with a brief review of the notion of interviewing in linguistic research. Secondly, a critical evaluation of the method will be presented, including a consideration of its usefulness and pitfalls, followed by discussing issues of validity and reliability of using interviews as a research instrument. To end with, ethical issues concerning the use of interviews will be discussed before drawing on our conclusion.","container-title":"English Linguistics Research","DOI":"10.5430/elr.v3n1p39","ISSN":"1927-6036","issue":"1","language":"en","license":"Copyright (c)","note":"number: 1","page":"39","source":"www.sciedu.ca","title":"Interviewing as a Data Collection Method: A Critical Review","title-short":"Interviewing as a Data Collection Method","volume":"3","author":[{"family":"Alshenqeeti","given":"Hamza"}],"issued":{"date-parts":[["2014",3,29]]}}},{"id":1653,"uris":["http://zotero.org/users/4946941/items/I5EH75SI"],"itemData":{"id":1653,"type":"book","edition":"1st Edition","event-place":"London","ISBN":"978-1-4129-3514-2","language":"en","publisher":"SAGE Publications Ltd","publisher-place":"London","source":"2007941790","title":"Questioning Qualitative Inquiry: Critical Essays","URL":"https://us.sagepub.com/en-us/nam/questioning-qualitative-inquiry/book230813","author":[{"family":"Hammersley","given":"Martyn"}],"accessed":{"date-parts":[["2022",10,30]]},"issued":{"date-parts":[["2008"]]}}},{"id":1600,"uris":["http://zotero.org/users/4946941/items/CF55MUIB"],"itemData":{"id":1600,"type":"article-journal","abstract":"This paper responds to some recent discussions in the Journal about how interview data can be used. While recognising the value of detailed analysis of the discourse employed in interviews to identify its formal features, it is argued that such analysis is not essential for all the purposes for which interview data can be employed in social research; that informal understanding of everyday language use, built up through ordinary experience and during the course of inquiry, can often be relied upon. It is also argued that practical cautions against taking interview data at face value must not be conflated with philosophical doubts about whether interview data can serve as a source of evidence about anything beyond the interview context.","container-title":"International Journal of Social Research Methodology","DOI":"10.1080/13645579.2020.1841881","ISSN":"1364-5579","issue":"3","note":"publisher: Routledge\n_eprint: https://doi.org/10.1080/13645579.2020.1841881","page":"393-395","source":"Taylor and Francis+NEJM","title":"The ‘radical critique of interviews’: a response to recent comments","title-short":"The ‘radical critique of interviews’","volume":"24","author":[{"family":"Hammersley","given":"Martyn"}],"issued":{"date-parts":[["2021",5,4]]}}},{"id":1609,"uris":["http://zotero.org/users/4946941/items/SCHP4T76"],"itemData":{"id":1609,"type":"article-journal","abstract":"This study aims to reflect on qualitative interviewing with a particular emphasis on semi-structured interviewing (SSI), with the purpose of guiding students and young scholars of International Relations and Political Science who will use this method in their research. This study begs to differ from both radical post-positivist’s deep scepticism which makes any scientific inquiry almost impossible as well as from positivism’s unreflective, unproblematized, instrumental approach to interviewing. It proposes a reflectivist approach to qualitative interviewing that emphasizes the political nature of the interviewing process with various political, ethical and even social consequences. The reflectivist approach requires researchers to be self-critical at all times, in particular concerning their role and influence on the interview setting and the interviewee. This article proceeds as follows: It first addresses my own research on the nexus between civil society and the Kurdish question in Turkey, where SSI has been operationalized as the main research method. It then addresses the positivist and post-positivist debates on qualitative interviewing as well as the reflectivist approach that this study promotes. The article then engages in SSI in three distinct stages: pre-interview, interview and post-interview phases. Finally, the concluding part introduces some works utilising interviewing in Turkish IR and wraps up the theoretical/methodological arguments disseminated throughout the study at hand.","container-title":"All Azimuth: A Journal of Foreign Policy and Peace","DOI":"10.20991/allazimuth.477335","ISSN":"2146-7757","issue":"2","language":"en","note":"number: 2","page":"339-357","source":"dergipark.org.tr","title":"Reflecting on the Reflectivist Approach to Qualitative Interviewing","volume":"8","author":[{"family":"Kaliber","given":"Alper"}],"issued":{"date-parts":[["2019",7,1]]}}}],"schema":"https://github.com/citation-style-language/schema/raw/master/csl-citation.json"} </w:instrText>
      </w:r>
      <w:r w:rsidR="00D8331C">
        <w:fldChar w:fldCharType="separate"/>
      </w:r>
      <w:r w:rsidR="00041E7D" w:rsidRPr="006C7416">
        <w:rPr>
          <w:rFonts w:cs="Arial"/>
        </w:rPr>
        <w:t>(Alshenqeeti, 2014; Hammersley, 2008, 2021; Kaliber, 2019</w:t>
      </w:r>
      <w:r w:rsidR="00041E7D" w:rsidRPr="00041E7D">
        <w:rPr>
          <w:rFonts w:cs="Arial"/>
        </w:rPr>
        <w:t>)</w:t>
      </w:r>
      <w:r w:rsidR="00D8331C">
        <w:fldChar w:fldCharType="end"/>
      </w:r>
      <w:r w:rsidR="0042603B">
        <w:t xml:space="preserve">. </w:t>
      </w:r>
    </w:p>
    <w:p w14:paraId="0D72E071" w14:textId="5F321E0C" w:rsidR="00B02A0F" w:rsidRDefault="00B02A0F" w:rsidP="004A5052">
      <w:pPr>
        <w:spacing w:after="0" w:line="480" w:lineRule="auto"/>
        <w:ind w:firstLine="720"/>
      </w:pPr>
      <w:r>
        <w:t xml:space="preserve"> Given these factors, the benefits of semi-structured interviews for the purposes of this study far outweighed any disadvantages. While there are instances </w:t>
      </w:r>
      <w:r w:rsidR="006D7792">
        <w:t>in which</w:t>
      </w:r>
      <w:r>
        <w:t xml:space="preserve"> allowing participants to review </w:t>
      </w:r>
      <w:r w:rsidR="006D7792">
        <w:t>the</w:t>
      </w:r>
      <w:r>
        <w:t xml:space="preserve"> transcripts for accuracy and agreement is best, in the case of this study, I made the decision not to do that. This is because of several concerns I had. The first is because I was seeking first responses regarding the women’s perceptions at the given time of the interview – what they knew right then and there. Since this study was looking at what the women did and did not know or did and did not report in explaining their perceptions about health inequity, policies and interventions, and social determinants of health, had I allowed them to review the interview transcripts, I ran the risk of the women adapting their answers based on any research or conversations with family members, peers, etc</w:t>
      </w:r>
      <w:r w:rsidR="0042603B">
        <w:t>.,</w:t>
      </w:r>
      <w:r>
        <w:t xml:space="preserve"> since the time of their </w:t>
      </w:r>
      <w:r>
        <w:lastRenderedPageBreak/>
        <w:t>interview. For example, I ran the risk of them researching information about health inequities or federal, state, and local policies, or asking their family members about their genealogical illness and mortality outcomes, and correcting their answers based on that updated information. There were also considerations to be made about the arousal of negative emotions in the participants when reading their transcripts</w:t>
      </w:r>
      <w:r w:rsidR="0042603B">
        <w:t xml:space="preserve"> </w:t>
      </w:r>
      <w:r w:rsidR="0042603B">
        <w:fldChar w:fldCharType="begin"/>
      </w:r>
      <w:r w:rsidR="0042603B">
        <w:instrText xml:space="preserve"> ADDIN ZOTERO_ITEM CSL_CITATION {"citationID":"UdhQ2yHW","properties":{"formattedCitation":"(Mero-Jaffe, 2011)","plainCitation":"(Mero-Jaffe, 2011)","noteIndex":0},"citationItems":[{"id":1612,"uris":["http://zotero.org/users/4946941/items/GFWN3PYU"],"itemData":{"id":1612,"type":"article-journal","abstract":"This article deals with insights gained from data analysis of feedback comments on transcripts sent to interviewees. It contributes to understanding of research studies that include transcripts, specifically on the contribution of participants' review of transcripts on the quality of those transcripts, and thus on the quality of research. The transfer of the transcripts to the interviewees was intended to validate the transcripts, to preserve research ethics, and to empower the interviewees by allowing them control of what was written. Interviewee responses related to the ratification of content, the authenticity of that which was said during the interview, corrections of language, additional clarifications, power interactions and changes in the balance of power between the interviewer and interviewees, feelings of embarrassment and threat, research ethics, and reflective responses. The experience of sending the transcripts to the interviewees raised research and ethical issues that require added caution and consideration when sending transcripts to interviewees.","container-title":"International Journal of Qualitative Methods","DOI":"10.1177/160940691101000304","ISSN":"1609-4069","issue":"3","language":"en","note":"publisher: SAGE Publications Inc","page":"231-247","source":"SAGE Journals","title":"‘Is that what I Said?’ Interview Transcript Approval by Participants: An Aspect of Ethics in Qualitative Research","title-short":"‘Is that what I Said?","volume":"10","author":[{"family":"Mero-Jaffe","given":"Irit"}],"issued":{"date-parts":[["2011",9,1]]}}}],"schema":"https://github.com/citation-style-language/schema/raw/master/csl-citation.json"} </w:instrText>
      </w:r>
      <w:r w:rsidR="0042603B">
        <w:fldChar w:fldCharType="separate"/>
      </w:r>
      <w:r w:rsidR="0042603B" w:rsidRPr="0042603B">
        <w:rPr>
          <w:rFonts w:cs="Arial"/>
        </w:rPr>
        <w:t>(</w:t>
      </w:r>
      <w:r w:rsidR="0042603B" w:rsidRPr="0048445C">
        <w:rPr>
          <w:rFonts w:cs="Arial"/>
        </w:rPr>
        <w:t>Mero-Jaffe, 2011</w:t>
      </w:r>
      <w:r w:rsidR="0042603B" w:rsidRPr="0042603B">
        <w:rPr>
          <w:rFonts w:cs="Arial"/>
        </w:rPr>
        <w:t>)</w:t>
      </w:r>
      <w:r w:rsidR="0042603B">
        <w:fldChar w:fldCharType="end"/>
      </w:r>
      <w:r w:rsidR="00F5243D">
        <w:t xml:space="preserve">. </w:t>
      </w:r>
      <w:r>
        <w:t xml:space="preserve">This meant that their updated answers </w:t>
      </w:r>
      <w:r w:rsidR="00370A21">
        <w:t>may</w:t>
      </w:r>
      <w:r>
        <w:t xml:space="preserve"> reflect updated transcripts that were not necessarily information that they recalled or knew at the time of interview. This could potentially change the results of the study as noted in the literature regarding this possibility</w:t>
      </w:r>
      <w:r w:rsidR="00F5243D">
        <w:t xml:space="preserve"> </w:t>
      </w:r>
      <w:r w:rsidR="002E7037">
        <w:fldChar w:fldCharType="begin"/>
      </w:r>
      <w:r w:rsidR="002E7037">
        <w:instrText xml:space="preserve"> ADDIN ZOTERO_ITEM CSL_CITATION {"citationID":"egjLe1Wg","properties":{"formattedCitation":"(Hagens et al., 2009)","plainCitation":"(Hagens et al., 2009)","noteIndex":0},"citationItems":[{"id":1655,"uris":["http://zotero.org/users/4946941/items/SCTTN7JI"],"itemData":{"id":1655,"type":"article-journal","abstract":"Abstract\n            \n              Background\n              This paper assesses interviewee transcript review (ITR) as a technique for improving the rigour of interview-based, qualitative research. ITR is a process whereby interviewees are provided with verbatim transcripts of their interviews for the purposes of verifying accuracy, correcting errors or inaccuracies and providing clarifications. ITR, in various forms, is widely used among qualitative researchers, however there is limited methodological guidance on how it should be employed and little is known about its actual impact on the transcript, the data, the interviewee or the researcher.\n            \n            \n              Methods\n              ITR was incorporated into a qualitative research study in which 51 key informant interviews were conducted with a range of senior stakeholders within the Canadian health care system. The changes made by interviewees to their transcripts were systematically tracked and categorized using a set of mutually exclusive categories.\n            \n            \n              Results\n              The study found that ITR added little to the accuracy of the transcript and may create complications if the goal of the researcher is to produce a transcript which reflects precisely what was said at the time of the interview. The advantages of ITR are that it allows interviewees the opportunity to edit or clarify information provided in the original interview, with many interviewees providing corrections, clarifications, and in some cases, adding new material to their transcripts. There are also potential disadvantages, such as a bias created by inconsistent data sources or the loss of data when an interviewee chooses to remove valuable material. The impact of ITR on the interviewee may be both positive and negative, depending on the specific circumstances and the nature of the study. The impact of ITR on the researcher was minimal in this study, but is again subject to specific circumstances of the research context.\n            \n            \n              Conclusion\n              While ITR is employed by many researchers across numerous fields, the advantages of its use may be relatively small in terms of verifying the accuracy of qualitative interview transcripts. Researchers are advised to carefully consider both the potential advantages and disadvantages of ITR outlined in this paper before deciding to incorporate the practice within their qualitative study designs.","container-title":"BMC Medical Research Methodology","DOI":"10.1186/1471-2288-9-47","ISSN":"1471-2288","issue":"1","journalAbbreviation":"BMC Med Res Methodol","language":"en","page":"47","source":"DOI.org (Crossref)","title":"Interviewee Transcript Review: assessing the impact on qualitative research","title-short":"Interviewee Transcript Review","volume":"9","author":[{"family":"Hagens","given":"Victoria"},{"family":"Dobrow","given":"Mark J"},{"family":"Chafe","given":"Roger"}],"issued":{"date-parts":[["2009",12]]}}}],"schema":"https://github.com/citation-style-language/schema/raw/master/csl-citation.json"} </w:instrText>
      </w:r>
      <w:r w:rsidR="002E7037">
        <w:fldChar w:fldCharType="separate"/>
      </w:r>
      <w:r w:rsidR="002E7037" w:rsidRPr="002E7037">
        <w:rPr>
          <w:rFonts w:cs="Arial"/>
        </w:rPr>
        <w:t>(</w:t>
      </w:r>
      <w:r w:rsidR="002E7037" w:rsidRPr="004767C2">
        <w:rPr>
          <w:rFonts w:cs="Arial"/>
        </w:rPr>
        <w:t>Hagens et al., 2009</w:t>
      </w:r>
      <w:r w:rsidR="002E7037" w:rsidRPr="002E7037">
        <w:rPr>
          <w:rFonts w:cs="Arial"/>
        </w:rPr>
        <w:t>)</w:t>
      </w:r>
      <w:r w:rsidR="002E7037">
        <w:fldChar w:fldCharType="end"/>
      </w:r>
      <w:r>
        <w:t>. Therefore, in weighing these options, not providing the participants a chance to review the transcripts seemed to be the most prudent decision.</w:t>
      </w:r>
    </w:p>
    <w:p w14:paraId="0B190980" w14:textId="23BA92C7" w:rsidR="00B02A0F" w:rsidRDefault="00B02A0F" w:rsidP="004A5052">
      <w:pPr>
        <w:spacing w:after="0" w:line="480" w:lineRule="auto"/>
        <w:ind w:firstLine="720"/>
      </w:pPr>
      <w:r>
        <w:t>Because I also took notes during the interview process, observing their body language, silences, conflicting statements and pauses, I was able to match their responses in the transcript to the observations I made in my notes. This allowed me to confirm that their non-language responses were matching or conflicting what they were saying and provided validity and reliability to my analysis of what the women said</w:t>
      </w:r>
      <w:r w:rsidR="00171B97">
        <w:t xml:space="preserve"> </w:t>
      </w:r>
      <w:r w:rsidR="00171B97">
        <w:fldChar w:fldCharType="begin"/>
      </w:r>
      <w:r w:rsidR="00171B97">
        <w:instrText xml:space="preserve"> ADDIN ZOTERO_ITEM CSL_CITATION {"citationID":"1atS8RUZ","properties":{"formattedCitation":"(FitzPatrick, 2019)","plainCitation":"(FitzPatrick, 2019)","noteIndex":0},"citationItems":[{"id":1614,"uris":["http://zotero.org/users/4946941/items/Y84WWTPM"],"itemData":{"id":1614,"type":"article-journal","abstract":"Validity has had a contentious history in qualitative research. This is so for qualitative health education research as well. Establishing and writing about validity in qualitative research can be a challenging task as there are numerous viewpoints on what constitutes validity and varied nomenclature, such as trustworthiness, credibility, dependability, confirmability, authenticity, rigor, plausibility, goodness, soundness, transferability, and quality assessment. However, there is general agreement that establishing trust in the inferences that are made is necessary. Validity is dependent on the purpose and context of the research, and refers to conclusions that are based on particular methods used to address validity threats that are pertinent to the particular research. This article should help researchers distinguish among a variety of validation checks for a contextualized approach to establishing validity and apply these checks to their own qualitative health education research.","container-title":"Currents in Pharmacy Teaching and Learning","DOI":"10.1016/j.cptl.2018.11.014","ISSN":"1877-1297","issue":"2","journalAbbreviation":"Currents in Pharmacy Teaching and Learning","language":"en","page":"211-217","source":"ScienceDirect","title":"Validity in qualitative health education research","volume":"11","author":[{"family":"FitzPatrick","given":"Beverly"}],"issued":{"date-parts":[["2019",2,1]]}}}],"schema":"https://github.com/citation-style-language/schema/raw/master/csl-citation.json"} </w:instrText>
      </w:r>
      <w:r w:rsidR="00171B97">
        <w:fldChar w:fldCharType="separate"/>
      </w:r>
      <w:r w:rsidR="00171B97" w:rsidRPr="00171B97">
        <w:rPr>
          <w:rFonts w:cs="Arial"/>
        </w:rPr>
        <w:t>(FitzPatrick, 2019)</w:t>
      </w:r>
      <w:r w:rsidR="00171B97">
        <w:fldChar w:fldCharType="end"/>
      </w:r>
      <w:r>
        <w:t>. Moreover, the transferability</w:t>
      </w:r>
      <w:r w:rsidR="00171B97">
        <w:t xml:space="preserve"> </w:t>
      </w:r>
      <w:r w:rsidR="00171B97">
        <w:fldChar w:fldCharType="begin"/>
      </w:r>
      <w:r w:rsidR="00171B97">
        <w:instrText xml:space="preserve"> ADDIN ZOTERO_ITEM CSL_CITATION {"citationID":"iLI3Wsvd","properties":{"formattedCitation":"(FitzPatrick, 2019)","plainCitation":"(FitzPatrick, 2019)","noteIndex":0},"citationItems":[{"id":1614,"uris":["http://zotero.org/users/4946941/items/Y84WWTPM"],"itemData":{"id":1614,"type":"article-journal","abstract":"Validity has had a contentious history in qualitative research. This is so for qualitative health education research as well. Establishing and writing about validity in qualitative research can be a challenging task as there are numerous viewpoints on what constitutes validity and varied nomenclature, such as trustworthiness, credibility, dependability, confirmability, authenticity, rigor, plausibility, goodness, soundness, transferability, and quality assessment. However, there is general agreement that establishing trust in the inferences that are made is necessary. Validity is dependent on the purpose and context of the research, and refers to conclusions that are based on particular methods used to address validity threats that are pertinent to the particular research. This article should help researchers distinguish among a variety of validation checks for a contextualized approach to establishing validity and apply these checks to their own qualitative health education research.","container-title":"Currents in Pharmacy Teaching and Learning","DOI":"10.1016/j.cptl.2018.11.014","ISSN":"1877-1297","issue":"2","journalAbbreviation":"Currents in Pharmacy Teaching and Learning","language":"en","page":"211-217","source":"ScienceDirect","title":"Validity in qualitative health education research","volume":"11","author":[{"family":"FitzPatrick","given":"Beverly"}],"issued":{"date-parts":[["2019",2,1]]}}}],"schema":"https://github.com/citation-style-language/schema/raw/master/csl-citation.json"} </w:instrText>
      </w:r>
      <w:r w:rsidR="00171B97">
        <w:fldChar w:fldCharType="separate"/>
      </w:r>
      <w:r w:rsidR="00171B97" w:rsidRPr="00171B97">
        <w:rPr>
          <w:rFonts w:cs="Arial"/>
        </w:rPr>
        <w:t>(FitzPatrick, 2019)</w:t>
      </w:r>
      <w:r w:rsidR="00171B97">
        <w:fldChar w:fldCharType="end"/>
      </w:r>
      <w:r>
        <w:t xml:space="preserve"> of the study was helped by the fact that, while all of the women were located in one region during the time of the interview, nearly all of them were born, lived, and grew up in various areas of the country and internationally. </w:t>
      </w:r>
    </w:p>
    <w:p w14:paraId="387F1E65" w14:textId="3095545C" w:rsidR="003A789D" w:rsidRDefault="00B02A0F" w:rsidP="00B02A0F">
      <w:pPr>
        <w:spacing w:after="0" w:line="480" w:lineRule="auto"/>
        <w:ind w:firstLine="720"/>
        <w:rPr>
          <w:rFonts w:cs="Arial"/>
          <w:szCs w:val="24"/>
        </w:rPr>
      </w:pPr>
      <w:r>
        <w:t xml:space="preserve">Finally, my positionality as a researcher must be taken into consideration. Because I have worked in communications, </w:t>
      </w:r>
      <w:r w:rsidR="00D01220">
        <w:t xml:space="preserve">marketing, </w:t>
      </w:r>
      <w:r w:rsidR="002539FA">
        <w:t>public relations</w:t>
      </w:r>
      <w:r>
        <w:t xml:space="preserve">, </w:t>
      </w:r>
      <w:r w:rsidR="00D01220">
        <w:t xml:space="preserve">and </w:t>
      </w:r>
      <w:r>
        <w:t xml:space="preserve">broadcasting, I have extensive experience interviewing individuals. This means I have </w:t>
      </w:r>
      <w:r>
        <w:lastRenderedPageBreak/>
        <w:t>strong skills in establishing rapport quickly, taking notes in difficult circumstances on difficult topics, and in recording and reporting on interview answers.</w:t>
      </w:r>
    </w:p>
    <w:p w14:paraId="45E316B0" w14:textId="7CBDEC7E" w:rsidR="000038BA" w:rsidRPr="00424BD3" w:rsidRDefault="00B34C01" w:rsidP="00056298">
      <w:pPr>
        <w:spacing w:after="0" w:line="480" w:lineRule="auto"/>
        <w:ind w:firstLine="720"/>
        <w:rPr>
          <w:rFonts w:cs="Arial"/>
          <w:szCs w:val="24"/>
        </w:rPr>
      </w:pPr>
      <w:r>
        <w:rPr>
          <w:rFonts w:cs="Arial"/>
          <w:szCs w:val="24"/>
        </w:rPr>
        <w:t>O</w:t>
      </w:r>
      <w:r w:rsidRPr="00424BD3">
        <w:rPr>
          <w:rFonts w:cs="Arial"/>
          <w:szCs w:val="24"/>
        </w:rPr>
        <w:t>nce they signed the consent form</w:t>
      </w:r>
      <w:r w:rsidR="00C4544F">
        <w:rPr>
          <w:rFonts w:cs="Arial"/>
          <w:szCs w:val="24"/>
        </w:rPr>
        <w:t>,</w:t>
      </w:r>
      <w:r>
        <w:rPr>
          <w:rFonts w:cs="Arial"/>
          <w:szCs w:val="24"/>
        </w:rPr>
        <w:t xml:space="preserve"> p</w:t>
      </w:r>
      <w:r w:rsidR="000038BA" w:rsidRPr="00424BD3">
        <w:rPr>
          <w:rFonts w:cs="Arial"/>
          <w:szCs w:val="24"/>
        </w:rPr>
        <w:t>articipants</w:t>
      </w:r>
      <w:r>
        <w:rPr>
          <w:rFonts w:cs="Arial"/>
          <w:szCs w:val="24"/>
        </w:rPr>
        <w:t xml:space="preserve"> </w:t>
      </w:r>
      <w:r w:rsidR="000038BA" w:rsidRPr="00424BD3">
        <w:rPr>
          <w:rFonts w:cs="Arial"/>
          <w:szCs w:val="24"/>
        </w:rPr>
        <w:t xml:space="preserve">were given the option to undertake the interview either in-person, via secured VPN video call, or via telephone. The semi-structured interviews were conducted over </w:t>
      </w:r>
      <w:r w:rsidR="006E4719" w:rsidRPr="00424BD3">
        <w:rPr>
          <w:rFonts w:cs="Arial"/>
          <w:szCs w:val="24"/>
        </w:rPr>
        <w:t>several</w:t>
      </w:r>
      <w:r w:rsidR="000038BA" w:rsidRPr="00424BD3">
        <w:rPr>
          <w:rFonts w:cs="Arial"/>
          <w:szCs w:val="24"/>
        </w:rPr>
        <w:t xml:space="preserve"> months in the Spring and Summer of 2021 and lasted approximately one hour. Because these interviews took place during the pandemic, only one participant chose to participate in a face-to-face interview. Standard health and safety precautions, as prescribed by the CDC, were put into place in order to conduct that interview, including social distancing and wearing of masks during the interview. The remainder of the interviews took place via video call or telephone call. The researcher ensured that all call interviews took place in the privacy of a locked-door, selected room within her home and that no one else was present in the room or within hearing distance of the call. All calls, including telephone calls, were record</w:t>
      </w:r>
      <w:r w:rsidR="00937CFA">
        <w:rPr>
          <w:rFonts w:cs="Arial"/>
          <w:szCs w:val="24"/>
        </w:rPr>
        <w:t>ed</w:t>
      </w:r>
      <w:r w:rsidR="000038BA" w:rsidRPr="00424BD3">
        <w:rPr>
          <w:rFonts w:cs="Arial"/>
          <w:szCs w:val="24"/>
        </w:rPr>
        <w:t xml:space="preserve"> using the university’s secure sign-in Zoom software, and stored in the university’s secure file system.</w:t>
      </w:r>
    </w:p>
    <w:p w14:paraId="33EA33A8" w14:textId="3388C5F2" w:rsidR="000038BA" w:rsidRPr="00424BD3" w:rsidRDefault="000038BA" w:rsidP="000126EE">
      <w:pPr>
        <w:spacing w:after="0" w:line="480" w:lineRule="auto"/>
        <w:ind w:firstLine="720"/>
        <w:rPr>
          <w:rFonts w:cs="Arial"/>
          <w:szCs w:val="24"/>
        </w:rPr>
      </w:pPr>
      <w:r w:rsidRPr="00424BD3">
        <w:rPr>
          <w:rFonts w:cs="Arial"/>
          <w:szCs w:val="24"/>
        </w:rPr>
        <w:t xml:space="preserve">The first round of potential participants consisted of twenty women ranging in age from 65 years to 80 years. However, due to complications with health and with complications from the pandemic, several initial potential participants, many who had already signed consent forms, were unable to continue to </w:t>
      </w:r>
      <w:r w:rsidR="00937CFA">
        <w:rPr>
          <w:rFonts w:cs="Arial"/>
          <w:szCs w:val="24"/>
        </w:rPr>
        <w:t xml:space="preserve">the </w:t>
      </w:r>
      <w:r w:rsidRPr="00424BD3">
        <w:rPr>
          <w:rFonts w:cs="Arial"/>
          <w:szCs w:val="24"/>
        </w:rPr>
        <w:t>interview stage. Their consent forms and communications were securely destroyed or deleted, and the researcher undertook a round of snowball sampling which resulted in additional new participants.</w:t>
      </w:r>
    </w:p>
    <w:p w14:paraId="7A0FF9AB" w14:textId="3443F4C4" w:rsidR="009C7AB7" w:rsidRPr="00424BD3" w:rsidRDefault="000038BA" w:rsidP="000126EE">
      <w:pPr>
        <w:spacing w:after="0" w:line="480" w:lineRule="auto"/>
        <w:ind w:firstLine="720"/>
        <w:rPr>
          <w:rFonts w:cs="Arial"/>
          <w:szCs w:val="24"/>
        </w:rPr>
      </w:pPr>
      <w:r w:rsidRPr="00424BD3">
        <w:rPr>
          <w:rFonts w:cs="Arial"/>
          <w:szCs w:val="24"/>
        </w:rPr>
        <w:lastRenderedPageBreak/>
        <w:t>The interview consisted of 26 questions which fell under broad categories, including introductory questions, and questions on life experience; health inequities perceptions of women aged 65</w:t>
      </w:r>
      <w:r w:rsidR="008612C2" w:rsidRPr="00424BD3">
        <w:rPr>
          <w:rFonts w:cs="Arial"/>
          <w:szCs w:val="24"/>
        </w:rPr>
        <w:t xml:space="preserve"> years and over</w:t>
      </w:r>
      <w:r w:rsidRPr="00424BD3">
        <w:rPr>
          <w:rFonts w:cs="Arial"/>
          <w:szCs w:val="24"/>
        </w:rPr>
        <w:t>; daily life experiences and perceptions of women aged 65</w:t>
      </w:r>
      <w:r w:rsidR="008612C2" w:rsidRPr="00424BD3">
        <w:rPr>
          <w:rFonts w:cs="Arial"/>
          <w:szCs w:val="24"/>
        </w:rPr>
        <w:t xml:space="preserve"> years and over</w:t>
      </w:r>
      <w:r w:rsidRPr="00424BD3">
        <w:rPr>
          <w:rFonts w:cs="Arial"/>
          <w:szCs w:val="24"/>
        </w:rPr>
        <w:t xml:space="preserve"> regarding health overall; trends in mortality and healthy life experience; polic</w:t>
      </w:r>
      <w:r w:rsidR="00797BC9">
        <w:rPr>
          <w:rFonts w:cs="Arial"/>
          <w:szCs w:val="24"/>
        </w:rPr>
        <w:t>i</w:t>
      </w:r>
      <w:r w:rsidRPr="00424BD3">
        <w:rPr>
          <w:rFonts w:cs="Arial"/>
          <w:szCs w:val="24"/>
        </w:rPr>
        <w:t xml:space="preserve">es and services related to health; and what they wanted policymakers and clinicians to know about their health wants and needs. </w:t>
      </w:r>
      <w:r w:rsidR="00B3362F" w:rsidRPr="00424BD3">
        <w:rPr>
          <w:rFonts w:cs="Arial"/>
          <w:szCs w:val="24"/>
        </w:rPr>
        <w:t xml:space="preserve">They were </w:t>
      </w:r>
      <w:r w:rsidR="00AA26EE" w:rsidRPr="00424BD3">
        <w:rPr>
          <w:rFonts w:cs="Arial"/>
          <w:szCs w:val="24"/>
        </w:rPr>
        <w:t xml:space="preserve">also </w:t>
      </w:r>
      <w:r w:rsidRPr="00424BD3">
        <w:rPr>
          <w:rFonts w:cs="Arial"/>
          <w:szCs w:val="24"/>
        </w:rPr>
        <w:t xml:space="preserve">asked how they defined concepts such as health inequities, healthy life expectancy, mortality, good health, poor health, and wellbeing. </w:t>
      </w:r>
      <w:r w:rsidR="00B3362F" w:rsidRPr="00424BD3">
        <w:rPr>
          <w:rFonts w:cs="Arial"/>
          <w:szCs w:val="24"/>
        </w:rPr>
        <w:t xml:space="preserve">They were </w:t>
      </w:r>
      <w:r w:rsidRPr="00424BD3">
        <w:rPr>
          <w:rFonts w:cs="Arial"/>
          <w:szCs w:val="24"/>
        </w:rPr>
        <w:t>asked to describe where they grew up, where they were born, how long they have lived in East Tennessee</w:t>
      </w:r>
      <w:r w:rsidR="00985A87" w:rsidRPr="00424BD3">
        <w:rPr>
          <w:rFonts w:cs="Arial"/>
          <w:szCs w:val="24"/>
        </w:rPr>
        <w:t xml:space="preserve">. </w:t>
      </w:r>
      <w:r w:rsidR="00B3362F" w:rsidRPr="00424BD3">
        <w:rPr>
          <w:rFonts w:cs="Arial"/>
          <w:szCs w:val="24"/>
        </w:rPr>
        <w:t xml:space="preserve">They were </w:t>
      </w:r>
      <w:r w:rsidR="008C4CB9" w:rsidRPr="00424BD3">
        <w:rPr>
          <w:rFonts w:cs="Arial"/>
          <w:szCs w:val="24"/>
        </w:rPr>
        <w:t xml:space="preserve">asked </w:t>
      </w:r>
      <w:r w:rsidRPr="00424BD3">
        <w:rPr>
          <w:rFonts w:cs="Arial"/>
          <w:szCs w:val="24"/>
        </w:rPr>
        <w:t>how health was viewed in their home growing up as well as amongst their peers</w:t>
      </w:r>
      <w:r w:rsidR="00046B38" w:rsidRPr="00424BD3">
        <w:rPr>
          <w:rFonts w:cs="Arial"/>
          <w:szCs w:val="24"/>
        </w:rPr>
        <w:t>, and if they perceived any differences in views of health in the places they had lived</w:t>
      </w:r>
      <w:r w:rsidRPr="00424BD3">
        <w:rPr>
          <w:rFonts w:cs="Arial"/>
          <w:szCs w:val="24"/>
        </w:rPr>
        <w:t xml:space="preserve">. </w:t>
      </w:r>
      <w:r w:rsidR="008224EC" w:rsidRPr="00424BD3">
        <w:rPr>
          <w:rFonts w:cs="Arial"/>
          <w:szCs w:val="24"/>
        </w:rPr>
        <w:t>They were</w:t>
      </w:r>
      <w:r w:rsidR="00985A87" w:rsidRPr="00424BD3">
        <w:rPr>
          <w:rFonts w:cs="Arial"/>
          <w:szCs w:val="24"/>
        </w:rPr>
        <w:t xml:space="preserve"> also </w:t>
      </w:r>
      <w:r w:rsidRPr="00424BD3">
        <w:rPr>
          <w:rFonts w:cs="Arial"/>
          <w:szCs w:val="24"/>
        </w:rPr>
        <w:t>asked</w:t>
      </w:r>
      <w:r w:rsidR="00046B38" w:rsidRPr="00424BD3">
        <w:rPr>
          <w:rFonts w:cs="Arial"/>
          <w:szCs w:val="24"/>
        </w:rPr>
        <w:t xml:space="preserve"> to recall</w:t>
      </w:r>
      <w:r w:rsidR="00985A87" w:rsidRPr="00424BD3">
        <w:rPr>
          <w:rFonts w:cs="Arial"/>
          <w:szCs w:val="24"/>
        </w:rPr>
        <w:t xml:space="preserve">, </w:t>
      </w:r>
      <w:r w:rsidRPr="00424BD3">
        <w:rPr>
          <w:rFonts w:cs="Arial"/>
          <w:szCs w:val="24"/>
        </w:rPr>
        <w:t xml:space="preserve">to the best of their knowledge, family health history questions, including mortality, causes of death, specific illnesses or conditions that ‘run in their family’, what they thought caused these conditions or illnesses, and how these conditions and illnesses were viewed by family members and by themselves. </w:t>
      </w:r>
      <w:r w:rsidR="00CD390A" w:rsidRPr="00424BD3">
        <w:rPr>
          <w:rFonts w:cs="Arial"/>
          <w:szCs w:val="24"/>
        </w:rPr>
        <w:t xml:space="preserve">I asked them </w:t>
      </w:r>
      <w:r w:rsidRPr="00424BD3">
        <w:rPr>
          <w:rFonts w:cs="Arial"/>
          <w:szCs w:val="24"/>
        </w:rPr>
        <w:t xml:space="preserve">questions related to their own health care, clinical care, and insurance experiences. Finally, </w:t>
      </w:r>
      <w:r w:rsidR="008224EC" w:rsidRPr="00424BD3">
        <w:rPr>
          <w:rFonts w:cs="Arial"/>
          <w:szCs w:val="24"/>
        </w:rPr>
        <w:t xml:space="preserve">they were asked </w:t>
      </w:r>
      <w:r w:rsidRPr="00424BD3">
        <w:rPr>
          <w:rFonts w:cs="Arial"/>
          <w:szCs w:val="24"/>
        </w:rPr>
        <w:t>to describe their knowledge and perceptions of local, state or federal laws or policies that affect women 65</w:t>
      </w:r>
      <w:r w:rsidR="008612C2" w:rsidRPr="00424BD3">
        <w:rPr>
          <w:rFonts w:cs="Arial"/>
          <w:szCs w:val="24"/>
        </w:rPr>
        <w:t xml:space="preserve"> years and over</w:t>
      </w:r>
      <w:r w:rsidRPr="00424BD3">
        <w:rPr>
          <w:rFonts w:cs="Arial"/>
          <w:szCs w:val="24"/>
        </w:rPr>
        <w:t>, and what they would like policymakers, healthcare researchers, and services providers to know about what they think women aged 65</w:t>
      </w:r>
      <w:r w:rsidR="008612C2" w:rsidRPr="00424BD3">
        <w:rPr>
          <w:rFonts w:cs="Arial"/>
          <w:szCs w:val="24"/>
        </w:rPr>
        <w:t xml:space="preserve"> years and over</w:t>
      </w:r>
      <w:r w:rsidRPr="00424BD3">
        <w:rPr>
          <w:rFonts w:cs="Arial"/>
          <w:szCs w:val="24"/>
        </w:rPr>
        <w:t xml:space="preserve"> need and want regarding their health.</w:t>
      </w:r>
      <w:r w:rsidR="009C7AB7" w:rsidRPr="00424BD3">
        <w:rPr>
          <w:rFonts w:cs="Arial"/>
          <w:szCs w:val="24"/>
        </w:rPr>
        <w:t xml:space="preserve"> </w:t>
      </w:r>
      <w:r w:rsidR="002C755E" w:rsidRPr="00424BD3">
        <w:rPr>
          <w:rFonts w:cs="Arial"/>
          <w:szCs w:val="24"/>
        </w:rPr>
        <w:t>T</w:t>
      </w:r>
      <w:r w:rsidR="009C7AB7" w:rsidRPr="00424BD3">
        <w:rPr>
          <w:rFonts w:cs="Arial"/>
          <w:szCs w:val="24"/>
        </w:rPr>
        <w:t>hese questions</w:t>
      </w:r>
      <w:r w:rsidR="002C755E" w:rsidRPr="00424BD3">
        <w:rPr>
          <w:rFonts w:cs="Arial"/>
          <w:szCs w:val="24"/>
        </w:rPr>
        <w:t xml:space="preserve"> were designed</w:t>
      </w:r>
      <w:r w:rsidR="009C7AB7" w:rsidRPr="00424BD3">
        <w:rPr>
          <w:rFonts w:cs="Arial"/>
          <w:szCs w:val="24"/>
        </w:rPr>
        <w:t xml:space="preserve"> to capture their experiences growing up in these circumstances. This allows </w:t>
      </w:r>
      <w:r w:rsidR="00FD5B9C" w:rsidRPr="00424BD3">
        <w:rPr>
          <w:rFonts w:cs="Arial"/>
          <w:szCs w:val="24"/>
        </w:rPr>
        <w:t>for an</w:t>
      </w:r>
      <w:r w:rsidR="009C7AB7" w:rsidRPr="00424BD3">
        <w:rPr>
          <w:rFonts w:cs="Arial"/>
          <w:szCs w:val="24"/>
        </w:rPr>
        <w:t xml:space="preserve"> examin</w:t>
      </w:r>
      <w:r w:rsidR="00FD5B9C" w:rsidRPr="00424BD3">
        <w:rPr>
          <w:rFonts w:cs="Arial"/>
          <w:szCs w:val="24"/>
        </w:rPr>
        <w:t>ation of</w:t>
      </w:r>
      <w:r w:rsidR="009C7AB7" w:rsidRPr="00424BD3">
        <w:rPr>
          <w:rFonts w:cs="Arial"/>
          <w:szCs w:val="24"/>
        </w:rPr>
        <w:t xml:space="preserve"> any sub (or un) conscious beliefs, attitudes, non-answers, and silences that may not be apparent to </w:t>
      </w:r>
      <w:r w:rsidR="009C7AB7" w:rsidRPr="00424BD3">
        <w:rPr>
          <w:rFonts w:cs="Arial"/>
          <w:szCs w:val="24"/>
        </w:rPr>
        <w:lastRenderedPageBreak/>
        <w:t xml:space="preserve">them and that may support or contrast with their answers to </w:t>
      </w:r>
      <w:r w:rsidR="00FD5B9C" w:rsidRPr="00424BD3">
        <w:rPr>
          <w:rFonts w:cs="Arial"/>
          <w:szCs w:val="24"/>
        </w:rPr>
        <w:t>the</w:t>
      </w:r>
      <w:r w:rsidR="009C7AB7" w:rsidRPr="00424BD3">
        <w:rPr>
          <w:rFonts w:cs="Arial"/>
          <w:szCs w:val="24"/>
        </w:rPr>
        <w:t xml:space="preserve"> direct questions about their understandings of health, mortality, and health inequities. </w:t>
      </w:r>
      <w:r w:rsidR="00FD5B9C" w:rsidRPr="00424BD3">
        <w:rPr>
          <w:rFonts w:cs="Arial"/>
          <w:szCs w:val="24"/>
        </w:rPr>
        <w:t xml:space="preserve">They were </w:t>
      </w:r>
      <w:r w:rsidR="00DD79B0" w:rsidRPr="00424BD3">
        <w:t xml:space="preserve">purposefully </w:t>
      </w:r>
      <w:r w:rsidR="00FD5B9C" w:rsidRPr="00424BD3">
        <w:t xml:space="preserve">not asked </w:t>
      </w:r>
      <w:r w:rsidR="00DD79B0" w:rsidRPr="00424BD3">
        <w:t>the question, “What are the social determinants of health</w:t>
      </w:r>
      <w:r w:rsidR="005C423C" w:rsidRPr="00424BD3">
        <w:t xml:space="preserve"> (SDOH)</w:t>
      </w:r>
      <w:r w:rsidR="00DD79B0" w:rsidRPr="00424BD3">
        <w:t xml:space="preserve">?” </w:t>
      </w:r>
      <w:r w:rsidR="001E7DF8" w:rsidRPr="00424BD3">
        <w:t>in order</w:t>
      </w:r>
      <w:r w:rsidR="009E026A" w:rsidRPr="00424BD3">
        <w:t xml:space="preserve"> to see</w:t>
      </w:r>
      <w:r w:rsidR="00856155" w:rsidRPr="00424BD3">
        <w:t xml:space="preserve"> if they would mention </w:t>
      </w:r>
      <w:r w:rsidR="005C423C" w:rsidRPr="00424BD3">
        <w:t>‘social determinants of health’ themselves</w:t>
      </w:r>
      <w:r w:rsidR="0095791E" w:rsidRPr="00424BD3">
        <w:t xml:space="preserve">. </w:t>
      </w:r>
      <w:r w:rsidR="00C91BC3" w:rsidRPr="00424BD3">
        <w:t xml:space="preserve">While it would not confirm </w:t>
      </w:r>
      <w:r w:rsidR="002640CF" w:rsidRPr="00424BD3">
        <w:t>the women’s knowledge or awareness of SDOH if they did not mention</w:t>
      </w:r>
      <w:r w:rsidR="00AA0C94" w:rsidRPr="00424BD3">
        <w:t xml:space="preserve"> the phrase, it would</w:t>
      </w:r>
      <w:r w:rsidR="001E7DF8" w:rsidRPr="00424BD3">
        <w:t xml:space="preserve"> act as an</w:t>
      </w:r>
      <w:r w:rsidR="00AA0C94" w:rsidRPr="00424BD3">
        <w:t xml:space="preserve"> alert to the silence</w:t>
      </w:r>
      <w:r w:rsidR="00621069" w:rsidRPr="00424BD3">
        <w:t>s around the SDOH as a health term.</w:t>
      </w:r>
      <w:r w:rsidR="00C37897" w:rsidRPr="00424BD3">
        <w:t xml:space="preserve"> </w:t>
      </w:r>
      <w:r w:rsidR="001E7DF8" w:rsidRPr="00424BD3">
        <w:t>F</w:t>
      </w:r>
      <w:r w:rsidR="009C7AB7" w:rsidRPr="00424BD3">
        <w:rPr>
          <w:rFonts w:cs="Arial"/>
          <w:szCs w:val="24"/>
        </w:rPr>
        <w:t xml:space="preserve">ield notes on their demeanor, voice affect, body language, and expressions of emotion during the interview </w:t>
      </w:r>
      <w:r w:rsidR="001E7DF8" w:rsidRPr="00424BD3">
        <w:rPr>
          <w:rFonts w:cs="Arial"/>
          <w:szCs w:val="24"/>
        </w:rPr>
        <w:t xml:space="preserve">were also taken </w:t>
      </w:r>
      <w:r w:rsidR="009C7AB7" w:rsidRPr="00424BD3">
        <w:rPr>
          <w:rFonts w:cs="Arial"/>
          <w:szCs w:val="24"/>
        </w:rPr>
        <w:t>for the same purpose.</w:t>
      </w:r>
    </w:p>
    <w:p w14:paraId="6CF38F55" w14:textId="6900976D" w:rsidR="000038BA" w:rsidRPr="00424BD3" w:rsidRDefault="000038BA" w:rsidP="000126EE">
      <w:pPr>
        <w:spacing w:after="0" w:line="480" w:lineRule="auto"/>
        <w:ind w:firstLine="720"/>
        <w:rPr>
          <w:rFonts w:cs="Arial"/>
          <w:szCs w:val="24"/>
        </w:rPr>
      </w:pPr>
      <w:r w:rsidRPr="00424BD3">
        <w:rPr>
          <w:rFonts w:cs="Arial"/>
          <w:szCs w:val="24"/>
        </w:rPr>
        <w:t xml:space="preserve">In keeping with Rice &amp; Ezzy’s (2001) interpretive rigor in qualitative research criteria, the recordings of interviews were transcribed and reviewed for accuracy. Coding was completed by the researcher using a manual, inductive coding process. A thematic analysis approach was used when analyzing the data. Each interview was transcribed by the researcher herself, then re-read for accuracy and for entering into a coding framework spreadsheet. Each transcript was used in the first stage of analysis to apply overarching categories to the participant’s answers, followed by a second round of analysis to identify patterns and themes across participants’ interviews. A third round of analysis identified participant response outliers, where participant answers were in opposition to </w:t>
      </w:r>
      <w:r w:rsidR="0091558B" w:rsidRPr="00424BD3">
        <w:rPr>
          <w:rFonts w:cs="Arial"/>
          <w:szCs w:val="24"/>
        </w:rPr>
        <w:t>most</w:t>
      </w:r>
      <w:r w:rsidRPr="00424BD3">
        <w:rPr>
          <w:rFonts w:cs="Arial"/>
          <w:szCs w:val="24"/>
        </w:rPr>
        <w:t xml:space="preserve"> </w:t>
      </w:r>
      <w:r w:rsidR="00660573">
        <w:rPr>
          <w:rFonts w:cs="Arial"/>
          <w:szCs w:val="24"/>
        </w:rPr>
        <w:t xml:space="preserve">of the </w:t>
      </w:r>
      <w:r w:rsidRPr="00424BD3">
        <w:rPr>
          <w:rFonts w:cs="Arial"/>
          <w:szCs w:val="24"/>
        </w:rPr>
        <w:t xml:space="preserve">responses. To assist with the accuracy of the findings, the researcher clarified responses with participants and followed up with additional questions, particularly around age of participants, as needed. The researcher also maintained field notes for interviews which were noted in the coding framework spreadsheet. </w:t>
      </w:r>
    </w:p>
    <w:p w14:paraId="0A2FF89E" w14:textId="58353CE3" w:rsidR="008844E4" w:rsidRPr="00424BD3" w:rsidRDefault="008844E4" w:rsidP="000126EE">
      <w:pPr>
        <w:pStyle w:val="Heading2"/>
        <w:spacing w:before="0" w:line="480" w:lineRule="auto"/>
        <w:jc w:val="center"/>
        <w:rPr>
          <w:rFonts w:ascii="Arial" w:hAnsi="Arial" w:cs="Arial"/>
          <w:b/>
          <w:bCs/>
          <w:color w:val="auto"/>
          <w:sz w:val="24"/>
          <w:szCs w:val="24"/>
        </w:rPr>
      </w:pPr>
      <w:bookmarkStart w:id="51" w:name="_Toc118232317"/>
      <w:r w:rsidRPr="00424BD3">
        <w:rPr>
          <w:rFonts w:ascii="Arial" w:hAnsi="Arial" w:cs="Arial"/>
          <w:b/>
          <w:bCs/>
          <w:color w:val="auto"/>
          <w:sz w:val="24"/>
          <w:szCs w:val="24"/>
        </w:rPr>
        <w:lastRenderedPageBreak/>
        <w:t>Coding</w:t>
      </w:r>
      <w:bookmarkEnd w:id="51"/>
    </w:p>
    <w:p w14:paraId="6A5B6633" w14:textId="7219A7D0" w:rsidR="00587B57" w:rsidRDefault="008844E4" w:rsidP="000126EE">
      <w:pPr>
        <w:spacing w:after="0" w:line="480" w:lineRule="auto"/>
        <w:ind w:firstLine="720"/>
        <w:rPr>
          <w:rFonts w:cs="Arial"/>
          <w:szCs w:val="24"/>
        </w:rPr>
      </w:pPr>
      <w:r w:rsidRPr="00424BD3">
        <w:rPr>
          <w:rFonts w:cs="Arial"/>
          <w:szCs w:val="24"/>
        </w:rPr>
        <w:t xml:space="preserve">The coding was completed using a manual, inductive coding process. </w:t>
      </w:r>
      <w:r w:rsidR="00B57147" w:rsidRPr="00B57147">
        <w:rPr>
          <w:rFonts w:cs="Arial"/>
          <w:szCs w:val="24"/>
        </w:rPr>
        <w:t>Inductive coding, which allows for coding to be created from the data (i.e., in qualitative studies using interview questions, from the participant’s wording), is particularly useful for research whose aim is to ‘give voice’ to the participants, in providing prominence of the words of the participants in the study, and in examining meaning in the participant’s perceptions. It helps to provide credibility in observational data construction of studies involving empirical data</w:t>
      </w:r>
      <w:r w:rsidR="00B57147">
        <w:rPr>
          <w:rFonts w:cs="Arial"/>
          <w:szCs w:val="24"/>
        </w:rPr>
        <w:t xml:space="preserve"> </w:t>
      </w:r>
      <w:r w:rsidR="00D40592">
        <w:rPr>
          <w:rFonts w:cs="Arial"/>
          <w:szCs w:val="24"/>
        </w:rPr>
        <w:fldChar w:fldCharType="begin"/>
      </w:r>
      <w:r w:rsidR="00D40592">
        <w:rPr>
          <w:rFonts w:cs="Arial"/>
          <w:szCs w:val="24"/>
        </w:rPr>
        <w:instrText xml:space="preserve"> ADDIN ZOTERO_ITEM CSL_CITATION {"citationID":"39OuN098","properties":{"formattedCitation":"(Gioia et al., 2013; Kyng\\uc0\\u228{}s, 2020; Skjott Linneberg &amp; Korsgaard, 2019)","plainCitation":"(Gioia et al., 2013; Kyngäs, 2020; Skjott Linneberg &amp; Korsgaard, 2019)","noteIndex":0},"citationItems":[{"id":1657,"uris":["http://zotero.org/users/4946941/items/8PBP2PAM"],"itemData":{"id":1657,"type":"article-journal","abstract":"For all its richness and potential for discovery, qualitative research has been critiqued as too often lacking in scholarly rigor. The authors summarize a systematic approach to new concept development and grounded theory articulation that is designed to bring “qualitative rigor” to the conduct and presentation of inductive research.","container-title":"Organizational Research Methods","DOI":"10.1177/1094428112452151","ISSN":"1094-4281, 1552-7425","issue":"1","journalAbbreviation":"Organizational Research Methods","language":"en","page":"15-31","source":"DOI.org (Crossref)","title":"Seeking Qualitative Rigor in Inductive Research: Notes on the Gioia Methodology","title-short":"Seeking Qualitative Rigor in Inductive Research","volume":"16","author":[{"family":"Gioia","given":"Dennis A."},{"family":"Corley","given":"Kevin G."},{"family":"Hamilton","given":"Aimee L."}],"issued":{"date-parts":[["2013",1]]}}},{"id":1623,"uris":["http://zotero.org/users/4946941/items/C47JX2GR"],"itemData":{"id":1623,"type":"chapter","abstract":"This chapter explains how to perform inductive content analysis, a method that is commonly used in qualitative studies to analyse data. This method can be applied to open or half-structured data. Inductive content analysis utilises the process of abstraction to reduce and group data so that researchers can answer the study questions using concepts, categories or themes. After a unit of analysis has been chosen, the researcher goes through the data to identify open codes, which are then combined with other open codes that include similar content to form sub-concepts, -categories and -themes. As in the previous step, these sub-concepts, -categories and -themes are combined into concepts, categories and themes, which can still further be organised into main concepts, categories and themes. The identified concepts, categories and themes (or main concepts, categories and themes) will serve as the basis for reporting content analysis results. This type of analysis is data-sensitive; hence, the researcher should return to the original data several times during the analytical process to ensure that the results show a strong connection to the analysed data.","container-title":"The Application of Content Analysis in Nursing Science Research","event-place":"Cham","ISBN":"978-3-030-30199-6","language":"en","note":"DOI: 10.1007/978-3-030-30199-6_2","page":"13-21","publisher":"Springer International Publishing","publisher-place":"Cham","source":"Springer Link","title":"Inductive Content Analysis","URL":"https://doi.org/10.1007/978-3-030-30199-6_2","author":[{"family":"Kyngäs","given":"Helvi"}],"editor":[{"family":"Kyngäs","given":"Helvi"},{"family":"Mikkonen","given":"Kristina"},{"family":"Kääriäinen","given":"Maria"}],"accessed":{"date-parts":[["2022",10,30]]},"issued":{"date-parts":[["2020"]]}}},{"id":1620,"uris":["http://zotero.org/users/4946941/items/PU4M7YHN"],"itemData":{"id":1620,"type":"article-journal","abstract":"While much material on coding exists, it tends to be either too comprehensive or too superficial to be practically useful for the novice researcher. This paper thus focusses on the central decisions that need to be made when engaging in qualitative data coding in order to help researchers new to qualitative research engage in thorough coding in order to enhance the quality of their analyses and findings, as well as improve quantitative researchers’ understanding of qualitative coding.","container-title":"Qualitative Research Journal","DOI":"10.1108/QRJ-12-2018-0012","ISSN":"1443-9883","issue":"3","journalAbbreviation":"QRJ","language":"en","page":"259-270","source":"DOI.org (Crossref)","title":"Coding qualitative data: a synthesis guiding the novice","title-short":"Coding qualitative data","volume":"19","author":[{"family":"Skjott Linneberg","given":"Mai"},{"family":"Korsgaard","given":"Steffen"}],"issued":{"date-parts":[["2019",7,24]]}}}],"schema":"https://github.com/citation-style-language/schema/raw/master/csl-citation.json"} </w:instrText>
      </w:r>
      <w:r w:rsidR="00D40592">
        <w:rPr>
          <w:rFonts w:cs="Arial"/>
          <w:szCs w:val="24"/>
        </w:rPr>
        <w:fldChar w:fldCharType="separate"/>
      </w:r>
      <w:r w:rsidR="00D40592" w:rsidRPr="00193B14">
        <w:rPr>
          <w:rFonts w:cs="Arial"/>
          <w:szCs w:val="24"/>
        </w:rPr>
        <w:t>(Gioia et al., 2013; Kyngäs, 2020; Skjott Linneberg &amp; Korsgaard, 2019</w:t>
      </w:r>
      <w:r w:rsidR="00D40592" w:rsidRPr="00D40592">
        <w:rPr>
          <w:rFonts w:cs="Arial"/>
          <w:szCs w:val="24"/>
        </w:rPr>
        <w:t>)</w:t>
      </w:r>
      <w:r w:rsidR="00D40592">
        <w:rPr>
          <w:rFonts w:cs="Arial"/>
          <w:szCs w:val="24"/>
        </w:rPr>
        <w:fldChar w:fldCharType="end"/>
      </w:r>
      <w:r w:rsidR="00005D11">
        <w:rPr>
          <w:rFonts w:cs="Arial"/>
          <w:szCs w:val="24"/>
        </w:rPr>
        <w:t>.</w:t>
      </w:r>
      <w:r w:rsidR="00B57147" w:rsidRPr="00B57147">
        <w:rPr>
          <w:rFonts w:cs="Arial"/>
          <w:szCs w:val="24"/>
        </w:rPr>
        <w:t xml:space="preserve"> Inductive coding was best suited to the purposes of this study because </w:t>
      </w:r>
      <w:r w:rsidR="00232F04">
        <w:rPr>
          <w:rFonts w:cs="Arial"/>
          <w:szCs w:val="24"/>
        </w:rPr>
        <w:t>this study</w:t>
      </w:r>
      <w:r w:rsidR="00B57147" w:rsidRPr="00B57147">
        <w:rPr>
          <w:rFonts w:cs="Arial"/>
          <w:szCs w:val="24"/>
        </w:rPr>
        <w:t xml:space="preserve"> is qualitative and was conducted using semi-structured interviews.</w:t>
      </w:r>
    </w:p>
    <w:p w14:paraId="038B4441" w14:textId="26E10571" w:rsidR="008844E4" w:rsidRDefault="008844E4" w:rsidP="000126EE">
      <w:pPr>
        <w:spacing w:after="0" w:line="480" w:lineRule="auto"/>
        <w:ind w:firstLine="720"/>
        <w:rPr>
          <w:rFonts w:cs="Arial"/>
          <w:szCs w:val="24"/>
        </w:rPr>
      </w:pPr>
      <w:r w:rsidRPr="00424BD3">
        <w:rPr>
          <w:rFonts w:cs="Arial"/>
          <w:szCs w:val="24"/>
        </w:rPr>
        <w:t xml:space="preserve">The data was analyzed using a thematic analysis approach whereby the themes emerged from the interviews. Each interview was transcribed by me, then re-read for accuracy and for entering into a coding framework spreadsheet. Each transcript was used in the first stage of analysis to apply overarching categories to the participant’s answers, followed by a second round of analysis to identify patterns and themes across participants’ interviews. A third round of analysis identified participant response outliers, where participant answers were in opposition to most responses. The women’s perceptions and experiences were recorded using a bespoke coding Excel spreadsheet which is saved in University of Tennessee encrypted software systems. To assist with the accuracy of the findings, </w:t>
      </w:r>
      <w:r w:rsidR="008130B2" w:rsidRPr="00424BD3">
        <w:rPr>
          <w:rFonts w:cs="Arial"/>
          <w:szCs w:val="24"/>
        </w:rPr>
        <w:t>the responses were</w:t>
      </w:r>
      <w:r w:rsidRPr="00424BD3">
        <w:rPr>
          <w:rFonts w:cs="Arial"/>
          <w:szCs w:val="24"/>
        </w:rPr>
        <w:t xml:space="preserve"> clarified with participants and followed up with additional questions, particularly around age of participants, as needed. </w:t>
      </w:r>
      <w:r w:rsidR="008130B2" w:rsidRPr="00424BD3">
        <w:rPr>
          <w:rFonts w:cs="Arial"/>
          <w:szCs w:val="24"/>
        </w:rPr>
        <w:t>F</w:t>
      </w:r>
      <w:r w:rsidRPr="00424BD3">
        <w:rPr>
          <w:rFonts w:cs="Arial"/>
          <w:szCs w:val="24"/>
        </w:rPr>
        <w:t xml:space="preserve">ield notes for interviews which were </w:t>
      </w:r>
      <w:r w:rsidR="00403666" w:rsidRPr="00424BD3">
        <w:rPr>
          <w:rFonts w:cs="Arial"/>
          <w:szCs w:val="24"/>
        </w:rPr>
        <w:t>included</w:t>
      </w:r>
      <w:r w:rsidRPr="00424BD3">
        <w:rPr>
          <w:rFonts w:cs="Arial"/>
          <w:szCs w:val="24"/>
        </w:rPr>
        <w:t xml:space="preserve"> in the coding framework spreadsheet</w:t>
      </w:r>
      <w:r w:rsidR="008130B2" w:rsidRPr="00424BD3">
        <w:rPr>
          <w:rFonts w:cs="Arial"/>
          <w:szCs w:val="24"/>
        </w:rPr>
        <w:t xml:space="preserve"> were also maintained</w:t>
      </w:r>
      <w:r w:rsidRPr="00424BD3">
        <w:rPr>
          <w:rFonts w:cs="Arial"/>
          <w:szCs w:val="24"/>
        </w:rPr>
        <w:t xml:space="preserve">. Pseudonyms </w:t>
      </w:r>
      <w:r w:rsidR="000F0067" w:rsidRPr="00424BD3">
        <w:rPr>
          <w:rFonts w:cs="Arial"/>
          <w:szCs w:val="24"/>
        </w:rPr>
        <w:t xml:space="preserve">are used </w:t>
      </w:r>
      <w:r w:rsidRPr="00424BD3">
        <w:rPr>
          <w:rFonts w:cs="Arial"/>
          <w:szCs w:val="24"/>
        </w:rPr>
        <w:t>for the participants and the data has been de-</w:t>
      </w:r>
      <w:r w:rsidRPr="00424BD3">
        <w:rPr>
          <w:rFonts w:cs="Arial"/>
          <w:szCs w:val="24"/>
        </w:rPr>
        <w:lastRenderedPageBreak/>
        <w:t xml:space="preserve">identified. The women’s interview responses are meant to assist with the credibility of this qualitative data. </w:t>
      </w:r>
    </w:p>
    <w:p w14:paraId="42336AE8" w14:textId="4F64702A" w:rsidR="00455585" w:rsidRDefault="00455585" w:rsidP="00455585">
      <w:pPr>
        <w:pStyle w:val="Heading2"/>
        <w:jc w:val="center"/>
        <w:rPr>
          <w:rFonts w:ascii="Arial" w:hAnsi="Arial" w:cs="Arial"/>
          <w:b/>
          <w:bCs/>
          <w:color w:val="auto"/>
          <w:sz w:val="24"/>
          <w:szCs w:val="24"/>
        </w:rPr>
      </w:pPr>
      <w:bookmarkStart w:id="52" w:name="_Toc118232318"/>
      <w:r w:rsidRPr="00455585">
        <w:rPr>
          <w:rFonts w:ascii="Arial" w:hAnsi="Arial" w:cs="Arial"/>
          <w:b/>
          <w:bCs/>
          <w:color w:val="auto"/>
          <w:sz w:val="24"/>
          <w:szCs w:val="24"/>
        </w:rPr>
        <w:t>Individual and Collective Memory</w:t>
      </w:r>
      <w:bookmarkEnd w:id="52"/>
    </w:p>
    <w:p w14:paraId="5B2FDB8A" w14:textId="560626A1" w:rsidR="00455585" w:rsidRDefault="00455585" w:rsidP="00092F9A">
      <w:pPr>
        <w:spacing w:after="0" w:line="480" w:lineRule="auto"/>
      </w:pPr>
    </w:p>
    <w:p w14:paraId="031025A0" w14:textId="5C4E31A4" w:rsidR="00B668ED" w:rsidRDefault="00092F9A" w:rsidP="00092F9A">
      <w:pPr>
        <w:spacing w:after="0" w:line="480" w:lineRule="auto"/>
        <w:ind w:firstLine="720"/>
      </w:pPr>
      <w:r>
        <w:t>A note must be added regarding memory in relation to participant’s interview answers. Memory and collective memory are both a strength and a challenge when undertaking research on perceptions, particularly when examining the influence of social norms, since memory-meaning is social</w:t>
      </w:r>
      <w:r w:rsidR="00CD0610">
        <w:t>ly</w:t>
      </w:r>
      <w:r>
        <w:t xml:space="preserve"> constructed as well</w:t>
      </w:r>
      <w:r w:rsidR="001B0B9A">
        <w:t xml:space="preserve"> </w:t>
      </w:r>
      <w:r w:rsidR="001B0B9A" w:rsidRPr="00661565">
        <w:rPr>
          <w:highlight w:val="cyan"/>
        </w:rPr>
        <w:fldChar w:fldCharType="begin"/>
      </w:r>
      <w:r w:rsidR="00F97B59">
        <w:rPr>
          <w:highlight w:val="cyan"/>
        </w:rPr>
        <w:instrText xml:space="preserve"> ADDIN ZOTERO_ITEM CSL_CITATION {"citationID":"EVXBMwO8","properties":{"formattedCitation":"(Johnson (Ed.), 2018; O\\uc0\\u8217{}Connor, 2022b; Roediger III, 2021; Wertsch &amp; Roediger, 2008)","plainCitation":"(Johnson (Ed.), 2018; O’Connor, 2022b; Roediger III, 2021; Wertsch &amp; Roediger, 2008)","noteIndex":0},"citationItems":[{"id":1629,"uris":["http://zotero.org/users/4946941/items/BMS6RJ9X"],"itemData":{"id":1629,"type":"book","abstract":"The seemingly mundane events of daily life create a complex knowledge base of lived experience to be explored. But how does one research common experiences and account for context, culture, and identity? A dilemma arises because experience is not just embedded in events, but also in the socially constructed meanings associated with those events. \nThis book details the philosophical underpinnings, design features and implementation strategies of Collective Memory Work – a methodology frequently","edition":"1st edition","event-place":"Abidgon, Oxon","ISBN":"978-1-138-23792-6","language":"en","number-of-pages":"166","publisher":"Routledge","publisher-place":"Abidgon, Oxon","title":"Collective Memory Work: A Methodology for Learning With and From Lived Experience","title-short":"Collective Memory Work","URL":"https://www.routledge.com/Collective-Memory-Work-A-Methodology-for-Learning-With-and-From-Lived-Experience/Johnson/p/book/9781138237926","author":[{"family":"Johnson (Ed.)","given":"Corey W."}],"accessed":{"date-parts":[["2022",10,30]]},"issued":{"date-parts":[["2018"]]}}},{"id":1636,"uris":["http://zotero.org/users/4946941/items/KCCX4VX6"],"itemData":{"id":1636,"type":"article-journal","abstract":"All forms of collective memory embody attempts at meaning-making - efforts to integrate experience and provide a coherent foundation for individual and collective identities. However, different modes of collective memory have different meaning-making potentials. In this article, I will assess three modes of remembering, namely folk, commemorative and mediatised memory, from the perspective of how they generate integrative meaning. Each of these modes of remembrance will be examined through the prism of a case study examining the nature of the memories associated with a specific lieux de memoire. I will suggest that over time, memory becomes progressively ?unanchored? from localised contexts due to its increasing technological and institutional mediation and that this has important implications for the depth and kind of meaning it provides.","container-title":"Memory Studies","DOI":"10.1177/1750698019894694","ISSN":"1750-6980","issue":"4","language":"en","note":"publisher: SAGE Publications","page":"634-649","source":"SAGE Journals","title":"The unanchored past: Three modes of collective memory","title-short":"The unanchored past","volume":"15","author":[{"family":"O’Connor","given":"Paul"}],"issued":{"date-parts":[["2022",8,1]]}}},{"id":1638,"uris":["http://zotero.org/users/4946941/items/TG7KWJ8V"],"itemData":{"id":1638,"type":"article-journal","abstract":"Collective memory refers to the memories that individuals have as members of the groups to which they belong, whether small (family, school) or large (political party, nation). Membership in some groups can form a strong part of a person’s individual identity. Collective memory is history as people remember it; it is not formal history, because the “memories” of a group are often contradicted by historical fact. Although collective memory is held within individuals, it has rarely been studied by psychologists, because they have concentrated on studying the learning of individual events (such as word lists) in the laboratory or retrieving events of one’s life (autobiographical memory). Three facets of collective memory are the focus of this article. First, collective memory can be a body of knowledge about a topic. However, this knowledge base may change over generations of a people. Second, collective memory often portrays an image of a people, and often this image arises from the group’s origin story or charter. Third, collective memory is a process; collective remembering can reveal disputes and contestations about how the past should be remembered. One useful purpose of collective memory studies is to capture how different groups and societies remember their history and to discern their shared perspective on the world and how such perspectives differ among groups. (PsycInfo Database Record (c) 2022 APA, all rights reserved)","container-title":"American Psychologist","DOI":"10.1037/amp0000938","ISSN":"1935-990X","note":"publisher-place: US\npublisher: American Psychological Association","page":"1388-1400","source":"APA PsycNet","title":"Three facets of collective memory","volume":"76","author":[{"family":"Roediger III","given":"Henry L."}],"issued":{"date-parts":[["2021"]]}}},{"id":1640,"uris":["http://zotero.org/users/4946941/items/X4MU29UU"],"itemData":{"id":1640,"type":"article-journal","abstract":"In order to outline the conceptual landscape that frames discussions of collective memory, three oppositions are proposed: collective memory versus collective remembering; history versus collective memory; and individual memory versus collective remembering. From this perspective collective remembering is viewed as an active process that often involves contention and contestation among people rather than a static body of knowledge that they possess. Collective remembering is also viewed as privileging identity formation and contestation over the sort of objective representation of the past that is the aspiration of formal historical analysis. And finally, while collective remembering involves individual minds, it also suggests something more in the form of socially situated individuals, a claim that can usefully be formulated in terms of how members of a groups share a common set of cultural tools (e.g., narrative forms) and similar content.","container-title":"Memory","DOI":"10.1080/09658210701801434","ISSN":"0965-8211","issue":"3","note":"publisher: Routledge\n_eprint: https://doi.org/10.1080/09658210701801434\nPMID: 18324555","page":"318-326","source":"Taylor and Francis+NEJM","title":"Collective memory: Conceptual foundations and theoretical approaches","title-short":"Collective memory","volume":"16","author":[{"family":"Wertsch","given":"James V."},{"family":"Roediger","given":"Henry L."}],"issued":{"date-parts":[["2008",4,1]]}}}],"schema":"https://github.com/citation-style-language/schema/raw/master/csl-citation.json"} </w:instrText>
      </w:r>
      <w:r w:rsidR="001B0B9A" w:rsidRPr="00661565">
        <w:rPr>
          <w:highlight w:val="cyan"/>
        </w:rPr>
        <w:fldChar w:fldCharType="separate"/>
      </w:r>
      <w:r w:rsidR="00F97B59" w:rsidRPr="00F97B59">
        <w:rPr>
          <w:rFonts w:cs="Arial"/>
          <w:szCs w:val="24"/>
        </w:rPr>
        <w:t>(Johnson (Ed.), 2018; O’Connor, 2022b; Roediger III, 2021; Wertsch &amp; Roediger, 2008)</w:t>
      </w:r>
      <w:r w:rsidR="001B0B9A" w:rsidRPr="00661565">
        <w:rPr>
          <w:highlight w:val="cyan"/>
        </w:rPr>
        <w:fldChar w:fldCharType="end"/>
      </w:r>
      <w:r w:rsidR="00CD0610">
        <w:t>.</w:t>
      </w:r>
    </w:p>
    <w:p w14:paraId="4504E51A" w14:textId="3D7EF3E7" w:rsidR="00455585" w:rsidRPr="00455585" w:rsidRDefault="00092F9A" w:rsidP="00092F9A">
      <w:pPr>
        <w:spacing w:after="0" w:line="480" w:lineRule="auto"/>
        <w:ind w:firstLine="720"/>
      </w:pPr>
      <w:r>
        <w:t xml:space="preserve"> While this study relied on individual’s memories, caution must be taken in relation to memory bias, mis-recollection, and distortion</w:t>
      </w:r>
      <w:r w:rsidR="00CD0610">
        <w:t xml:space="preserve"> </w:t>
      </w:r>
      <w:r w:rsidR="00CD0610">
        <w:fldChar w:fldCharType="begin"/>
      </w:r>
      <w:r w:rsidR="00CD0610">
        <w:instrText xml:space="preserve"> ADDIN ZOTERO_ITEM CSL_CITATION {"citationID":"tFuO47dt","properties":{"formattedCitation":"(Huffman et al., 2022)","plainCitation":"(Huffman et al., 2022)","noteIndex":0},"citationItems":[{"id":1627,"uris":["http://zotero.org/users/4946941/items/DWV8LR32"],"itemData":{"id":1627,"type":"article-journal","abstract":"A long-standing puzzle is how overconfidence can persist in settings characterized by repeated feedback. This paper studies managers who participate repeatedly in a high-powered tournament incentive system, learning relative performance each time. Using reduced form and structural methods we find that (i) managers make overconfident predictions about future performance; (ii) managers have overly positive memories of past performance; (iii) the two phenomena are linked at an individual level. Our results are consistent with models of motivated beliefs in which individuals are motivated to distort memories of feedback and preserve unrealistic expectations.","container-title":"American Economic Review","DOI":"10.1257/aer.20190668","ISSN":"0002-8282","issue":"10","language":"en","page":"3141-3175","source":"www.aeaweb.org","title":"Persistent Overconfidence and Biased Memory: Evidence from Managers","title-short":"Persistent Overconfidence and Biased Memory","volume":"112","author":[{"family":"Huffman","given":"David"},{"family":"Raymond","given":"Collin"},{"family":"Shvets","given":"Julia"}],"issued":{"date-parts":[["2022",10]]}}}],"schema":"https://github.com/citation-style-language/schema/raw/master/csl-citation.json"} </w:instrText>
      </w:r>
      <w:r w:rsidR="00CD0610">
        <w:fldChar w:fldCharType="separate"/>
      </w:r>
      <w:r w:rsidR="00CD0610" w:rsidRPr="00CD0610">
        <w:rPr>
          <w:rFonts w:cs="Arial"/>
        </w:rPr>
        <w:t>(Huffman et al., 2022)</w:t>
      </w:r>
      <w:r w:rsidR="00CD0610">
        <w:fldChar w:fldCharType="end"/>
      </w:r>
      <w:r w:rsidR="007755C4">
        <w:t xml:space="preserve"> </w:t>
      </w:r>
      <w:r>
        <w:t>both at an individual level and a collective level</w:t>
      </w:r>
      <w:r w:rsidR="007755C4">
        <w:t xml:space="preserve"> </w:t>
      </w:r>
      <w:r w:rsidR="007755C4">
        <w:fldChar w:fldCharType="begin"/>
      </w:r>
      <w:r w:rsidR="007755C4">
        <w:instrText xml:space="preserve"> ADDIN ZOTERO_ITEM CSL_CITATION {"citationID":"Cj0t4wql","properties":{"formattedCitation":"(O\\uc0\\u8217{}Connor, 2022a; Roediger III, 2021)","plainCitation":"(O’Connor, 2022a; Roediger III, 2021)","noteIndex":0},"citationItems":[{"id":1658,"uris":["http://zotero.org/users/4946941/items/2RDSC5I6"],"itemData":{"id":1658,"type":"article-journal","abstract":"All forms of collective memory embody attempts at meaning-making - efforts to integrate experience and provide a coherent foundation for individual and collective identities. However, different modes of collective memory have different meaning-making potentials. In this article, I will assess three modes of remembering, namely folk, commemorative and mediatised memory, from the perspective of how they generate integrative meaning. Each of these modes of remembrance will be examined through the prism of a case study examining the nature of the memories associated with a specific lieux de memoire. I will suggest that over time, memory becomes progressively ‘unanchored’ from localised contexts due to its increasing technological and institutional mediation and that this has important implications for the depth and kind of meaning it provides.","container-title":"Memory Studies","DOI":"10.1177/1750698019894694","ISSN":"1750-6980, 1750-6999","issue":"4","journalAbbreviation":"Memory Studies","language":"en","page":"634-649","source":"DOI.org (Crossref)","title":"The unanchored past: Three modes of collective memory","title-short":"The unanchored past","volume":"15","author":[{"family":"O’Connor","given":"Paul"}],"issued":{"date-parts":[["2022",8]]}}},{"id":1638,"uris":["http://zotero.org/users/4946941/items/TG7KWJ8V"],"itemData":{"id":1638,"type":"article-journal","abstract":"Collective memory refers to the memories that individuals have as members of the groups to which they belong, whether small (family, school) or large (political party, nation). Membership in some groups can form a strong part of a person’s individual identity. Collective memory is history as people remember it; it is not formal history, because the “memories” of a group are often contradicted by historical fact. Although collective memory is held within individuals, it has rarely been studied by psychologists, because they have concentrated on studying the learning of individual events (such as word lists) in the laboratory or retrieving events of one’s life (autobiographical memory). Three facets of collective memory are the focus of this article. First, collective memory can be a body of knowledge about a topic. However, this knowledge base may change over generations of a people. Second, collective memory often portrays an image of a people, and often this image arises from the group’s origin story or charter. Third, collective memory is a process; collective remembering can reveal disputes and contestations about how the past should be remembered. One useful purpose of collective memory studies is to capture how different groups and societies remember their history and to discern their shared perspective on the world and how such perspectives differ among groups. (PsycInfo Database Record (c) 2022 APA, all rights reserved)","container-title":"American Psychologist","DOI":"10.1037/amp0000938","ISSN":"1935-990X","note":"publisher-place: US\npublisher: American Psychological Association","page":"1388-1400","source":"APA PsycNet","title":"Three facets of collective memory","volume":"76","author":[{"family":"Roediger III","given":"Henry L."}],"issued":{"date-parts":[["2021"]]}}}],"schema":"https://github.com/citation-style-language/schema/raw/master/csl-citation.json"} </w:instrText>
      </w:r>
      <w:r w:rsidR="007755C4">
        <w:fldChar w:fldCharType="separate"/>
      </w:r>
      <w:r w:rsidR="007755C4" w:rsidRPr="007755C4">
        <w:rPr>
          <w:rFonts w:cs="Arial"/>
          <w:szCs w:val="24"/>
        </w:rPr>
        <w:t>(</w:t>
      </w:r>
      <w:r w:rsidR="007755C4" w:rsidRPr="00685317">
        <w:rPr>
          <w:rFonts w:cs="Arial"/>
          <w:szCs w:val="24"/>
        </w:rPr>
        <w:t>O’Connor, 2022a; Roediger III, 2021)</w:t>
      </w:r>
      <w:r w:rsidR="007755C4">
        <w:fldChar w:fldCharType="end"/>
      </w:r>
      <w:r>
        <w:t xml:space="preserve">. This is particularly true when looking at social norming and socially constructed meaning </w:t>
      </w:r>
      <w:r w:rsidR="00EA7164" w:rsidRPr="00685317">
        <w:fldChar w:fldCharType="begin"/>
      </w:r>
      <w:r w:rsidR="00F97B59" w:rsidRPr="00685317">
        <w:instrText xml:space="preserve"> ADDIN ZOTERO_ITEM CSL_CITATION {"citationID":"GJjpLNcv","properties":{"formattedCitation":"(Johnson (Ed.), 2018)","plainCitation":"(Johnson (Ed.), 2018)","noteIndex":0},"citationItems":[{"id":1629,"uris":["http://zotero.org/users/4946941/items/BMS6RJ9X"],"itemData":{"id":1629,"type":"book","abstract":"The seemingly mundane events of daily life create a complex knowledge base of lived experience to be explored. But how does one research common experiences and account for context, culture, and identity? A dilemma arises because experience is not just embedded in events, but also in the socially constructed meanings associated with those events. \nThis book details the philosophical underpinnings, design features and implementation strategies of Collective Memory Work – a methodology frequently","edition":"1st edition","event-place":"Abidgon, Oxon","ISBN":"978-1-138-23792-6","language":"en","number-of-pages":"166","publisher":"Routledge","publisher-place":"Abidgon, Oxon","title":"Collective Memory Work: A Methodology for Learning With and From Lived Experience","title-short":"Collective Memory Work","URL":"https://www.routledge.com/Collective-Memory-Work-A-Methodology-for-Learning-With-and-From-Lived-Experience/Johnson/p/book/9781138237926","author":[{"family":"Johnson (Ed.)","given":"Corey W."}],"accessed":{"date-parts":[["2022",10,30]]},"issued":{"date-parts":[["2018"]]}}}],"schema":"https://github.com/citation-style-language/schema/raw/master/csl-citation.json"} </w:instrText>
      </w:r>
      <w:r w:rsidR="00EA7164" w:rsidRPr="00685317">
        <w:fldChar w:fldCharType="separate"/>
      </w:r>
      <w:r w:rsidR="00F97B59" w:rsidRPr="00685317">
        <w:rPr>
          <w:rFonts w:cs="Arial"/>
        </w:rPr>
        <w:t>(Johnson (Ed.), 2018)</w:t>
      </w:r>
      <w:r w:rsidR="00EA7164" w:rsidRPr="00685317">
        <w:fldChar w:fldCharType="end"/>
      </w:r>
      <w:r w:rsidRPr="00685317">
        <w:t>.</w:t>
      </w:r>
      <w:r>
        <w:t xml:space="preserve"> One proposed solution to this is</w:t>
      </w:r>
      <w:r w:rsidR="007758ED">
        <w:t xml:space="preserve"> </w:t>
      </w:r>
      <w:r w:rsidR="007758ED" w:rsidRPr="00685317">
        <w:t>Keightley and Pickering’s</w:t>
      </w:r>
      <w:r w:rsidR="008E06D0" w:rsidRPr="00685317">
        <w:t xml:space="preserve"> </w:t>
      </w:r>
      <w:r w:rsidR="008E06D0" w:rsidRPr="00685317">
        <w:fldChar w:fldCharType="begin"/>
      </w:r>
      <w:r w:rsidR="008E06D0" w:rsidRPr="00685317">
        <w:instrText xml:space="preserve"> ADDIN ZOTERO_ITEM CSL_CITATION {"citationID":"Y8Y75Hbw","properties":{"formattedCitation":"(2012)","plainCitation":"(2012)","noteIndex":0},"citationItems":[{"id":1635,"uris":["http://zotero.org/users/4946941/items/2JRI3AGD"],"itemData":{"id":1635,"type":"chapter","abstract":"We have spoken so far of certain pitfalls associated with thinking about the relationship between memory and imagination, and suggested that we want to see this relationship in terms of an interstitial space between past and future in which cross-temporal transactions are made. It is through such transactions that lived experience in the present becomes transformed into assimilated experience in a changed present. The remembering subject engages imaginatively with what is retained from the past and, moving across time, continuously rearranges the hotchpotch of experience into relatively coherent narrative structures, the varied elements of what is carried forward being given meaning by becoming emplotted into a discernible sequential pattern. It is that pattern which is central to the definition of who we are and how we have changed.","collection-title":"Palgrave Macmillan Memory Studies","container-title":"The Mnemonic Imagination: Remembering as Creative Practice","event-place":"London","ISBN":"978-1-137-27154-9","language":"en","note":"DOI: 10.1057/9781137271549_3","page":"43-80","publisher":"Palgrave Macmillan UK","publisher-place":"London","source":"Springer Link","title":"The Mnemonic Imagination","URL":"https://doi.org/10.1057/9781137271549_3","author":[{"family":"Keightley","given":"Emily"},{"family":"Pickering","given":"Michael"}],"editor":[{"family":"Keightley","given":"Emily"},{"family":"Pickering","given":"Michael"}],"accessed":{"date-parts":[["2022",10,30]]},"issued":{"date-parts":[["2012"]]}},"label":"page","suppress-author":true}],"schema":"https://github.com/citation-style-language/schema/raw/master/csl-citation.json"} </w:instrText>
      </w:r>
      <w:r w:rsidR="008E06D0" w:rsidRPr="00685317">
        <w:fldChar w:fldCharType="separate"/>
      </w:r>
      <w:r w:rsidR="008E06D0" w:rsidRPr="00685317">
        <w:rPr>
          <w:rFonts w:cs="Arial"/>
        </w:rPr>
        <w:t>(2012)</w:t>
      </w:r>
      <w:r w:rsidR="008E06D0" w:rsidRPr="00685317">
        <w:fldChar w:fldCharType="end"/>
      </w:r>
      <w:r w:rsidR="00F94412">
        <w:t xml:space="preserve"> </w:t>
      </w:r>
      <w:r>
        <w:t xml:space="preserve">call to examine the interaction between identified groups and cultural memories </w:t>
      </w:r>
      <w:r w:rsidR="00685317">
        <w:t>at</w:t>
      </w:r>
      <w:r>
        <w:t xml:space="preserve"> interscalar levels – micro, meso, and macro – which</w:t>
      </w:r>
      <w:r w:rsidR="00C63426">
        <w:t xml:space="preserve"> </w:t>
      </w:r>
      <w:r w:rsidR="00C63426" w:rsidRPr="0003779E">
        <w:t>Van de Putte</w:t>
      </w:r>
      <w:r w:rsidR="007758ED" w:rsidRPr="0003779E">
        <w:t xml:space="preserve"> </w:t>
      </w:r>
      <w:r w:rsidR="008D6005" w:rsidRPr="0003779E">
        <w:fldChar w:fldCharType="begin"/>
      </w:r>
      <w:r w:rsidR="00AF24F8" w:rsidRPr="0003779E">
        <w:instrText xml:space="preserve"> ADDIN ZOTERO_ITEM CSL_CITATION {"citationID":"UQanNYhg","properties":{"formattedCitation":"(2022)","plainCitation":"(2022)","noteIndex":0},"citationItems":[{"id":1631,"uris":["http://zotero.org/users/4946941/items/2D4IP6GH"],"itemData":{"id":1631,"type":"article-journal","abstract":"This article presents the results of a qualitative micro-study of a 3-minute conversation between a research participant and a researcher. The talk in the interaction concerns the past of the contemporary Polish town of Oświęcim, internationally better known as Auschwitz. Borrowing methods and concepts from interactional sociology and linguistic ethnography, the article demonstrates that people know different cultural narratives about the same past event and are able to move between those narratives when the interactional context requires them to. The combination of micro-discourse analysis with ethnographic detail provides an insight in the entanglement of general cultural meanings and specific interactional dynamics when people attribute meaning to the past. The findings and methodological framework presented in this article also engage in a dialogue with some fundamental critiques on the field of memory studies. These include, among others, the need to connect the micro, meso, and macro, and the individual with the social, and the urge to actively develop and think through methods in memory studies research.","container-title":"Memory Studies","DOI":"https://doi-org.utk.idm.oclc.org/10.1177/17506980211044709","issue":"4","language":"en","note":"DOI: 10.1177/17506980211044709","page":"751-766","title":"“Let me tell you what we already know”: Collective memory between culture and interaction","title-short":"“Let me tell you what we already know”","volume":"15","author":[{"family":"Van de Putte","given":"Thomas"}],"issued":{"date-parts":[["2022",8]]}},"label":"page","suppress-author":true}],"schema":"https://github.com/citation-style-language/schema/raw/master/csl-citation.json"} </w:instrText>
      </w:r>
      <w:r w:rsidR="008D6005" w:rsidRPr="0003779E">
        <w:fldChar w:fldCharType="separate"/>
      </w:r>
      <w:r w:rsidR="00C63426" w:rsidRPr="0003779E">
        <w:rPr>
          <w:rFonts w:cs="Arial"/>
        </w:rPr>
        <w:t>(2022)</w:t>
      </w:r>
      <w:r w:rsidR="008D6005" w:rsidRPr="0003779E">
        <w:fldChar w:fldCharType="end"/>
      </w:r>
      <w:r>
        <w:t xml:space="preserve"> </w:t>
      </w:r>
      <w:r w:rsidR="00C63426">
        <w:t>h</w:t>
      </w:r>
      <w:r>
        <w:t xml:space="preserve">as built on by </w:t>
      </w:r>
      <w:r w:rsidR="00490BD3">
        <w:t>proposing</w:t>
      </w:r>
      <w:r w:rsidR="00864613">
        <w:t xml:space="preserve"> </w:t>
      </w:r>
      <w:r>
        <w:t>measurable observational tools in which to do so. Calls for addressing collective memory as relational provides the opportunity to see memory as a negotiated space, and allows qualitative researchers to accommodate for this</w:t>
      </w:r>
      <w:r w:rsidR="00C63426">
        <w:t xml:space="preserve"> </w:t>
      </w:r>
      <w:r w:rsidR="005965EB">
        <w:fldChar w:fldCharType="begin"/>
      </w:r>
      <w:r w:rsidR="00F97B59">
        <w:instrText xml:space="preserve"> ADDIN ZOTERO_ITEM CSL_CITATION {"citationID":"XKTuY9QL","properties":{"formattedCitation":"(Gensburger, 2019; Johnson (Ed.), 2018; Kansteiner, 2002; Van de Putte, 2022)","plainCitation":"(Gensburger, 2019; Johnson (Ed.), 2018; Kansteiner, 2002; Van de Putte, 2022)","noteIndex":0},"citationItems":[{"id":1643,"uris":["http://zotero.org/users/4946941/items/BDX5F6X6"],"itemData":{"id":1643,"type":"book","abstract":"In-depth case study of memorialisation processes after the November 2015 Paris attacksOn November 13, 2015, three gunmen opened fire in the Bataclan concert hall at 50 Boulevard Voltaire in Paris and subsequently held the venue under a three-hour siege. This was the largest in a series of coordinated terrorist attacks that eventually killed 130 people and injured 500. During the aftermath of these attacks, expressions of mourning and trauma marked and invariably transformed the urban landscape.Sarah Gensburger, a sociologist working on social memory and its localisation, lives with her family on the Boulevard Voltaire and has been studying the city of Paris as her primary field site for several years. This time, memorialisation was taking place on her doorstep. Both a diary and an academic work, this book is a chronicle of this grassroots memorialisation process and an in-depth analysis of the way it has been embedded in the everyday lives of the author, neighbours, other Parisians and tourists.","event-place":"Leuven","ISBN":"978-94-6270-134-2","language":"en","note":"Google-Books-ID: 7m2KDwAAQBAJ","number-of-pages":"253","publisher":"Leuven University Press","publisher-place":"Leuven","source":"Google Books","title":"Memory on My Doorstep: Chronicles of the Bataclan Neighborhood, Paris 2015-2016","title-short":"Memory on My Doorstep","author":[{"family":"Gensburger","given":"Sarah"}],"issued":{"date-parts":[["2019",3,11]]}}},{"id":1629,"uris":["http://zotero.org/users/4946941/items/BMS6RJ9X"],"itemData":{"id":1629,"type":"book","abstract":"The seemingly mundane events of daily life create a complex knowledge base of lived experience to be explored. But how does one research common experiences and account for context, culture, and identity? A dilemma arises because experience is not just embedded in events, but also in the socially constructed meanings associated with those events. \nThis book details the philosophical underpinnings, design features and implementation strategies of Collective Memory Work – a methodology frequently","edition":"1st edition","event-place":"Abidgon, Oxon","ISBN":"978-1-138-23792-6","language":"en","number-of-pages":"166","publisher":"Routledge","publisher-place":"Abidgon, Oxon","title":"Collective Memory Work: A Methodology for Learning With and From Lived Experience","title-short":"Collective Memory Work","URL":"https://www.routledge.com/Collective-Memory-Work-A-Methodology-for-Learning-With-and-From-Lived-Experience/Johnson/p/book/9781138237926","author":[{"family":"Johnson (Ed.)","given":"Corey W."}],"accessed":{"date-parts":[["2022",10,30]]},"issued":{"date-parts":[["2018"]]}}},{"id":1641,"uris":["http://zotero.org/users/4946941/items/HEZ9ERIU"],"itemData":{"id":1641,"type":"article-journal","abstract":"The memory wave in the humanities has contributed to the impressive revival of cultural history, but the success of memory studies has not been accompanied by significant conceptual and methodological advances in the research of collective memory processes. Most studies on memory focus on the representation of specific events within particular chronological, geographical, and media settings without reflecting on the audiences of the representations in question. As a result, the wealth of new insights into past and present historical cultures cannot be linked conclusively to specific social collectives and their historical consciousness. This methodological problem is even enhanced by the metaphorical use of psychological and neurological terminology, which misrepresents the social dynamics of collective memory as an effect and extension of individual, autobiographical memory. Some of these shortcomings can be addressed through the extensive contextualization of specific strategies of representation, which links facts of representation with facts of reception. As a result, the history of collective memory would be recast as a complex process of cultural production and consumption that acknowledges the persistence of cultural traditions as well as the ingenuity of memory makers and the subversive interests of memory consumers. The negotiations among these three different historical agents create the rules of engagement in the competitive arena of memory politics, and the reconstruction of these negotiations helps us distinguish among the abundance of failed collective memory initiatives on the one hand and the few cases of successful collective memory construction on the other. For this purpose, collective memory studies should adopt the methods of communication and media studies, especially with regard to media reception, and continue to use a wide range of interpretive tools from traditional historiography to poststructural approaches. From the perspective of collective memory studies, these two traditions are closely related and mutually beneficial, rather than mutually exclusive, ways of analyzing historical cultures.","container-title":"History and Theory","DOI":"10.1111/0018-2656.00198","ISSN":"1468-2303","issue":"2","language":"en","note":"_eprint: https://onlinelibrary.wiley.com/doi/pdf/10.1111/0018-2656.00198","page":"179-197","source":"Wiley Online Library","title":"Finding Meaning in Memory: A Methodological Critique of Collective Memory Studies","title-short":"Finding Meaning in Memory","volume":"41","author":[{"family":"Kansteiner","given":"Wulf"}],"issued":{"date-parts":[["2002"]]}}},{"id":1631,"uris":["http://zotero.org/users/4946941/items/2D4IP6GH"],"itemData":{"id":1631,"type":"article-journal","abstract":"This article presents the results of a qualitative micro-study of a 3-minute conversation between a research participant and a researcher. The talk in the interaction concerns the past of the contemporary Polish town of Oświęcim, internationally better known as Auschwitz. Borrowing methods and concepts from interactional sociology and linguistic ethnography, the article demonstrates that people know different cultural narratives about the same past event and are able to move between those narratives when the interactional context requires them to. The combination of micro-discourse analysis with ethnographic detail provides an insight in the entanglement of general cultural meanings and specific interactional dynamics when people attribute meaning to the past. The findings and methodological framework presented in this article also engage in a dialogue with some fundamental critiques on the field of memory studies. These include, among others, the need to connect the micro, meso, and macro, and the individual with the social, and the urge to actively develop and think through methods in memory studies research.","container-title":"Memory Studies","DOI":"https://doi-org.utk.idm.oclc.org/10.1177/17506980211044709","issue":"4","language":"en","note":"DOI: 10.1177/17506980211044709","page":"751-766","title":"“Let me tell you what we already know”: Collective memory between culture and interaction","title-short":"“Let me tell you what we already know”","volume":"15","author":[{"family":"Van de Putte","given":"Thomas"}],"issued":{"date-parts":[["2022",8]]}}}],"schema":"https://github.com/citation-style-language/schema/raw/master/csl-citation.json"} </w:instrText>
      </w:r>
      <w:r w:rsidR="005965EB">
        <w:fldChar w:fldCharType="separate"/>
      </w:r>
      <w:r w:rsidR="00F97B59" w:rsidRPr="00F97B59">
        <w:rPr>
          <w:rFonts w:cs="Arial"/>
        </w:rPr>
        <w:t>(Gensburger, 2019; Johnson (Ed.), 2018; Kansteiner, 2002; Van de Putte, 2022)</w:t>
      </w:r>
      <w:r w:rsidR="005965EB">
        <w:fldChar w:fldCharType="end"/>
      </w:r>
      <w:r>
        <w:t>. This dissertation study also examines the macro, meso, and micro scales of social norming – from geopolitical to familial - on the women involved and looks at their memories and lived experiences of the SDOH factors as relating to the health inequities they face at these scales, from childhood to adulthood.</w:t>
      </w:r>
    </w:p>
    <w:p w14:paraId="3E677608" w14:textId="17C6126A" w:rsidR="008844E4" w:rsidRPr="00424BD3" w:rsidRDefault="00744F2E" w:rsidP="000126EE">
      <w:pPr>
        <w:pStyle w:val="Heading2"/>
        <w:spacing w:before="0" w:line="480" w:lineRule="auto"/>
        <w:jc w:val="center"/>
        <w:rPr>
          <w:rFonts w:ascii="Arial" w:hAnsi="Arial" w:cs="Arial"/>
          <w:b/>
          <w:bCs/>
          <w:color w:val="auto"/>
          <w:sz w:val="24"/>
          <w:szCs w:val="24"/>
        </w:rPr>
      </w:pPr>
      <w:bookmarkStart w:id="53" w:name="_Toc118232319"/>
      <w:r>
        <w:rPr>
          <w:rFonts w:ascii="Arial" w:hAnsi="Arial" w:cs="Arial"/>
          <w:b/>
          <w:bCs/>
          <w:color w:val="auto"/>
          <w:sz w:val="24"/>
          <w:szCs w:val="24"/>
        </w:rPr>
        <w:lastRenderedPageBreak/>
        <w:t>Conclusion</w:t>
      </w:r>
      <w:bookmarkEnd w:id="53"/>
    </w:p>
    <w:p w14:paraId="2227E4FA" w14:textId="62CAE242" w:rsidR="00E722C5" w:rsidRPr="00424BD3" w:rsidRDefault="008844E4" w:rsidP="000126EE">
      <w:pPr>
        <w:spacing w:after="0" w:line="480" w:lineRule="auto"/>
        <w:ind w:firstLine="720"/>
        <w:rPr>
          <w:rFonts w:cs="Arial"/>
          <w:szCs w:val="24"/>
        </w:rPr>
      </w:pPr>
      <w:r w:rsidRPr="00424BD3">
        <w:rPr>
          <w:rFonts w:cs="Arial"/>
          <w:szCs w:val="24"/>
        </w:rPr>
        <w:t>Older women have unique health inequit</w:t>
      </w:r>
      <w:r w:rsidR="008F596B">
        <w:rPr>
          <w:rFonts w:cs="Arial"/>
          <w:szCs w:val="24"/>
        </w:rPr>
        <w:t>y</w:t>
      </w:r>
      <w:r w:rsidRPr="00424BD3">
        <w:rPr>
          <w:rFonts w:cs="Arial"/>
          <w:szCs w:val="24"/>
        </w:rPr>
        <w:t xml:space="preserve"> challenges </w:t>
      </w:r>
      <w:r w:rsidRPr="00424BD3">
        <w:rPr>
          <w:rFonts w:cs="Arial"/>
          <w:szCs w:val="24"/>
        </w:rPr>
        <w:fldChar w:fldCharType="begin"/>
      </w:r>
      <w:r w:rsidR="00E52D17">
        <w:rPr>
          <w:rFonts w:cs="Arial"/>
          <w:szCs w:val="24"/>
        </w:rPr>
        <w:instrText xml:space="preserve"> ADDIN ZOTERO_ITEM CSL_CITATION {"citationID":"rBoOVQww","properties":{"formattedCitation":"(AARP, 2022; Bierman &amp; Clancy, 2001; NIA, n.d.)","plainCitation":"(AARP, 2022; Bierman &amp; Clancy, 2001; NIA, n.d.)","noteIndex":0},"citationItems":[{"id":1056,"uris":["http://zotero.org/users/4946941/items/U586CV6Q"],"itemData":{"id":1056,"type":"webpage","abstract":"This year’s briefing places a spotlight on older women and aims to transform political momentum into action that will empower older women and further promote gender equality. Join us on March 15, 2022.","container-title":"American Association of Retired People (AARP) International","language":"en","title":"Shameful Contrast: Inequality at the Intersection of Age and Gender. 15th Annual AARP-United Nations Briefing.","title-short":"AARP at the United Nations","URL":"https://www.aarpinternational.org/initiatives/aarp-at-the-united-nations/unbriefingseries/2022unbriefing","author":[{"family":"AARP","given":""}],"accessed":{"date-parts":[["2022",7,16]]},"issued":{"date-parts":[["2022",3,15]]}}},{"id":605,"uris":["http://zotero.org/users/4946941/items/I97EFADJ"],"itemData":{"id":605,"type":"article-journal","abstract":"Older women experience a high burden of chronic illness, disability, and comorbidity, and this burden is highest among socioeconomically disadvantaged and minority women. The consequences of a mismatch between the organization, delivery, and financing of health care for older women and their actual needs fall disproportionately on low-income and minority women. New sources of data, such as the Medicare Health Outcomes Survey, a new quality measure for Medicare+Choice plans, will provide valuable information to practitioners about the health and functioning of older women in general and about socioeconomically disadvantaged and minority women in particular. This information can be used to develop and implement interventions to improve the quality and outcomes of care for vulnerable subgroups of older women. There is cause for optimism that by improving the quality of clinical preventive services and the management of common chronic conditions and geriatric syndromes it will be possible to improve functional health outcomes, prevent or postpone disability, and extend active life expectancy for all older women while making progress toward eliminating health disparities among the most disadvantaged.","container-title":"Journal of the American Medical Women's Association (1972)","ISSN":"1551-8221","issue":"4","journalAbbreviation":"J Am Med Womens Assoc (1972)","language":"eng","note":"PMID: 11759783","page":"155-9, 188","source":"Europe PMC","title":"Health disparities among older women: identifying opportunities to improve quality of care and functional health outcomes","title-short":"Health disparities among older women","volume":"56","author":[{"family":"Bierman","given":"A S"},{"family":"Clancy","given":"C M"}],"issued":{"date-parts":[["2001",1,1]]}}},{"id":1058,"uris":["http://zotero.org/users/4946941/items/XYL5X95E"],"itemData":{"id":1058,"type":"webpage","abstract":"Learn about the scientific priorities for the National Institute on Aging.","container-title":"National Institute on Aging (NIA). National Institutes of Health (NIH).","language":"en","title":"NIA Strategic Directions 2020-2025","URL":"https://www.nia.nih.gov/about/aging-strategic-directions-research","author":[{"family":"NIA","given":""}],"accessed":{"date-parts":[["2022",7,16]]},"issued":{"literal":"n.d."}}}],"schema":"https://github.com/citation-style-language/schema/raw/master/csl-citation.json"} </w:instrText>
      </w:r>
      <w:r w:rsidRPr="00424BD3">
        <w:rPr>
          <w:rFonts w:cs="Arial"/>
          <w:szCs w:val="24"/>
        </w:rPr>
        <w:fldChar w:fldCharType="separate"/>
      </w:r>
      <w:r w:rsidR="007C1F04" w:rsidRPr="007C1F04">
        <w:rPr>
          <w:rFonts w:cs="Arial"/>
        </w:rPr>
        <w:t>(AARP, 2022; Bierman &amp; Clancy, 2001; NIA, n.d.)</w:t>
      </w:r>
      <w:r w:rsidRPr="00424BD3">
        <w:rPr>
          <w:rFonts w:cs="Arial"/>
          <w:szCs w:val="24"/>
        </w:rPr>
        <w:fldChar w:fldCharType="end"/>
      </w:r>
      <w:r w:rsidRPr="00424BD3">
        <w:rPr>
          <w:rFonts w:cs="Arial"/>
          <w:szCs w:val="24"/>
        </w:rPr>
        <w:t xml:space="preserve">. A look at their genealogical histories of health and mortality outcomes, social norming pressures, the discrimination and stigmatization they face, and other social determinants helps to contextualize the impacts older women experience regarding these health inequities. This dissertation examines those factors as well as the women’s identified wants, needs, and recommendations to policy, clinicians, and other decision-makers to create engaged partnerships upon which more effective solutions can be found to mitigate their health inequities. </w:t>
      </w:r>
      <w:r w:rsidR="008A638A" w:rsidRPr="00424BD3">
        <w:rPr>
          <w:rFonts w:cs="Arial"/>
          <w:szCs w:val="24"/>
        </w:rPr>
        <w:t>Ecosocial</w:t>
      </w:r>
      <w:r w:rsidRPr="00424BD3">
        <w:rPr>
          <w:rFonts w:cs="Arial"/>
          <w:szCs w:val="24"/>
        </w:rPr>
        <w:t xml:space="preserve"> theory, critical and feminist geographies theories, and critical discourse analysis are used to examine the women’s interviews and determine patterns of perceptions, experiences</w:t>
      </w:r>
      <w:r w:rsidR="00093397">
        <w:rPr>
          <w:rFonts w:cs="Arial"/>
          <w:szCs w:val="24"/>
        </w:rPr>
        <w:t>,</w:t>
      </w:r>
      <w:r w:rsidRPr="00424BD3">
        <w:rPr>
          <w:rFonts w:cs="Arial"/>
          <w:szCs w:val="24"/>
        </w:rPr>
        <w:t xml:space="preserve"> and influences. Reporting of the findings will show the health inequities, policy, and genealogical health history perceptions and experiences of older women in East Tennessee and their recommendations for mitigating these health inequities. </w:t>
      </w:r>
    </w:p>
    <w:p w14:paraId="6B475954" w14:textId="77777777" w:rsidR="00E722C5" w:rsidRPr="00424BD3" w:rsidRDefault="00E722C5" w:rsidP="000126EE">
      <w:pPr>
        <w:spacing w:after="0" w:line="480" w:lineRule="auto"/>
        <w:rPr>
          <w:rFonts w:cs="Arial"/>
          <w:szCs w:val="24"/>
        </w:rPr>
      </w:pPr>
      <w:r w:rsidRPr="00424BD3">
        <w:rPr>
          <w:rFonts w:cs="Arial"/>
          <w:szCs w:val="24"/>
        </w:rPr>
        <w:br w:type="page"/>
      </w:r>
    </w:p>
    <w:p w14:paraId="1892E183" w14:textId="77777777" w:rsidR="006E780A" w:rsidRPr="00424BD3" w:rsidRDefault="008844E4" w:rsidP="006E780A">
      <w:pPr>
        <w:pStyle w:val="Heading1"/>
        <w:spacing w:before="0" w:line="480" w:lineRule="auto"/>
        <w:jc w:val="center"/>
        <w:rPr>
          <w:rFonts w:ascii="Arial" w:hAnsi="Arial" w:cs="Arial"/>
          <w:b/>
          <w:bCs/>
          <w:color w:val="auto"/>
          <w:sz w:val="24"/>
          <w:szCs w:val="24"/>
        </w:rPr>
      </w:pPr>
      <w:bookmarkStart w:id="54" w:name="_Toc118232320"/>
      <w:r w:rsidRPr="00424BD3">
        <w:rPr>
          <w:rFonts w:ascii="Arial" w:hAnsi="Arial" w:cs="Arial"/>
          <w:b/>
          <w:bCs/>
          <w:color w:val="auto"/>
          <w:sz w:val="24"/>
          <w:szCs w:val="24"/>
        </w:rPr>
        <w:lastRenderedPageBreak/>
        <w:t xml:space="preserve">CHAPTER </w:t>
      </w:r>
      <w:r w:rsidR="004F5ACC" w:rsidRPr="00424BD3">
        <w:rPr>
          <w:rFonts w:ascii="Arial" w:hAnsi="Arial" w:cs="Arial"/>
          <w:b/>
          <w:bCs/>
          <w:color w:val="auto"/>
          <w:sz w:val="24"/>
          <w:szCs w:val="24"/>
        </w:rPr>
        <w:t>FOUR</w:t>
      </w:r>
      <w:bookmarkEnd w:id="54"/>
    </w:p>
    <w:p w14:paraId="025A52CA" w14:textId="49711D90" w:rsidR="008844E4" w:rsidRPr="00424BD3" w:rsidRDefault="008B7034" w:rsidP="00A47854">
      <w:pPr>
        <w:pStyle w:val="Heading1"/>
        <w:spacing w:before="0" w:line="480" w:lineRule="auto"/>
        <w:jc w:val="center"/>
        <w:rPr>
          <w:rFonts w:ascii="Arial" w:hAnsi="Arial" w:cs="Arial"/>
          <w:b/>
          <w:bCs/>
          <w:color w:val="auto"/>
          <w:sz w:val="24"/>
          <w:szCs w:val="24"/>
        </w:rPr>
      </w:pPr>
      <w:bookmarkStart w:id="55" w:name="_Toc118232321"/>
      <w:r w:rsidRPr="00424BD3">
        <w:rPr>
          <w:rFonts w:ascii="Arial" w:hAnsi="Arial" w:cs="Arial"/>
          <w:b/>
          <w:bCs/>
          <w:color w:val="auto"/>
          <w:sz w:val="24"/>
          <w:szCs w:val="24"/>
        </w:rPr>
        <w:t xml:space="preserve">PARTICIPANT CONTEXT: </w:t>
      </w:r>
      <w:r w:rsidR="008844E4" w:rsidRPr="00424BD3">
        <w:rPr>
          <w:rFonts w:ascii="Arial" w:hAnsi="Arial" w:cs="Arial"/>
          <w:b/>
          <w:bCs/>
          <w:color w:val="auto"/>
          <w:sz w:val="24"/>
          <w:szCs w:val="24"/>
        </w:rPr>
        <w:t xml:space="preserve">THE GEOPOLITICAL </w:t>
      </w:r>
      <w:r w:rsidRPr="00424BD3">
        <w:rPr>
          <w:rFonts w:ascii="Arial" w:hAnsi="Arial" w:cs="Arial"/>
          <w:b/>
          <w:bCs/>
          <w:color w:val="auto"/>
          <w:sz w:val="24"/>
          <w:szCs w:val="24"/>
        </w:rPr>
        <w:t>CULTURE</w:t>
      </w:r>
      <w:r w:rsidR="008844E4" w:rsidRPr="00424BD3">
        <w:rPr>
          <w:rFonts w:ascii="Arial" w:hAnsi="Arial" w:cs="Arial"/>
          <w:b/>
          <w:bCs/>
          <w:color w:val="auto"/>
          <w:sz w:val="24"/>
          <w:szCs w:val="24"/>
        </w:rPr>
        <w:t xml:space="preserve"> OF EAST TENNESSEE</w:t>
      </w:r>
      <w:bookmarkEnd w:id="55"/>
    </w:p>
    <w:p w14:paraId="0F730A95" w14:textId="6E9999DB" w:rsidR="008844E4" w:rsidRPr="00424BD3" w:rsidRDefault="008B7034" w:rsidP="00A47854">
      <w:pPr>
        <w:pStyle w:val="Heading2"/>
        <w:spacing w:before="0" w:line="240" w:lineRule="auto"/>
        <w:jc w:val="center"/>
        <w:rPr>
          <w:rFonts w:ascii="Arial" w:hAnsi="Arial" w:cs="Arial"/>
          <w:b/>
          <w:bCs/>
          <w:color w:val="auto"/>
          <w:sz w:val="24"/>
          <w:szCs w:val="24"/>
        </w:rPr>
      </w:pPr>
      <w:bookmarkStart w:id="56" w:name="_Toc118232322"/>
      <w:r w:rsidRPr="00424BD3">
        <w:rPr>
          <w:rFonts w:ascii="Arial" w:hAnsi="Arial" w:cs="Arial"/>
          <w:b/>
          <w:bCs/>
          <w:color w:val="auto"/>
          <w:sz w:val="24"/>
          <w:szCs w:val="24"/>
        </w:rPr>
        <w:t>T</w:t>
      </w:r>
      <w:r w:rsidR="008844E4" w:rsidRPr="00424BD3">
        <w:rPr>
          <w:rFonts w:ascii="Arial" w:hAnsi="Arial" w:cs="Arial"/>
          <w:b/>
          <w:bCs/>
          <w:color w:val="auto"/>
          <w:sz w:val="24"/>
          <w:szCs w:val="24"/>
        </w:rPr>
        <w:t xml:space="preserve">emporal and spatial impacts </w:t>
      </w:r>
      <w:r w:rsidRPr="00424BD3">
        <w:rPr>
          <w:rFonts w:ascii="Arial" w:hAnsi="Arial" w:cs="Arial"/>
          <w:b/>
          <w:bCs/>
          <w:color w:val="auto"/>
          <w:sz w:val="24"/>
          <w:szCs w:val="24"/>
        </w:rPr>
        <w:t xml:space="preserve">of policymaking </w:t>
      </w:r>
      <w:r w:rsidR="008844E4" w:rsidRPr="00424BD3">
        <w:rPr>
          <w:rFonts w:ascii="Arial" w:hAnsi="Arial" w:cs="Arial"/>
          <w:b/>
          <w:bCs/>
          <w:color w:val="auto"/>
          <w:sz w:val="24"/>
          <w:szCs w:val="24"/>
        </w:rPr>
        <w:t>on older women’s perceptions and experiences of health inequities policies and interventions.</w:t>
      </w:r>
      <w:bookmarkEnd w:id="56"/>
    </w:p>
    <w:p w14:paraId="4B69B884" w14:textId="77777777" w:rsidR="008844E4" w:rsidRPr="00424BD3" w:rsidRDefault="008844E4" w:rsidP="000126EE">
      <w:pPr>
        <w:spacing w:after="0" w:line="480" w:lineRule="auto"/>
        <w:ind w:firstLine="720"/>
        <w:rPr>
          <w:rFonts w:cs="Arial"/>
          <w:szCs w:val="24"/>
        </w:rPr>
      </w:pPr>
    </w:p>
    <w:p w14:paraId="7AD1FBFA" w14:textId="323020B6" w:rsidR="008844E4" w:rsidRPr="00424BD3" w:rsidRDefault="008844E4" w:rsidP="000126EE">
      <w:pPr>
        <w:spacing w:after="0" w:line="480" w:lineRule="auto"/>
        <w:ind w:firstLine="720"/>
        <w:rPr>
          <w:rFonts w:cs="Arial"/>
          <w:szCs w:val="24"/>
        </w:rPr>
      </w:pPr>
      <w:r w:rsidRPr="00424BD3">
        <w:rPr>
          <w:rFonts w:cs="Arial"/>
          <w:szCs w:val="24"/>
        </w:rPr>
        <w:t xml:space="preserve">In this chapter, </w:t>
      </w:r>
      <w:r w:rsidR="003144DC">
        <w:rPr>
          <w:rFonts w:cs="Arial"/>
          <w:szCs w:val="24"/>
        </w:rPr>
        <w:t xml:space="preserve">I </w:t>
      </w:r>
      <w:r w:rsidR="007E1549" w:rsidRPr="00424BD3">
        <w:rPr>
          <w:rFonts w:cs="Arial"/>
          <w:szCs w:val="24"/>
        </w:rPr>
        <w:t>explor</w:t>
      </w:r>
      <w:r w:rsidR="003144DC">
        <w:rPr>
          <w:rFonts w:cs="Arial"/>
          <w:szCs w:val="24"/>
        </w:rPr>
        <w:t>e</w:t>
      </w:r>
      <w:r w:rsidRPr="00424BD3">
        <w:rPr>
          <w:rFonts w:cs="Arial"/>
          <w:szCs w:val="24"/>
        </w:rPr>
        <w:t xml:space="preserve"> the geopolitical </w:t>
      </w:r>
      <w:r w:rsidR="008D6BD8" w:rsidRPr="00424BD3">
        <w:rPr>
          <w:rFonts w:cs="Arial"/>
          <w:szCs w:val="24"/>
        </w:rPr>
        <w:t>cultural norms</w:t>
      </w:r>
      <w:r w:rsidRPr="00424BD3">
        <w:rPr>
          <w:rFonts w:cs="Arial"/>
          <w:szCs w:val="24"/>
        </w:rPr>
        <w:t xml:space="preserve"> of East Tennessee and how it has impacted participants’ perceptions and experiences of health inequit</w:t>
      </w:r>
      <w:r w:rsidR="008F596B">
        <w:rPr>
          <w:rFonts w:cs="Arial"/>
          <w:szCs w:val="24"/>
        </w:rPr>
        <w:t>y</w:t>
      </w:r>
      <w:r w:rsidRPr="00424BD3">
        <w:rPr>
          <w:rFonts w:cs="Arial"/>
          <w:szCs w:val="24"/>
        </w:rPr>
        <w:t xml:space="preserve"> policies and interventions over time and legislative level (state, regional, local)</w:t>
      </w:r>
      <w:r w:rsidR="007E1549" w:rsidRPr="00424BD3">
        <w:rPr>
          <w:rFonts w:cs="Arial"/>
          <w:szCs w:val="24"/>
        </w:rPr>
        <w:t xml:space="preserve"> is undertaken</w:t>
      </w:r>
      <w:r w:rsidRPr="00424BD3">
        <w:rPr>
          <w:rFonts w:cs="Arial"/>
          <w:szCs w:val="24"/>
        </w:rPr>
        <w:t xml:space="preserve">. This chapter provides a background to policymaking in East Tennessee because a primary aim of </w:t>
      </w:r>
      <w:r w:rsidR="00ED0101" w:rsidRPr="00424BD3">
        <w:rPr>
          <w:rFonts w:cs="Arial"/>
          <w:szCs w:val="24"/>
        </w:rPr>
        <w:t>this</w:t>
      </w:r>
      <w:r w:rsidRPr="00424BD3">
        <w:rPr>
          <w:rFonts w:cs="Arial"/>
          <w:szCs w:val="24"/>
        </w:rPr>
        <w:t xml:space="preserve"> research is to examine what the women know about social determinants and drivers of health, including what they know of the laws, acts, and policies which codify these. </w:t>
      </w:r>
      <w:r w:rsidR="007453CA" w:rsidRPr="00424BD3">
        <w:rPr>
          <w:rFonts w:cs="Arial"/>
          <w:szCs w:val="24"/>
        </w:rPr>
        <w:t>It may be said that</w:t>
      </w:r>
      <w:r w:rsidRPr="00424BD3">
        <w:rPr>
          <w:rFonts w:cs="Arial"/>
          <w:szCs w:val="24"/>
        </w:rPr>
        <w:t xml:space="preserve"> Tennessee’s brand of Appalachian neoliberal, small government focused, ultra-conservative (and religiously based) policies that affect health are a strong influence in the norming of the women’s perceptions of not only health inequities, but of the policies, services, and interventions available or not available to support them</w:t>
      </w:r>
      <w:r w:rsidR="00F81685" w:rsidRPr="00424BD3">
        <w:rPr>
          <w:rFonts w:cs="Arial"/>
          <w:szCs w:val="24"/>
        </w:rPr>
        <w:t xml:space="preserve"> </w:t>
      </w:r>
      <w:r w:rsidR="00F81685" w:rsidRPr="00424BD3">
        <w:rPr>
          <w:rFonts w:cs="Arial"/>
          <w:szCs w:val="24"/>
        </w:rPr>
        <w:fldChar w:fldCharType="begin"/>
      </w:r>
      <w:r w:rsidR="00AB78EE">
        <w:rPr>
          <w:rFonts w:cs="Arial"/>
          <w:szCs w:val="24"/>
        </w:rPr>
        <w:instrText xml:space="preserve"> ADDIN ZOTERO_ITEM CSL_CITATION {"citationID":"WuNbbNd9","properties":{"formattedCitation":"(L. Hamilton et al., 2022; Walton, 2017)","plainCitation":"(L. Hamilton et al., 2022; Walton, 2017)","noteIndex":0},"citationItems":[{"id":1274,"uris":["http://zotero.org/users/4946941/items/FXLN2W46"],"itemData":{"id":1274,"type":"article-journal","abstract":"Universal basic income (UBI) is a centuries-old policy proposal in which every citizen is granted a regular cash payment to provide basic security. One defining concept of a UBI is that it is unconditional, unlike most modern social welfare programs. While decades of pilot data suggest UBI to be superior to traditional means tested assistance, public support is divided and heavily based on stereotypes of dependency and negative consumption effects. A mixed-method research design was utilized to explore the projected behavioral response to UBI of current and former recipients of traditional assistance, in regard to themselves and others. Responses indicate that the majority of participants would not alter their current work arrangements and would rather plan for future financial stability while assuming that other Americans would quit working and spend the money irresponsibly. These results suggest that even among welfare recipients, neoliberal and conservative narratives of dependency and irrationality persist.","container-title":"Journal of Policy Practice and Research","DOI":"10.1007/s42972-021-00035-0","ISSN":"2662-1517","issue":"2","journalAbbreviation":"J of Pol Practice &amp; Research","language":"en","page":"77-95","source":"Springer Link","title":"“People Nowadays Will Take Everything They Can Get”: American Perceptions of Basic Income Usage","title-short":"“People Nowadays Will Take Everything They Can Get”","volume":"3","author":[{"family":"Hamilton","given":"Leah"},{"family":"Yorgun","given":"Meric"},{"family":"Wright","given":"Allison"}],"issued":{"date-parts":[["2022",6,1]]}}},{"id":1219,"uris":["http://zotero.org/users/4946941/items/6GGX5TGF"],"itemData":{"id":1219,"type":"article-journal","container-title":"Masters Theses","title":"Demolishing an American Ghetto: How Neoliberalism is Reinventing Life and Labor in Nashville, Tennessee","title-short":"Demolishing an American Ghetto","URL":"https://trace.tennessee.edu/utk_gradthes/5013","author":[{"family":"Walton","given":"Charles"}],"issued":{"date-parts":[["2017",12,16]]}}}],"schema":"https://github.com/citation-style-language/schema/raw/master/csl-citation.json"} </w:instrText>
      </w:r>
      <w:r w:rsidR="00F81685" w:rsidRPr="00424BD3">
        <w:rPr>
          <w:rFonts w:cs="Arial"/>
          <w:szCs w:val="24"/>
        </w:rPr>
        <w:fldChar w:fldCharType="separate"/>
      </w:r>
      <w:r w:rsidR="00AB78EE" w:rsidRPr="00AB78EE">
        <w:rPr>
          <w:rFonts w:cs="Arial"/>
        </w:rPr>
        <w:t>(L. Hamilton et al., 2022; Walton, 2017)</w:t>
      </w:r>
      <w:r w:rsidR="00F81685" w:rsidRPr="00424BD3">
        <w:rPr>
          <w:rFonts w:cs="Arial"/>
          <w:szCs w:val="24"/>
        </w:rPr>
        <w:fldChar w:fldCharType="end"/>
      </w:r>
      <w:r w:rsidRPr="00424BD3">
        <w:rPr>
          <w:rFonts w:cs="Arial"/>
          <w:szCs w:val="24"/>
        </w:rPr>
        <w:t xml:space="preserve">. In other words, they are a barrier to alleviating the women’s health inequities and a barrier to their liberation from social, cultural, and political norming of attitudes about health and mortality (e.g., reinforcement of individual responsibility, shaming and blaming, </w:t>
      </w:r>
      <w:r w:rsidR="00C451AE" w:rsidRPr="00424BD3">
        <w:rPr>
          <w:rFonts w:cs="Arial"/>
          <w:szCs w:val="24"/>
        </w:rPr>
        <w:t>health</w:t>
      </w:r>
      <w:r w:rsidRPr="00424BD3">
        <w:rPr>
          <w:rFonts w:cs="Arial"/>
          <w:szCs w:val="24"/>
        </w:rPr>
        <w:t xml:space="preserve"> behaviorism). </w:t>
      </w:r>
      <w:r w:rsidR="00CB05A9" w:rsidRPr="00424BD3">
        <w:rPr>
          <w:rFonts w:cs="Arial"/>
          <w:szCs w:val="24"/>
        </w:rPr>
        <w:t xml:space="preserve">Reviewing their residencies in East Tennessee and the other states and areas in which they have lived (detailed in Chapter </w:t>
      </w:r>
      <w:r w:rsidR="00DE2E76" w:rsidRPr="00424BD3">
        <w:rPr>
          <w:rFonts w:cs="Arial"/>
          <w:szCs w:val="24"/>
        </w:rPr>
        <w:t>Five</w:t>
      </w:r>
      <w:r w:rsidR="00CB05A9" w:rsidRPr="00424BD3">
        <w:rPr>
          <w:rFonts w:cs="Arial"/>
          <w:szCs w:val="24"/>
        </w:rPr>
        <w:t>), will help in determining at what spatial level place seems to have on the women’s perceptions of health inequities and familial mortality outcomes.</w:t>
      </w:r>
    </w:p>
    <w:p w14:paraId="7B2E2B99" w14:textId="661540A0" w:rsidR="008844E4" w:rsidRPr="00424BD3" w:rsidRDefault="008844E4" w:rsidP="00A47854">
      <w:pPr>
        <w:pStyle w:val="Heading3"/>
        <w:rPr>
          <w:rFonts w:ascii="Arial" w:hAnsi="Arial" w:cs="Arial"/>
          <w:b/>
          <w:bCs/>
          <w:i/>
          <w:iCs/>
          <w:color w:val="auto"/>
        </w:rPr>
      </w:pPr>
      <w:bookmarkStart w:id="57" w:name="_Toc118232323"/>
      <w:r w:rsidRPr="00424BD3">
        <w:rPr>
          <w:rFonts w:ascii="Arial" w:hAnsi="Arial" w:cs="Arial"/>
          <w:b/>
          <w:bCs/>
          <w:i/>
          <w:iCs/>
          <w:color w:val="auto"/>
        </w:rPr>
        <w:lastRenderedPageBreak/>
        <w:t xml:space="preserve">Federal, </w:t>
      </w:r>
      <w:r w:rsidR="00A47854" w:rsidRPr="00424BD3">
        <w:rPr>
          <w:rFonts w:ascii="Arial" w:hAnsi="Arial" w:cs="Arial"/>
          <w:b/>
          <w:bCs/>
          <w:i/>
          <w:iCs/>
          <w:color w:val="auto"/>
        </w:rPr>
        <w:t>S</w:t>
      </w:r>
      <w:r w:rsidRPr="00424BD3">
        <w:rPr>
          <w:rFonts w:ascii="Arial" w:hAnsi="Arial" w:cs="Arial"/>
          <w:b/>
          <w:bCs/>
          <w:i/>
          <w:iCs/>
          <w:color w:val="auto"/>
        </w:rPr>
        <w:t xml:space="preserve">tate and </w:t>
      </w:r>
      <w:r w:rsidR="00A47854" w:rsidRPr="00424BD3">
        <w:rPr>
          <w:rFonts w:ascii="Arial" w:hAnsi="Arial" w:cs="Arial"/>
          <w:b/>
          <w:bCs/>
          <w:i/>
          <w:iCs/>
          <w:color w:val="auto"/>
        </w:rPr>
        <w:t>L</w:t>
      </w:r>
      <w:r w:rsidRPr="00424BD3">
        <w:rPr>
          <w:rFonts w:ascii="Arial" w:hAnsi="Arial" w:cs="Arial"/>
          <w:b/>
          <w:bCs/>
          <w:i/>
          <w:iCs/>
          <w:color w:val="auto"/>
        </w:rPr>
        <w:t xml:space="preserve">ocal </w:t>
      </w:r>
      <w:r w:rsidR="00A47854" w:rsidRPr="00424BD3">
        <w:rPr>
          <w:rFonts w:ascii="Arial" w:hAnsi="Arial" w:cs="Arial"/>
          <w:b/>
          <w:bCs/>
          <w:i/>
          <w:iCs/>
          <w:color w:val="auto"/>
        </w:rPr>
        <w:t>P</w:t>
      </w:r>
      <w:r w:rsidRPr="00424BD3">
        <w:rPr>
          <w:rFonts w:ascii="Arial" w:hAnsi="Arial" w:cs="Arial"/>
          <w:b/>
          <w:bCs/>
          <w:i/>
          <w:iCs/>
          <w:color w:val="auto"/>
        </w:rPr>
        <w:t xml:space="preserve">olicy and </w:t>
      </w:r>
      <w:r w:rsidR="00A47854" w:rsidRPr="00424BD3">
        <w:rPr>
          <w:rFonts w:ascii="Arial" w:hAnsi="Arial" w:cs="Arial"/>
          <w:b/>
          <w:bCs/>
          <w:i/>
          <w:iCs/>
          <w:color w:val="auto"/>
        </w:rPr>
        <w:t>I</w:t>
      </w:r>
      <w:r w:rsidRPr="00424BD3">
        <w:rPr>
          <w:rFonts w:ascii="Arial" w:hAnsi="Arial" w:cs="Arial"/>
          <w:b/>
          <w:bCs/>
          <w:i/>
          <w:iCs/>
          <w:color w:val="auto"/>
        </w:rPr>
        <w:t xml:space="preserve">ntervention </w:t>
      </w:r>
      <w:r w:rsidR="00A47854" w:rsidRPr="00424BD3">
        <w:rPr>
          <w:rFonts w:ascii="Arial" w:hAnsi="Arial" w:cs="Arial"/>
          <w:b/>
          <w:bCs/>
          <w:i/>
          <w:iCs/>
          <w:color w:val="auto"/>
        </w:rPr>
        <w:t>I</w:t>
      </w:r>
      <w:r w:rsidRPr="00424BD3">
        <w:rPr>
          <w:rFonts w:ascii="Arial" w:hAnsi="Arial" w:cs="Arial"/>
          <w:b/>
          <w:bCs/>
          <w:i/>
          <w:iCs/>
          <w:color w:val="auto"/>
        </w:rPr>
        <w:t xml:space="preserve">mpact on </w:t>
      </w:r>
      <w:r w:rsidR="00A47854" w:rsidRPr="00424BD3">
        <w:rPr>
          <w:rFonts w:ascii="Arial" w:hAnsi="Arial" w:cs="Arial"/>
          <w:b/>
          <w:bCs/>
          <w:i/>
          <w:iCs/>
          <w:color w:val="auto"/>
        </w:rPr>
        <w:t>O</w:t>
      </w:r>
      <w:r w:rsidRPr="00424BD3">
        <w:rPr>
          <w:rFonts w:ascii="Arial" w:hAnsi="Arial" w:cs="Arial"/>
          <w:b/>
          <w:bCs/>
          <w:i/>
          <w:iCs/>
          <w:color w:val="auto"/>
        </w:rPr>
        <w:t xml:space="preserve">lder </w:t>
      </w:r>
      <w:r w:rsidR="00A47854" w:rsidRPr="00424BD3">
        <w:rPr>
          <w:rFonts w:ascii="Arial" w:hAnsi="Arial" w:cs="Arial"/>
          <w:b/>
          <w:bCs/>
          <w:i/>
          <w:iCs/>
          <w:color w:val="auto"/>
        </w:rPr>
        <w:t>W</w:t>
      </w:r>
      <w:r w:rsidRPr="00424BD3">
        <w:rPr>
          <w:rFonts w:ascii="Arial" w:hAnsi="Arial" w:cs="Arial"/>
          <w:b/>
          <w:bCs/>
          <w:i/>
          <w:iCs/>
          <w:color w:val="auto"/>
        </w:rPr>
        <w:t>omen in East Tennessee</w:t>
      </w:r>
      <w:bookmarkEnd w:id="57"/>
    </w:p>
    <w:p w14:paraId="067B0C98" w14:textId="77777777" w:rsidR="00297B9C" w:rsidRDefault="00297B9C" w:rsidP="000126EE">
      <w:pPr>
        <w:spacing w:after="0" w:line="480" w:lineRule="auto"/>
        <w:ind w:firstLine="720"/>
        <w:rPr>
          <w:rFonts w:cs="Arial"/>
          <w:szCs w:val="24"/>
        </w:rPr>
      </w:pPr>
    </w:p>
    <w:p w14:paraId="2B70CEB5" w14:textId="283B500F" w:rsidR="008844E4" w:rsidRPr="00424BD3" w:rsidRDefault="008844E4" w:rsidP="000126EE">
      <w:pPr>
        <w:spacing w:after="0" w:line="480" w:lineRule="auto"/>
        <w:ind w:firstLine="720"/>
        <w:rPr>
          <w:rFonts w:cs="Arial"/>
          <w:szCs w:val="24"/>
        </w:rPr>
      </w:pPr>
      <w:r w:rsidRPr="00424BD3">
        <w:rPr>
          <w:rFonts w:cs="Arial"/>
          <w:szCs w:val="24"/>
        </w:rPr>
        <w:t>A review of Tennessee’s state and local county policies, as well as how Tennessee’s legislature has chosen to implement federal policies (and funding) is vital to understanding how systemic health inequities are built into the fabric of older women’s situated and lived experiences, and how they shape older women’s perceptions.</w:t>
      </w:r>
    </w:p>
    <w:p w14:paraId="21B6B273" w14:textId="155D19EC" w:rsidR="008844E4" w:rsidRPr="00424BD3" w:rsidRDefault="008844E4" w:rsidP="000126EE">
      <w:pPr>
        <w:pStyle w:val="Heading4"/>
        <w:spacing w:before="0" w:line="480" w:lineRule="auto"/>
        <w:rPr>
          <w:rFonts w:ascii="Arial" w:hAnsi="Arial" w:cs="Arial"/>
          <w:color w:val="auto"/>
        </w:rPr>
      </w:pPr>
      <w:r w:rsidRPr="00424BD3">
        <w:rPr>
          <w:rFonts w:ascii="Arial" w:hAnsi="Arial" w:cs="Arial"/>
          <w:color w:val="auto"/>
        </w:rPr>
        <w:t>Federal to State Funding and Policymaking</w:t>
      </w:r>
    </w:p>
    <w:p w14:paraId="78E89E32" w14:textId="3D32E4DC" w:rsidR="008844E4" w:rsidRPr="00424BD3" w:rsidRDefault="008844E4" w:rsidP="000126EE">
      <w:pPr>
        <w:spacing w:after="0" w:line="480" w:lineRule="auto"/>
        <w:ind w:firstLine="720"/>
        <w:rPr>
          <w:rFonts w:cs="Arial"/>
          <w:szCs w:val="24"/>
        </w:rPr>
      </w:pPr>
      <w:r w:rsidRPr="00424BD3">
        <w:rPr>
          <w:rFonts w:cs="Arial"/>
          <w:szCs w:val="24"/>
        </w:rPr>
        <w:t xml:space="preserve">In the United States, policies and interventions are made at the federal, state, regional, and local level, all of which impact older women’s health and health inequities. For brevity’s sake, this paper focuses mainly on major what </w:t>
      </w:r>
      <w:r w:rsidR="00181132" w:rsidRPr="00424BD3">
        <w:rPr>
          <w:rFonts w:cs="Arial"/>
          <w:szCs w:val="24"/>
        </w:rPr>
        <w:t>is sometimes</w:t>
      </w:r>
      <w:r w:rsidRPr="00424BD3">
        <w:rPr>
          <w:rFonts w:cs="Arial"/>
          <w:szCs w:val="24"/>
        </w:rPr>
        <w:t xml:space="preserve"> </w:t>
      </w:r>
      <w:r w:rsidR="00181132" w:rsidRPr="00424BD3">
        <w:rPr>
          <w:rFonts w:cs="Arial"/>
          <w:szCs w:val="24"/>
        </w:rPr>
        <w:t>known as</w:t>
      </w:r>
      <w:r w:rsidRPr="00424BD3">
        <w:rPr>
          <w:rFonts w:cs="Arial"/>
          <w:szCs w:val="24"/>
        </w:rPr>
        <w:t xml:space="preserve"> “pipeline” legislation and funding, </w:t>
      </w:r>
      <w:r w:rsidR="008B6DDD" w:rsidRPr="00424BD3">
        <w:rPr>
          <w:rFonts w:cs="Arial"/>
          <w:szCs w:val="24"/>
        </w:rPr>
        <w:t>which</w:t>
      </w:r>
      <w:r w:rsidRPr="00424BD3">
        <w:rPr>
          <w:rFonts w:cs="Arial"/>
          <w:szCs w:val="24"/>
        </w:rPr>
        <w:t xml:space="preserve"> is to say, from federal to state to local implementation - such as the myriad provisions in the Older Americans Act</w:t>
      </w:r>
      <w:r w:rsidR="002D7A70" w:rsidRPr="00424BD3">
        <w:rPr>
          <w:rFonts w:cs="Arial"/>
          <w:szCs w:val="24"/>
        </w:rPr>
        <w:t xml:space="preserve"> of 1965</w:t>
      </w:r>
      <w:r w:rsidR="00A10A91" w:rsidRPr="00846A04">
        <w:rPr>
          <w:rStyle w:val="FootnoteReference"/>
        </w:rPr>
        <w:footnoteReference w:id="10"/>
      </w:r>
      <w:r w:rsidR="00C54E6B" w:rsidRPr="00424BD3">
        <w:rPr>
          <w:rFonts w:cs="Arial"/>
          <w:szCs w:val="24"/>
        </w:rPr>
        <w:t xml:space="preserve"> </w:t>
      </w:r>
      <w:r w:rsidR="0091774E" w:rsidRPr="00424BD3">
        <w:rPr>
          <w:rFonts w:cs="Arial"/>
          <w:szCs w:val="24"/>
        </w:rPr>
        <w:t>(</w:t>
      </w:r>
      <w:r w:rsidR="00E97AE6" w:rsidRPr="00424BD3">
        <w:rPr>
          <w:rFonts w:cs="Arial"/>
          <w:szCs w:val="24"/>
        </w:rPr>
        <w:t xml:space="preserve">OAA) </w:t>
      </w:r>
      <w:r w:rsidRPr="00424BD3">
        <w:rPr>
          <w:rFonts w:cs="Arial"/>
          <w:szCs w:val="24"/>
        </w:rPr>
        <w:t xml:space="preserve">as well as Medicare and Medicaid and the relevant Tennessee and local level legislation and services. </w:t>
      </w:r>
      <w:r w:rsidR="00B325C6" w:rsidRPr="00424BD3">
        <w:rPr>
          <w:rFonts w:cs="Arial"/>
          <w:szCs w:val="24"/>
        </w:rPr>
        <w:t>Additional b</w:t>
      </w:r>
      <w:r w:rsidRPr="00424BD3">
        <w:rPr>
          <w:rFonts w:cs="Arial"/>
          <w:szCs w:val="24"/>
        </w:rPr>
        <w:t xml:space="preserve">rief details of the provisions in any policies and services mentioned are provided in the footnote and appendices sections of the paper. </w:t>
      </w:r>
    </w:p>
    <w:p w14:paraId="0F09DBC1" w14:textId="7E21F3D5" w:rsidR="008844E4" w:rsidRPr="00424BD3" w:rsidRDefault="008844E4" w:rsidP="000126EE">
      <w:pPr>
        <w:spacing w:after="0" w:line="480" w:lineRule="auto"/>
        <w:ind w:firstLine="720"/>
        <w:rPr>
          <w:rFonts w:cs="Arial"/>
          <w:szCs w:val="24"/>
        </w:rPr>
      </w:pPr>
      <w:r w:rsidRPr="00424BD3">
        <w:rPr>
          <w:rFonts w:cs="Arial"/>
          <w:szCs w:val="24"/>
        </w:rPr>
        <w:t xml:space="preserve">Since the 1920 Civil Service Retirement Act, </w:t>
      </w:r>
      <w:r w:rsidR="004D6E93" w:rsidRPr="00424BD3">
        <w:rPr>
          <w:rFonts w:cs="Arial"/>
          <w:szCs w:val="24"/>
        </w:rPr>
        <w:t xml:space="preserve">which established retirement benefits for </w:t>
      </w:r>
      <w:r w:rsidR="00845991" w:rsidRPr="00424BD3">
        <w:rPr>
          <w:rFonts w:cs="Arial"/>
          <w:szCs w:val="24"/>
        </w:rPr>
        <w:t xml:space="preserve">particular </w:t>
      </w:r>
      <w:r w:rsidR="004D6E93" w:rsidRPr="00424BD3">
        <w:rPr>
          <w:rFonts w:cs="Arial"/>
          <w:szCs w:val="24"/>
        </w:rPr>
        <w:t xml:space="preserve">U.S. </w:t>
      </w:r>
      <w:r w:rsidR="00845991" w:rsidRPr="00424BD3">
        <w:rPr>
          <w:rFonts w:cs="Arial"/>
          <w:szCs w:val="24"/>
        </w:rPr>
        <w:t>federal employees</w:t>
      </w:r>
      <w:r w:rsidR="00A41E63" w:rsidRPr="00424BD3">
        <w:rPr>
          <w:rFonts w:cs="Arial"/>
          <w:szCs w:val="24"/>
        </w:rPr>
        <w:t xml:space="preserve"> </w:t>
      </w:r>
      <w:r w:rsidR="00A41E63" w:rsidRPr="00424BD3">
        <w:rPr>
          <w:rFonts w:cs="Arial"/>
          <w:szCs w:val="24"/>
        </w:rPr>
        <w:fldChar w:fldCharType="begin"/>
      </w:r>
      <w:r w:rsidR="00023341">
        <w:rPr>
          <w:rFonts w:cs="Arial"/>
          <w:szCs w:val="24"/>
        </w:rPr>
        <w:instrText xml:space="preserve"> ADDIN ZOTERO_ITEM CSL_CITATION {"citationID":"htSeAJ1G","properties":{"formattedCitation":"(U.S. OPM, n.d.)","plainCitation":"(U.S. OPM, n.d.)","noteIndex":0},"citationItems":[{"id":1567,"uris":["http://zotero.org/users/4946941/items/9KM68UKI"],"itemData":{"id":1567,"type":"webpage","abstract":"The Civil Service Retirement Act, which became effective on August 1, 1920, established a retirement system for certain Federal employees.  It was replaced by the Federal Employees Retirement System (FERS) for Federal employees who first entered covered service on and after January 1, 1987.","container-title":"U.S. Office of Personnel Management (U.S. OPM)","genre":"Government","language":"en","title":"CSRS Information","URL":"https://www.opm.gov/retirement-services/csrs-information/","author":[{"family":"U.S. OPM","given":""}],"accessed":{"date-parts":[["2022",9,10]]},"issued":{"literal":"n.d."}}}],"schema":"https://github.com/citation-style-language/schema/raw/master/csl-citation.json"} </w:instrText>
      </w:r>
      <w:r w:rsidR="00A41E63" w:rsidRPr="00424BD3">
        <w:rPr>
          <w:rFonts w:cs="Arial"/>
          <w:szCs w:val="24"/>
        </w:rPr>
        <w:fldChar w:fldCharType="separate"/>
      </w:r>
      <w:r w:rsidR="00A41E63" w:rsidRPr="00424BD3">
        <w:rPr>
          <w:rFonts w:cs="Arial"/>
        </w:rPr>
        <w:t>(U.S. OPM, n.d.)</w:t>
      </w:r>
      <w:r w:rsidR="00A41E63" w:rsidRPr="00424BD3">
        <w:rPr>
          <w:rFonts w:cs="Arial"/>
          <w:szCs w:val="24"/>
        </w:rPr>
        <w:fldChar w:fldCharType="end"/>
      </w:r>
      <w:r w:rsidR="00F2630B" w:rsidRPr="00424BD3">
        <w:rPr>
          <w:rFonts w:cs="Arial"/>
          <w:szCs w:val="24"/>
        </w:rPr>
        <w:t>,</w:t>
      </w:r>
      <w:r w:rsidR="0091774E" w:rsidRPr="00424BD3">
        <w:rPr>
          <w:rFonts w:cs="Arial"/>
          <w:szCs w:val="24"/>
        </w:rPr>
        <w:t xml:space="preserve"> </w:t>
      </w:r>
      <w:r w:rsidRPr="00424BD3">
        <w:rPr>
          <w:rFonts w:cs="Arial"/>
          <w:szCs w:val="24"/>
        </w:rPr>
        <w:t>several acts have been passed at the Federal level for older people, covering a range of issue areas</w:t>
      </w:r>
      <w:r w:rsidRPr="00846A04">
        <w:rPr>
          <w:rStyle w:val="FootnoteReference"/>
        </w:rPr>
        <w:footnoteReference w:id="11"/>
      </w:r>
      <w:r w:rsidRPr="00424BD3">
        <w:rPr>
          <w:rFonts w:cs="Arial"/>
          <w:szCs w:val="24"/>
        </w:rPr>
        <w:t xml:space="preserve"> </w:t>
      </w:r>
      <w:r w:rsidRPr="00424BD3">
        <w:rPr>
          <w:rFonts w:cs="Arial"/>
          <w:szCs w:val="24"/>
        </w:rPr>
        <w:fldChar w:fldCharType="begin"/>
      </w:r>
      <w:r w:rsidR="00957967">
        <w:rPr>
          <w:rFonts w:cs="Arial"/>
          <w:szCs w:val="24"/>
        </w:rPr>
        <w:instrText xml:space="preserve"> ADDIN ZOTERO_ITEM CSL_CITATION {"citationID":"ctgXFUEi","properties":{"formattedCitation":"(ACL, 2022)","plainCitation":"(ACL, 2022)","dontUpdate":true,"noteIndex":0},"citationItems":[{"id":566,"uris":["http://zotero.org/users/4946941/items/S2M9YQJ9"],"itemData":{"id":566,"type":"webpage","container-title":"Administration for Community Living (ACL)","language":"en","title":"Older Americans Act","URL":"https://acl.gov/about-acl/authorizing-statutes/older-americans-act","author":[{"family":"ACL","given":""}],"accessed":{"date-parts":[["2022",7,13]]},"issued":{"date-parts":[["2022"]]}}}],"schema":"https://github.com/citation-style-language/schema/raw/master/csl-citation.json"} </w:instrText>
      </w:r>
      <w:r w:rsidRPr="00424BD3">
        <w:rPr>
          <w:rFonts w:cs="Arial"/>
          <w:szCs w:val="24"/>
        </w:rPr>
        <w:fldChar w:fldCharType="separate"/>
      </w:r>
      <w:r w:rsidRPr="00424BD3">
        <w:rPr>
          <w:rFonts w:cs="Arial"/>
        </w:rPr>
        <w:t xml:space="preserve">(ACL, </w:t>
      </w:r>
      <w:r w:rsidRPr="00424BD3">
        <w:rPr>
          <w:rFonts w:cs="Arial"/>
        </w:rPr>
        <w:lastRenderedPageBreak/>
        <w:t>History, 2022)</w:t>
      </w:r>
      <w:r w:rsidRPr="00424BD3">
        <w:rPr>
          <w:rFonts w:cs="Arial"/>
          <w:szCs w:val="24"/>
        </w:rPr>
        <w:fldChar w:fldCharType="end"/>
      </w:r>
      <w:r w:rsidRPr="00424BD3">
        <w:rPr>
          <w:rFonts w:cs="Arial"/>
          <w:szCs w:val="24"/>
        </w:rPr>
        <w:t xml:space="preserve">. Many of these programs were enacted within the 1965 Older Americans Act </w:t>
      </w:r>
      <w:r w:rsidR="0042284E">
        <w:rPr>
          <w:rFonts w:cs="Arial"/>
          <w:szCs w:val="24"/>
        </w:rPr>
        <w:t xml:space="preserve">(OAA) </w:t>
      </w:r>
      <w:r w:rsidRPr="00424BD3">
        <w:rPr>
          <w:rFonts w:cs="Arial"/>
          <w:szCs w:val="24"/>
        </w:rPr>
        <w:t xml:space="preserve">which created state and area agencies, often called Offices on Aging (housed alone or within county action committees), to coordinate community-based services for older people. The Act has </w:t>
      </w:r>
      <w:r w:rsidR="0052195D" w:rsidRPr="00424BD3">
        <w:rPr>
          <w:rFonts w:cs="Arial"/>
          <w:szCs w:val="24"/>
        </w:rPr>
        <w:t xml:space="preserve">legislatively </w:t>
      </w:r>
      <w:r w:rsidRPr="00424BD3">
        <w:rPr>
          <w:rFonts w:cs="Arial"/>
          <w:szCs w:val="24"/>
        </w:rPr>
        <w:t xml:space="preserve">amended or extended over the years to modify and improve the services and supports to older people </w:t>
      </w:r>
      <w:r w:rsidRPr="00424BD3">
        <w:rPr>
          <w:rFonts w:cs="Arial"/>
          <w:szCs w:val="24"/>
        </w:rPr>
        <w:fldChar w:fldCharType="begin"/>
      </w:r>
      <w:r w:rsidR="00957967">
        <w:rPr>
          <w:rFonts w:cs="Arial"/>
          <w:szCs w:val="24"/>
        </w:rPr>
        <w:instrText xml:space="preserve"> ADDIN ZOTERO_ITEM CSL_CITATION {"citationID":"mZCb6I1s","properties":{"formattedCitation":"(ACL, 2022)","plainCitation":"(ACL, 2022)","dontUpdate":true,"noteIndex":0},"citationItems":[{"id":566,"uris":["http://zotero.org/users/4946941/items/S2M9YQJ9"],"itemData":{"id":566,"type":"webpage","container-title":"Administration for Community Living (ACL)","language":"en","title":"Older Americans Act","URL":"https://acl.gov/about-acl/authorizing-statutes/older-americans-act","author":[{"family":"ACL","given":""}],"accessed":{"date-parts":[["2022",7,13]]},"issued":{"date-parts":[["2022"]]}}}],"schema":"https://github.com/citation-style-language/schema/raw/master/csl-citation.json"} </w:instrText>
      </w:r>
      <w:r w:rsidRPr="00424BD3">
        <w:rPr>
          <w:rFonts w:cs="Arial"/>
          <w:szCs w:val="24"/>
        </w:rPr>
        <w:fldChar w:fldCharType="separate"/>
      </w:r>
      <w:r w:rsidRPr="00424BD3">
        <w:rPr>
          <w:rFonts w:cs="Arial"/>
        </w:rPr>
        <w:t>(ACL, History, 2022)</w:t>
      </w:r>
      <w:r w:rsidRPr="00424BD3">
        <w:rPr>
          <w:rFonts w:cs="Arial"/>
          <w:szCs w:val="24"/>
        </w:rPr>
        <w:fldChar w:fldCharType="end"/>
      </w:r>
      <w:r w:rsidRPr="00424BD3">
        <w:rPr>
          <w:rFonts w:cs="Arial"/>
          <w:szCs w:val="24"/>
        </w:rPr>
        <w:t>. Most recently, the</w:t>
      </w:r>
      <w:r w:rsidR="00C7099F" w:rsidRPr="00424BD3">
        <w:rPr>
          <w:rFonts w:cs="Arial"/>
          <w:szCs w:val="24"/>
        </w:rPr>
        <w:t xml:space="preserve"> </w:t>
      </w:r>
      <w:r w:rsidRPr="00424BD3">
        <w:rPr>
          <w:rFonts w:cs="Arial"/>
          <w:szCs w:val="24"/>
        </w:rPr>
        <w:t xml:space="preserve">American Rescue Plan Act of 2021 was passed </w:t>
      </w:r>
      <w:r w:rsidR="0034211A" w:rsidRPr="00424BD3">
        <w:rPr>
          <w:rFonts w:cs="Arial"/>
          <w:szCs w:val="24"/>
        </w:rPr>
        <w:t>at</w:t>
      </w:r>
      <w:r w:rsidR="009F22F1">
        <w:rPr>
          <w:rFonts w:cs="Arial"/>
          <w:szCs w:val="24"/>
        </w:rPr>
        <w:t xml:space="preserve"> the</w:t>
      </w:r>
      <w:r w:rsidR="0034211A" w:rsidRPr="00424BD3">
        <w:rPr>
          <w:rFonts w:cs="Arial"/>
          <w:szCs w:val="24"/>
        </w:rPr>
        <w:t xml:space="preserve"> federal level </w:t>
      </w:r>
      <w:r w:rsidRPr="00424BD3">
        <w:rPr>
          <w:rFonts w:cs="Arial"/>
          <w:szCs w:val="24"/>
        </w:rPr>
        <w:t xml:space="preserve">which makes provisions to boost public health and economic supports in an effort to mitigate the effects of </w:t>
      </w:r>
      <w:r w:rsidR="0034211A" w:rsidRPr="00424BD3">
        <w:rPr>
          <w:rFonts w:cs="Arial"/>
          <w:szCs w:val="24"/>
        </w:rPr>
        <w:t>COVID-19</w:t>
      </w:r>
      <w:r w:rsidRPr="00424BD3">
        <w:rPr>
          <w:rFonts w:cs="Arial"/>
          <w:szCs w:val="24"/>
        </w:rPr>
        <w:t>, included a funding boost for many of the services provided to older people in the Older American Act</w:t>
      </w:r>
      <w:r w:rsidR="0009461A" w:rsidRPr="00424BD3">
        <w:rPr>
          <w:rFonts w:cs="Arial"/>
          <w:szCs w:val="24"/>
        </w:rPr>
        <w:t xml:space="preserve"> </w:t>
      </w:r>
      <w:r w:rsidRPr="00424BD3">
        <w:rPr>
          <w:rFonts w:cs="Arial"/>
          <w:szCs w:val="24"/>
        </w:rPr>
        <w:fldChar w:fldCharType="begin"/>
      </w:r>
      <w:r w:rsidR="009C2001">
        <w:rPr>
          <w:rFonts w:cs="Arial"/>
          <w:szCs w:val="24"/>
        </w:rPr>
        <w:instrText xml:space="preserve"> ADDIN ZOTERO_ITEM CSL_CITATION {"citationID":"Oj7MyKE8","properties":{"formattedCitation":"(AARP, 2021; Bedlin, 2021; S. M. Brown, 2021)","plainCitation":"(AARP, 2021; Bedlin, 2021; S. M. Brown, 2021)","noteIndex":0},"citationItems":[{"id":574,"uris":["http://zotero.org/users/4946941/items/WX5XCYNI"],"itemData":{"id":574,"type":"webpage","abstract":"West Virginia Programs Eligible to Receive Financial Boost","container-title":"American Association of Retired People (AARP)","language":"english","title":"Older Americans Act Funded by American Rescue Plan","URL":"https://states.aarp.org/west-virginia/older-americans-act-funded-by-american-rescue-plan","author":[{"family":"AARP","given":""}],"accessed":{"date-parts":[["2022",7,13]]},"issued":{"date-parts":[["2021"]]}}},{"id":596,"uris":["http://zotero.org/users/4946941/items/2DZIZY94"],"itemData":{"id":596,"type":"webpage","container-title":"National Council on Aging","title":"American Rescue Plan Improves Senior Health and Financial Security","URL":"https://www.ncoa.org/article/american-rescue-plan-improves-senior-health-and-financial-security","author":[{"family":"Bedlin","given":"Howard"}],"accessed":{"date-parts":[["2022",7,13]]},"issued":{"date-parts":[["2021"]]}}},{"id":613,"uris":["http://zotero.org/users/4946941/items/WWARHHH5"],"itemData":{"id":613,"type":"webpage","abstract":"The U.S. Department of Health and Human Services' Administration for Community Living has released $1.4 billion in funding from the American Rescue Plan for Older Americans Act programs, including initiatives to support vaccine outreach and coordination, address social isolation, provide family caregiver support, and offer nutrition support.","container-title":"The Washington Informer","language":"en-US","title":"Biden Admin Delivers Funds to Support Older Americans' Health","URL":"http://www.washingtoninformer.com/biden-admin-delivers-funds-to-support-older-americans-health/","author":[{"family":"Brown","given":"Stacy M."}],"accessed":{"date-parts":[["2022",7,13]]},"issued":{"date-parts":[["2021",5,4]]}}}],"schema":"https://github.com/citation-style-language/schema/raw/master/csl-citation.json"} </w:instrText>
      </w:r>
      <w:r w:rsidRPr="00424BD3">
        <w:rPr>
          <w:rFonts w:cs="Arial"/>
          <w:szCs w:val="24"/>
        </w:rPr>
        <w:fldChar w:fldCharType="separate"/>
      </w:r>
      <w:r w:rsidR="001F2B17" w:rsidRPr="00424BD3">
        <w:rPr>
          <w:rFonts w:cs="Arial"/>
        </w:rPr>
        <w:t xml:space="preserve">(AARP, 2021; Bedlin, 2021; S. M. </w:t>
      </w:r>
      <w:r w:rsidR="000B0F8C" w:rsidRPr="00424BD3">
        <w:rPr>
          <w:rFonts w:cs="Arial"/>
        </w:rPr>
        <w:t>Brown</w:t>
      </w:r>
      <w:r w:rsidR="001F2B17" w:rsidRPr="00424BD3">
        <w:rPr>
          <w:rFonts w:cs="Arial"/>
        </w:rPr>
        <w:t>, 2021)</w:t>
      </w:r>
      <w:r w:rsidRPr="00424BD3">
        <w:rPr>
          <w:rFonts w:cs="Arial"/>
          <w:szCs w:val="24"/>
        </w:rPr>
        <w:fldChar w:fldCharType="end"/>
      </w:r>
      <w:r w:rsidRPr="00424BD3">
        <w:rPr>
          <w:rFonts w:cs="Arial"/>
          <w:szCs w:val="24"/>
        </w:rPr>
        <w:t>. However, funding provisions for federal programs that impact older people</w:t>
      </w:r>
      <w:r w:rsidR="00B325C6" w:rsidRPr="00424BD3">
        <w:rPr>
          <w:rFonts w:cs="Arial"/>
          <w:szCs w:val="24"/>
        </w:rPr>
        <w:t>, such as Medicare, Medicaid, Social Security Income, Earned Income Tax Credit, the Family Medical Leave Act, and several of the programs included in the Older Americans Act</w:t>
      </w:r>
      <w:r w:rsidR="0009461A" w:rsidRPr="00424BD3">
        <w:rPr>
          <w:rFonts w:cs="Arial"/>
          <w:szCs w:val="24"/>
        </w:rPr>
        <w:t xml:space="preserve">, </w:t>
      </w:r>
      <w:r w:rsidRPr="00424BD3">
        <w:rPr>
          <w:rFonts w:cs="Arial"/>
          <w:szCs w:val="24"/>
        </w:rPr>
        <w:t xml:space="preserve">come with limitations. </w:t>
      </w:r>
      <w:r w:rsidR="001C3090" w:rsidRPr="00424BD3">
        <w:rPr>
          <w:rFonts w:cs="Arial"/>
          <w:szCs w:val="24"/>
        </w:rPr>
        <w:t>These funds</w:t>
      </w:r>
      <w:r w:rsidRPr="00424BD3">
        <w:rPr>
          <w:rFonts w:cs="Arial"/>
          <w:szCs w:val="24"/>
        </w:rPr>
        <w:t xml:space="preserve"> can provide states with 69-80% of federal funds to assist with </w:t>
      </w:r>
      <w:r w:rsidR="00015247" w:rsidRPr="00424BD3">
        <w:rPr>
          <w:rFonts w:cs="Arial"/>
          <w:szCs w:val="24"/>
        </w:rPr>
        <w:t xml:space="preserve">state and local </w:t>
      </w:r>
      <w:r w:rsidRPr="00424BD3">
        <w:rPr>
          <w:rFonts w:cs="Arial"/>
          <w:szCs w:val="24"/>
        </w:rPr>
        <w:t>program costs</w:t>
      </w:r>
      <w:r w:rsidR="00015247" w:rsidRPr="00424BD3">
        <w:rPr>
          <w:rFonts w:cs="Arial"/>
          <w:szCs w:val="24"/>
        </w:rPr>
        <w:t xml:space="preserve"> for older people’s care</w:t>
      </w:r>
      <w:r w:rsidRPr="00424BD3">
        <w:rPr>
          <w:rFonts w:cs="Arial"/>
          <w:szCs w:val="24"/>
        </w:rPr>
        <w:t xml:space="preserve">. </w:t>
      </w:r>
      <w:r w:rsidR="00726E0F" w:rsidRPr="00424BD3">
        <w:rPr>
          <w:rFonts w:cs="Arial"/>
          <w:szCs w:val="24"/>
        </w:rPr>
        <w:t xml:space="preserve">Several of the programs allow for funds that provide for expansion of service provisions. </w:t>
      </w:r>
      <w:r w:rsidRPr="00424BD3">
        <w:rPr>
          <w:rFonts w:cs="Arial"/>
          <w:szCs w:val="24"/>
        </w:rPr>
        <w:t>This requires states, in turn, to fund a portion of the program costs themselves. However, residents of states like Tennessee, whose legislators are unwilling to fill the funding gap</w:t>
      </w:r>
      <w:r w:rsidR="00F432D8" w:rsidRPr="00424BD3">
        <w:rPr>
          <w:rFonts w:cs="Arial"/>
          <w:szCs w:val="24"/>
        </w:rPr>
        <w:t xml:space="preserve"> despite having the funds to do so</w:t>
      </w:r>
      <w:r w:rsidRPr="00424BD3">
        <w:rPr>
          <w:rFonts w:cs="Arial"/>
          <w:szCs w:val="24"/>
        </w:rPr>
        <w:t xml:space="preserve">, are unable to partake in the level of services which may be available in other states or localities </w:t>
      </w:r>
      <w:r w:rsidRPr="00424BD3">
        <w:rPr>
          <w:rFonts w:cs="Arial"/>
          <w:szCs w:val="24"/>
        </w:rPr>
        <w:fldChar w:fldCharType="begin"/>
      </w:r>
      <w:r w:rsidR="00990F3A">
        <w:rPr>
          <w:rFonts w:cs="Arial"/>
          <w:szCs w:val="24"/>
        </w:rPr>
        <w:instrText xml:space="preserve"> ADDIN ZOTERO_ITEM CSL_CITATION {"citationID":"WSAV7IEj","properties":{"formattedCitation":"(E. Park, 2021; Rosenbaum et al., 2016)","plainCitation":"(E. Park, 2021; Rosenbaum et al., 2016)","noteIndex":0},"citationItems":[{"id":755,"uris":["http://zotero.org/users/4946941/items/LF7INYT9"],"itemData":{"id":755,"type":"document","language":"en","title":"How States Would Fare Under Medicaid Block Grants or Per Capita Caps: Lessons from Puerto Rico","URL":"https://www.commonwealthfund.org/sites/default/files/2021-01/Park_Medicaid_block_grants_per_capita_caps_lessons_Puerto_Rico_ib.pdf","author":[{"family":"Park","given":"E."}],"issued":{"date-parts":[["2021"]]}}},{"id":783,"uris":["http://zotero.org/users/4946941/items/YPNZLRZ6"],"itemData":{"id":783,"type":"article-journal","container-title":"Issue brief","language":"en","page":"1–10","title":"What Would Block Grants or Limits on Per Capita Spending Mean for Medicaid?","volume":"39","author":[{"family":"Rosenbaum","given":"S."},{"family":"Schmucker","given":"S."},{"family":"Rothenberg","given":"S."},{"family":"Gunsalus","given":"R."}],"issued":{"date-parts":[["2016"]]}}}],"schema":"https://github.com/citation-style-language/schema/raw/master/csl-citation.json"} </w:instrText>
      </w:r>
      <w:r w:rsidRPr="00424BD3">
        <w:rPr>
          <w:rFonts w:cs="Arial"/>
          <w:szCs w:val="24"/>
        </w:rPr>
        <w:fldChar w:fldCharType="separate"/>
      </w:r>
      <w:r w:rsidR="001F2B17" w:rsidRPr="00424BD3">
        <w:rPr>
          <w:rFonts w:cs="Arial"/>
        </w:rPr>
        <w:t>(E. Park, 2021; Rosenbaum et al., 2016)</w:t>
      </w:r>
      <w:r w:rsidRPr="00424BD3">
        <w:rPr>
          <w:rFonts w:cs="Arial"/>
          <w:szCs w:val="24"/>
        </w:rPr>
        <w:fldChar w:fldCharType="end"/>
      </w:r>
      <w:r w:rsidRPr="00424BD3">
        <w:rPr>
          <w:rFonts w:cs="Arial"/>
          <w:szCs w:val="24"/>
        </w:rPr>
        <w:t xml:space="preserve">, as in the case with Medicaid expansion. </w:t>
      </w:r>
      <w:r w:rsidR="00C10322" w:rsidRPr="00424BD3">
        <w:t>Tennessee’s lawmakers have also consistently opted out of the federal funding expansion of TennCare</w:t>
      </w:r>
      <w:r w:rsidR="00EB592B">
        <w:t xml:space="preserve"> </w:t>
      </w:r>
      <w:r w:rsidR="00C10322" w:rsidRPr="00424BD3">
        <w:t>/</w:t>
      </w:r>
      <w:r w:rsidR="00EB592B">
        <w:t xml:space="preserve"> </w:t>
      </w:r>
      <w:r w:rsidR="00C10322" w:rsidRPr="00424BD3">
        <w:t xml:space="preserve">Medicaid (and in 2021 the extension of pandemic-related unemployment benefits), despite </w:t>
      </w:r>
      <w:r w:rsidR="00C10322" w:rsidRPr="00424BD3">
        <w:lastRenderedPageBreak/>
        <w:t xml:space="preserve">several studies showing the benefits of expansion </w:t>
      </w:r>
      <w:r w:rsidR="00C10322" w:rsidRPr="00424BD3">
        <w:fldChar w:fldCharType="begin"/>
      </w:r>
      <w:r w:rsidR="00990F3A">
        <w:instrText xml:space="preserve"> ADDIN ZOTERO_ITEM CSL_CITATION {"citationID":"txoHj2BM","properties":{"formattedCitation":"(Guth et al., 2020)","plainCitation":"(Guth et al., 2020)","noteIndex":0},"citationItems":[{"id":678,"uris":["http://zotero.org/users/4946941/items/EH8RFHUV"],"itemData":{"id":678,"type":"document","language":"en","title":"The Effects of Medicaid Expansion under the ACA: Studies from January","URL":"https://www.kff.org/medicaid/report/the-effects-of-medicaid-expansion-under-the-aca-updated-findings-from-a-literature-review/","author":[{"family":"Guth","given":"M."},{"family":"Garfield","given":"R."},{"family":"Rudowitz","given":"R."}],"issued":{"date-parts":[["2020"]]}}}],"schema":"https://github.com/citation-style-language/schema/raw/master/csl-citation.json"} </w:instrText>
      </w:r>
      <w:r w:rsidR="00C10322" w:rsidRPr="00424BD3">
        <w:fldChar w:fldCharType="separate"/>
      </w:r>
      <w:r w:rsidR="00C10322" w:rsidRPr="00424BD3">
        <w:rPr>
          <w:rFonts w:ascii="Calibri" w:hAnsi="Calibri" w:cs="Calibri"/>
        </w:rPr>
        <w:t>(</w:t>
      </w:r>
      <w:r w:rsidR="00C10322" w:rsidRPr="00424BD3">
        <w:rPr>
          <w:rFonts w:cs="Arial"/>
        </w:rPr>
        <w:t>Guth et al., 2020)</w:t>
      </w:r>
      <w:r w:rsidR="00C10322" w:rsidRPr="00424BD3">
        <w:fldChar w:fldCharType="end"/>
      </w:r>
      <w:r w:rsidR="00C10322" w:rsidRPr="00424BD3">
        <w:t xml:space="preserve">. This means additional or expanded benefits, such as those related to providing health coverage to more low-income residents or benefits to better support caregivers, are unavailable or are limited for </w:t>
      </w:r>
      <w:r w:rsidR="00F60F16" w:rsidRPr="00424BD3">
        <w:t xml:space="preserve">those </w:t>
      </w:r>
      <w:r w:rsidR="00C10322" w:rsidRPr="00424BD3">
        <w:t xml:space="preserve">older Tennesseans who </w:t>
      </w:r>
      <w:r w:rsidR="00F60F16" w:rsidRPr="00424BD3">
        <w:t>are</w:t>
      </w:r>
      <w:r w:rsidR="00DB4123" w:rsidRPr="00424BD3">
        <w:t xml:space="preserve"> part of the 300,000 people in Tennessee who </w:t>
      </w:r>
      <w:r w:rsidR="00D7393D" w:rsidRPr="00424BD3">
        <w:t xml:space="preserve">quality for Medicare but whose supplemental insurance does not cover </w:t>
      </w:r>
      <w:r w:rsidR="005D10F1" w:rsidRPr="00424BD3">
        <w:t xml:space="preserve">certain care needs </w:t>
      </w:r>
      <w:r w:rsidR="00C10322" w:rsidRPr="00424BD3">
        <w:t xml:space="preserve">or who may otherwise qualify for both Medicare and Medicaid </w:t>
      </w:r>
      <w:r w:rsidR="00C10322" w:rsidRPr="00424BD3">
        <w:fldChar w:fldCharType="begin"/>
      </w:r>
      <w:r w:rsidR="00990F3A">
        <w:instrText xml:space="preserve"> ADDIN ZOTERO_ITEM CSL_CITATION {"citationID":"dry0c26g","properties":{"formattedCitation":"(Garfield et al., 2021)","plainCitation":"(Garfield et al., 2021)","noteIndex":0},"citationItems":[{"id":670,"uris":["http://zotero.org/users/4946941/items/Q962X4MG"],"itemData":{"id":670,"type":"document","language":"en","title":"The Coverage Gap: Uninsured Poor Adults in States that Do No Expand Medicaid. Kaiser Family Foundation","URL":"https://www.kff.org/medicaid/issue-brief/the-coverage-gap-uninsured-poor-adults-in-states-that-do-not-expand-medicaid/","author":[{"family":"Garfield","given":"R."},{"family":"Orgera","given":"K."},{"family":"Damico","given":"A."}],"issued":{"date-parts":[["2021"]]}}}],"schema":"https://github.com/citation-style-language/schema/raw/master/csl-citation.json"} </w:instrText>
      </w:r>
      <w:r w:rsidR="00C10322" w:rsidRPr="00424BD3">
        <w:fldChar w:fldCharType="separate"/>
      </w:r>
      <w:r w:rsidR="00C10322" w:rsidRPr="00424BD3">
        <w:rPr>
          <w:rFonts w:ascii="Calibri" w:hAnsi="Calibri" w:cs="Calibri"/>
        </w:rPr>
        <w:t>(</w:t>
      </w:r>
      <w:r w:rsidR="00C10322" w:rsidRPr="00424BD3">
        <w:rPr>
          <w:rFonts w:cs="Arial"/>
        </w:rPr>
        <w:t>Garfield et al., 2021</w:t>
      </w:r>
      <w:r w:rsidR="00C10322" w:rsidRPr="00424BD3">
        <w:rPr>
          <w:rFonts w:ascii="Calibri" w:hAnsi="Calibri" w:cs="Calibri"/>
        </w:rPr>
        <w:t>)</w:t>
      </w:r>
      <w:r w:rsidR="00C10322" w:rsidRPr="00424BD3">
        <w:fldChar w:fldCharType="end"/>
      </w:r>
      <w:r w:rsidR="00C10322" w:rsidRPr="00424BD3">
        <w:t xml:space="preserve">. Though Tennessee has used its TennCare CHOICES program for expansion of aging-in-place home and community-based services (HBCS), it has restricted some types of benefits older people receive. For older Tennesseans, this had been primarily done through a requirement to meet both state and federal Medicare requirements and “increasing medical eligibility requirements for nursing facility services and for more comprehensive home and community-based services” </w:t>
      </w:r>
      <w:r w:rsidR="007278AB" w:rsidRPr="00424BD3">
        <w:fldChar w:fldCharType="begin"/>
      </w:r>
      <w:r w:rsidR="009E4175">
        <w:instrText xml:space="preserve"> ADDIN ZOTERO_ITEM CSL_CITATION {"citationID":"KV6Mii2m","properties":{"formattedCitation":"(Mattson &amp; Bergfeld, 2017, p. ii)","plainCitation":"(Mattson &amp; Bergfeld, 2017, p. ii)","noteIndex":0},"citationItems":[{"id":722,"uris":["http://zotero.org/users/4946941/items/33TXE9KU"],"itemData":{"id":722,"type":"chapter","container-title":"Tennessee Comptroller of the Treasury Office of Research and Accountability (TN Comptroller)","language":"en","title":"Senior long-term care in Tennessee: Trends and options","URL":"https://stagecomptroller.tn.gov/content/dam/cot/orea/advanced-search/orea-reports-2017/2017_OREA_SeniorLongTermCare.pdf","author":[{"family":"Mattson","given":"S."},{"family":"Bergfeld","given":"T."}],"issued":{"date-parts":[["2017"]]}},"locator":"ii"}],"schema":"https://github.com/citation-style-language/schema/raw/master/csl-citation.json"} </w:instrText>
      </w:r>
      <w:r w:rsidR="007278AB" w:rsidRPr="00424BD3">
        <w:fldChar w:fldCharType="separate"/>
      </w:r>
      <w:r w:rsidR="007278AB" w:rsidRPr="00424BD3">
        <w:rPr>
          <w:rFonts w:cs="Arial"/>
        </w:rPr>
        <w:t>(Mattson &amp; Bergfeld, 2017, p. ii</w:t>
      </w:r>
      <w:r w:rsidR="007278AB" w:rsidRPr="00424BD3">
        <w:rPr>
          <w:rFonts w:ascii="Calibri" w:hAnsi="Calibri" w:cs="Calibri"/>
        </w:rPr>
        <w:t>)</w:t>
      </w:r>
      <w:r w:rsidR="007278AB" w:rsidRPr="00424BD3">
        <w:fldChar w:fldCharType="end"/>
      </w:r>
      <w:r w:rsidR="007278AB">
        <w:t xml:space="preserve"> </w:t>
      </w:r>
      <w:r w:rsidR="00C10322" w:rsidRPr="00424BD3">
        <w:t>with certain exceptions for those at-risk individuals who may need higher levels of care.</w:t>
      </w:r>
    </w:p>
    <w:p w14:paraId="1C6F1680" w14:textId="6999888C" w:rsidR="00C963AB" w:rsidRPr="00424BD3" w:rsidRDefault="008844E4" w:rsidP="000126EE">
      <w:pPr>
        <w:spacing w:after="0" w:line="480" w:lineRule="auto"/>
        <w:ind w:firstLine="720"/>
        <w:rPr>
          <w:rFonts w:cs="Arial"/>
          <w:szCs w:val="24"/>
        </w:rPr>
      </w:pPr>
      <w:r w:rsidRPr="00424BD3">
        <w:rPr>
          <w:rFonts w:cs="Arial"/>
          <w:szCs w:val="24"/>
        </w:rPr>
        <w:t xml:space="preserve">Additionally, alternative funding for some of these programs is via </w:t>
      </w:r>
      <w:r w:rsidR="00C056ED" w:rsidRPr="00424BD3">
        <w:rPr>
          <w:rFonts w:cs="Arial"/>
          <w:szCs w:val="24"/>
        </w:rPr>
        <w:t>a “</w:t>
      </w:r>
      <w:r w:rsidRPr="00424BD3">
        <w:rPr>
          <w:rFonts w:cs="Arial"/>
          <w:szCs w:val="24"/>
        </w:rPr>
        <w:t>block grant</w:t>
      </w:r>
      <w:r w:rsidR="00C056ED" w:rsidRPr="00424BD3">
        <w:rPr>
          <w:rFonts w:cs="Arial"/>
          <w:szCs w:val="24"/>
        </w:rPr>
        <w:t>”</w:t>
      </w:r>
      <w:r w:rsidRPr="00424BD3">
        <w:rPr>
          <w:rFonts w:cs="Arial"/>
          <w:szCs w:val="24"/>
        </w:rPr>
        <w:t>, a funding system which provides less federal government oversight and more flexibility for state and local governments to determine how, where, when, and to whom, they will provide services within their communities. As</w:t>
      </w:r>
      <w:r w:rsidR="009F22F1">
        <w:rPr>
          <w:rFonts w:cs="Arial"/>
          <w:szCs w:val="24"/>
        </w:rPr>
        <w:t xml:space="preserve"> a</w:t>
      </w:r>
      <w:r w:rsidRPr="00424BD3">
        <w:rPr>
          <w:rFonts w:cs="Arial"/>
          <w:szCs w:val="24"/>
        </w:rPr>
        <w:t xml:space="preserve"> result, in the U.S., block grants are often acknowledged as an economic driver for the establishment of inequities </w:t>
      </w:r>
      <w:r w:rsidRPr="00424BD3">
        <w:rPr>
          <w:rFonts w:cs="Arial"/>
          <w:szCs w:val="24"/>
        </w:rPr>
        <w:fldChar w:fldCharType="begin"/>
      </w:r>
      <w:r w:rsidR="00990F3A">
        <w:rPr>
          <w:rFonts w:cs="Arial"/>
          <w:szCs w:val="24"/>
        </w:rPr>
        <w:instrText xml:space="preserve"> ADDIN ZOTERO_ITEM CSL_CITATION {"citationID":"DhmEuYBu","properties":{"formattedCitation":"(Brumfield et al., 2019; Schapiro, 2020; Serrato, 2013)","plainCitation":"(Brumfield et al., 2019; Schapiro, 2020; Serrato, 2013)","noteIndex":0},"citationItems":[{"id":617,"uris":["http://zotero.org/users/4946941/items/RXF767EK"],"itemData":{"id":617,"type":"report","publisher":"Georgetown Law Center on Poverty and Inequality","title":"» Structurally Unsound: The Impact of Using Block Grants to Fund Economic Security Programs","URL":"https://www.georgetownpoverty.org/issues/tax-benefits/structurally-unsound/","author":[{"family":"Brumfield","given":"Cara"},{"family":"Aderonmu","given":"Funke"},{"family":"Grant","given":"Kali"},{"family":"Carr","given":"Aileen"},{"family":"Dutta-Gupta","given":"Indivar"},{"family":"Camacho-Craft","given":"Isabella"},{"family":"Steiger","given":"Douglas"},{"family":"Edelman","given":"Peter"}],"accessed":{"date-parts":[["2022",7,13]]},"issued":{"date-parts":[["2019"]]}}},{"id":798,"uris":["http://zotero.org/users/4946941/items/2S46W58K"],"itemData":{"id":798,"type":"article-journal","container-title":"California Law Review","issue":"5","language":"en","title":"States of Inequality: Fiscal Federalism, Unequal States, and Unequal People","URL":"https://www.californialawreview.org/print/fiscal-federalism-unequal-states/","volume":"108","author":[{"family":"Schapiro","given":"R.A."}],"issued":{"date-parts":[["2020"]]}}},{"id":796,"uris":["http://zotero.org/users/4946941/items/YX7HMZPT"],"itemData":{"id":796,"type":"document","language":"en","publisher":"SIEPR Policy Brief. Stanford Institute for Economic Policy Research","title":"How Changing Government Spending Affects Inequality","URL":"https://siepr.stanford.edu/sites/default/files/publications/SIEPR_Policy_Brief_09_2013_Serrato_6.pdf","author":[{"family":"Serrato","given":"JCs"}],"issued":{"date-parts":[["2013"]]}}}],"schema":"https://github.com/citation-style-language/schema/raw/master/csl-citation.json"} </w:instrText>
      </w:r>
      <w:r w:rsidRPr="00424BD3">
        <w:rPr>
          <w:rFonts w:cs="Arial"/>
          <w:szCs w:val="24"/>
        </w:rPr>
        <w:fldChar w:fldCharType="separate"/>
      </w:r>
      <w:r w:rsidRPr="00424BD3">
        <w:rPr>
          <w:rFonts w:cs="Arial"/>
        </w:rPr>
        <w:t>(Brumfield et al., 2019; Schapiro, 2020; Serrato, 2013)</w:t>
      </w:r>
      <w:r w:rsidRPr="00424BD3">
        <w:rPr>
          <w:rFonts w:cs="Arial"/>
          <w:szCs w:val="24"/>
        </w:rPr>
        <w:fldChar w:fldCharType="end"/>
      </w:r>
      <w:r w:rsidRPr="00424BD3">
        <w:rPr>
          <w:rFonts w:cs="Arial"/>
          <w:szCs w:val="24"/>
        </w:rPr>
        <w:t xml:space="preserve">. </w:t>
      </w:r>
      <w:r w:rsidR="00096E7B" w:rsidRPr="00424BD3">
        <w:rPr>
          <w:rFonts w:cs="Arial"/>
          <w:szCs w:val="24"/>
        </w:rPr>
        <w:t xml:space="preserve">Additionally, block grants have become what are known colloquially in the U.S. as “political hot potatoes”. This is because of the potential that states might accept block grant money that is intended for Medicaid expansion, for example, and, instead, </w:t>
      </w:r>
      <w:r w:rsidR="00E81F0F" w:rsidRPr="00424BD3">
        <w:rPr>
          <w:rFonts w:cs="Arial"/>
          <w:szCs w:val="24"/>
        </w:rPr>
        <w:t>misuse these federal funds</w:t>
      </w:r>
      <w:r w:rsidR="00E70650" w:rsidRPr="00424BD3">
        <w:rPr>
          <w:rFonts w:cs="Arial"/>
          <w:szCs w:val="24"/>
        </w:rPr>
        <w:t>, such as using</w:t>
      </w:r>
      <w:r w:rsidR="00096E7B" w:rsidRPr="00424BD3">
        <w:rPr>
          <w:rFonts w:cs="Arial"/>
          <w:szCs w:val="24"/>
        </w:rPr>
        <w:t xml:space="preserve"> </w:t>
      </w:r>
      <w:r w:rsidR="00CD1ADF">
        <w:rPr>
          <w:rFonts w:cs="Arial"/>
          <w:szCs w:val="24"/>
        </w:rPr>
        <w:t>them</w:t>
      </w:r>
      <w:r w:rsidR="00CD1ADF" w:rsidRPr="00424BD3">
        <w:rPr>
          <w:rFonts w:cs="Arial"/>
          <w:szCs w:val="24"/>
        </w:rPr>
        <w:t xml:space="preserve"> </w:t>
      </w:r>
      <w:r w:rsidR="00096E7B" w:rsidRPr="00424BD3">
        <w:rPr>
          <w:rFonts w:cs="Arial"/>
          <w:szCs w:val="24"/>
        </w:rPr>
        <w:lastRenderedPageBreak/>
        <w:t>for non-Medicaid expansion programs</w:t>
      </w:r>
      <w:r w:rsidR="00E70650" w:rsidRPr="00424BD3">
        <w:rPr>
          <w:rFonts w:cs="Arial"/>
          <w:szCs w:val="24"/>
        </w:rPr>
        <w:t xml:space="preserve">, </w:t>
      </w:r>
      <w:r w:rsidR="00096E7B" w:rsidRPr="00424BD3">
        <w:rPr>
          <w:rFonts w:cs="Arial"/>
          <w:szCs w:val="24"/>
        </w:rPr>
        <w:t>not disburs</w:t>
      </w:r>
      <w:r w:rsidR="00E70650" w:rsidRPr="00424BD3">
        <w:rPr>
          <w:rFonts w:cs="Arial"/>
          <w:szCs w:val="24"/>
        </w:rPr>
        <w:t>ing</w:t>
      </w:r>
      <w:r w:rsidR="00096E7B" w:rsidRPr="00424BD3">
        <w:rPr>
          <w:rFonts w:cs="Arial"/>
          <w:szCs w:val="24"/>
        </w:rPr>
        <w:t xml:space="preserve"> the funds</w:t>
      </w:r>
      <w:r w:rsidR="00E70650" w:rsidRPr="00424BD3">
        <w:rPr>
          <w:rFonts w:cs="Arial"/>
          <w:szCs w:val="24"/>
        </w:rPr>
        <w:t xml:space="preserve">, </w:t>
      </w:r>
      <w:r w:rsidR="00096E7B" w:rsidRPr="00424BD3">
        <w:rPr>
          <w:rFonts w:cs="Arial"/>
          <w:szCs w:val="24"/>
        </w:rPr>
        <w:t>attempt</w:t>
      </w:r>
      <w:r w:rsidR="00E70650" w:rsidRPr="00424BD3">
        <w:rPr>
          <w:rFonts w:cs="Arial"/>
          <w:szCs w:val="24"/>
        </w:rPr>
        <w:t>ing</w:t>
      </w:r>
      <w:r w:rsidR="00096E7B" w:rsidRPr="00424BD3">
        <w:rPr>
          <w:rFonts w:cs="Arial"/>
          <w:szCs w:val="24"/>
        </w:rPr>
        <w:t xml:space="preserve"> to cap Medicaid funding</w:t>
      </w:r>
      <w:r w:rsidR="00E70650" w:rsidRPr="00424BD3">
        <w:rPr>
          <w:rFonts w:cs="Arial"/>
          <w:szCs w:val="24"/>
        </w:rPr>
        <w:t>, or impose more stringent eligibility requirements</w:t>
      </w:r>
      <w:r w:rsidR="006630EF" w:rsidRPr="00424BD3">
        <w:rPr>
          <w:rFonts w:cs="Arial"/>
          <w:szCs w:val="24"/>
        </w:rPr>
        <w:t xml:space="preserve">. </w:t>
      </w:r>
      <w:r w:rsidR="00011EC4" w:rsidRPr="00424BD3">
        <w:rPr>
          <w:rFonts w:cs="Arial"/>
          <w:szCs w:val="24"/>
        </w:rPr>
        <w:fldChar w:fldCharType="begin"/>
      </w:r>
      <w:r w:rsidR="009E4175">
        <w:rPr>
          <w:rFonts w:cs="Arial"/>
          <w:szCs w:val="24"/>
        </w:rPr>
        <w:instrText xml:space="preserve"> ADDIN ZOTERO_ITEM CSL_CITATION {"citationID":"oNQabTVS","properties":{"formattedCitation":"(TN Justice Center, 2020)","plainCitation":"(TN Justice Center, 2020)","noteIndex":0},"citationItems":[{"id":1569,"uris":["http://zotero.org/users/4946941/items/FL9YFA5W"],"itemData":{"id":1569,"type":"post-weblog","abstract":"Tennessee’s Misuse of Federal Funds Makes It A Poor Candidate for a Medicaid Block Grant      \nEvery state but one spurned the Trump Administration’s invitation to convert its Medicaid program into a block grant. So, why did Tennessee grab the offer? The state’s checkered history suggests an answer.\nAfter","container-title":"Tennessee Justice Center (TN Justice Center)","language":"en-US","title":"Tennessee’s Misuse of Federal Funds Makes It A Poor Candidate for a Medicaid Block Grant","URL":"https://www.tnjustice.org/tenncare-misuse-federal-funds/","author":[{"family":"TN Justice Center","given":""}],"accessed":{"date-parts":[["2022",9,10]]},"issued":{"date-parts":[["2020",12,15]]}}}],"schema":"https://github.com/citation-style-language/schema/raw/master/csl-citation.json"} </w:instrText>
      </w:r>
      <w:r w:rsidR="00011EC4" w:rsidRPr="00424BD3">
        <w:rPr>
          <w:rFonts w:cs="Arial"/>
          <w:szCs w:val="24"/>
        </w:rPr>
        <w:fldChar w:fldCharType="separate"/>
      </w:r>
      <w:r w:rsidR="00011EC4" w:rsidRPr="00424BD3">
        <w:rPr>
          <w:rFonts w:cs="Arial"/>
        </w:rPr>
        <w:t>(TN Justice Center, 2020)</w:t>
      </w:r>
      <w:r w:rsidR="00011EC4" w:rsidRPr="00424BD3">
        <w:rPr>
          <w:rFonts w:cs="Arial"/>
          <w:szCs w:val="24"/>
        </w:rPr>
        <w:fldChar w:fldCharType="end"/>
      </w:r>
      <w:r w:rsidR="00096E7B" w:rsidRPr="00424BD3">
        <w:rPr>
          <w:rFonts w:cs="Arial"/>
          <w:szCs w:val="24"/>
        </w:rPr>
        <w:t>. All of these options would result in less benefit to, or even downright harm</w:t>
      </w:r>
      <w:r w:rsidR="00CD1ADF">
        <w:rPr>
          <w:rFonts w:cs="Arial"/>
          <w:szCs w:val="24"/>
        </w:rPr>
        <w:t xml:space="preserve"> to</w:t>
      </w:r>
      <w:r w:rsidR="00096E7B" w:rsidRPr="00424BD3">
        <w:rPr>
          <w:rFonts w:cs="Arial"/>
          <w:szCs w:val="24"/>
        </w:rPr>
        <w:t>, a state’s residents</w:t>
      </w:r>
      <w:r w:rsidR="002604CD" w:rsidRPr="00424BD3">
        <w:rPr>
          <w:rFonts w:cs="Arial"/>
          <w:szCs w:val="24"/>
        </w:rPr>
        <w:t xml:space="preserve">. </w:t>
      </w:r>
      <w:r w:rsidR="006827A0" w:rsidRPr="00424BD3">
        <w:rPr>
          <w:rFonts w:cs="Arial"/>
          <w:szCs w:val="24"/>
        </w:rPr>
        <w:t>Ye</w:t>
      </w:r>
      <w:r w:rsidR="00AE5273" w:rsidRPr="00424BD3">
        <w:rPr>
          <w:rFonts w:cs="Arial"/>
          <w:szCs w:val="24"/>
        </w:rPr>
        <w:t>t</w:t>
      </w:r>
      <w:r w:rsidR="006827A0" w:rsidRPr="00424BD3">
        <w:rPr>
          <w:rFonts w:cs="Arial"/>
          <w:szCs w:val="24"/>
        </w:rPr>
        <w:t xml:space="preserve">, Tennessee’s state government </w:t>
      </w:r>
      <w:r w:rsidR="00AE5273" w:rsidRPr="00424BD3">
        <w:rPr>
          <w:rFonts w:cs="Arial"/>
          <w:szCs w:val="24"/>
        </w:rPr>
        <w:t xml:space="preserve">has a history of </w:t>
      </w:r>
      <w:r w:rsidR="00CD1ADF">
        <w:rPr>
          <w:rFonts w:cs="Arial"/>
          <w:szCs w:val="24"/>
        </w:rPr>
        <w:t>engaging in these acts</w:t>
      </w:r>
      <w:r w:rsidR="00186A7B" w:rsidRPr="00424BD3">
        <w:rPr>
          <w:rFonts w:cs="Arial"/>
          <w:szCs w:val="24"/>
        </w:rPr>
        <w:t xml:space="preserve"> </w:t>
      </w:r>
      <w:r w:rsidR="007F5623" w:rsidRPr="00424BD3">
        <w:rPr>
          <w:rFonts w:cs="Arial"/>
          <w:szCs w:val="24"/>
        </w:rPr>
        <w:fldChar w:fldCharType="begin"/>
      </w:r>
      <w:r w:rsidR="009E4175">
        <w:rPr>
          <w:rFonts w:cs="Arial"/>
          <w:szCs w:val="24"/>
        </w:rPr>
        <w:instrText xml:space="preserve"> ADDIN ZOTERO_ITEM CSL_CITATION {"citationID":"dK2iY3w6","properties":{"formattedCitation":"(Dreyfus, 2021; TN Justice Center, 2020)","plainCitation":"(Dreyfus, 2021; TN Justice Center, 2020)","noteIndex":0},"citationItems":[{"id":1571,"uris":["http://zotero.org/users/4946941/items/MVR7JU89"],"itemData":{"id":1571,"type":"webpage","abstract":"Bonnie Bridgforth supported five children with an $8.50-an-hour job when she was told she no longer qualified for welfare in Maine. But the state — like so many others — was sitting on a huge stockpile of funds.","container-title":"ProPublica","language":"en","title":"States Are Hoarding $5.2 Billion in Welfare Funds Even as the Need for Aid Grows","URL":"https://www.propublica.org/article/states-are-hoarding-52-billion-in-welfare-funds-even-as-the-need-for-aid-grows","author":[{"family":"Dreyfus","given":"Hannah"}],"accessed":{"date-parts":[["2022",9,10]]},"issued":{"date-parts":[["2021",12,29]]}}},{"id":1569,"uris":["http://zotero.org/users/4946941/items/FL9YFA5W"],"itemData":{"id":1569,"type":"post-weblog","abstract":"Tennessee’s Misuse of Federal Funds Makes It A Poor Candidate for a Medicaid Block Grant      \nEvery state but one spurned the Trump Administration’s invitation to convert its Medicaid program into a block grant. So, why did Tennessee grab the offer? The state’s checkered history suggests an answer.\nAfter","container-title":"Tennessee Justice Center (TN Justice Center)","language":"en-US","title":"Tennessee’s Misuse of Federal Funds Makes It A Poor Candidate for a Medicaid Block Grant","URL":"https://www.tnjustice.org/tenncare-misuse-federal-funds/","author":[{"family":"TN Justice Center","given":""}],"accessed":{"date-parts":[["2022",9,10]]},"issued":{"date-parts":[["2020",12,15]]}}}],"schema":"https://github.com/citation-style-language/schema/raw/master/csl-citation.json"} </w:instrText>
      </w:r>
      <w:r w:rsidR="007F5623" w:rsidRPr="00424BD3">
        <w:rPr>
          <w:rFonts w:cs="Arial"/>
          <w:szCs w:val="24"/>
        </w:rPr>
        <w:fldChar w:fldCharType="separate"/>
      </w:r>
      <w:r w:rsidR="007F5623" w:rsidRPr="00424BD3">
        <w:rPr>
          <w:rFonts w:cs="Arial"/>
        </w:rPr>
        <w:t>(Dreyfus, 2021; TN Justice Center, 2020)</w:t>
      </w:r>
      <w:r w:rsidR="007F5623" w:rsidRPr="00424BD3">
        <w:rPr>
          <w:rFonts w:cs="Arial"/>
          <w:szCs w:val="24"/>
        </w:rPr>
        <w:fldChar w:fldCharType="end"/>
      </w:r>
      <w:r w:rsidR="00AE5273" w:rsidRPr="00424BD3">
        <w:rPr>
          <w:rFonts w:cs="Arial"/>
          <w:szCs w:val="24"/>
        </w:rPr>
        <w:t>. For example,</w:t>
      </w:r>
      <w:r w:rsidR="006827A0" w:rsidRPr="00424BD3">
        <w:rPr>
          <w:rFonts w:cs="Arial"/>
          <w:szCs w:val="24"/>
        </w:rPr>
        <w:t xml:space="preserve"> it placed </w:t>
      </w:r>
      <w:r w:rsidR="0067557F" w:rsidRPr="00424BD3">
        <w:rPr>
          <w:rFonts w:cs="Arial"/>
          <w:szCs w:val="24"/>
        </w:rPr>
        <w:t>its</w:t>
      </w:r>
      <w:r w:rsidR="00233774" w:rsidRPr="00424BD3">
        <w:rPr>
          <w:rFonts w:cs="Arial"/>
          <w:szCs w:val="24"/>
        </w:rPr>
        <w:t xml:space="preserve"> portion of </w:t>
      </w:r>
      <w:r w:rsidR="006827A0" w:rsidRPr="00424BD3">
        <w:rPr>
          <w:rFonts w:cs="Arial"/>
          <w:szCs w:val="24"/>
        </w:rPr>
        <w:t>American Recovery and Reinvestment Act of 2009 federal funds</w:t>
      </w:r>
      <w:r w:rsidR="00233774" w:rsidRPr="00424BD3">
        <w:rPr>
          <w:rFonts w:cs="Arial"/>
          <w:szCs w:val="24"/>
        </w:rPr>
        <w:t>, enacted during the Great Recession in order to assist low-income people and their providers with additional Medicaid funding,</w:t>
      </w:r>
      <w:r w:rsidR="006827A0" w:rsidRPr="00424BD3">
        <w:rPr>
          <w:rFonts w:cs="Arial"/>
          <w:szCs w:val="24"/>
        </w:rPr>
        <w:t xml:space="preserve"> into a state reserve fund</w:t>
      </w:r>
      <w:r w:rsidR="00233774" w:rsidRPr="00424BD3">
        <w:rPr>
          <w:rFonts w:cs="Arial"/>
          <w:szCs w:val="24"/>
        </w:rPr>
        <w:t xml:space="preserve"> against explicit requirements by the federal government not to do so</w:t>
      </w:r>
      <w:r w:rsidR="006827A0" w:rsidRPr="00424BD3">
        <w:rPr>
          <w:rFonts w:cs="Arial"/>
          <w:szCs w:val="24"/>
        </w:rPr>
        <w:t xml:space="preserve"> </w:t>
      </w:r>
      <w:r w:rsidR="006827A0" w:rsidRPr="00424BD3">
        <w:rPr>
          <w:rFonts w:cs="Arial"/>
          <w:szCs w:val="24"/>
        </w:rPr>
        <w:fldChar w:fldCharType="begin"/>
      </w:r>
      <w:r w:rsidR="009E4175">
        <w:rPr>
          <w:rFonts w:cs="Arial"/>
          <w:szCs w:val="24"/>
        </w:rPr>
        <w:instrText xml:space="preserve"> ADDIN ZOTERO_ITEM CSL_CITATION {"citationID":"nrozxUTi","properties":{"formattedCitation":"(TN Justice Center, 2020)","plainCitation":"(TN Justice Center, 2020)","noteIndex":0},"citationItems":[{"id":1569,"uris":["http://zotero.org/users/4946941/items/FL9YFA5W"],"itemData":{"id":1569,"type":"post-weblog","abstract":"Tennessee’s Misuse of Federal Funds Makes It A Poor Candidate for a Medicaid Block Grant      \nEvery state but one spurned the Trump Administration’s invitation to convert its Medicaid program into a block grant. So, why did Tennessee grab the offer? The state’s checkered history suggests an answer.\nAfter","container-title":"Tennessee Justice Center (TN Justice Center)","language":"en-US","title":"Tennessee’s Misuse of Federal Funds Makes It A Poor Candidate for a Medicaid Block Grant","URL":"https://www.tnjustice.org/tenncare-misuse-federal-funds/","author":[{"family":"TN Justice Center","given":""}],"accessed":{"date-parts":[["2022",9,10]]},"issued":{"date-parts":[["2020",12,15]]}}}],"schema":"https://github.com/citation-style-language/schema/raw/master/csl-citation.json"} </w:instrText>
      </w:r>
      <w:r w:rsidR="006827A0" w:rsidRPr="00424BD3">
        <w:rPr>
          <w:rFonts w:cs="Arial"/>
          <w:szCs w:val="24"/>
        </w:rPr>
        <w:fldChar w:fldCharType="separate"/>
      </w:r>
      <w:r w:rsidR="006827A0" w:rsidRPr="00424BD3">
        <w:rPr>
          <w:rFonts w:cs="Arial"/>
        </w:rPr>
        <w:t>(TN Justice Center, 2020)</w:t>
      </w:r>
      <w:r w:rsidR="006827A0" w:rsidRPr="00424BD3">
        <w:rPr>
          <w:rFonts w:cs="Arial"/>
          <w:szCs w:val="24"/>
        </w:rPr>
        <w:fldChar w:fldCharType="end"/>
      </w:r>
      <w:r w:rsidR="006552CA" w:rsidRPr="00424BD3">
        <w:rPr>
          <w:rFonts w:cs="Arial"/>
          <w:szCs w:val="24"/>
        </w:rPr>
        <w:t>.</w:t>
      </w:r>
      <w:r w:rsidR="006827A0" w:rsidRPr="00424BD3">
        <w:rPr>
          <w:rFonts w:cs="Arial"/>
          <w:szCs w:val="24"/>
        </w:rPr>
        <w:t xml:space="preserve"> </w:t>
      </w:r>
      <w:r w:rsidR="0067557F" w:rsidRPr="00424BD3">
        <w:rPr>
          <w:rFonts w:cs="Arial"/>
          <w:szCs w:val="24"/>
        </w:rPr>
        <w:t xml:space="preserve">Until 2022, it did the same for the federal funds provided for the Temporary Assistant for Needy Families to support children in poverty </w:t>
      </w:r>
      <w:r w:rsidR="0067557F" w:rsidRPr="00424BD3">
        <w:rPr>
          <w:rFonts w:cs="Arial"/>
          <w:szCs w:val="24"/>
        </w:rPr>
        <w:fldChar w:fldCharType="begin"/>
      </w:r>
      <w:r w:rsidR="009E4175">
        <w:rPr>
          <w:rFonts w:cs="Arial"/>
          <w:szCs w:val="24"/>
        </w:rPr>
        <w:instrText xml:space="preserve"> ADDIN ZOTERO_ITEM CSL_CITATION {"citationID":"r73XciDJ","properties":{"formattedCitation":"(TN Justice Center, 2020)","plainCitation":"(TN Justice Center, 2020)","noteIndex":0},"citationItems":[{"id":1569,"uris":["http://zotero.org/users/4946941/items/FL9YFA5W"],"itemData":{"id":1569,"type":"post-weblog","abstract":"Tennessee’s Misuse of Federal Funds Makes It A Poor Candidate for a Medicaid Block Grant      \nEvery state but one spurned the Trump Administration’s invitation to convert its Medicaid program into a block grant. So, why did Tennessee grab the offer? The state’s checkered history suggests an answer.\nAfter","container-title":"Tennessee Justice Center (TN Justice Center)","language":"en-US","title":"Tennessee’s Misuse of Federal Funds Makes It A Poor Candidate for a Medicaid Block Grant","URL":"https://www.tnjustice.org/tenncare-misuse-federal-funds/","author":[{"family":"TN Justice Center","given":""}],"accessed":{"date-parts":[["2022",9,10]]},"issued":{"date-parts":[["2020",12,15]]}}}],"schema":"https://github.com/citation-style-language/schema/raw/master/csl-citation.json"} </w:instrText>
      </w:r>
      <w:r w:rsidR="0067557F" w:rsidRPr="00424BD3">
        <w:rPr>
          <w:rFonts w:cs="Arial"/>
          <w:szCs w:val="24"/>
        </w:rPr>
        <w:fldChar w:fldCharType="separate"/>
      </w:r>
      <w:r w:rsidR="0067557F" w:rsidRPr="00424BD3">
        <w:rPr>
          <w:rFonts w:cs="Arial"/>
        </w:rPr>
        <w:t>(TN Justice Center, 2020)</w:t>
      </w:r>
      <w:r w:rsidR="0067557F" w:rsidRPr="00424BD3">
        <w:rPr>
          <w:rFonts w:cs="Arial"/>
          <w:szCs w:val="24"/>
        </w:rPr>
        <w:fldChar w:fldCharType="end"/>
      </w:r>
      <w:r w:rsidR="0067557F" w:rsidRPr="00424BD3">
        <w:rPr>
          <w:rFonts w:cs="Arial"/>
          <w:szCs w:val="24"/>
        </w:rPr>
        <w:t>. Block grants are</w:t>
      </w:r>
      <w:r w:rsidR="00C963AB" w:rsidRPr="00424BD3">
        <w:rPr>
          <w:rFonts w:cs="Arial"/>
          <w:szCs w:val="24"/>
        </w:rPr>
        <w:t xml:space="preserve"> such a political ‘hot potato’ and carr</w:t>
      </w:r>
      <w:r w:rsidR="006B7A5C">
        <w:rPr>
          <w:rFonts w:cs="Arial"/>
          <w:szCs w:val="24"/>
        </w:rPr>
        <w:t>y</w:t>
      </w:r>
      <w:r w:rsidR="00C963AB" w:rsidRPr="00424BD3">
        <w:rPr>
          <w:rFonts w:cs="Arial"/>
          <w:szCs w:val="24"/>
        </w:rPr>
        <w:t xml:space="preserve"> such potential for negatively impacting a state’s residents, that no state has agreed to convert </w:t>
      </w:r>
      <w:r w:rsidR="00AD1F69" w:rsidRPr="00424BD3">
        <w:rPr>
          <w:rFonts w:cs="Arial"/>
          <w:szCs w:val="24"/>
        </w:rPr>
        <w:t>its</w:t>
      </w:r>
      <w:r w:rsidR="00C963AB" w:rsidRPr="00424BD3">
        <w:rPr>
          <w:rFonts w:cs="Arial"/>
          <w:szCs w:val="24"/>
        </w:rPr>
        <w:t xml:space="preserve"> Medicaid program into a block grant – except Tennessee </w:t>
      </w:r>
      <w:r w:rsidR="00EF2387" w:rsidRPr="00424BD3">
        <w:rPr>
          <w:rFonts w:cs="Arial"/>
          <w:szCs w:val="24"/>
        </w:rPr>
        <w:fldChar w:fldCharType="begin"/>
      </w:r>
      <w:r w:rsidR="009E4175">
        <w:rPr>
          <w:rFonts w:cs="Arial"/>
          <w:szCs w:val="24"/>
        </w:rPr>
        <w:instrText xml:space="preserve"> ADDIN ZOTERO_ITEM CSL_CITATION {"citationID":"qEM7eQtX","properties":{"formattedCitation":"(TN Justice Center, 2020)","plainCitation":"(TN Justice Center, 2020)","noteIndex":0},"citationItems":[{"id":1569,"uris":["http://zotero.org/users/4946941/items/FL9YFA5W"],"itemData":{"id":1569,"type":"post-weblog","abstract":"Tennessee’s Misuse of Federal Funds Makes It A Poor Candidate for a Medicaid Block Grant      \nEvery state but one spurned the Trump Administration’s invitation to convert its Medicaid program into a block grant. So, why did Tennessee grab the offer? The state’s checkered history suggests an answer.\nAfter","container-title":"Tennessee Justice Center (TN Justice Center)","language":"en-US","title":"Tennessee’s Misuse of Federal Funds Makes It A Poor Candidate for a Medicaid Block Grant","URL":"https://www.tnjustice.org/tenncare-misuse-federal-funds/","author":[{"family":"TN Justice Center","given":""}],"accessed":{"date-parts":[["2022",9,10]]},"issued":{"date-parts":[["2020",12,15]]}}}],"schema":"https://github.com/citation-style-language/schema/raw/master/csl-citation.json"} </w:instrText>
      </w:r>
      <w:r w:rsidR="00EF2387" w:rsidRPr="00424BD3">
        <w:rPr>
          <w:rFonts w:cs="Arial"/>
          <w:szCs w:val="24"/>
        </w:rPr>
        <w:fldChar w:fldCharType="separate"/>
      </w:r>
      <w:r w:rsidR="00EF2387" w:rsidRPr="00424BD3">
        <w:rPr>
          <w:rFonts w:cs="Arial"/>
        </w:rPr>
        <w:t>(TN Justice Center, 2020)</w:t>
      </w:r>
      <w:r w:rsidR="00EF2387" w:rsidRPr="00424BD3">
        <w:rPr>
          <w:rFonts w:cs="Arial"/>
          <w:szCs w:val="24"/>
        </w:rPr>
        <w:fldChar w:fldCharType="end"/>
      </w:r>
      <w:r w:rsidR="00C963AB" w:rsidRPr="00424BD3">
        <w:rPr>
          <w:rFonts w:cs="Arial"/>
          <w:szCs w:val="24"/>
        </w:rPr>
        <w:t xml:space="preserve">. For these reasons block grants are often acknowledged as an economic driver for the establishment of inequities </w:t>
      </w:r>
      <w:r w:rsidR="00C963AB" w:rsidRPr="00424BD3">
        <w:rPr>
          <w:rFonts w:cs="Arial"/>
          <w:szCs w:val="24"/>
        </w:rPr>
        <w:fldChar w:fldCharType="begin"/>
      </w:r>
      <w:r w:rsidR="00990F3A">
        <w:rPr>
          <w:rFonts w:cs="Arial"/>
          <w:szCs w:val="24"/>
        </w:rPr>
        <w:instrText xml:space="preserve"> ADDIN ZOTERO_ITEM CSL_CITATION {"citationID":"PZEeivIG","properties":{"formattedCitation":"(Brumfield et al., 2019; Schapiro, 2020; Serrato, 2013)","plainCitation":"(Brumfield et al., 2019; Schapiro, 2020; Serrato, 2013)","noteIndex":0},"citationItems":[{"id":617,"uris":["http://zotero.org/users/4946941/items/RXF767EK"],"itemData":{"id":617,"type":"report","publisher":"Georgetown Law Center on Poverty and Inequality","title":"» Structurally Unsound: The Impact of Using Block Grants to Fund Economic Security Programs","URL":"https://www.georgetownpoverty.org/issues/tax-benefits/structurally-unsound/","author":[{"family":"Brumfield","given":"Cara"},{"family":"Aderonmu","given":"Funke"},{"family":"Grant","given":"Kali"},{"family":"Carr","given":"Aileen"},{"family":"Dutta-Gupta","given":"Indivar"},{"family":"Camacho-Craft","given":"Isabella"},{"family":"Steiger","given":"Douglas"},{"family":"Edelman","given":"Peter"}],"accessed":{"date-parts":[["2022",7,13]]},"issued":{"date-parts":[["2019"]]}}},{"id":798,"uris":["http://zotero.org/users/4946941/items/2S46W58K"],"itemData":{"id":798,"type":"article-journal","container-title":"California Law Review","issue":"5","language":"en","title":"States of Inequality: Fiscal Federalism, Unequal States, and Unequal People","URL":"https://www.californialawreview.org/print/fiscal-federalism-unequal-states/","volume":"108","author":[{"family":"Schapiro","given":"R.A."}],"issued":{"date-parts":[["2020"]]}}},{"id":796,"uris":["http://zotero.org/users/4946941/items/YX7HMZPT"],"itemData":{"id":796,"type":"document","language":"en","publisher":"SIEPR Policy Brief. Stanford Institute for Economic Policy Research","title":"How Changing Government Spending Affects Inequality","URL":"https://siepr.stanford.edu/sites/default/files/publications/SIEPR_Policy_Brief_09_2013_Serrato_6.pdf","author":[{"family":"Serrato","given":"JCs"}],"issued":{"date-parts":[["2013"]]}}}],"schema":"https://github.com/citation-style-language/schema/raw/master/csl-citation.json"} </w:instrText>
      </w:r>
      <w:r w:rsidR="00C963AB" w:rsidRPr="00424BD3">
        <w:rPr>
          <w:rFonts w:cs="Arial"/>
          <w:szCs w:val="24"/>
        </w:rPr>
        <w:fldChar w:fldCharType="separate"/>
      </w:r>
      <w:r w:rsidR="00C963AB" w:rsidRPr="00424BD3">
        <w:rPr>
          <w:rFonts w:cs="Arial"/>
        </w:rPr>
        <w:t>(Brumfield et al., 2019; Schapiro, 2020; Serrato, 2013)</w:t>
      </w:r>
      <w:r w:rsidR="00C963AB" w:rsidRPr="00424BD3">
        <w:rPr>
          <w:rFonts w:cs="Arial"/>
          <w:szCs w:val="24"/>
        </w:rPr>
        <w:fldChar w:fldCharType="end"/>
      </w:r>
      <w:r w:rsidR="00C963AB" w:rsidRPr="00424BD3">
        <w:rPr>
          <w:rFonts w:cs="Arial"/>
          <w:szCs w:val="24"/>
        </w:rPr>
        <w:t xml:space="preserve">. </w:t>
      </w:r>
    </w:p>
    <w:p w14:paraId="20B2AF41" w14:textId="7F12BC92" w:rsidR="008844E4" w:rsidRPr="00424BD3" w:rsidRDefault="008844E4" w:rsidP="000126EE">
      <w:pPr>
        <w:spacing w:after="0" w:line="480" w:lineRule="auto"/>
        <w:ind w:firstLine="720"/>
        <w:rPr>
          <w:rFonts w:cs="Arial"/>
          <w:szCs w:val="24"/>
        </w:rPr>
      </w:pPr>
      <w:r w:rsidRPr="00424BD3">
        <w:rPr>
          <w:rFonts w:cs="Arial"/>
          <w:szCs w:val="24"/>
        </w:rPr>
        <w:t xml:space="preserve">The federal government stipulates mandatory coverage for certain groups of individuals in particular programs, such as Medicaid, but allows states the right to </w:t>
      </w:r>
      <w:r w:rsidR="00897898" w:rsidRPr="00424BD3">
        <w:rPr>
          <w:rFonts w:cs="Arial"/>
          <w:szCs w:val="24"/>
        </w:rPr>
        <w:t>determine what will constitute</w:t>
      </w:r>
      <w:r w:rsidRPr="00424BD3">
        <w:rPr>
          <w:rFonts w:cs="Arial"/>
          <w:szCs w:val="24"/>
        </w:rPr>
        <w:t xml:space="preserve"> remaining coverage eligibility for any of these programs. Therefore, many older women may be disqualified, such as those whose income is not sufficient to provide for services they need but is too high for income-based programs, (% of poverty-level); those who don’t meet mobility or physical need requirements, yet still need assistance with certain aspects of daily living </w:t>
      </w:r>
      <w:r w:rsidRPr="00424BD3">
        <w:rPr>
          <w:rFonts w:cs="Arial"/>
          <w:szCs w:val="24"/>
        </w:rPr>
        <w:fldChar w:fldCharType="begin"/>
      </w:r>
      <w:r w:rsidR="00023341">
        <w:rPr>
          <w:rFonts w:cs="Arial"/>
          <w:szCs w:val="24"/>
        </w:rPr>
        <w:instrText xml:space="preserve"> ADDIN ZOTERO_ITEM CSL_CITATION {"citationID":"y1xswQbM","properties":{"formattedCitation":"(TN TennCare, n.d.)","plainCitation":"(TN TennCare, n.d.)","noteIndex":0},"citationItems":[{"id":808,"uris":["http://zotero.org/users/4946941/items/IN3PWVXW"],"itemData":{"id":808,"type":"document","language":"en","publisher":"State of Tennessee, Division of TennCare (TN TennCare)","title":"TennCare Medicaid","URL":"https://www.tn.gov/tenncare/members-applicants/eligibility/tenncare-medicaid.html","author":[{"family":"TN TennCare","given":""}],"issued":{"literal":"n.d."}}}],"schema":"https://github.com/citation-style-language/schema/raw/master/csl-citation.json"} </w:instrText>
      </w:r>
      <w:r w:rsidRPr="00424BD3">
        <w:rPr>
          <w:rFonts w:cs="Arial"/>
          <w:szCs w:val="24"/>
        </w:rPr>
        <w:fldChar w:fldCharType="separate"/>
      </w:r>
      <w:r w:rsidRPr="00424BD3">
        <w:rPr>
          <w:rFonts w:cs="Arial"/>
        </w:rPr>
        <w:t>(TN TennCare, n.d.)</w:t>
      </w:r>
      <w:r w:rsidRPr="00424BD3">
        <w:rPr>
          <w:rFonts w:cs="Arial"/>
          <w:szCs w:val="24"/>
        </w:rPr>
        <w:fldChar w:fldCharType="end"/>
      </w:r>
      <w:r w:rsidRPr="00424BD3">
        <w:rPr>
          <w:rFonts w:cs="Arial"/>
          <w:szCs w:val="24"/>
        </w:rPr>
        <w:t xml:space="preserve">; and those </w:t>
      </w:r>
      <w:r w:rsidRPr="00424BD3">
        <w:rPr>
          <w:rFonts w:cs="Arial"/>
          <w:szCs w:val="24"/>
        </w:rPr>
        <w:lastRenderedPageBreak/>
        <w:t xml:space="preserve">who give up sometimes much needed older-age working in order to assume the role of familial caregiver, resulting in income loss </w:t>
      </w:r>
      <w:r w:rsidRPr="00424BD3">
        <w:rPr>
          <w:rFonts w:cs="Arial"/>
          <w:szCs w:val="24"/>
        </w:rPr>
        <w:fldChar w:fldCharType="begin"/>
      </w:r>
      <w:r w:rsidR="00990F3A">
        <w:rPr>
          <w:rFonts w:cs="Arial"/>
          <w:szCs w:val="24"/>
        </w:rPr>
        <w:instrText xml:space="preserve"> ADDIN ZOTERO_ITEM CSL_CITATION {"citationID":"e1gUIeUL","properties":{"formattedCitation":"(Navaie-Waliser et al., 2002)","plainCitation":"(Navaie-Waliser et al., 2002)","noteIndex":0},"citationItems":[{"id":750,"uris":["http://zotero.org/users/4946941/items/C2TSL3YD"],"itemData":{"id":750,"type":"document","language":"en","title":"Informal caregiving: differential experiences by gender","URL":"https://www.jstor.org/stable/3767944","author":[{"family":"Navaie-Waliser","given":"M."},{"family":"Spriggs","given":"A."},{"family":"Feldman","given":"P.H."}],"issued":{"date-parts":[["2002"]]}}}],"schema":"https://github.com/citation-style-language/schema/raw/master/csl-citation.json"} </w:instrText>
      </w:r>
      <w:r w:rsidRPr="00424BD3">
        <w:rPr>
          <w:rFonts w:cs="Arial"/>
          <w:szCs w:val="24"/>
        </w:rPr>
        <w:fldChar w:fldCharType="separate"/>
      </w:r>
      <w:r w:rsidRPr="00424BD3">
        <w:rPr>
          <w:rFonts w:cs="Arial"/>
        </w:rPr>
        <w:t>(Navaie-Waliser et al., 2002)</w:t>
      </w:r>
      <w:r w:rsidRPr="00424BD3">
        <w:rPr>
          <w:rFonts w:cs="Arial"/>
          <w:szCs w:val="24"/>
        </w:rPr>
        <w:fldChar w:fldCharType="end"/>
      </w:r>
      <w:r w:rsidRPr="00424BD3">
        <w:rPr>
          <w:rFonts w:cs="Arial"/>
          <w:szCs w:val="24"/>
        </w:rPr>
        <w:t xml:space="preserve">. Because older women, once retired, are most often on a fixed-income, </w:t>
      </w:r>
      <w:r w:rsidR="0052485A" w:rsidRPr="00424BD3">
        <w:rPr>
          <w:rFonts w:cs="Arial"/>
          <w:szCs w:val="24"/>
        </w:rPr>
        <w:t>they may</w:t>
      </w:r>
      <w:r w:rsidRPr="00424BD3">
        <w:rPr>
          <w:rFonts w:cs="Arial"/>
          <w:szCs w:val="24"/>
        </w:rPr>
        <w:t xml:space="preserve"> additionally </w:t>
      </w:r>
      <w:r w:rsidR="0052485A" w:rsidRPr="00424BD3">
        <w:rPr>
          <w:rFonts w:cs="Arial"/>
          <w:szCs w:val="24"/>
        </w:rPr>
        <w:t xml:space="preserve">be </w:t>
      </w:r>
      <w:r w:rsidRPr="00424BD3">
        <w:rPr>
          <w:rFonts w:cs="Arial"/>
          <w:szCs w:val="24"/>
        </w:rPr>
        <w:t xml:space="preserve">going without the added income support of their deceased spouses, the impact of not expanding Medicaid or other federal programs can mean that they go without the federal services they otherwise may have had in another state </w:t>
      </w:r>
      <w:r w:rsidRPr="00424BD3">
        <w:rPr>
          <w:rFonts w:cs="Arial"/>
          <w:szCs w:val="24"/>
        </w:rPr>
        <w:fldChar w:fldCharType="begin"/>
      </w:r>
      <w:r w:rsidR="00990F3A">
        <w:rPr>
          <w:rFonts w:cs="Arial"/>
          <w:szCs w:val="24"/>
        </w:rPr>
        <w:instrText xml:space="preserve"> ADDIN ZOTERO_ITEM CSL_CITATION {"citationID":"1cOx14Im","properties":{"formattedCitation":"(Garfield et al., 2021)","plainCitation":"(Garfield et al., 2021)","noteIndex":0},"citationItems":[{"id":670,"uris":["http://zotero.org/users/4946941/items/Q962X4MG"],"itemData":{"id":670,"type":"document","language":"en","title":"The Coverage Gap: Uninsured Poor Adults in States that Do No Expand Medicaid. Kaiser Family Foundation","URL":"https://www.kff.org/medicaid/issue-brief/the-coverage-gap-uninsured-poor-adults-in-states-that-do-not-expand-medicaid/","author":[{"family":"Garfield","given":"R."},{"family":"Orgera","given":"K."},{"family":"Damico","given":"A."}],"issued":{"date-parts":[["2021"]]}}}],"schema":"https://github.com/citation-style-language/schema/raw/master/csl-citation.json"} </w:instrText>
      </w:r>
      <w:r w:rsidRPr="00424BD3">
        <w:rPr>
          <w:rFonts w:cs="Arial"/>
          <w:szCs w:val="24"/>
        </w:rPr>
        <w:fldChar w:fldCharType="separate"/>
      </w:r>
      <w:r w:rsidRPr="00424BD3">
        <w:rPr>
          <w:rFonts w:cs="Arial"/>
        </w:rPr>
        <w:t>(Garfield et al., 2021)</w:t>
      </w:r>
      <w:r w:rsidRPr="00424BD3">
        <w:rPr>
          <w:rFonts w:cs="Arial"/>
          <w:szCs w:val="24"/>
        </w:rPr>
        <w:fldChar w:fldCharType="end"/>
      </w:r>
      <w:r w:rsidRPr="00424BD3">
        <w:rPr>
          <w:rFonts w:cs="Arial"/>
          <w:szCs w:val="24"/>
        </w:rPr>
        <w:t xml:space="preserve">. </w:t>
      </w:r>
    </w:p>
    <w:p w14:paraId="01FA1A1F" w14:textId="669A2977" w:rsidR="008844E4" w:rsidRPr="00424BD3" w:rsidRDefault="008844E4" w:rsidP="00A22C85">
      <w:pPr>
        <w:spacing w:after="0" w:line="480" w:lineRule="auto"/>
        <w:ind w:firstLine="720"/>
        <w:rPr>
          <w:rFonts w:cs="Arial"/>
          <w:szCs w:val="24"/>
        </w:rPr>
      </w:pPr>
      <w:r w:rsidRPr="00424BD3">
        <w:rPr>
          <w:rFonts w:cs="Arial"/>
          <w:szCs w:val="24"/>
        </w:rPr>
        <w:t xml:space="preserve">Tennessee’s policies and interventions are, like all governments, tied to their funding structure, which includes all federal funding provided for health and care services. Tennessee’s state constitution requires that its budget must be balanced annually and that this must be done within strict revenue and expenditure guidelines </w:t>
      </w:r>
      <w:r w:rsidRPr="00424BD3">
        <w:rPr>
          <w:rFonts w:cs="Arial"/>
          <w:szCs w:val="24"/>
        </w:rPr>
        <w:fldChar w:fldCharType="begin"/>
      </w:r>
      <w:r w:rsidR="00990F3A">
        <w:rPr>
          <w:rFonts w:cs="Arial"/>
          <w:szCs w:val="24"/>
        </w:rPr>
        <w:instrText xml:space="preserve"> ADDIN ZOTERO_ITEM CSL_CITATION {"citationID":"ezdkDXNz","properties":{"formattedCitation":"(State of Tennessee, 2014)","plainCitation":"(State of Tennessee, 2014)","noteIndex":0},"citationItems":[{"id":806,"uris":["http://zotero.org/users/4946941/items/MHJX8FSM"],"itemData":{"id":806,"type":"document","language":"en","publisher":"State of Tennessee, Office of the Chief Clerk of the Senate","title":"The Constitution of the State of Tennessee.","URL":"https://www.capitol.tn.gov/about/docs/tn-constitution.pdf","author":[{"family":"State of Tennessee","given":""}],"issued":{"date-parts":[["2014"]]}}}],"schema":"https://github.com/citation-style-language/schema/raw/master/csl-citation.json"} </w:instrText>
      </w:r>
      <w:r w:rsidRPr="00424BD3">
        <w:rPr>
          <w:rFonts w:cs="Arial"/>
          <w:szCs w:val="24"/>
        </w:rPr>
        <w:fldChar w:fldCharType="separate"/>
      </w:r>
      <w:r w:rsidRPr="00424BD3">
        <w:rPr>
          <w:rFonts w:cs="Arial"/>
        </w:rPr>
        <w:t>(State of Tennessee, 2014)</w:t>
      </w:r>
      <w:r w:rsidRPr="00424BD3">
        <w:rPr>
          <w:rFonts w:cs="Arial"/>
          <w:szCs w:val="24"/>
        </w:rPr>
        <w:fldChar w:fldCharType="end"/>
      </w:r>
      <w:r w:rsidRPr="00424BD3">
        <w:rPr>
          <w:rFonts w:cs="Arial"/>
          <w:szCs w:val="24"/>
        </w:rPr>
        <w:t xml:space="preserve">. All policy and economic decisions in Tennessee are made with that requirement in mind, even when it means that other services, such as health, education, and infrastructure must sustain cuts </w:t>
      </w:r>
      <w:r w:rsidRPr="00424BD3">
        <w:rPr>
          <w:rFonts w:cs="Arial"/>
          <w:szCs w:val="24"/>
        </w:rPr>
        <w:fldChar w:fldCharType="begin"/>
      </w:r>
      <w:r w:rsidR="00990F3A">
        <w:rPr>
          <w:rFonts w:cs="Arial"/>
          <w:szCs w:val="24"/>
        </w:rPr>
        <w:instrText xml:space="preserve"> ADDIN ZOTERO_ITEM CSL_CITATION {"citationID":"jpZTuFey","properties":{"formattedCitation":"(The Sycamore Institute, 2018)","plainCitation":"(The Sycamore Institute, 2018)","noteIndex":0},"citationItems":[{"id":829,"uris":["http://zotero.org/users/4946941/items/WKKUGFPC"],"itemData":{"id":829,"type":"document","language":"en","title":"Tennessee State Budget Primer. A Foundation for Understanding Our State’s Public Policies","URL":"https://www.sycamoreinstitutetn.org/wp-content/uploads/2018/11/Tennessee-State-Budget-Primer-2nd-Edition-Web.pdf","author":[{"family":"The Sycamore Institute","given":""}],"issued":{"date-parts":[["2018"]]}}}],"schema":"https://github.com/citation-style-language/schema/raw/master/csl-citation.json"} </w:instrText>
      </w:r>
      <w:r w:rsidRPr="00424BD3">
        <w:rPr>
          <w:rFonts w:cs="Arial"/>
          <w:szCs w:val="24"/>
        </w:rPr>
        <w:fldChar w:fldCharType="separate"/>
      </w:r>
      <w:r w:rsidRPr="00424BD3">
        <w:rPr>
          <w:rFonts w:cs="Arial"/>
        </w:rPr>
        <w:t>(The Sycamore Institute, 2018)</w:t>
      </w:r>
      <w:r w:rsidRPr="00424BD3">
        <w:rPr>
          <w:rFonts w:cs="Arial"/>
          <w:szCs w:val="24"/>
        </w:rPr>
        <w:fldChar w:fldCharType="end"/>
      </w:r>
      <w:r w:rsidRPr="00424BD3">
        <w:rPr>
          <w:rFonts w:cs="Arial"/>
          <w:szCs w:val="24"/>
        </w:rPr>
        <w:t>. With regards to policies and interventions impacting older women in Tennessee, following the pipeline from the federal government to the state, Tennessee provides the standard range of federally funded services</w:t>
      </w:r>
      <w:r w:rsidRPr="00846A04">
        <w:rPr>
          <w:rStyle w:val="FootnoteReference"/>
        </w:rPr>
        <w:footnoteReference w:id="12"/>
      </w:r>
      <w:r w:rsidRPr="00424BD3">
        <w:rPr>
          <w:rFonts w:cs="Arial"/>
          <w:szCs w:val="24"/>
        </w:rPr>
        <w:t xml:space="preserve"> as well as the state’s version of Medicaid, known as TennCare (and as the TennCare CHOICES Act of 2008 which provides for long-term care services (LTSS)) </w:t>
      </w:r>
      <w:r w:rsidRPr="00424BD3">
        <w:rPr>
          <w:rFonts w:cs="Arial"/>
          <w:szCs w:val="24"/>
        </w:rPr>
        <w:fldChar w:fldCharType="begin"/>
      </w:r>
      <w:r w:rsidR="00023341">
        <w:rPr>
          <w:rFonts w:cs="Arial"/>
          <w:szCs w:val="24"/>
        </w:rPr>
        <w:instrText xml:space="preserve"> ADDIN ZOTERO_ITEM CSL_CITATION {"citationID":"G9BTzgIO","properties":{"formattedCitation":"(Mattson &amp; Bergfeld, 2017; TN TennCare, n.d.)","plainCitation":"(Mattson &amp; Bergfeld, 2017; TN TennCare, n.d.)","noteIndex":0},"citationItems":[{"id":722,"uris":["http://zotero.org/users/4946941/items/33TXE9KU"],"itemData":{"id":722,"type":"chapter","container-title":"Tennessee Comptroller of the Treasury Office of Research and Accountability (TN Comptroller)","language":"en","title":"Senior long-term care in Tennessee: Trends and options","URL":"https://stagecomptroller.tn.gov/content/dam/cot/orea/advanced-search/orea-reports-2017/2017_OREA_SeniorLongTermCare.pdf","author":[{"family":"Mattson","given":"S."},{"family":"Bergfeld","given":"T."}],"issued":{"date-parts":[["2017"]]}}},{"id":808,"uris":["http://zotero.org/users/4946941/items/IN3PWVXW"],"itemData":{"id":808,"type":"document","language":"en","publisher":"State of Tennessee, Division of TennCare (TN TennCare)","title":"TennCare Medicaid","URL":"https://www.tn.gov/tenncare/members-applicants/eligibility/tenncare-medicaid.html","author":[{"family":"TN TennCare","given":""}],"issued":{"literal":"n.d."}}}],"schema":"https://github.com/citation-style-language/schema/raw/master/csl-citation.json"} </w:instrText>
      </w:r>
      <w:r w:rsidRPr="00424BD3">
        <w:rPr>
          <w:rFonts w:cs="Arial"/>
          <w:szCs w:val="24"/>
        </w:rPr>
        <w:fldChar w:fldCharType="separate"/>
      </w:r>
      <w:r w:rsidRPr="00424BD3">
        <w:rPr>
          <w:rFonts w:cs="Arial"/>
        </w:rPr>
        <w:t>(Mattson &amp; Bergfeld, 2017; TN TennCare, n.d.)</w:t>
      </w:r>
      <w:r w:rsidRPr="00424BD3">
        <w:rPr>
          <w:rFonts w:cs="Arial"/>
          <w:szCs w:val="24"/>
        </w:rPr>
        <w:fldChar w:fldCharType="end"/>
      </w:r>
      <w:r w:rsidRPr="00424BD3">
        <w:rPr>
          <w:rFonts w:cs="Arial"/>
          <w:szCs w:val="24"/>
        </w:rPr>
        <w:t>, and the Options program.</w:t>
      </w:r>
      <w:r w:rsidR="003E4247" w:rsidRPr="00424BD3">
        <w:rPr>
          <w:rFonts w:cs="Arial"/>
          <w:szCs w:val="24"/>
        </w:rPr>
        <w:t xml:space="preserve"> </w:t>
      </w:r>
      <w:r w:rsidR="003E4247" w:rsidRPr="00424BD3">
        <w:t>TennCare, as Tennessee’s Medicaid program, provides healthcare services to those who meet the State’s stringent eligibility requirements</w:t>
      </w:r>
      <w:r w:rsidR="00CD1ADF">
        <w:t>,</w:t>
      </w:r>
      <w:r w:rsidR="007B130B" w:rsidRPr="00424BD3">
        <w:t xml:space="preserve"> </w:t>
      </w:r>
      <w:r w:rsidR="00A60CA8" w:rsidRPr="00424BD3">
        <w:t xml:space="preserve">including those older people who are low-income </w:t>
      </w:r>
      <w:r w:rsidR="00F2725B" w:rsidRPr="00424BD3">
        <w:t>and who are receiving Medicare</w:t>
      </w:r>
      <w:r w:rsidR="003E4247" w:rsidRPr="00424BD3">
        <w:t xml:space="preserve">. TennCare CHOICES is </w:t>
      </w:r>
      <w:r w:rsidR="003E4247" w:rsidRPr="00424BD3">
        <w:lastRenderedPageBreak/>
        <w:t xml:space="preserve">Tennessee’s state and federally funded Medicaid long-term services and support (LTSS) program for low-income older adults who have little remaining assets and who also meet stringent eligibility requirements. CHOICES provides a variety of homecare, community-based and nursing home care services available under the Older Americans Act. CHOICES covers the top-tier higher cost level of services needed by older people and comes into play when all other options are no longer able to provide the necessary level of care a person needs. Once a person dies, if there are any remaining assets or funds from their estate, the government can seek to recoup the costs from participant’s estates. Options is Tennessee’s state-funded program aimed at helping those aged 65 </w:t>
      </w:r>
      <w:r w:rsidR="008612C2" w:rsidRPr="00424BD3">
        <w:t xml:space="preserve">years </w:t>
      </w:r>
      <w:r w:rsidR="003E4247" w:rsidRPr="00424BD3">
        <w:t xml:space="preserve">and over who are at risk of becoming Medicaid eligible and who don’t qualify for federal-state support to stay in their homes as long as possible </w:t>
      </w:r>
      <w:r w:rsidR="003E4247" w:rsidRPr="00424BD3">
        <w:fldChar w:fldCharType="begin"/>
      </w:r>
      <w:r w:rsidR="009E4175">
        <w:instrText xml:space="preserve"> ADDIN ZOTERO_ITEM CSL_CITATION {"citationID":"eMwmqspe","properties":{"formattedCitation":"(Mattson &amp; Bergfeld, 2017)","plainCitation":"(Mattson &amp; Bergfeld, 2017)","noteIndex":0},"citationItems":[{"id":722,"uris":["http://zotero.org/users/4946941/items/33TXE9KU"],"itemData":{"id":722,"type":"chapter","container-title":"Tennessee Comptroller of the Treasury Office of Research and Accountability (TN Comptroller)","language":"en","title":"Senior long-term care in Tennessee: Trends and options","URL":"https://stagecomptroller.tn.gov/content/dam/cot/orea/advanced-search/orea-reports-2017/2017_OREA_SeniorLongTermCare.pdf","author":[{"family":"Mattson","given":"S."},{"family":"Bergfeld","given":"T."}],"issued":{"date-parts":[["2017"]]}}}],"schema":"https://github.com/citation-style-language/schema/raw/master/csl-citation.json"} </w:instrText>
      </w:r>
      <w:r w:rsidR="003E4247" w:rsidRPr="00424BD3">
        <w:fldChar w:fldCharType="separate"/>
      </w:r>
      <w:r w:rsidR="003E4247" w:rsidRPr="00424BD3">
        <w:rPr>
          <w:rFonts w:cs="Arial"/>
        </w:rPr>
        <w:t>(Mattson &amp; Bergfeld, 2017</w:t>
      </w:r>
      <w:r w:rsidR="003E4247" w:rsidRPr="00424BD3">
        <w:rPr>
          <w:rFonts w:ascii="Calibri" w:hAnsi="Calibri" w:cs="Calibri"/>
        </w:rPr>
        <w:t>)</w:t>
      </w:r>
      <w:r w:rsidR="003E4247" w:rsidRPr="00424BD3">
        <w:fldChar w:fldCharType="end"/>
      </w:r>
      <w:r w:rsidR="003E4247" w:rsidRPr="00424BD3">
        <w:t xml:space="preserve">. The Options program, passed via legislation in 1999, supports those who are at-risk of becoming Medicaid eligible, and who don’t qualify for TennCare services, including older women </w:t>
      </w:r>
      <w:r w:rsidR="003E4247" w:rsidRPr="00424BD3">
        <w:fldChar w:fldCharType="begin"/>
      </w:r>
      <w:r w:rsidR="009E4175">
        <w:instrText xml:space="preserve"> ADDIN ZOTERO_ITEM CSL_CITATION {"citationID":"O9eyebP9","properties":{"formattedCitation":"(Mattson &amp; Bergfeld, 2017)","plainCitation":"(Mattson &amp; Bergfeld, 2017)","noteIndex":0},"citationItems":[{"id":722,"uris":["http://zotero.org/users/4946941/items/33TXE9KU"],"itemData":{"id":722,"type":"chapter","container-title":"Tennessee Comptroller of the Treasury Office of Research and Accountability (TN Comptroller)","language":"en","title":"Senior long-term care in Tennessee: Trends and options","URL":"https://stagecomptroller.tn.gov/content/dam/cot/orea/advanced-search/orea-reports-2017/2017_OREA_SeniorLongTermCare.pdf","author":[{"family":"Mattson","given":"S."},{"family":"Bergfeld","given":"T."}],"issued":{"date-parts":[["2017"]]}}}],"schema":"https://github.com/citation-style-language/schema/raw/master/csl-citation.json"} </w:instrText>
      </w:r>
      <w:r w:rsidR="003E4247" w:rsidRPr="00424BD3">
        <w:fldChar w:fldCharType="separate"/>
      </w:r>
      <w:r w:rsidR="003E4247" w:rsidRPr="00424BD3">
        <w:rPr>
          <w:rFonts w:ascii="Calibri" w:hAnsi="Calibri" w:cs="Calibri"/>
        </w:rPr>
        <w:t>(</w:t>
      </w:r>
      <w:r w:rsidR="003E4247" w:rsidRPr="00424BD3">
        <w:rPr>
          <w:rFonts w:cs="Arial"/>
        </w:rPr>
        <w:t>Mattson &amp; Bergfeld, 2017</w:t>
      </w:r>
      <w:r w:rsidR="003E4247" w:rsidRPr="00424BD3">
        <w:rPr>
          <w:rFonts w:ascii="Calibri" w:hAnsi="Calibri" w:cs="Calibri"/>
        </w:rPr>
        <w:t>)</w:t>
      </w:r>
      <w:r w:rsidR="003E4247" w:rsidRPr="00424BD3">
        <w:fldChar w:fldCharType="end"/>
      </w:r>
      <w:r w:rsidR="00B72F3E">
        <w:t xml:space="preserve">. </w:t>
      </w:r>
      <w:r w:rsidRPr="00424BD3">
        <w:rPr>
          <w:rFonts w:cs="Arial"/>
          <w:szCs w:val="24"/>
        </w:rPr>
        <w:t xml:space="preserve">Additionally, </w:t>
      </w:r>
      <w:r w:rsidR="00FC6A78" w:rsidRPr="00424BD3">
        <w:rPr>
          <w:rFonts w:cs="Arial"/>
          <w:szCs w:val="24"/>
        </w:rPr>
        <w:t xml:space="preserve">for those who meet TennCare’s eligibility requirements, </w:t>
      </w:r>
      <w:r w:rsidRPr="00424BD3">
        <w:rPr>
          <w:rFonts w:cs="Arial"/>
          <w:szCs w:val="24"/>
        </w:rPr>
        <w:t>TennCare provides a mix of coverage, including long-term care and services supports (LTSS</w:t>
      </w:r>
      <w:r w:rsidR="00BA1385" w:rsidRPr="00424BD3">
        <w:rPr>
          <w:rFonts w:cs="Arial"/>
          <w:szCs w:val="24"/>
        </w:rPr>
        <w:t>)</w:t>
      </w:r>
      <w:r w:rsidRPr="00424BD3">
        <w:rPr>
          <w:rFonts w:cs="Arial"/>
          <w:szCs w:val="24"/>
        </w:rPr>
        <w:t>, some</w:t>
      </w:r>
      <w:r w:rsidR="002831EC" w:rsidRPr="00424BD3">
        <w:rPr>
          <w:rFonts w:cs="Arial"/>
          <w:szCs w:val="24"/>
        </w:rPr>
        <w:t xml:space="preserve"> </w:t>
      </w:r>
      <w:r w:rsidRPr="00424BD3">
        <w:rPr>
          <w:rFonts w:cs="Arial"/>
          <w:szCs w:val="24"/>
        </w:rPr>
        <w:t xml:space="preserve">of which offer more </w:t>
      </w:r>
      <w:r w:rsidR="00FC6A78" w:rsidRPr="00424BD3">
        <w:rPr>
          <w:rFonts w:cs="Arial"/>
          <w:szCs w:val="24"/>
        </w:rPr>
        <w:t xml:space="preserve">service </w:t>
      </w:r>
      <w:r w:rsidRPr="00424BD3">
        <w:rPr>
          <w:rFonts w:cs="Arial"/>
          <w:szCs w:val="24"/>
        </w:rPr>
        <w:t xml:space="preserve">coverage than is required under federal law and makes use of the optional federal flexibilities that extend LTSS </w:t>
      </w:r>
      <w:r w:rsidRPr="00424BD3">
        <w:rPr>
          <w:rFonts w:cs="Arial"/>
          <w:szCs w:val="24"/>
        </w:rPr>
        <w:fldChar w:fldCharType="begin"/>
      </w:r>
      <w:r w:rsidR="00990F3A">
        <w:rPr>
          <w:rFonts w:cs="Arial"/>
          <w:szCs w:val="24"/>
        </w:rPr>
        <w:instrText xml:space="preserve"> ADDIN ZOTERO_ITEM CSL_CITATION {"citationID":"9gUYKxQU","properties":{"formattedCitation":"(Pellegrin, 2021)","plainCitation":"(Pellegrin, 2021)","noteIndex":0},"citationItems":[{"id":763,"uris":["http://zotero.org/users/4946941/items/ALE7IKPW"],"itemData":{"id":763,"type":"document","language":"en","title":"Tennessee’s Budget in Brief: Summary of Gov. Lee’s FY 2022 Recommended Budget","URL":"https://www.sycamoreinstitutetn.org/wp-content/uploads/2021/02/2021.02.22-FINAL-FY-2022-Budget-in-Brief.pdf","author":[{"family":"Pellegrin","given":"M."}],"issued":{"date-parts":[["2021"]]}}}],"schema":"https://github.com/citation-style-language/schema/raw/master/csl-citation.json"} </w:instrText>
      </w:r>
      <w:r w:rsidRPr="00424BD3">
        <w:rPr>
          <w:rFonts w:cs="Arial"/>
          <w:szCs w:val="24"/>
        </w:rPr>
        <w:fldChar w:fldCharType="separate"/>
      </w:r>
      <w:r w:rsidRPr="00424BD3">
        <w:rPr>
          <w:rFonts w:cs="Arial"/>
        </w:rPr>
        <w:t>(Pellegrin, 2021)</w:t>
      </w:r>
      <w:r w:rsidRPr="00424BD3">
        <w:rPr>
          <w:rFonts w:cs="Arial"/>
          <w:szCs w:val="24"/>
        </w:rPr>
        <w:fldChar w:fldCharType="end"/>
      </w:r>
      <w:r w:rsidR="00BA1385" w:rsidRPr="00424BD3">
        <w:rPr>
          <w:rFonts w:cs="Arial"/>
          <w:szCs w:val="24"/>
        </w:rPr>
        <w:t>.</w:t>
      </w:r>
      <w:r w:rsidRPr="00424BD3">
        <w:rPr>
          <w:rFonts w:cs="Arial"/>
          <w:szCs w:val="24"/>
        </w:rPr>
        <w:t xml:space="preserve"> </w:t>
      </w:r>
    </w:p>
    <w:p w14:paraId="3BE9CCB9" w14:textId="5ECA5409" w:rsidR="003E7B13" w:rsidRPr="00424BD3" w:rsidRDefault="008844E4" w:rsidP="000126EE">
      <w:pPr>
        <w:spacing w:after="0" w:line="480" w:lineRule="auto"/>
        <w:ind w:firstLine="720"/>
        <w:rPr>
          <w:rFonts w:cs="Arial"/>
          <w:szCs w:val="24"/>
        </w:rPr>
      </w:pPr>
      <w:r w:rsidRPr="00424BD3">
        <w:rPr>
          <w:rFonts w:cs="Arial"/>
          <w:szCs w:val="24"/>
        </w:rPr>
        <w:t xml:space="preserve">Prior to 2021, federal government administration priorities resulted in drastic decreases in state funding for several federal health services and programs due to </w:t>
      </w:r>
      <w:r w:rsidR="008C198E">
        <w:rPr>
          <w:rFonts w:cs="Arial"/>
          <w:szCs w:val="24"/>
        </w:rPr>
        <w:t>reduced</w:t>
      </w:r>
      <w:r w:rsidRPr="00424BD3">
        <w:rPr>
          <w:rFonts w:cs="Arial"/>
          <w:szCs w:val="24"/>
        </w:rPr>
        <w:t xml:space="preserve"> participation and caseload </w:t>
      </w:r>
      <w:r w:rsidRPr="00424BD3">
        <w:rPr>
          <w:rFonts w:cs="Arial"/>
          <w:szCs w:val="24"/>
        </w:rPr>
        <w:fldChar w:fldCharType="begin"/>
      </w:r>
      <w:r w:rsidR="009E4175">
        <w:rPr>
          <w:rFonts w:cs="Arial"/>
          <w:szCs w:val="24"/>
        </w:rPr>
        <w:instrText xml:space="preserve"> ADDIN ZOTERO_ITEM CSL_CITATION {"citationID":"a7rfdtHK","properties":{"formattedCitation":"(TDFA, 2019)","plainCitation":"(TDFA, 2019)","noteIndex":0},"citationItems":[{"id":819,"uris":["http://zotero.org/users/4946941/items/36Q49F5X"],"itemData":{"id":819,"type":"document","language":"en","publisher":"Tennessee Department of Finance and Administration (TDFA)","title":"Tennessee State Government Comprehensive Annual Financial Report for the Fiscal Year Ended June 30, 2019","URL":"https://www.tn.gov/content/dam/tn/finance/accounts/cafr/June%2030,%202019%20CAFR.pdf","author":[{"family":"TDFA","given":""}],"issued":{"date-parts":[["2019"]]}}}],"schema":"https://github.com/citation-style-language/schema/raw/master/csl-citation.json"} </w:instrText>
      </w:r>
      <w:r w:rsidRPr="00424BD3">
        <w:rPr>
          <w:rFonts w:cs="Arial"/>
          <w:szCs w:val="24"/>
        </w:rPr>
        <w:fldChar w:fldCharType="separate"/>
      </w:r>
      <w:r w:rsidRPr="00424BD3">
        <w:rPr>
          <w:rFonts w:cs="Arial"/>
        </w:rPr>
        <w:t>(TDFA, 2019)</w:t>
      </w:r>
      <w:r w:rsidRPr="00424BD3">
        <w:rPr>
          <w:rFonts w:cs="Arial"/>
          <w:szCs w:val="24"/>
        </w:rPr>
        <w:fldChar w:fldCharType="end"/>
      </w:r>
      <w:r w:rsidRPr="00424BD3">
        <w:rPr>
          <w:rFonts w:cs="Arial"/>
          <w:szCs w:val="24"/>
        </w:rPr>
        <w:t xml:space="preserve">. </w:t>
      </w:r>
      <w:r w:rsidR="003E7B13" w:rsidRPr="00424BD3">
        <w:rPr>
          <w:rFonts w:cs="Arial"/>
          <w:szCs w:val="24"/>
        </w:rPr>
        <w:t xml:space="preserve">While state funding went into all of its Health and Social Services Agencies, only four of those agencies were majority funded by the state: the Departments of Children’s Services, Mental Health &amp; Substance Abuse </w:t>
      </w:r>
      <w:r w:rsidR="003E7B13" w:rsidRPr="00424BD3">
        <w:rPr>
          <w:rFonts w:cs="Arial"/>
          <w:szCs w:val="24"/>
        </w:rPr>
        <w:lastRenderedPageBreak/>
        <w:t xml:space="preserve">Services, the Tennessee Commission on Children and Youth, and the Health Services Development Agency (which oversees the regulation of healthcare facilities, institutions and services). The Tennessee Commission on Aging and Disability only received 34% of the state’s funding allocation </w:t>
      </w:r>
      <w:r w:rsidR="003E7B13" w:rsidRPr="00424BD3">
        <w:rPr>
          <w:rFonts w:cs="Arial"/>
          <w:szCs w:val="24"/>
        </w:rPr>
        <w:fldChar w:fldCharType="begin"/>
      </w:r>
      <w:r w:rsidR="00990F3A">
        <w:rPr>
          <w:rFonts w:cs="Arial"/>
          <w:szCs w:val="24"/>
        </w:rPr>
        <w:instrText xml:space="preserve"> ADDIN ZOTERO_ITEM CSL_CITATION {"citationID":"LPCVg4lN","properties":{"formattedCitation":"(Pellegrin, 2018b)","plainCitation":"(Pellegrin, 2018b)","noteIndex":0},"citationItems":[{"id":761,"uris":["http://zotero.org/users/4946941/items/3JZKXXGH"],"itemData":{"id":761,"type":"document","language":"en","title":"b). Summary of Gov. Haslams’ FY 2018-2019 Amended Budget. The Sycamore Institute","URL":"https://www.sycamoreinstitutetn.org/gov-haslams-fy-2018-2019-amended-budget/","author":[{"family":"Pellegrin","given":"M."}],"issued":{"date-parts":[["2018"]]}}}],"schema":"https://github.com/citation-style-language/schema/raw/master/csl-citation.json"} </w:instrText>
      </w:r>
      <w:r w:rsidR="003E7B13" w:rsidRPr="00424BD3">
        <w:rPr>
          <w:rFonts w:cs="Arial"/>
          <w:szCs w:val="24"/>
        </w:rPr>
        <w:fldChar w:fldCharType="separate"/>
      </w:r>
      <w:r w:rsidR="003E7B13" w:rsidRPr="00424BD3">
        <w:rPr>
          <w:rFonts w:cs="Arial"/>
          <w:szCs w:val="24"/>
        </w:rPr>
        <w:t>(Pellegrin, 2018b)</w:t>
      </w:r>
      <w:r w:rsidR="003E7B13" w:rsidRPr="00424BD3">
        <w:rPr>
          <w:rFonts w:cs="Arial"/>
          <w:szCs w:val="24"/>
        </w:rPr>
        <w:fldChar w:fldCharType="end"/>
      </w:r>
      <w:r w:rsidR="003E7B13" w:rsidRPr="00424BD3">
        <w:rPr>
          <w:rFonts w:cs="Arial"/>
          <w:szCs w:val="24"/>
        </w:rPr>
        <w:t>.</w:t>
      </w:r>
    </w:p>
    <w:p w14:paraId="72C8D201" w14:textId="79ED24FF" w:rsidR="008844E4" w:rsidRPr="00424BD3" w:rsidRDefault="008844E4" w:rsidP="000126EE">
      <w:pPr>
        <w:spacing w:after="0" w:line="480" w:lineRule="auto"/>
        <w:ind w:firstLine="720"/>
        <w:rPr>
          <w:rFonts w:cs="Arial"/>
          <w:szCs w:val="24"/>
        </w:rPr>
      </w:pPr>
      <w:r w:rsidRPr="00424BD3">
        <w:rPr>
          <w:rFonts w:cs="Arial"/>
          <w:szCs w:val="24"/>
        </w:rPr>
        <w:t xml:space="preserve">This means additional or expanded benefits, such as those related to providing health coverage to more low-income residents or benefits to better support caregivers, are unavailable or are limited for older Tennesseans who may be in the coverage gap or who may otherwise qualify for both Medicare and Medicaid </w:t>
      </w:r>
      <w:r w:rsidRPr="00424BD3">
        <w:rPr>
          <w:rFonts w:cs="Arial"/>
          <w:szCs w:val="24"/>
        </w:rPr>
        <w:fldChar w:fldCharType="begin"/>
      </w:r>
      <w:r w:rsidR="00990F3A">
        <w:rPr>
          <w:rFonts w:cs="Arial"/>
          <w:szCs w:val="24"/>
        </w:rPr>
        <w:instrText xml:space="preserve"> ADDIN ZOTERO_ITEM CSL_CITATION {"citationID":"kIlNaQBi","properties":{"formattedCitation":"(Garfield et al., 2021)","plainCitation":"(Garfield et al., 2021)","noteIndex":0},"citationItems":[{"id":670,"uris":["http://zotero.org/users/4946941/items/Q962X4MG"],"itemData":{"id":670,"type":"document","language":"en","title":"The Coverage Gap: Uninsured Poor Adults in States that Do No Expand Medicaid. Kaiser Family Foundation","URL":"https://www.kff.org/medicaid/issue-brief/the-coverage-gap-uninsured-poor-adults-in-states-that-do-not-expand-medicaid/","author":[{"family":"Garfield","given":"R."},{"family":"Orgera","given":"K."},{"family":"Damico","given":"A."}],"issued":{"date-parts":[["2021"]]}}}],"schema":"https://github.com/citation-style-language/schema/raw/master/csl-citation.json"} </w:instrText>
      </w:r>
      <w:r w:rsidRPr="00424BD3">
        <w:rPr>
          <w:rFonts w:cs="Arial"/>
          <w:szCs w:val="24"/>
        </w:rPr>
        <w:fldChar w:fldCharType="separate"/>
      </w:r>
      <w:r w:rsidRPr="00424BD3">
        <w:rPr>
          <w:rFonts w:cs="Arial"/>
        </w:rPr>
        <w:t>(Garfield et al., 2021)</w:t>
      </w:r>
      <w:r w:rsidRPr="00424BD3">
        <w:rPr>
          <w:rFonts w:cs="Arial"/>
          <w:szCs w:val="24"/>
        </w:rPr>
        <w:fldChar w:fldCharType="end"/>
      </w:r>
      <w:r w:rsidRPr="00424BD3">
        <w:rPr>
          <w:rFonts w:cs="Arial"/>
          <w:szCs w:val="24"/>
        </w:rPr>
        <w:t>. This leaves the State’s older women without some services they could have otherwise been provided. By creating stringent eligibility requirements for care and community-based services, older Tennesseans face a gap in the services they most need. For older women in Tennessee, who have longer life expectancies but may spend that time in poorer health, this is especially difficult.</w:t>
      </w:r>
    </w:p>
    <w:p w14:paraId="1D2D59CB" w14:textId="7CA3BBC9" w:rsidR="008844E4" w:rsidRPr="00424BD3" w:rsidRDefault="008844E4" w:rsidP="000126EE">
      <w:pPr>
        <w:pStyle w:val="Heading4"/>
        <w:spacing w:before="0" w:line="480" w:lineRule="auto"/>
        <w:rPr>
          <w:rFonts w:ascii="Arial" w:hAnsi="Arial" w:cs="Arial"/>
          <w:color w:val="auto"/>
        </w:rPr>
      </w:pPr>
      <w:r w:rsidRPr="00424BD3">
        <w:rPr>
          <w:rFonts w:ascii="Arial" w:hAnsi="Arial" w:cs="Arial"/>
          <w:color w:val="auto"/>
        </w:rPr>
        <w:t xml:space="preserve">State to Local Funding and Policymaking </w:t>
      </w:r>
    </w:p>
    <w:p w14:paraId="6FDA7AAA" w14:textId="3275D006" w:rsidR="008844E4" w:rsidRPr="00424BD3" w:rsidRDefault="008844E4" w:rsidP="000126EE">
      <w:pPr>
        <w:spacing w:after="0" w:line="480" w:lineRule="auto"/>
        <w:ind w:firstLine="720"/>
        <w:rPr>
          <w:rFonts w:cs="Arial"/>
          <w:szCs w:val="24"/>
        </w:rPr>
      </w:pPr>
      <w:r w:rsidRPr="00424BD3">
        <w:rPr>
          <w:rFonts w:cs="Arial"/>
          <w:szCs w:val="24"/>
        </w:rPr>
        <w:t xml:space="preserve">Tennessee provides discretionary local government grants to cities and towns which are then allocated as determined by local (county, municipal) governments. East Tennessee policies and services related to older people are also administered through the East Tennessee Human Resource Agency (ETHRA), and the East Tennessee Area Agency on Aging and Disability, established by the Older Americans Act. </w:t>
      </w:r>
      <w:r w:rsidR="00C37E10" w:rsidRPr="00424BD3">
        <w:t xml:space="preserve">Their 2019-20 plan included usage of Older American Act federal funds to support elder justice; assisted transportation for improving HCBS’s, which have rolled out in local county area agencies and offices on aging; building stronger community-based organizational and clinical care partnerships; and the other component parts of the OAA. Direct state funds </w:t>
      </w:r>
      <w:r w:rsidR="00C37E10" w:rsidRPr="00424BD3">
        <w:lastRenderedPageBreak/>
        <w:t xml:space="preserve">cover TennCare Options, Public Guardianship for those 65 </w:t>
      </w:r>
      <w:r w:rsidR="00815F08" w:rsidRPr="00424BD3">
        <w:t xml:space="preserve">years </w:t>
      </w:r>
      <w:r w:rsidR="00C37E10" w:rsidRPr="00424BD3">
        <w:t xml:space="preserve">and over and the state health insurance assistance program (SHIP) which helps older Tennesseans with Medicare enrollment </w:t>
      </w:r>
      <w:r w:rsidR="00C37E10" w:rsidRPr="00424BD3">
        <w:fldChar w:fldCharType="begin"/>
      </w:r>
      <w:r w:rsidR="00F57C1F">
        <w:instrText xml:space="preserve"> ADDIN ZOTERO_ITEM CSL_CITATION {"citationID":"0jLXkzRJ","properties":{"formattedCitation":"(ETHRA &amp; East TN AAAD, 2019)","plainCitation":"(ETHRA &amp; East TN AAAD, 2019)","noteIndex":0},"citationItems":[{"id":650,"uris":["http://zotero.org/users/4946941/items/GWWQECYY"],"itemData":{"id":650,"type":"document","language":"en","publisher":"East Tennessee Human Resource Agency (ETHRA) and East Tennessee Area Agency on Aging and Disability (East TN AAAD)","title":"East Tennessee Area Plan on Aging and Disability","URL":"https://www.tn.gov/content/dam/tn/aging/documents/AreaPlan_ET_FY20.pdf","author":[{"family":"ETHRA","given":""},{"family":"East TN AAAD","given":""}],"issued":{"date-parts":[["2019"]]}}}],"schema":"https://github.com/citation-style-language/schema/raw/master/csl-citation.json"} </w:instrText>
      </w:r>
      <w:r w:rsidR="00C37E10" w:rsidRPr="00424BD3">
        <w:fldChar w:fldCharType="separate"/>
      </w:r>
      <w:r w:rsidR="00C37E10" w:rsidRPr="00424BD3">
        <w:rPr>
          <w:rFonts w:ascii="Calibri" w:hAnsi="Calibri" w:cs="Calibri"/>
        </w:rPr>
        <w:t>(</w:t>
      </w:r>
      <w:r w:rsidR="00C37E10" w:rsidRPr="009D68BF">
        <w:rPr>
          <w:rFonts w:cs="Arial"/>
        </w:rPr>
        <w:t>ETHRA &amp; East TN AAAD, 2019)</w:t>
      </w:r>
      <w:r w:rsidR="00C37E10" w:rsidRPr="00424BD3">
        <w:fldChar w:fldCharType="end"/>
      </w:r>
      <w:r w:rsidR="00C37E10" w:rsidRPr="00424BD3">
        <w:t xml:space="preserve">. ETHRA also administers funds from other federal funding programs such as the Supplemental Nutrition Assistance (SNAP) program (through the U.S. Department of Human Services) and the Collaborative Response to Elder and Vulnerable Adult Abuse (CREVAA) program </w:t>
      </w:r>
      <w:r w:rsidR="00C37E10" w:rsidRPr="00424BD3">
        <w:fldChar w:fldCharType="begin"/>
      </w:r>
      <w:r w:rsidR="00F57C1F">
        <w:instrText xml:space="preserve"> ADDIN ZOTERO_ITEM CSL_CITATION {"citationID":"imWnM5iS","properties":{"formattedCitation":"(ETHRA &amp; East TN AAAD, 2019)","plainCitation":"(ETHRA &amp; East TN AAAD, 2019)","noteIndex":0},"citationItems":[{"id":650,"uris":["http://zotero.org/users/4946941/items/GWWQECYY"],"itemData":{"id":650,"type":"document","language":"en","publisher":"East Tennessee Human Resource Agency (ETHRA) and East Tennessee Area Agency on Aging and Disability (East TN AAAD)","title":"East Tennessee Area Plan on Aging and Disability","URL":"https://www.tn.gov/content/dam/tn/aging/documents/AreaPlan_ET_FY20.pdf","author":[{"family":"ETHRA","given":""},{"family":"East TN AAAD","given":""}],"issued":{"date-parts":[["2019"]]}}}],"schema":"https://github.com/citation-style-language/schema/raw/master/csl-citation.json"} </w:instrText>
      </w:r>
      <w:r w:rsidR="00C37E10" w:rsidRPr="00424BD3">
        <w:fldChar w:fldCharType="separate"/>
      </w:r>
      <w:r w:rsidR="00C37E10" w:rsidRPr="00424BD3">
        <w:rPr>
          <w:rFonts w:ascii="Calibri" w:hAnsi="Calibri" w:cs="Calibri"/>
        </w:rPr>
        <w:t>(</w:t>
      </w:r>
      <w:r w:rsidR="00C37E10" w:rsidRPr="009D68BF">
        <w:rPr>
          <w:rFonts w:cs="Arial"/>
        </w:rPr>
        <w:t>ETHRA &amp; East TN AAAD, 2019)</w:t>
      </w:r>
      <w:r w:rsidR="00C37E10" w:rsidRPr="00424BD3">
        <w:fldChar w:fldCharType="end"/>
      </w:r>
      <w:r w:rsidR="00C37E10" w:rsidRPr="00424BD3">
        <w:t xml:space="preserve">. </w:t>
      </w:r>
      <w:r w:rsidRPr="00424BD3">
        <w:rPr>
          <w:rFonts w:cs="Arial"/>
          <w:szCs w:val="24"/>
        </w:rPr>
        <w:t xml:space="preserve">In Blount, Knox, and Sevier counties, these flow through to local community action agencies with offices on aging. </w:t>
      </w:r>
    </w:p>
    <w:p w14:paraId="739DBD01" w14:textId="1D70C3FB" w:rsidR="00C37E10" w:rsidRPr="00424BD3" w:rsidRDefault="008844E4" w:rsidP="000126EE">
      <w:pPr>
        <w:spacing w:after="0" w:line="480" w:lineRule="auto"/>
        <w:ind w:firstLine="720"/>
        <w:rPr>
          <w:rFonts w:cs="Arial"/>
          <w:szCs w:val="24"/>
        </w:rPr>
      </w:pPr>
      <w:r w:rsidRPr="00424BD3">
        <w:rPr>
          <w:rFonts w:cs="Arial"/>
          <w:szCs w:val="24"/>
        </w:rPr>
        <w:t xml:space="preserve">Local governments also generate their own revenues and expenditures. Much of their revenue comes from tax dollars. </w:t>
      </w:r>
      <w:r w:rsidR="00C37E10" w:rsidRPr="00424BD3">
        <w:t xml:space="preserve">In Tennessee, local governments raise 67.5% of their tax dollars from property taxes, 20.5% from local general sales tax and 12.0% from all other </w:t>
      </w:r>
      <w:r w:rsidR="00C37E10" w:rsidRPr="00234B95">
        <w:rPr>
          <w:rFonts w:cs="Arial"/>
        </w:rPr>
        <w:t xml:space="preserve">taxes </w:t>
      </w:r>
      <w:r w:rsidR="00C37E10" w:rsidRPr="00234B95">
        <w:rPr>
          <w:rFonts w:cs="Arial"/>
        </w:rPr>
        <w:fldChar w:fldCharType="begin"/>
      </w:r>
      <w:r w:rsidR="009E4175">
        <w:rPr>
          <w:rFonts w:cs="Arial"/>
        </w:rPr>
        <w:instrText xml:space="preserve"> ADDIN ZOTERO_ITEM CSL_CITATION {"citationID":"tSV1tpLj","properties":{"formattedCitation":"(PEW, 2021)","plainCitation":"(PEW, 2021)","noteIndex":0},"citationItems":[{"id":767,"uris":["http://zotero.org/users/4946941/items/63SI8UC3"],"itemData":{"id":767,"type":"document","language":"en","publisher":"The Pew Charitable Trusts (PEW)","title":"How Local Governments Raise Their Tax Dollars","URL":"https://www.pewtrusts.org/en/research-and-analysis/data-visualizations/2021/how-local-governments-raise-their-tax-dollars","author":[{"family":"PEW","given":""}],"issued":{"date-parts":[["2021"]]}}}],"schema":"https://github.com/citation-style-language/schema/raw/master/csl-citation.json"} </w:instrText>
      </w:r>
      <w:r w:rsidR="00C37E10" w:rsidRPr="00234B95">
        <w:rPr>
          <w:rFonts w:cs="Arial"/>
        </w:rPr>
        <w:fldChar w:fldCharType="separate"/>
      </w:r>
      <w:r w:rsidR="00C37E10" w:rsidRPr="00E331CB">
        <w:rPr>
          <w:rFonts w:cs="Arial"/>
        </w:rPr>
        <w:t>(PEW, 2021)</w:t>
      </w:r>
      <w:r w:rsidR="00C37E10" w:rsidRPr="00234B95">
        <w:rPr>
          <w:rFonts w:cs="Arial"/>
        </w:rPr>
        <w:fldChar w:fldCharType="end"/>
      </w:r>
      <w:r w:rsidR="00C37E10" w:rsidRPr="00424BD3">
        <w:t xml:space="preserve">. </w:t>
      </w:r>
      <w:r w:rsidRPr="00424BD3">
        <w:rPr>
          <w:rFonts w:cs="Arial"/>
          <w:szCs w:val="24"/>
        </w:rPr>
        <w:t xml:space="preserve">Local governments may work together, or with the state, to establish several regional or local authorities which may collect revenue via revenue bonds or various types of charges which regulate and undertake the operation of services within local areas </w:t>
      </w:r>
      <w:r w:rsidRPr="00424BD3">
        <w:rPr>
          <w:rFonts w:cs="Arial"/>
          <w:szCs w:val="24"/>
        </w:rPr>
        <w:fldChar w:fldCharType="begin"/>
      </w:r>
      <w:r w:rsidR="00990F3A">
        <w:rPr>
          <w:rFonts w:cs="Arial"/>
          <w:szCs w:val="24"/>
        </w:rPr>
        <w:instrText xml:space="preserve"> ADDIN ZOTERO_ITEM CSL_CITATION {"citationID":"kr6GTRp5","properties":{"formattedCitation":"(U.S. Census Bureau, 2021b)","plainCitation":"(U.S. Census Bureau, 2021b)","noteIndex":0},"citationItems":[{"id":849,"uris":["http://zotero.org/users/4946941/items/NR9B5CNJ"],"itemData":{"id":849,"type":"document","language":"en","title":"b. Quick Facts","URL":"https://www.census.gov/quickfacts","author":[{"family":"U.S. Census Bureau","given":""}],"issued":{"date-parts":[["2021"]]}},"label":"page"}],"schema":"https://github.com/citation-style-language/schema/raw/master/csl-citation.json"} </w:instrText>
      </w:r>
      <w:r w:rsidRPr="00424BD3">
        <w:rPr>
          <w:rFonts w:cs="Arial"/>
          <w:szCs w:val="24"/>
        </w:rPr>
        <w:fldChar w:fldCharType="separate"/>
      </w:r>
      <w:r w:rsidR="007209B3" w:rsidRPr="007209B3">
        <w:rPr>
          <w:rFonts w:cs="Arial"/>
        </w:rPr>
        <w:t>(U.S. Census Bureau, 2021b)</w:t>
      </w:r>
      <w:r w:rsidRPr="00424BD3">
        <w:rPr>
          <w:rFonts w:cs="Arial"/>
          <w:szCs w:val="24"/>
        </w:rPr>
        <w:fldChar w:fldCharType="end"/>
      </w:r>
      <w:r w:rsidRPr="00424BD3">
        <w:rPr>
          <w:rFonts w:cs="Arial"/>
          <w:szCs w:val="24"/>
        </w:rPr>
        <w:t xml:space="preserve">. These authorities can include </w:t>
      </w:r>
      <w:r w:rsidR="0011757E" w:rsidRPr="00424BD3">
        <w:rPr>
          <w:rFonts w:cs="Arial"/>
          <w:szCs w:val="24"/>
        </w:rPr>
        <w:t>several</w:t>
      </w:r>
      <w:r w:rsidRPr="00424BD3">
        <w:rPr>
          <w:rFonts w:cs="Arial"/>
          <w:szCs w:val="24"/>
        </w:rPr>
        <w:t xml:space="preserve"> systems which impact health. </w:t>
      </w:r>
      <w:r w:rsidR="00C37E10" w:rsidRPr="00424BD3">
        <w:t xml:space="preserve">These </w:t>
      </w:r>
      <w:r w:rsidR="0011757E">
        <w:t xml:space="preserve">include </w:t>
      </w:r>
      <w:r w:rsidR="00C37E10" w:rsidRPr="00424BD3">
        <w:t>but are not limited to: health facilities; hospitals; public health departments; education; transportation; housing; energy and water and other utilities; recreation and environment; economic, neighbor</w:t>
      </w:r>
      <w:r w:rsidR="00C37E10" w:rsidRPr="00234B95">
        <w:rPr>
          <w:rFonts w:cs="Arial"/>
        </w:rPr>
        <w:t xml:space="preserve">hood, residential and commercial development; and more </w:t>
      </w:r>
      <w:r w:rsidR="00C37E10" w:rsidRPr="00234B95">
        <w:rPr>
          <w:rFonts w:cs="Arial"/>
        </w:rPr>
        <w:fldChar w:fldCharType="begin"/>
      </w:r>
      <w:r w:rsidR="00990F3A">
        <w:rPr>
          <w:rFonts w:cs="Arial"/>
        </w:rPr>
        <w:instrText xml:space="preserve"> ADDIN ZOTERO_ITEM CSL_CITATION {"citationID":"wwSDcQaB","properties":{"formattedCitation":"(U.S. Census Bureau, 2021b)","plainCitation":"(U.S. Census Bureau, 2021b)","noteIndex":0},"citationItems":[{"id":849,"uris":["http://zotero.org/users/4946941/items/NR9B5CNJ"],"itemData":{"id":849,"type":"document","language":"en","title":"b. Quick Facts","URL":"https://www.census.gov/quickfacts","author":[{"family":"U.S. Census Bureau","given":""}],"issued":{"date-parts":[["2021"]]}},"label":"page"}],"schema":"https://github.com/citation-style-language/schema/raw/master/csl-citation.json"} </w:instrText>
      </w:r>
      <w:r w:rsidR="00C37E10" w:rsidRPr="00234B95">
        <w:rPr>
          <w:rFonts w:cs="Arial"/>
        </w:rPr>
        <w:fldChar w:fldCharType="separate"/>
      </w:r>
      <w:r w:rsidR="00E331CB" w:rsidRPr="00E331CB">
        <w:rPr>
          <w:rFonts w:cs="Arial"/>
        </w:rPr>
        <w:t>(U.S. Census Bureau, 2021b)</w:t>
      </w:r>
      <w:r w:rsidR="00C37E10" w:rsidRPr="00234B95">
        <w:rPr>
          <w:rFonts w:cs="Arial"/>
        </w:rPr>
        <w:fldChar w:fldCharType="end"/>
      </w:r>
      <w:r w:rsidR="00C37E10" w:rsidRPr="00424BD3">
        <w:t>.</w:t>
      </w:r>
    </w:p>
    <w:p w14:paraId="2BA0B542" w14:textId="65771A8C" w:rsidR="008844E4" w:rsidRPr="00424BD3" w:rsidRDefault="008844E4" w:rsidP="000126EE">
      <w:pPr>
        <w:spacing w:after="0" w:line="480" w:lineRule="auto"/>
        <w:ind w:firstLine="720"/>
        <w:rPr>
          <w:rFonts w:cs="Arial"/>
          <w:szCs w:val="24"/>
        </w:rPr>
      </w:pPr>
      <w:r w:rsidRPr="00424BD3">
        <w:rPr>
          <w:rFonts w:cs="Arial"/>
          <w:szCs w:val="24"/>
        </w:rPr>
        <w:t xml:space="preserve">While these authorities can be created locally, they must have governing bodies, which rarely include at large members. Most are governed without direct community input by a combination of local mayors, local senate and house representatives, state </w:t>
      </w:r>
      <w:r w:rsidRPr="00424BD3">
        <w:rPr>
          <w:rFonts w:cs="Arial"/>
          <w:szCs w:val="24"/>
        </w:rPr>
        <w:lastRenderedPageBreak/>
        <w:t xml:space="preserve">commissioners, or those appointed by any of the above. For older women in East Tennessee, this can mean very little representation on issues that affect their health or the health inequities they face, especially for racialized and other marginalized older women since all East Tennessee counties except two are majority white </w:t>
      </w:r>
      <w:r w:rsidRPr="00424BD3">
        <w:rPr>
          <w:rFonts w:cs="Arial"/>
          <w:szCs w:val="24"/>
        </w:rPr>
        <w:fldChar w:fldCharType="begin"/>
      </w:r>
      <w:r w:rsidR="00990F3A">
        <w:rPr>
          <w:rFonts w:cs="Arial"/>
          <w:szCs w:val="24"/>
        </w:rPr>
        <w:instrText xml:space="preserve"> ADDIN ZOTERO_ITEM CSL_CITATION {"citationID":"qsgHFqtV","properties":{"formattedCitation":"(Schaeffer, 2019)","plainCitation":"(Schaeffer, 2019)","noteIndex":0},"citationItems":[{"id":800,"uris":["http://zotero.org/users/4946941/items/462SA357"],"itemData":{"id":800,"type":"document","language":"en","publisher":"Pew Research Center","title":"In a rising number of U.S. counties, Hispanic and black Americans are the majority","URL":"https://www.pewresearch.org/fact-tank/2019/11/20/in-a-rising-number-of-u-s-counties-hispanic-and-black-americans-are-the-majority/#counties","author":[{"family":"Schaeffer","given":"K."}],"issued":{"date-parts":[["2019"]]}}}],"schema":"https://github.com/citation-style-language/schema/raw/master/csl-citation.json"} </w:instrText>
      </w:r>
      <w:r w:rsidRPr="00424BD3">
        <w:rPr>
          <w:rFonts w:cs="Arial"/>
          <w:szCs w:val="24"/>
        </w:rPr>
        <w:fldChar w:fldCharType="separate"/>
      </w:r>
      <w:r w:rsidRPr="00424BD3">
        <w:rPr>
          <w:rFonts w:cs="Arial"/>
        </w:rPr>
        <w:t>(Schaeffer, 2019)</w:t>
      </w:r>
      <w:r w:rsidRPr="00424BD3">
        <w:rPr>
          <w:rFonts w:cs="Arial"/>
          <w:szCs w:val="24"/>
        </w:rPr>
        <w:fldChar w:fldCharType="end"/>
      </w:r>
      <w:r w:rsidRPr="00424BD3">
        <w:rPr>
          <w:rFonts w:cs="Arial"/>
          <w:szCs w:val="24"/>
        </w:rPr>
        <w:t xml:space="preserve"> and all of the state’s county commissions are majority male </w:t>
      </w:r>
      <w:r w:rsidRPr="00424BD3">
        <w:rPr>
          <w:rFonts w:cs="Arial"/>
          <w:szCs w:val="24"/>
        </w:rPr>
        <w:fldChar w:fldCharType="begin"/>
      </w:r>
      <w:r w:rsidR="00AB7EA7">
        <w:rPr>
          <w:rFonts w:cs="Arial"/>
          <w:szCs w:val="24"/>
        </w:rPr>
        <w:instrText xml:space="preserve"> ADDIN ZOTERO_ITEM CSL_CITATION {"citationID":"lc0Vwa1M","properties":{"formattedCitation":"(CTAS, 2021)","plainCitation":"(CTAS, 2021)","noteIndex":0},"citationItems":[{"id":640,"uris":["http://zotero.org/users/4946941/items/B25IP6UH"],"itemData":{"id":640,"type":"document","language":"en","publisher":"County Technical Assistance Service (CTAS). University of Tennessee, Institute for Public Service","title":"County Commissioners","URL":"http://www.ctas.tennessee.edu/gml/county-commissioners","author":[{"family":"CTAS","given":""}],"issued":{"date-parts":[["2021"]]}}}],"schema":"https://github.com/citation-style-language/schema/raw/master/csl-citation.json"} </w:instrText>
      </w:r>
      <w:r w:rsidRPr="00424BD3">
        <w:rPr>
          <w:rFonts w:cs="Arial"/>
          <w:szCs w:val="24"/>
        </w:rPr>
        <w:fldChar w:fldCharType="separate"/>
      </w:r>
      <w:r w:rsidRPr="00424BD3">
        <w:rPr>
          <w:rFonts w:cs="Arial"/>
        </w:rPr>
        <w:t>(CTAS, 2021)</w:t>
      </w:r>
      <w:r w:rsidRPr="00424BD3">
        <w:rPr>
          <w:rFonts w:cs="Arial"/>
          <w:szCs w:val="24"/>
        </w:rPr>
        <w:fldChar w:fldCharType="end"/>
      </w:r>
      <w:r w:rsidRPr="00424BD3">
        <w:rPr>
          <w:rFonts w:cs="Arial"/>
          <w:szCs w:val="24"/>
        </w:rPr>
        <w:t>.</w:t>
      </w:r>
    </w:p>
    <w:p w14:paraId="4F567539" w14:textId="7E914A57" w:rsidR="008951E9" w:rsidRDefault="008844E4" w:rsidP="00DD4EAF">
      <w:pPr>
        <w:spacing w:after="0" w:line="480" w:lineRule="auto"/>
        <w:ind w:firstLine="720"/>
        <w:rPr>
          <w:rFonts w:cs="Arial"/>
          <w:szCs w:val="24"/>
        </w:rPr>
      </w:pPr>
      <w:r w:rsidRPr="00424BD3">
        <w:rPr>
          <w:rFonts w:cs="Arial"/>
          <w:szCs w:val="24"/>
        </w:rPr>
        <w:t xml:space="preserve">As noted earlier, local governments (and non-profits) provide boosted funding and fundraise for these services where they can, as well as work to fill in the gaps that the OAA funding does not provide or does not fully cover. </w:t>
      </w:r>
      <w:r w:rsidR="000734CA" w:rsidRPr="00424BD3">
        <w:rPr>
          <w:rFonts w:cs="Arial"/>
          <w:szCs w:val="24"/>
        </w:rPr>
        <w:t xml:space="preserve">One example includes the OAA Title IIIC Nutrition Services program, contracted out to vendor providers, which is suffering from increases in labor and meal costs and lack of regional coordination. </w:t>
      </w:r>
      <w:r w:rsidR="000734CA" w:rsidRPr="00424BD3">
        <w:rPr>
          <w:rFonts w:cs="Arial"/>
          <w:szCs w:val="24"/>
        </w:rPr>
        <w:fldChar w:fldCharType="begin"/>
      </w:r>
      <w:r w:rsidR="00F57C1F">
        <w:rPr>
          <w:rFonts w:cs="Arial"/>
          <w:szCs w:val="24"/>
        </w:rPr>
        <w:instrText xml:space="preserve"> ADDIN ZOTERO_ITEM CSL_CITATION {"citationID":"rjHWA1NX","properties":{"formattedCitation":"(ETHRA &amp; East TN AAAD, 2019)","plainCitation":"(ETHRA &amp; East TN AAAD, 2019)","noteIndex":0},"citationItems":[{"id":650,"uris":["http://zotero.org/users/4946941/items/GWWQECYY"],"itemData":{"id":650,"type":"document","language":"en","publisher":"East Tennessee Human Resource Agency (ETHRA) and East Tennessee Area Agency on Aging and Disability (East TN AAAD)","title":"East Tennessee Area Plan on Aging and Disability","URL":"https://www.tn.gov/content/dam/tn/aging/documents/AreaPlan_ET_FY20.pdf","author":[{"family":"ETHRA","given":""},{"family":"East TN AAAD","given":""}],"issued":{"date-parts":[["2019"]]}}}],"schema":"https://github.com/citation-style-language/schema/raw/master/csl-citation.json"} </w:instrText>
      </w:r>
      <w:r w:rsidR="000734CA" w:rsidRPr="00424BD3">
        <w:rPr>
          <w:rFonts w:cs="Arial"/>
          <w:szCs w:val="24"/>
        </w:rPr>
        <w:fldChar w:fldCharType="separate"/>
      </w:r>
      <w:r w:rsidR="000734CA" w:rsidRPr="00424BD3">
        <w:rPr>
          <w:rFonts w:cs="Arial"/>
          <w:szCs w:val="24"/>
        </w:rPr>
        <w:t>(ETHRA &amp; East TN AAAD, 2019)</w:t>
      </w:r>
      <w:r w:rsidR="000734CA" w:rsidRPr="00424BD3">
        <w:rPr>
          <w:rFonts w:cs="Arial"/>
          <w:szCs w:val="24"/>
        </w:rPr>
        <w:fldChar w:fldCharType="end"/>
      </w:r>
      <w:r w:rsidR="000734CA" w:rsidRPr="00424BD3">
        <w:rPr>
          <w:rFonts w:cs="Arial"/>
          <w:szCs w:val="24"/>
        </w:rPr>
        <w:t xml:space="preserve">. This makes it more difficult to provide older community members the meals they need. Likewise, in 2019-2020, ETHRA could not add any new TennCare Options clients due to lack of state funding, despite a long-waiting list. </w:t>
      </w:r>
      <w:r w:rsidRPr="00424BD3">
        <w:rPr>
          <w:rFonts w:cs="Arial"/>
          <w:szCs w:val="24"/>
        </w:rPr>
        <w:t>This means that older Tennesseans on waiting list</w:t>
      </w:r>
      <w:r w:rsidR="00677BE3" w:rsidRPr="00424BD3">
        <w:rPr>
          <w:rFonts w:cs="Arial"/>
          <w:szCs w:val="24"/>
        </w:rPr>
        <w:t xml:space="preserve">s </w:t>
      </w:r>
      <w:r w:rsidR="00C97FD9" w:rsidRPr="00424BD3">
        <w:rPr>
          <w:rFonts w:cs="Arial"/>
          <w:szCs w:val="24"/>
        </w:rPr>
        <w:t>for</w:t>
      </w:r>
      <w:r w:rsidR="00867725" w:rsidRPr="00424BD3">
        <w:rPr>
          <w:rFonts w:cs="Arial"/>
          <w:szCs w:val="24"/>
        </w:rPr>
        <w:t xml:space="preserve"> services </w:t>
      </w:r>
      <w:r w:rsidRPr="00424BD3">
        <w:rPr>
          <w:rFonts w:cs="Arial"/>
          <w:szCs w:val="24"/>
        </w:rPr>
        <w:t xml:space="preserve">in the East Tennessee area continue to not receive much needed services for which they are eligible. Some remain on the waiting list for years, a problem which could be resolved through the State undertaking expansion of federally funded program dollars in which it currently does not participate, as well as the usage of some of its high reserve / rainy day monies </w:t>
      </w:r>
      <w:r w:rsidRPr="00424BD3">
        <w:rPr>
          <w:rFonts w:cs="Arial"/>
          <w:szCs w:val="24"/>
        </w:rPr>
        <w:fldChar w:fldCharType="begin"/>
      </w:r>
      <w:r w:rsidR="00990F3A">
        <w:rPr>
          <w:rFonts w:cs="Arial"/>
          <w:szCs w:val="24"/>
        </w:rPr>
        <w:instrText xml:space="preserve"> ADDIN ZOTERO_ITEM CSL_CITATION {"citationID":"H9QAnaoC","properties":{"formattedCitation":"(Pellegrin, 2018b)","plainCitation":"(Pellegrin, 2018b)","noteIndex":0},"citationItems":[{"id":761,"uris":["http://zotero.org/users/4946941/items/3JZKXXGH"],"itemData":{"id":761,"type":"document","language":"en","title":"b). Summary of Gov. Haslams’ FY 2018-2019 Amended Budget. The Sycamore Institute","URL":"https://www.sycamoreinstitutetn.org/gov-haslams-fy-2018-2019-amended-budget/","author":[{"family":"Pellegrin","given":"M."}],"issued":{"date-parts":[["2018"]]}},"label":"page"}],"schema":"https://github.com/citation-style-language/schema/raw/master/csl-citation.json"} </w:instrText>
      </w:r>
      <w:r w:rsidRPr="00424BD3">
        <w:rPr>
          <w:rFonts w:cs="Arial"/>
          <w:szCs w:val="24"/>
        </w:rPr>
        <w:fldChar w:fldCharType="separate"/>
      </w:r>
      <w:r w:rsidR="00BB4D0E" w:rsidRPr="00BB4D0E">
        <w:rPr>
          <w:rFonts w:cs="Arial"/>
        </w:rPr>
        <w:t>(Pellegrin, 2018b)</w:t>
      </w:r>
      <w:r w:rsidRPr="00424BD3">
        <w:rPr>
          <w:rFonts w:cs="Arial"/>
          <w:szCs w:val="24"/>
        </w:rPr>
        <w:fldChar w:fldCharType="end"/>
      </w:r>
      <w:r w:rsidRPr="00424BD3">
        <w:rPr>
          <w:rFonts w:cs="Arial"/>
          <w:szCs w:val="24"/>
        </w:rPr>
        <w:t xml:space="preserve">. </w:t>
      </w:r>
    </w:p>
    <w:p w14:paraId="23C50322" w14:textId="4C2CB331" w:rsidR="00892EE0" w:rsidRPr="00DD4EAF" w:rsidRDefault="00892EE0" w:rsidP="00DD4EAF">
      <w:pPr>
        <w:pStyle w:val="Heading2"/>
        <w:spacing w:before="0" w:line="480" w:lineRule="auto"/>
        <w:jc w:val="center"/>
        <w:rPr>
          <w:rFonts w:ascii="Arial" w:hAnsi="Arial" w:cs="Arial"/>
          <w:b/>
          <w:color w:val="auto"/>
          <w:sz w:val="24"/>
          <w:szCs w:val="24"/>
        </w:rPr>
      </w:pPr>
      <w:bookmarkStart w:id="58" w:name="_Toc118232324"/>
      <w:r w:rsidRPr="00DD4EAF">
        <w:rPr>
          <w:rFonts w:ascii="Arial" w:hAnsi="Arial" w:cs="Arial"/>
          <w:b/>
          <w:color w:val="auto"/>
          <w:sz w:val="24"/>
          <w:szCs w:val="24"/>
        </w:rPr>
        <w:t>Conclusion</w:t>
      </w:r>
      <w:bookmarkEnd w:id="58"/>
    </w:p>
    <w:p w14:paraId="355DF4B7" w14:textId="170E30B1" w:rsidR="00626165" w:rsidRPr="00DD4EAF" w:rsidRDefault="00626165" w:rsidP="00DD4EAF">
      <w:pPr>
        <w:pStyle w:val="Heading2UTK"/>
        <w:spacing w:after="0" w:line="480" w:lineRule="auto"/>
        <w:ind w:firstLine="720"/>
        <w:jc w:val="left"/>
        <w:rPr>
          <w:b w:val="0"/>
        </w:rPr>
      </w:pPr>
      <w:r>
        <w:rPr>
          <w:b w:val="0"/>
        </w:rPr>
        <w:t xml:space="preserve">The geopolitical context in which these women live provides an understanding of the structural and systemic issues which mold the policies and interventions that impact the health inequities they face. Tennessee’s geopolitical </w:t>
      </w:r>
      <w:r w:rsidR="00A01F69">
        <w:rPr>
          <w:b w:val="0"/>
        </w:rPr>
        <w:t xml:space="preserve">and geocultural </w:t>
      </w:r>
      <w:r>
        <w:rPr>
          <w:b w:val="0"/>
        </w:rPr>
        <w:t xml:space="preserve">environment, </w:t>
      </w:r>
      <w:r>
        <w:rPr>
          <w:b w:val="0"/>
        </w:rPr>
        <w:lastRenderedPageBreak/>
        <w:t>along with other neoliberal, and highly conservative states within the U.S., restricts some provisions, funding, and services that would perhaps otherwise be available to these women if they lived in a non-highly neoliberal, conservative state. Moreover, Tennessee’s state legislat</w:t>
      </w:r>
      <w:r w:rsidR="005433DE">
        <w:rPr>
          <w:b w:val="0"/>
        </w:rPr>
        <w:t>ive members</w:t>
      </w:r>
      <w:r>
        <w:rPr>
          <w:b w:val="0"/>
        </w:rPr>
        <w:t>, governor and most local government</w:t>
      </w:r>
      <w:r w:rsidR="005433DE">
        <w:rPr>
          <w:b w:val="0"/>
        </w:rPr>
        <w:t xml:space="preserve"> elected officials </w:t>
      </w:r>
      <w:r>
        <w:rPr>
          <w:b w:val="0"/>
        </w:rPr>
        <w:t xml:space="preserve">often </w:t>
      </w:r>
      <w:r w:rsidR="005433DE">
        <w:rPr>
          <w:b w:val="0"/>
        </w:rPr>
        <w:t xml:space="preserve">overlay fundamentalist Christian values with the policymaking decisions they make. </w:t>
      </w:r>
      <w:r w:rsidR="000812B1">
        <w:rPr>
          <w:b w:val="0"/>
        </w:rPr>
        <w:t>Tennessee’s health norms and neoliberalism favor the ‘individual responsibility’ narrative around health outcomes and around investment in healthcare.</w:t>
      </w:r>
      <w:r w:rsidR="00DD4EAF">
        <w:rPr>
          <w:b w:val="0"/>
        </w:rPr>
        <w:t xml:space="preserve"> </w:t>
      </w:r>
      <w:r w:rsidR="000A0BBD">
        <w:rPr>
          <w:b w:val="0"/>
        </w:rPr>
        <w:t xml:space="preserve">This can mean that older women in East Tennessee are also affected by social and cultural norms that permeate decision-making around health inequities issues and therefore, may harm them or exacerbate the inequities they face. </w:t>
      </w:r>
      <w:r w:rsidR="000812B1">
        <w:rPr>
          <w:b w:val="0"/>
        </w:rPr>
        <w:t xml:space="preserve">As a result, older women in Tennessee encounter </w:t>
      </w:r>
      <w:r w:rsidR="00E01A6F">
        <w:rPr>
          <w:b w:val="0"/>
        </w:rPr>
        <w:t>several</w:t>
      </w:r>
      <w:r w:rsidR="000812B1">
        <w:rPr>
          <w:b w:val="0"/>
        </w:rPr>
        <w:t xml:space="preserve"> barriers to mitigating the effects of health inequities on their lives and, indeed, may face worsening of the health inequities they face as a result of living in a geopolitical environment such as </w:t>
      </w:r>
      <w:r w:rsidR="00DD4EAF">
        <w:rPr>
          <w:b w:val="0"/>
        </w:rPr>
        <w:t xml:space="preserve">that in </w:t>
      </w:r>
      <w:r w:rsidR="000812B1">
        <w:rPr>
          <w:b w:val="0"/>
        </w:rPr>
        <w:t>Tennesse</w:t>
      </w:r>
      <w:r w:rsidR="00DD4EAF">
        <w:rPr>
          <w:b w:val="0"/>
        </w:rPr>
        <w:t>e</w:t>
      </w:r>
      <w:r w:rsidR="000812B1">
        <w:rPr>
          <w:b w:val="0"/>
        </w:rPr>
        <w:t xml:space="preserve">. </w:t>
      </w:r>
    </w:p>
    <w:p w14:paraId="777336DA" w14:textId="77777777" w:rsidR="008951E9" w:rsidRPr="00424BD3" w:rsidRDefault="008951E9" w:rsidP="00DD4EAF">
      <w:pPr>
        <w:spacing w:after="0" w:line="480" w:lineRule="auto"/>
        <w:rPr>
          <w:rFonts w:cs="Arial"/>
          <w:szCs w:val="24"/>
        </w:rPr>
      </w:pPr>
      <w:r w:rsidRPr="00424BD3">
        <w:rPr>
          <w:rFonts w:cs="Arial"/>
          <w:szCs w:val="24"/>
        </w:rPr>
        <w:br w:type="page"/>
      </w:r>
    </w:p>
    <w:p w14:paraId="7BEE2380" w14:textId="77777777" w:rsidR="00F20D74" w:rsidRPr="00424BD3" w:rsidRDefault="008844E4" w:rsidP="00F20D74">
      <w:pPr>
        <w:pStyle w:val="Heading1"/>
        <w:spacing w:before="0" w:line="480" w:lineRule="auto"/>
        <w:jc w:val="center"/>
        <w:rPr>
          <w:rFonts w:ascii="Arial" w:hAnsi="Arial" w:cs="Arial"/>
          <w:b/>
          <w:bCs/>
          <w:color w:val="auto"/>
          <w:sz w:val="24"/>
          <w:szCs w:val="24"/>
        </w:rPr>
      </w:pPr>
      <w:bookmarkStart w:id="59" w:name="_Toc118232325"/>
      <w:r w:rsidRPr="00424BD3">
        <w:rPr>
          <w:rFonts w:ascii="Arial" w:hAnsi="Arial" w:cs="Arial"/>
          <w:b/>
          <w:bCs/>
          <w:color w:val="auto"/>
          <w:sz w:val="24"/>
          <w:szCs w:val="24"/>
        </w:rPr>
        <w:lastRenderedPageBreak/>
        <w:t xml:space="preserve">CHAPTER </w:t>
      </w:r>
      <w:r w:rsidR="004F5ACC" w:rsidRPr="00424BD3">
        <w:rPr>
          <w:rFonts w:ascii="Arial" w:hAnsi="Arial" w:cs="Arial"/>
          <w:b/>
          <w:bCs/>
          <w:color w:val="auto"/>
          <w:sz w:val="24"/>
          <w:szCs w:val="24"/>
        </w:rPr>
        <w:t>FIVE</w:t>
      </w:r>
      <w:bookmarkEnd w:id="59"/>
      <w:r w:rsidR="00F20D74" w:rsidRPr="00424BD3">
        <w:rPr>
          <w:rFonts w:ascii="Arial" w:hAnsi="Arial" w:cs="Arial"/>
          <w:b/>
          <w:bCs/>
          <w:color w:val="auto"/>
          <w:sz w:val="24"/>
          <w:szCs w:val="24"/>
        </w:rPr>
        <w:t xml:space="preserve"> </w:t>
      </w:r>
    </w:p>
    <w:p w14:paraId="6A95DF60" w14:textId="5C747D0C" w:rsidR="008844E4" w:rsidRPr="00424BD3" w:rsidRDefault="008844E4" w:rsidP="00F20D74">
      <w:pPr>
        <w:pStyle w:val="Heading1"/>
        <w:spacing w:before="0" w:line="480" w:lineRule="auto"/>
        <w:jc w:val="center"/>
        <w:rPr>
          <w:rFonts w:ascii="Arial" w:hAnsi="Arial" w:cs="Arial"/>
          <w:b/>
          <w:bCs/>
          <w:color w:val="auto"/>
          <w:sz w:val="24"/>
          <w:szCs w:val="24"/>
        </w:rPr>
      </w:pPr>
      <w:bookmarkStart w:id="60" w:name="_Toc118232326"/>
      <w:r w:rsidRPr="00424BD3">
        <w:rPr>
          <w:rFonts w:ascii="Arial" w:hAnsi="Arial" w:cs="Arial"/>
          <w:b/>
          <w:bCs/>
          <w:color w:val="auto"/>
          <w:sz w:val="24"/>
          <w:szCs w:val="24"/>
        </w:rPr>
        <w:t>PARTICIPANT CONTEXT – LIVED EXPERIENCE AND NORMS</w:t>
      </w:r>
      <w:bookmarkEnd w:id="60"/>
    </w:p>
    <w:p w14:paraId="12A76435" w14:textId="77777777" w:rsidR="008844E4" w:rsidRPr="00424BD3" w:rsidRDefault="008844E4" w:rsidP="000126EE">
      <w:pPr>
        <w:spacing w:after="0" w:line="480" w:lineRule="auto"/>
        <w:ind w:firstLine="720"/>
        <w:rPr>
          <w:rFonts w:cs="Arial"/>
          <w:szCs w:val="24"/>
        </w:rPr>
      </w:pPr>
    </w:p>
    <w:p w14:paraId="3ABC022C" w14:textId="51FA4238" w:rsidR="008844E4" w:rsidRPr="00424BD3" w:rsidRDefault="005B4EA1" w:rsidP="000126EE">
      <w:pPr>
        <w:spacing w:after="0" w:line="480" w:lineRule="auto"/>
        <w:ind w:firstLine="720"/>
        <w:rPr>
          <w:rFonts w:cs="Arial"/>
          <w:szCs w:val="24"/>
        </w:rPr>
      </w:pPr>
      <w:r w:rsidRPr="00424BD3">
        <w:rPr>
          <w:rFonts w:cs="Arial"/>
          <w:szCs w:val="24"/>
        </w:rPr>
        <w:t xml:space="preserve">The women in this cohort were born and spent their early childhood during extremely adversarial geopolitical circumstances, in the immediate years following World War </w:t>
      </w:r>
      <w:r w:rsidR="00150871" w:rsidRPr="00424BD3">
        <w:rPr>
          <w:rFonts w:cs="Arial"/>
          <w:szCs w:val="24"/>
        </w:rPr>
        <w:t>II</w:t>
      </w:r>
      <w:r w:rsidRPr="00424BD3">
        <w:rPr>
          <w:rFonts w:cs="Arial"/>
          <w:szCs w:val="24"/>
        </w:rPr>
        <w:t>, followed by a return to war in every subsequent decade since the 1950’s. They grew up in the 1950s</w:t>
      </w:r>
      <w:r w:rsidR="00DF617C">
        <w:rPr>
          <w:rFonts w:cs="Arial"/>
          <w:szCs w:val="24"/>
        </w:rPr>
        <w:t>’</w:t>
      </w:r>
      <w:r w:rsidRPr="00424BD3">
        <w:rPr>
          <w:rFonts w:cs="Arial"/>
          <w:szCs w:val="24"/>
        </w:rPr>
        <w:t xml:space="preserve"> misogynistic ideals of womanhood </w:t>
      </w:r>
      <w:r w:rsidR="00C05A8B" w:rsidRPr="00424BD3">
        <w:rPr>
          <w:rFonts w:cs="Arial"/>
          <w:szCs w:val="24"/>
        </w:rPr>
        <w:fldChar w:fldCharType="begin"/>
      </w:r>
      <w:r w:rsidR="00833186">
        <w:rPr>
          <w:rFonts w:cs="Arial"/>
          <w:szCs w:val="24"/>
        </w:rPr>
        <w:instrText xml:space="preserve"> ADDIN ZOTERO_ITEM CSL_CITATION {"citationID":"yEtW8dKi","properties":{"formattedCitation":"(Dimitrieska &amp; Efremova, 2020; Guglielmo, 2018; PBS, n.d.)","plainCitation":"(Dimitrieska &amp; Efremova, 2020; Guglielmo, 2018; PBS, n.d.)","noteIndex":0},"citationItems":[{"id":1281,"uris":["http://zotero.org/users/4946941/items/Q2BUKU7E"],"itemData":{"id":1281,"type":"article-journal","abstract":"Advertising is a very important and powerful tool for companies to attract consumers. Companies spend huge sums of money to fight against the consumer’s attention deficits. That is why they try to make their ads interesting, more attractive, appealing, sex ier, exciting. However, at the same time, advertising is a reflection of existing social, economic, political, scientific, technological, cultural, and moral values of a society.","ISSN":"2367-7600; 1312-594X","issue":"1","language":"en","page":"164-170","source":"Zotero","title":"Women in Advertising","volume":"XVII","author":[{"family":"Dimitrieska","given":"Savica"},{"family":"Efremova","given":"Tanja"}],"issued":{"date-parts":[["2020"]]}}},{"id":1278,"uris":["http://zotero.org/users/4946941/items/ADHYLT6J"],"itemData":{"id":1278,"type":"book","abstract":"This set surveys American misogyny in all its cultural forms, from popular music, film, and education to healthcare, politics, and business. The work also assesses proposals to confront and reduce such expressions of hatred.The essays contained in this two-volume set explore misogyny within various areas of American culture to demonstrate its pervasiveness and identify common foundations of its many presentations. Beyond a basic definition of misogyny, which includes hatred of women and girls and the ways in which this hatred and distrust influences action, speech, discrimination, policy, and culture in the United States, this project also aims to expand and complicate definitions of misogyny in order to provide readers with a robust introduction to and understanding of the larger topic. Given the current political and cultural climate and the more frequent and widespread use of the term \"misogyny\" by various media outlets and voters during the 2016 presidential election, this book has the potential both to contribute to ongoing conversations on misogyny and, among its intended audience of advanced high school, beginning college students and the general public, to inform a shift currently unfolding in public conversation on the topic.Engages readers in an exploration of the history and impact of as well as current trends in and responses to misogyny on various areas of American culture to demonstrate its pervasiveness and its common foundationsIllustrates the role of digital and social media in both amplifying misogyny and serving as a site for response to and action against misogynyDemonstrates that patterns of misogynistic behaviors and actions are evident throughout US history, with contemporary forms of harassment and violence often replicating those of previous decades and even centuriesProvides a chronology of events and an appendix of organizations and agencies involved in confronting and combating misogyny in American society for ease of reference","ISBN":"978-1-4408-5382-1","language":"en","note":"Google-Books-ID: nM5wDwAAQBAJ","number-of-pages":"34","publisher":"ABC-CLIO","source":"Google Books","title":"Misogyny in American Culture: Causes, Trends, and Solutions [2 volumes]","title-short":"Misogyny in American Culture","author":[{"family":"Guglielmo","given":"Letizia"}],"issued":{"date-parts":[["2018",10,1]]}}},{"id":1282,"uris":["http://zotero.org/users/4946941/items/RXS63PA8"],"itemData":{"id":1282,"type":"webpage","abstract":"American society in the 1950s was geared toward the family. Marriage and children were part of the national agenda.","container-title":"Public Broadcasting System (PBS)","language":"en","title":"Mrs. America: Women's Roles in the 1950s | American Experience | The Pill","title-short":"Mrs. America","URL":"https://www.pbs.org/wgbh/americanexperience/features/pill-mrs-america-womens-roles-1950s/","author":[{"family":"PBS","given":""}],"accessed":{"date-parts":[["2022",9,1]]},"issued":{"literal":"n.d."}},"label":"page"}],"schema":"https://github.com/citation-style-language/schema/raw/master/csl-citation.json"} </w:instrText>
      </w:r>
      <w:r w:rsidR="00C05A8B" w:rsidRPr="00424BD3">
        <w:rPr>
          <w:rFonts w:cs="Arial"/>
          <w:szCs w:val="24"/>
        </w:rPr>
        <w:fldChar w:fldCharType="separate"/>
      </w:r>
      <w:r w:rsidR="009E4175" w:rsidRPr="009E4175">
        <w:rPr>
          <w:rFonts w:cs="Arial"/>
        </w:rPr>
        <w:t>(Dimitrieska &amp; Efremova, 2020; Guglielmo, 2018; PBS, n.d.)</w:t>
      </w:r>
      <w:r w:rsidR="00C05A8B" w:rsidRPr="00424BD3">
        <w:rPr>
          <w:rFonts w:cs="Arial"/>
          <w:szCs w:val="24"/>
        </w:rPr>
        <w:fldChar w:fldCharType="end"/>
      </w:r>
      <w:r w:rsidRPr="00424BD3">
        <w:rPr>
          <w:rFonts w:cs="Arial"/>
          <w:szCs w:val="24"/>
        </w:rPr>
        <w:t xml:space="preserve">, born into </w:t>
      </w:r>
      <w:r w:rsidR="00EF5746" w:rsidRPr="00424BD3">
        <w:rPr>
          <w:rFonts w:cs="Arial"/>
          <w:szCs w:val="24"/>
        </w:rPr>
        <w:t xml:space="preserve">a history of </w:t>
      </w:r>
      <w:r w:rsidRPr="00424BD3">
        <w:rPr>
          <w:rFonts w:cs="Arial"/>
          <w:szCs w:val="24"/>
        </w:rPr>
        <w:t xml:space="preserve">laws, policies and interventions that stripped women of social rights, including: being </w:t>
      </w:r>
      <w:r w:rsidR="00E7153D" w:rsidRPr="00424BD3">
        <w:rPr>
          <w:rFonts w:cs="Arial"/>
          <w:szCs w:val="24"/>
        </w:rPr>
        <w:t xml:space="preserve">explicitly </w:t>
      </w:r>
      <w:r w:rsidRPr="00424BD3">
        <w:rPr>
          <w:rFonts w:cs="Arial"/>
          <w:szCs w:val="24"/>
        </w:rPr>
        <w:t>identified as a ‘person’ in the U.S. Constitution</w:t>
      </w:r>
      <w:r w:rsidR="00C46699" w:rsidRPr="00424BD3">
        <w:rPr>
          <w:rFonts w:cs="Arial"/>
          <w:szCs w:val="24"/>
        </w:rPr>
        <w:t xml:space="preserve"> (</w:t>
      </w:r>
      <w:r w:rsidR="00E7153D" w:rsidRPr="00424BD3">
        <w:rPr>
          <w:rFonts w:cs="Arial"/>
          <w:szCs w:val="24"/>
        </w:rPr>
        <w:t xml:space="preserve">though several people argue that women were implicitly </w:t>
      </w:r>
      <w:r w:rsidR="003E1B22" w:rsidRPr="00424BD3">
        <w:rPr>
          <w:rFonts w:cs="Arial"/>
          <w:szCs w:val="24"/>
        </w:rPr>
        <w:t>included as persons</w:t>
      </w:r>
      <w:r w:rsidR="00C46699" w:rsidRPr="00424BD3">
        <w:rPr>
          <w:rFonts w:cs="Arial"/>
          <w:szCs w:val="24"/>
        </w:rPr>
        <w:t xml:space="preserve">) </w:t>
      </w:r>
      <w:r w:rsidR="009C2E19" w:rsidRPr="00424BD3">
        <w:rPr>
          <w:rFonts w:cs="Arial"/>
          <w:szCs w:val="24"/>
        </w:rPr>
        <w:fldChar w:fldCharType="begin"/>
      </w:r>
      <w:r w:rsidR="00990F3A">
        <w:rPr>
          <w:rFonts w:cs="Arial"/>
          <w:szCs w:val="24"/>
        </w:rPr>
        <w:instrText xml:space="preserve"> ADDIN ZOTERO_ITEM CSL_CITATION {"citationID":"gorPmzEm","properties":{"formattedCitation":"(Lewis, n.d.; Rohlinger, 2018)","plainCitation":"(Lewis, n.d.; Rohlinger, 2018)","noteIndex":0},"citationItems":[{"id":1284,"uris":["http://zotero.org/users/4946941/items/8JBNQSXE"],"itemData":{"id":1284,"type":"webpage","abstract":"But what if women indeed were mentioned? Would we have to change our interpretation of the place of women in the Constitution?","container-title":"Commonplace","language":"en-US","title":"Women and the Constitution: Why the Constitution Includes Women","title-short":"Women and the Constitution","URL":"http://commonplace.online/article/women-and-the-constitution-why-the-constitution-includes-women/","author":[{"family":"Lewis","given":"Jan Ellen"}],"accessed":{"date-parts":[["2022",9,1]]},"issued":{"literal":"n.d."}}},{"id":1286,"uris":["http://zotero.org/users/4946941/items/D9NICJ9Q"],"itemData":{"id":1286,"type":"webpage","abstract":"In the #MeToo era and with more women entering Congress, activists are hopeful another state could ratify the Equal Rights Amendment. But is it too late?","container-title":"The Conversation","language":"en","title":"In 2019, women's rights are still not explicitly recognized in US Constitution","URL":"http://theconversation.com/in-2019-womens-rights-are-still-not-explicitly-recognized-in-us-constitution-108150","author":[{"family":"Rohlinger","given":"Deana"}],"accessed":{"date-parts":[["2022",9,1]]},"issued":{"date-parts":[["2018",12,13]]}}}],"schema":"https://github.com/citation-style-language/schema/raw/master/csl-citation.json"} </w:instrText>
      </w:r>
      <w:r w:rsidR="009C2E19" w:rsidRPr="00424BD3">
        <w:rPr>
          <w:rFonts w:cs="Arial"/>
          <w:szCs w:val="24"/>
        </w:rPr>
        <w:fldChar w:fldCharType="separate"/>
      </w:r>
      <w:r w:rsidR="004D3774" w:rsidRPr="00424BD3">
        <w:rPr>
          <w:rFonts w:cs="Arial"/>
        </w:rPr>
        <w:t>(Lewis, n.d.; Rohlinger, 2018)</w:t>
      </w:r>
      <w:r w:rsidR="009C2E19" w:rsidRPr="00424BD3">
        <w:rPr>
          <w:rFonts w:cs="Arial"/>
          <w:szCs w:val="24"/>
        </w:rPr>
        <w:fldChar w:fldCharType="end"/>
      </w:r>
      <w:r w:rsidRPr="00424BD3">
        <w:rPr>
          <w:rFonts w:cs="Arial"/>
          <w:szCs w:val="24"/>
        </w:rPr>
        <w:t xml:space="preserve">; </w:t>
      </w:r>
      <w:r w:rsidR="003D74EE" w:rsidRPr="00424BD3">
        <w:rPr>
          <w:rFonts w:cs="Arial"/>
          <w:szCs w:val="24"/>
        </w:rPr>
        <w:t xml:space="preserve">being allowed to </w:t>
      </w:r>
      <w:r w:rsidRPr="00424BD3">
        <w:rPr>
          <w:rFonts w:cs="Arial"/>
          <w:szCs w:val="24"/>
        </w:rPr>
        <w:t>vot</w:t>
      </w:r>
      <w:r w:rsidR="003D74EE" w:rsidRPr="00424BD3">
        <w:rPr>
          <w:rFonts w:cs="Arial"/>
          <w:szCs w:val="24"/>
        </w:rPr>
        <w:t>e</w:t>
      </w:r>
      <w:r w:rsidR="004D3774" w:rsidRPr="00424BD3">
        <w:rPr>
          <w:rFonts w:cs="Arial"/>
          <w:szCs w:val="24"/>
        </w:rPr>
        <w:t xml:space="preserve"> </w:t>
      </w:r>
      <w:r w:rsidR="009F5039" w:rsidRPr="00424BD3">
        <w:rPr>
          <w:rFonts w:cs="Arial"/>
          <w:szCs w:val="24"/>
        </w:rPr>
        <w:fldChar w:fldCharType="begin"/>
      </w:r>
      <w:r w:rsidR="00E52D17">
        <w:rPr>
          <w:rFonts w:cs="Arial"/>
          <w:szCs w:val="24"/>
        </w:rPr>
        <w:instrText xml:space="preserve"> ADDIN ZOTERO_ITEM CSL_CITATION {"citationID":"8Qpu9EeZ","properties":{"formattedCitation":"(DuBois, 2020; M. S. Jones, 2020; MAR, n.d.; National Archives, 2021; Ware, 2019)","plainCitation":"(DuBois, 2020; M. S. Jones, 2020; MAR, n.d.; National Archives, 2021; Ware, 2019)","noteIndex":0},"citationItems":[{"id":1296,"uris":["http://zotero.org/users/4946941/items/TXHBCFPM"],"itemData":{"id":1296,"type":"book","abstract":"Honoring the 100th anniversary of the 19th amendment to the Constitution, this “indispensable” book (Ellen Chesler, Ms. magazine) explores the full scope of the movement to win the vote for women through portraits of its bold leaders and devoted activists.Distinguished historian Ellen Carol DuBois begins in the pre-Civil War years with foremothers Lucretia Mott, Elizabeth Cady Stanton, Susan B. Anthony, and Sojurner Truth as she “meticulously and vibrantly chronicles” (Booklist) the links of the woman suffrage movement to the abolition of slavery. After the Civil War, Congress granted freed African American men the right to vote but not white and African American women, a crushing disappointment. DuBois shows how suffrage leaders persevered through the Jim Crow years into the reform era of Progressivism. She introduces new champions Carrie Chapman Catt and Alice Paul, who brought the fight to the 20th century, and she shows how African American women, led by Ida B. Wells-Barnett, demanded voting rights even as white suffragists ignored them. DuBois explains how suffragists built a determined coalition of moderate lobbyists and radical demonstrators in forging a strategy of winning voting rights in crucial states to set the stage for securing suffrage for all American women in the Constitution. In vivid prose, DuBois describes suffragists’ final victories in Congress and state legislatures, culminating in the last, most difficult ratification, in Tennessee. “Ellen DuBois enables us to appreciate the drama of the long battle for women’s suffrage and the heroism of many of its advocates” (Eric Foner, author of The Second Founding: How the Civil War and Reconstruction Remade the Constitution). DuBois follows women’s efforts to use their voting rights to win political office, increase their voting strength, and pass laws banning child labor, ensuring maternal health, and securing greater equality for women. Suffrage: Women’s Long Battle for the Vote is a “comprehensive history that deftly tackles intricate political complexities and conflicts and still somehow read with nail-biting suspense,” (The Guardian) and is sure to become the authoritative account of one of the great episodes in the history of American democracy.","ISBN":"978-1-5011-6517-7","language":"en","note":"Google-Books-ID: XaOeDwAAQBAJ","number-of-pages":"400","publisher":"Simon and Schuster","source":"Google Books","title":"Suffrage: Women's Long Battle for the Vote","title-short":"Suffrage","author":[{"family":"DuBois","given":"Ellen Carol"}],"issued":{"date-parts":[["2020",2,25]]}}},{"id":1294,"uris":["http://zotero.org/users/4946941/items/PRYTA83Z"],"itemData":{"id":1294,"type":"book","abstract":"The epic history of African American women's pursuit of political power -- and how it transformed America.In the standard story, the suffrage crusade began in Seneca Falls in 1848 and ended with the ratification of the Nineteenth Amendment in 1920. But this overwhelmingly white women's movement did not win the vote for most black women. Securing their rights required a movement of their own.In Vanguard, acclaimed historian Martha S. Jones offers a new history of African American women's political lives in America. She recounts how they defied both racism and sexism to fight for the ballot, and how they wielded political power to secure the equality and dignity of all persons. From the earliest days of the republic to the passage of the 1965 Voting Rights Act and beyond, Jones excavates the lives and work of black women -- Maria Stewart, Frances Ellen Watkins Harper, Fannie Lou Hamer, and more -- who were the vanguard of women's rights, calling on America to realize its best ideals.","ISBN":"978-1-5416-1860-2","language":"en","note":"Google-Books-ID: qF3IDwAAQBAJ","number-of-pages":"358","publisher":"Basic Books","source":"Google Books","title":"Vanguard: How Black Women Broke Barriers, Won the Vote, and Insisted on Equality for All","title-short":"Vanguard","author":[{"family":"Jones","given":"Martha S."}],"issued":{"date-parts":[["2020",9,8]]}}},{"id":1290,"uris":["http://zotero.org/users/4946941/items/TEBPQDM3"],"itemData":{"id":1290,"type":"webpage","abstract":"This timeline explores women’s political activism, their changing rights, and major events in New Jersey and across the nation from 1754 to 1920.","container-title":"Museum of the American Revolution","language":"en","title":"When Women Lost the Vote Timeline","URL":"https://www.amrevmuseum.org/virtualexhibits/when-women-lost-the-vote-a-revolutionary-story/timeline","author":[{"family":"MAR","given":""}],"accessed":{"date-parts":[["2022",9,1]]},"issued":{"literal":"n.d."}}},{"id":1288,"uris":["http://zotero.org/users/4946941/items/TBEGTVED"],"itemData":{"id":1288,"type":"webpage","abstract":"EnlargeDownload Link Citation: Joint Resolution of Congress proposing a constitutional amendment extending the right of suffrage to women, approved June 4, 1919.; Ratified Amendments, 1795-1992; General Records of the United States Government; Record Group 11; National Archives. View All Pages in the National Archives Catalog View Transcript Passed by Congress June 4, 1919, and ratified on August 18, 1920, the 19th amendment granted women the right to vote. The 19th amendment legally guarantees American women the right to vote.","container-title":"The U.S. National Archives and Records Administration (National Archives)","language":"en","title":"19th Amendment to the U.S. Constitution: Women's Right to Vote (1920)","title-short":"19th Amendment to the U.S. Constitution","URL":"https://www.archives.gov/milestone-documents/19th-amendment","author":[{"family":"National Archives","given":""}],"accessed":{"date-parts":[["2022",9,1]]},"issued":{"date-parts":[["2021",9,21]]}}},{"id":1292,"uris":["http://zotero.org/users/4946941/items/3C8TFKYY"],"itemData":{"id":1292,"type":"book","abstract":"Looking beyond the national leadership of the suffrage movement, an acclaimed historian gives voice to the thousands of women from different backgrounds, races, and religions whose local passion and protest resounded throughout the land. For far too long, the history of how American women won the right to vote has been told as the tale of a few iconic leaders, all white and native-born. But Susan Ware uncovered a much broader and more diverse story waiting to be told. Why They Marched is a tribute to the many women who worked tirelessly in communities across the nation, out of the spotlight, protesting, petitioning, and insisting on their right to full citizenship. Ware tells her story through the lives of nineteen activists, most of whom have long been overlooked. We meet Mary Church Terrell, a multilingual African American woman; Rose Schneiderman, a labor activist building coalitions on New York's Lower East Side; Claiborne Catlin, who toured the Massachusetts countryside on horseback to drum up support for the cause; Mary Johnston, an aristocratic novelist bucking the Southern ruling elite; Emmeline W. Wells, a Mormon woman in a polygamous marriage determined to make her voice heard; and others who helped harness a groundswell of popular support. We also see the many places where the suffrage movement unfolded--in church parlors, meeting rooms, and the halls of Congress, but also on college campuses and even at the top of Mount Rainier. Few corners of the United States were untouched by suffrage activism. Ware's deeply moving stories provide a fresh account of one of the most significant moments of political mobilization in American history. The dramatic, often joyous experiences of these women resonate powerfully today, as a new generation of young women demands to be heard.","ISBN":"978-0-674-98668-8","language":"en","note":"Google-Books-ID: oFWQDwAAQBAJ","number-of-pages":"361","publisher":"Harvard University Press","source":"Google Books","title":"Why They Marched: Untold Stories of the Women Who Fought for the Right to Vote","title-short":"Why They Marched","author":[{"family":"Ware","given":"Susan"}],"issued":{"date-parts":[["2019"]]}}}],"schema":"https://github.com/citation-style-language/schema/raw/master/csl-citation.json"} </w:instrText>
      </w:r>
      <w:r w:rsidR="009F5039" w:rsidRPr="00424BD3">
        <w:rPr>
          <w:rFonts w:cs="Arial"/>
          <w:szCs w:val="24"/>
        </w:rPr>
        <w:fldChar w:fldCharType="separate"/>
      </w:r>
      <w:r w:rsidR="00A62929" w:rsidRPr="00A62929">
        <w:rPr>
          <w:rFonts w:cs="Arial"/>
        </w:rPr>
        <w:t>(DuBois, 2020; M. S. Jones, 2020; MAR, n.d.; National Archives, 2021; Ware, 2019)</w:t>
      </w:r>
      <w:r w:rsidR="009F5039" w:rsidRPr="00424BD3">
        <w:rPr>
          <w:rFonts w:cs="Arial"/>
          <w:szCs w:val="24"/>
        </w:rPr>
        <w:fldChar w:fldCharType="end"/>
      </w:r>
      <w:r w:rsidRPr="00424BD3">
        <w:rPr>
          <w:rFonts w:cs="Arial"/>
          <w:szCs w:val="24"/>
        </w:rPr>
        <w:t xml:space="preserve">; </w:t>
      </w:r>
      <w:r w:rsidR="003D74EE" w:rsidRPr="00424BD3">
        <w:rPr>
          <w:rFonts w:cs="Arial"/>
          <w:szCs w:val="24"/>
        </w:rPr>
        <w:t xml:space="preserve">experiencing </w:t>
      </w:r>
      <w:r w:rsidRPr="00424BD3">
        <w:rPr>
          <w:rFonts w:cs="Arial"/>
          <w:szCs w:val="24"/>
        </w:rPr>
        <w:t xml:space="preserve">employment </w:t>
      </w:r>
      <w:r w:rsidR="004C723B" w:rsidRPr="00424BD3">
        <w:rPr>
          <w:rFonts w:cs="Arial"/>
          <w:szCs w:val="24"/>
        </w:rPr>
        <w:t xml:space="preserve">without gender-based </w:t>
      </w:r>
      <w:r w:rsidRPr="00424BD3">
        <w:rPr>
          <w:rFonts w:cs="Arial"/>
          <w:szCs w:val="24"/>
        </w:rPr>
        <w:t>discrimination</w:t>
      </w:r>
      <w:r w:rsidR="00EA476D" w:rsidRPr="00424BD3">
        <w:rPr>
          <w:rFonts w:cs="Arial"/>
          <w:szCs w:val="24"/>
        </w:rPr>
        <w:t xml:space="preserve"> </w:t>
      </w:r>
      <w:r w:rsidR="00EA476D" w:rsidRPr="00424BD3">
        <w:rPr>
          <w:rFonts w:cs="Arial"/>
          <w:szCs w:val="24"/>
        </w:rPr>
        <w:fldChar w:fldCharType="begin"/>
      </w:r>
      <w:r w:rsidR="00990F3A">
        <w:rPr>
          <w:rFonts w:cs="Arial"/>
          <w:szCs w:val="24"/>
        </w:rPr>
        <w:instrText xml:space="preserve"> ADDIN ZOTERO_ITEM CSL_CITATION {"citationID":"nn9Bozlo","properties":{"formattedCitation":"(Banks, 2019; Dworkin et al., 2018)","plainCitation":"(Banks, 2019; Dworkin et al., 2018)","noteIndex":0},"citationItems":[{"id":1298,"uris":["http://zotero.org/users/4946941/items/3PSIA79H"],"itemData":{"id":1298,"type":"article-journal","abstract":"The black woman’s experience in America provides arguably the most overwhelming evidence of the persistent and ongoing drag from gender and race discrimination on the economic fate of workers and families. Black women’s labor market position is the result of employer practices and government policies that disadvantaged black women relative to white women and men. Negative representations of black womanhood have reinforced these discriminatory practices and policies. Since the era of slavery, the dominant view of black women has been that they should be workers, a view that contributed to their devaluation as mothers with caregiving needs at home. African-American women’s unique labor market history and current occupational status reflects these beliefs and practices . Compared with other women in the United States, black women have always had the highest levels of labor market participation regardless of age, marital status, or presence of children at home. In 1880, 35.4 percent of married black women and 73.3 percent of single black women were in the labor force compared with only 7.3 percent of married white women and 23.8 percent of single white women. Black women’s higher participation rates extended over their lifetimes, even after marriage, while white women typically left the labor force after marriage. Differences in black and white women’s labor participation were due not only to the societal expectation of black women’s gainful employment but also to labor market discrimination against black men which resulted in lower wages and less stable employment compared to white men. Consequently, married black women have a long history of being financial contributors—even co-breadwinners—to two-parent households because of black men’s precarious labor market position. Black women’s main jobs historically have been in low-wage agriculture and domestic service.1 Even after migration to the north during the 20th century, most employers would only hire black women in domestic service work.2 Revealingly, although whites have devalued black women as mothers to their own children, black women have been the most likely of all women to be employed in the low-wage women’s jobs that involve cooking, cleaning, and caregiving even though this work is associated with mothering more broadly. Until the 1970s, employers’ exclusion of black women from better-paying, higher-status jobs with mobility meant that they had little choice but to perform private domestic service work for white families. The 1970s was also the era when large numbers of married white women began to enter into the labor force and this led to a marketization of services previously performed within the household, including care and food services. Black women continue to be overrepresented in service jobs. Nearly a third (28 percent) of black women are employed in service jobs compared with just one-fifth of white women. Discriminatory public policies have reinforced the view of black women as workers rather than as mothers and contributed to black women’s economic precarity. This has been most evident with protective welfare policies that enabled poor lone white mothers to stay at home and provide care for their children since the early 20th century. These policies were first implemented at the state level with Mother’s Pensions and then at the national level with the passage of the Social Security Act of 1935. Up until the 1960s, caseworkers excluded most poor black women from receiving cash assistance because they expected black women to be employed moms and not stay-at-home moms like white women.3 This exclusion meant that for most of the history of welfare, the state actively undermined the well-being of black families by ensuring that black women would be in the labor force as low-wage caregivers for white families. This helped to secure the well-being of white families and alleviated white women of having to do this work. The state simultaneously undermined the well-being of black families by denying black mothers the cash assistance that they needed to support their children and leaving black women with no other option but to work for very low wages. Indeed, the backlash against poor black moms receiving cash assistance eventually culminated in the dismantling of the AFDC program and the enactment of TANF—a program with strict work requirements.4 Because of discriminatory employer and government policies against black men and women, black mothers with school-age children have always been more likely to be in the labor force compared with other moms. Today, 78 percent of black moms with children are employed compared with an average of just 66 percent of white, Asian American, and Latinx moms.5 Although black women have a longer history of sustained employment compared with other women, in 2017, the median annual earnings for full-time year-round black women workers was just over $36,000—an amount 21 percent lower than that of white women, reflecting black women’s disproportionate employment in low-wage service and minimum and sub-minimum wage jobs. Black families, however, are more reliant on women’s incomes than other families are since 80 percent of black mothers are breadwinners in their families. Despite black women’s importance as breadwinners, the state has compounded the lack of protections afforded black mothers by failing to protect black women as workers.6 In fact, state policies have often left black women vulnerable to workplace exploitation by excluding them from various worker protections. New Deal minimum wage, overtime pay, and collective bargaining legislation excluded the main sectors where black women worked—domestic service and farming. Although there have been inclusions since then, these sectors still lack full access to worker protections. The legacy of black women’s employment in industries that lack worker protections has continued today since black women are concentrated in low-paying, inflexible service occupations that lack employer-provided retirement plans, health insurance, paid sick and maternity leave, and paid vacations. Over a third (36 percent) of black women workers lack paid sick leave. All workers—especially the most vulnerable—need workplace protections, including minimum wages that are livable wages. Universally available family-friendly workplace policies would be especially beneficial to women given their care responsibilities: paid sick and parental leave, subsidized child and elder care, and flexible work options. This analysis is based on the author’s working paper, “Black Women on the Verge: Missing Black Men and Its Impact on Black Women.” 1. Teresa Amott and Julie Matthaei, Race, Gender, and Work: A Multicultural Economic History of Women in the U.S. (Boston: South End Press, 1996). 2. Jacqueline Jones, Labor of Love, Labor of Sorrow: Black Women, Work, and the Family from Slavery to the Present (New York: Basic Books, 1985). 3. Deborah Gray White, “Making a Way Out of No Way,” in Too Heavy a Load: Black Women in Defense of Themselves , 1894–1994” (W.W. Norton &amp;amp; Company, 1999). 4. Peter Edelman, So Rich, So Poor: Why It’s So Hard to End Poverty in America (The New Press, 2012). 5. Author’s calculation from BLS data. 6. Ellen Mutari, Marilyn Power, and Deborah M. Figart, “Neither Mothers nor Breadwinners: African-American Women’s Exclusion from US Minimum Wage Policies, 1912–1938,” Feminist Economics 8, no. 2 (2002): 37–61","language":"en","note":"publisher: Economic Policy Institute","source":"policycommons.net","title":"Black women’s labor market history reveals deep-seated race and gender discrimination","URL":"https://policycommons.net/artifacts/1408998/black-womens-labor-market-history-reveals-deep-seated-race-and-gender-discrimination/2023262/","author":[{"family":"Banks","given":"Nina"}],"accessed":{"date-parts":[["2022",9,1]]},"issued":{"date-parts":[["2019",2,19]]}}},{"id":1300,"uris":["http://zotero.org/users/4946941/items/LQS2YQ4V"],"itemData":{"id":1300,"type":"article-journal","abstract":"Overt gender discrimination in the workplace is now less frequent since the passage of the Civil Rights Act; however, subconscious workplace gender biases persist. These subtle biases continue to contribute to gender inequality in the employment context, hindering women's ability to reach the top ranks of corporate leadership and their ability to achieve pay equity. To combat this inequity, in this article, we advance several suggestions. First, we urge states to pass legislation requiring paycheck fairness and urge firms to institute policies of salary transparency. Next, when there is a lack of women in the highest corporate ranks of the company, a presumption of discrimination should replace the current legal framework in the courts for disparate treatment analysis in Title VII cases of gender discrimination. We further suggest that firms would do well to improve mentoring and networking programs for women to help even the playing field and call on companies to offer implicit bias training for men. Finally, we urge firms to improve the environment for women in the workplace by adopting and sincerely promoting family-friendly policies. Not only would these recommendations be just, they would also likely increase productivity in the corporate world and help resolve the paradox surrounding the paucity of women in top leadership positions.","container-title":"American Business Law Journal","DOI":"10.1111/ablj.12132","ISSN":"1744-1714","issue":"4","language":"en","note":"_eprint: https://onlinelibrary.wiley.com/doi/pdf/10.1111/ablj.12132","page":"721-762","source":"Wiley Online Library","title":"Assessing the Progress of Women in Corporate America: The More Things Change, the More They Stay the Same","title-short":"Assessing the Progress of Women in Corporate America","volume":"55","author":[{"family":"Dworkin","given":"Terry M."},{"family":"Schipani","given":"Cindy A."},{"family":"Milliken","given":"Frances J."},{"family":"Kneeland","given":"Madeline K."}],"issued":{"date-parts":[["2018"]]}}}],"schema":"https://github.com/citation-style-language/schema/raw/master/csl-citation.json"} </w:instrText>
      </w:r>
      <w:r w:rsidR="00EA476D" w:rsidRPr="00424BD3">
        <w:rPr>
          <w:rFonts w:cs="Arial"/>
          <w:szCs w:val="24"/>
        </w:rPr>
        <w:fldChar w:fldCharType="separate"/>
      </w:r>
      <w:r w:rsidR="00954FE3" w:rsidRPr="00424BD3">
        <w:rPr>
          <w:rFonts w:cs="Arial"/>
        </w:rPr>
        <w:t>(Banks, 2019; Dworkin et al., 2018)</w:t>
      </w:r>
      <w:r w:rsidR="00EA476D" w:rsidRPr="00424BD3">
        <w:rPr>
          <w:rFonts w:cs="Arial"/>
          <w:szCs w:val="24"/>
        </w:rPr>
        <w:fldChar w:fldCharType="end"/>
      </w:r>
      <w:r w:rsidRPr="00424BD3">
        <w:rPr>
          <w:rFonts w:cs="Arial"/>
          <w:szCs w:val="24"/>
        </w:rPr>
        <w:t xml:space="preserve">; </w:t>
      </w:r>
      <w:r w:rsidR="004C723B" w:rsidRPr="00424BD3">
        <w:rPr>
          <w:rFonts w:cs="Arial"/>
          <w:szCs w:val="24"/>
        </w:rPr>
        <w:t xml:space="preserve">receiving </w:t>
      </w:r>
      <w:r w:rsidRPr="00424BD3">
        <w:rPr>
          <w:rFonts w:cs="Arial"/>
          <w:szCs w:val="24"/>
        </w:rPr>
        <w:t xml:space="preserve">governmental social benefits support as a single mother </w:t>
      </w:r>
      <w:r w:rsidR="007108BD" w:rsidRPr="00424BD3">
        <w:rPr>
          <w:rFonts w:cs="Arial"/>
          <w:szCs w:val="24"/>
        </w:rPr>
        <w:fldChar w:fldCharType="begin"/>
      </w:r>
      <w:r w:rsidR="00990F3A">
        <w:rPr>
          <w:rFonts w:cs="Arial"/>
          <w:szCs w:val="24"/>
        </w:rPr>
        <w:instrText xml:space="preserve"> ADDIN ZOTERO_ITEM CSL_CITATION {"citationID":"J6Jv5eG5","properties":{"formattedCitation":"(Gordon &amp; Batlan, 2011; Lundberg, 1926)","plainCitation":"(Gordon &amp; Batlan, 2011; Lundberg, 1926)","noteIndex":0},"citationItems":[{"id":1303,"uris":["http://zotero.org/users/4946941/items/RTXPF85A"],"itemData":{"id":1303,"type":"webpage","abstract":"For its first three decades, AFDC operated much like a private charity, with its case workers given discretion in investigating clients, cutting off benefits to those determined to be unsuitable, a…","container-title":"Social Welfare History Project","language":"en-US","title":"Aid To Dependent Children: The Legal History","title-short":"Aid To Dependent Children","URL":"https://socialwelfare.library.vcu.edu/public-welfare/aid-to-dependent-children-the-legal-history/","author":[{"family":"Gordon","given":"L"},{"family":"Batlan","given":"F"}],"accessed":{"date-parts":[["2022",9,1]]},"issued":{"date-parts":[["2011",1,19]]}}},{"id":1306,"uris":["http://zotero.org/users/4946941/items/I6REI4XX"],"itemData":{"id":1306,"type":"article-journal","container-title":"U.S. Department of Labor, Children's Bureau","language":"en","page":"21","source":"Zotero","title":"Public Aid to Mothers with Dependent Children: Extent and Fundamental Principles","author":[{"family":"Lundberg","given":"Emma O."}],"issued":{"date-parts":[["1926"]]}}}],"schema":"https://github.com/citation-style-language/schema/raw/master/csl-citation.json"} </w:instrText>
      </w:r>
      <w:r w:rsidR="007108BD" w:rsidRPr="00424BD3">
        <w:rPr>
          <w:rFonts w:cs="Arial"/>
          <w:szCs w:val="24"/>
        </w:rPr>
        <w:fldChar w:fldCharType="separate"/>
      </w:r>
      <w:r w:rsidR="00EC77E3" w:rsidRPr="00424BD3">
        <w:rPr>
          <w:rFonts w:cs="Arial"/>
        </w:rPr>
        <w:t>(Gordon &amp; Batlan, 2011; Lundberg, 1926)</w:t>
      </w:r>
      <w:r w:rsidR="007108BD" w:rsidRPr="00424BD3">
        <w:rPr>
          <w:rFonts w:cs="Arial"/>
          <w:szCs w:val="24"/>
        </w:rPr>
        <w:fldChar w:fldCharType="end"/>
      </w:r>
      <w:r w:rsidRPr="00424BD3">
        <w:rPr>
          <w:rFonts w:cs="Arial"/>
          <w:szCs w:val="24"/>
        </w:rPr>
        <w:t xml:space="preserve">; right of entrance to certain establishments, including certain educational institutions </w:t>
      </w:r>
      <w:r w:rsidR="002F536C" w:rsidRPr="00424BD3">
        <w:rPr>
          <w:rFonts w:cs="Arial"/>
          <w:szCs w:val="24"/>
        </w:rPr>
        <w:fldChar w:fldCharType="begin"/>
      </w:r>
      <w:r w:rsidR="00990F3A">
        <w:rPr>
          <w:rFonts w:cs="Arial"/>
          <w:szCs w:val="24"/>
        </w:rPr>
        <w:instrText xml:space="preserve"> ADDIN ZOTERO_ITEM CSL_CITATION {"citationID":"ZShwthjv","properties":{"formattedCitation":"(Freedman, 2014; Hill, 2020)","plainCitation":"(Freedman, 2014; Hill, 2020)","noteIndex":0},"citationItems":[{"id":1307,"uris":["http://zotero.org/users/4946941/items/T6RLCPVI"],"itemData":{"id":1307,"type":"article-journal","abstract":"Restaurants flourished in the nineteenth-century United States as places for entertainment, social positioning, business advancement as well as dining. Women were admitted with restrictions that affected especially women ahne or all-female groups. The article looks at the management of women's presence in the quasipublic space of the restaurant and how attitudes changed. It also examines the identification of women's supposed preferences for light, dainty and sweet dishes and how certain kinds of restaurants started to cater to these tastes. From the establishment of the first real restaurants in the 1830 until the end of the Civil War, \"Ladies' Ordinaries\" were set aside as dining rooms where women traveling ahne or women in groups could eat in an appropriate environment. After 1850 more accommodation was made for women shopping and later for working women. Places called \"ice cream saloons\" offered genteel and alcoholfree settings as well as the kinds of food women were thought to prefer. In the latter half of the nineteenth century women had a number of possibilities for lunch, but the evening meal, especially at high-end restaurants, tended to be reserved for women in the company of men. The ability of women to decide where to dine irrespective of the presence of male escorts was related to the creation of casual dining places, and these would take over the restaurant scene after Prohibition.","container-title":"Journal of Social History","ISSN":"0022-4529","issue":"1","note":"publisher: Oxford University Press","page":"1-19","source":"JSTOR","title":"Women and Restaurants in the Nineteenth-Century United States","volume":"48","author":[{"family":"Freedman","given":"Paul"}],"issued":{"date-parts":[["2014"]]}}},{"id":1308,"uris":["http://zotero.org/users/4946941/items/ZFFT6D9T"],"itemData":{"id":1308,"type":"webpage","abstract":"Some women could serve on juries, get an Ivy League education and take contraception before 1971. But access wasn't equal to those, or 6 other points.","container-title":"USA TODAY","language":"en-US","title":"Fact check: Post detailing 9 things women couldn't do before 1971 is mostly right","title-short":"Fact check","URL":"https://www.usatoday.com/story/news/factcheck/2020/10/28/fact-check-9-things-women-couldnt-do-1971-mostly-right/3677101001/","author":[{"family":"Hill","given":"Jessica"}],"accessed":{"date-parts":[["2022",9,1]]},"issued":{"date-parts":[["2020",10,28]]}}}],"schema":"https://github.com/citation-style-language/schema/raw/master/csl-citation.json"} </w:instrText>
      </w:r>
      <w:r w:rsidR="002F536C" w:rsidRPr="00424BD3">
        <w:rPr>
          <w:rFonts w:cs="Arial"/>
          <w:szCs w:val="24"/>
        </w:rPr>
        <w:fldChar w:fldCharType="separate"/>
      </w:r>
      <w:r w:rsidR="005C0B7B" w:rsidRPr="00424BD3">
        <w:rPr>
          <w:rFonts w:cs="Arial"/>
        </w:rPr>
        <w:t>(Freedman, 2014; Hill, 2020)</w:t>
      </w:r>
      <w:r w:rsidR="002F536C" w:rsidRPr="00424BD3">
        <w:rPr>
          <w:rFonts w:cs="Arial"/>
          <w:szCs w:val="24"/>
        </w:rPr>
        <w:fldChar w:fldCharType="end"/>
      </w:r>
      <w:r w:rsidRPr="00424BD3">
        <w:rPr>
          <w:rFonts w:cs="Arial"/>
          <w:szCs w:val="24"/>
        </w:rPr>
        <w:t xml:space="preserve">; </w:t>
      </w:r>
      <w:r w:rsidR="004C723B" w:rsidRPr="00424BD3">
        <w:rPr>
          <w:rFonts w:cs="Arial"/>
          <w:szCs w:val="24"/>
        </w:rPr>
        <w:t xml:space="preserve">having </w:t>
      </w:r>
      <w:r w:rsidRPr="00424BD3">
        <w:rPr>
          <w:rFonts w:cs="Arial"/>
          <w:szCs w:val="24"/>
        </w:rPr>
        <w:t>non-subordinate marital status</w:t>
      </w:r>
      <w:r w:rsidR="00B839E1" w:rsidRPr="00424BD3">
        <w:rPr>
          <w:rFonts w:cs="Arial"/>
          <w:szCs w:val="24"/>
        </w:rPr>
        <w:t xml:space="preserve"> </w:t>
      </w:r>
      <w:r w:rsidR="008D7C8E" w:rsidRPr="00424BD3">
        <w:rPr>
          <w:rFonts w:cs="Arial"/>
          <w:szCs w:val="24"/>
        </w:rPr>
        <w:fldChar w:fldCharType="begin"/>
      </w:r>
      <w:r w:rsidR="00990F3A">
        <w:rPr>
          <w:rFonts w:cs="Arial"/>
          <w:szCs w:val="24"/>
        </w:rPr>
        <w:instrText xml:space="preserve"> ADDIN ZOTERO_ITEM CSL_CITATION {"citationID":"jjUBY8Tt","properties":{"formattedCitation":"(Sultana, 2010)","plainCitation":"(Sultana, 2010)","noteIndex":0},"citationItems":[{"id":1310,"uris":["http://zotero.org/users/4946941/items/73D4QMF4"],"itemData":{"id":1310,"type":"article-journal","abstract":"Patriarchy is the prime obstacle to womens advancement and development. Despite differences in levels of domination the broad principles remain the same, i.e. men are in control. The nature of this control may differ. So it is necessary to understand the system, which keeps women dominated and subordinate, and to unravel its workings in order to work for womens development in a systematic way. In the modern world where women go ahead by their merit, patriarchy there creates obstacles for women to go forward in society. Because patriarchal institutions and social relations are responsible for the inferior or secondary status of women. Patriarchal society gives absolute priority to men and to some extent limits womens human rights also. Patriarchy refers to the male domination both in public and private spheres. In this way, feminists use the term patriarchy to describe the power relationship between men and women as well as to find out the root cause of womens subordination. This article, hence, is an attempt to analyse the concept of patriarchy and womens subordination in a theoretical perspective.DOI: http://dx.doi.org/10.3329/afj.v4i0.12929 The Arts Faculty Journal Vol.4 July 2010-June 2011 pp.1-18","container-title":"Arts Faculty Journal","DOI":"10.3329/afj.v4i0.12929","ISSN":"2408-8285","language":"en","license":"Copyright (c)","page":"1-18","source":"www.banglajol.info","title":"Patriarchy and Women's Subordination: A Theoretical Analysis","title-short":"Patriarchy and Womens Subordination","author":[{"family":"Sultana","given":"Abeda"}],"issued":{"date-parts":[["2010"]]}}}],"schema":"https://github.com/citation-style-language/schema/raw/master/csl-citation.json"} </w:instrText>
      </w:r>
      <w:r w:rsidR="008D7C8E" w:rsidRPr="00424BD3">
        <w:rPr>
          <w:rFonts w:cs="Arial"/>
          <w:szCs w:val="24"/>
        </w:rPr>
        <w:fldChar w:fldCharType="separate"/>
      </w:r>
      <w:r w:rsidR="008D7C8E" w:rsidRPr="00424BD3">
        <w:rPr>
          <w:rFonts w:cs="Arial"/>
        </w:rPr>
        <w:t>(Sultana, 2010)</w:t>
      </w:r>
      <w:r w:rsidR="008D7C8E" w:rsidRPr="00424BD3">
        <w:rPr>
          <w:rFonts w:cs="Arial"/>
          <w:szCs w:val="24"/>
        </w:rPr>
        <w:fldChar w:fldCharType="end"/>
      </w:r>
      <w:r w:rsidRPr="00424BD3">
        <w:rPr>
          <w:rFonts w:cs="Arial"/>
          <w:szCs w:val="24"/>
        </w:rPr>
        <w:t>; and much more</w:t>
      </w:r>
      <w:r w:rsidR="00F82CE8" w:rsidRPr="00424BD3">
        <w:rPr>
          <w:rFonts w:cs="Arial"/>
          <w:szCs w:val="24"/>
        </w:rPr>
        <w:t xml:space="preserve"> </w:t>
      </w:r>
      <w:r w:rsidR="00F82CE8" w:rsidRPr="00424BD3">
        <w:rPr>
          <w:rFonts w:cs="Arial"/>
          <w:szCs w:val="24"/>
        </w:rPr>
        <w:fldChar w:fldCharType="begin"/>
      </w:r>
      <w:r w:rsidR="00990F3A">
        <w:rPr>
          <w:rFonts w:cs="Arial"/>
          <w:szCs w:val="24"/>
        </w:rPr>
        <w:instrText xml:space="preserve"> ADDIN ZOTERO_ITEM CSL_CITATION {"citationID":"U9G0DzxW","properties":{"formattedCitation":"(Hill, 2020)","plainCitation":"(Hill, 2020)","noteIndex":0},"citationItems":[{"id":1308,"uris":["http://zotero.org/users/4946941/items/ZFFT6D9T"],"itemData":{"id":1308,"type":"webpage","abstract":"Some women could serve on juries, get an Ivy League education and take contraception before 1971. But access wasn't equal to those, or 6 other points.","container-title":"USA TODAY","language":"en-US","title":"Fact check: Post detailing 9 things women couldn't do before 1971 is mostly right","title-short":"Fact check","URL":"https://www.usatoday.com/story/news/factcheck/2020/10/28/fact-check-9-things-women-couldnt-do-1971-mostly-right/3677101001/","author":[{"family":"Hill","given":"Jessica"}],"accessed":{"date-parts":[["2022",9,1]]},"issued":{"date-parts":[["2020",10,28]]}}}],"schema":"https://github.com/citation-style-language/schema/raw/master/csl-citation.json"} </w:instrText>
      </w:r>
      <w:r w:rsidR="00F82CE8" w:rsidRPr="00424BD3">
        <w:rPr>
          <w:rFonts w:cs="Arial"/>
          <w:szCs w:val="24"/>
        </w:rPr>
        <w:fldChar w:fldCharType="separate"/>
      </w:r>
      <w:r w:rsidR="00F82CE8" w:rsidRPr="00424BD3">
        <w:rPr>
          <w:rFonts w:cs="Arial"/>
        </w:rPr>
        <w:t>(Hill, 2020)</w:t>
      </w:r>
      <w:r w:rsidR="00F82CE8" w:rsidRPr="00424BD3">
        <w:rPr>
          <w:rFonts w:cs="Arial"/>
          <w:szCs w:val="24"/>
        </w:rPr>
        <w:fldChar w:fldCharType="end"/>
      </w:r>
      <w:r w:rsidRPr="00424BD3">
        <w:rPr>
          <w:rFonts w:cs="Arial"/>
          <w:szCs w:val="24"/>
        </w:rPr>
        <w:t xml:space="preserve">. They were raised in systemic, generationally inequitable, traumatic policies that went to war against their bodies </w:t>
      </w:r>
      <w:r w:rsidR="008844E4" w:rsidRPr="00424BD3">
        <w:rPr>
          <w:rFonts w:cs="Arial"/>
          <w:szCs w:val="24"/>
        </w:rPr>
        <w:t xml:space="preserve">– from abortion rights to lack of </w:t>
      </w:r>
      <w:r w:rsidR="00E21ADD" w:rsidRPr="00424BD3">
        <w:rPr>
          <w:rFonts w:cs="Arial"/>
          <w:szCs w:val="24"/>
        </w:rPr>
        <w:t>“</w:t>
      </w:r>
      <w:r w:rsidR="008844E4" w:rsidRPr="00424BD3">
        <w:rPr>
          <w:rFonts w:cs="Arial"/>
          <w:szCs w:val="24"/>
        </w:rPr>
        <w:t>comprehensive family planning and related preventative health services</w:t>
      </w:r>
      <w:r w:rsidR="00E21ADD" w:rsidRPr="00424BD3">
        <w:rPr>
          <w:rFonts w:cs="Arial"/>
          <w:szCs w:val="24"/>
        </w:rPr>
        <w:t>”</w:t>
      </w:r>
      <w:r w:rsidR="00DB3896" w:rsidRPr="00424BD3">
        <w:rPr>
          <w:rFonts w:cs="Arial"/>
          <w:szCs w:val="24"/>
        </w:rPr>
        <w:t xml:space="preserve"> </w:t>
      </w:r>
      <w:r w:rsidR="00DB3896" w:rsidRPr="00424BD3">
        <w:rPr>
          <w:rFonts w:cs="Arial"/>
          <w:szCs w:val="24"/>
        </w:rPr>
        <w:fldChar w:fldCharType="begin"/>
      </w:r>
      <w:r w:rsidR="00990F3A">
        <w:rPr>
          <w:rFonts w:cs="Arial"/>
          <w:szCs w:val="24"/>
        </w:rPr>
        <w:instrText xml:space="preserve"> ADDIN ZOTERO_ITEM CSL_CITATION {"citationID":"LsBIICab","properties":{"formattedCitation":"(Shattuck &amp; Risse, 2021, p. 5)","plainCitation":"(Shattuck &amp; Risse, 2021, p. 5)","noteIndex":0},"citationItems":[{"id":1216,"uris":["http://zotero.org/users/4946941/items/NQRTU5E7"],"itemData":{"id":1216,"type":"report","number":"006","publisher":"Carr Center for Human Rights Policy, Harvard Kennedy School, Harvard University","title":"Reimagining Rights &amp; Responsibilities in the U.S.: Women's Rights","URL":"https://carrcenter.hks.harvard.edu/files/cchr/files/210119_womensrights.pdf?m=1611072","author":[{"family":"Shattuck","given":"John"},{"family":"Risse","given":"Mathias"}],"issued":{"date-parts":[["2021",1,4]]}},"locator":"5","label":"page"}],"schema":"https://github.com/citation-style-language/schema/raw/master/csl-citation.json"} </w:instrText>
      </w:r>
      <w:r w:rsidR="00DB3896" w:rsidRPr="00424BD3">
        <w:rPr>
          <w:rFonts w:cs="Arial"/>
          <w:szCs w:val="24"/>
        </w:rPr>
        <w:fldChar w:fldCharType="separate"/>
      </w:r>
      <w:r w:rsidR="00730512" w:rsidRPr="00424BD3">
        <w:rPr>
          <w:rFonts w:cs="Arial"/>
        </w:rPr>
        <w:t>(Shattuck &amp; Risse, 2021, p. 5)</w:t>
      </w:r>
      <w:r w:rsidR="00DB3896" w:rsidRPr="00424BD3">
        <w:rPr>
          <w:rFonts w:cs="Arial"/>
          <w:szCs w:val="24"/>
        </w:rPr>
        <w:fldChar w:fldCharType="end"/>
      </w:r>
      <w:r w:rsidR="008844E4" w:rsidRPr="00424BD3">
        <w:rPr>
          <w:rFonts w:cs="Arial"/>
          <w:szCs w:val="24"/>
        </w:rPr>
        <w:t xml:space="preserve"> to contraception, and rights not to be raped by their spouses. A look at any timeline of women’s legal rights in the United States will show the deeply traumatic policy and intervention climate these women have endured </w:t>
      </w:r>
      <w:r w:rsidR="008844E4" w:rsidRPr="00424BD3">
        <w:rPr>
          <w:rFonts w:cs="Arial"/>
          <w:szCs w:val="24"/>
        </w:rPr>
        <w:fldChar w:fldCharType="begin"/>
      </w:r>
      <w:r w:rsidR="009E4175">
        <w:rPr>
          <w:rFonts w:cs="Arial"/>
          <w:szCs w:val="24"/>
        </w:rPr>
        <w:instrText xml:space="preserve"> ADDIN ZOTERO_ITEM CSL_CITATION {"citationID":"oWJtIL8b","properties":{"formattedCitation":"(NWHA, 2021)","plainCitation":"(NWHA, 2021)","noteIndex":0},"citationItems":[{"id":748,"uris":["http://zotero.org/users/4946941/items/9JDVGPFX"],"itemData":{"id":748,"type":"document","language":"en","publisher":"National Women's History Alliance NWHA)","title":"Detailed Timeline: Timeline of Legal History of Women in the United States","URL":"https://nationalwomenshistoryalliance.org/resources/womens-rights-movement/detailed-timeline/","author":[{"family":"NWHA","given":""}],"issued":{"date-parts":[["2021"]]}}}],"schema":"https://github.com/citation-style-language/schema/raw/master/csl-citation.json"} </w:instrText>
      </w:r>
      <w:r w:rsidR="008844E4" w:rsidRPr="00424BD3">
        <w:rPr>
          <w:rFonts w:cs="Arial"/>
          <w:szCs w:val="24"/>
        </w:rPr>
        <w:fldChar w:fldCharType="separate"/>
      </w:r>
      <w:r w:rsidR="008844E4" w:rsidRPr="00424BD3">
        <w:rPr>
          <w:rFonts w:cs="Arial"/>
        </w:rPr>
        <w:t>(NWHA, 2021)</w:t>
      </w:r>
      <w:r w:rsidR="008844E4" w:rsidRPr="00424BD3">
        <w:rPr>
          <w:rFonts w:cs="Arial"/>
          <w:szCs w:val="24"/>
        </w:rPr>
        <w:fldChar w:fldCharType="end"/>
      </w:r>
      <w:r w:rsidR="008844E4" w:rsidRPr="00424BD3">
        <w:rPr>
          <w:rFonts w:cs="Arial"/>
          <w:szCs w:val="24"/>
        </w:rPr>
        <w:t xml:space="preserve">, and even more so for racially and ethnically marginalized </w:t>
      </w:r>
      <w:r w:rsidR="008844E4" w:rsidRPr="00424BD3">
        <w:rPr>
          <w:rFonts w:cs="Arial"/>
          <w:szCs w:val="24"/>
        </w:rPr>
        <w:lastRenderedPageBreak/>
        <w:t xml:space="preserve">women, LGBTQ women, and others. As a result, decades of discriminatory practices have deeply impacted these participant’s health and their opinions, experiences, and perceptions in relation to their own health and to health inequities. </w:t>
      </w:r>
    </w:p>
    <w:p w14:paraId="18B9C7DD" w14:textId="62A33177" w:rsidR="005220B5" w:rsidRPr="00424BD3" w:rsidRDefault="005220B5" w:rsidP="000126EE">
      <w:pPr>
        <w:spacing w:after="0" w:line="480" w:lineRule="auto"/>
        <w:ind w:firstLine="720"/>
        <w:rPr>
          <w:rFonts w:cs="Arial"/>
          <w:szCs w:val="24"/>
        </w:rPr>
      </w:pPr>
      <w:r w:rsidRPr="00424BD3">
        <w:rPr>
          <w:rFonts w:cs="Arial"/>
          <w:szCs w:val="24"/>
        </w:rPr>
        <w:t>In this chapter, the participant context of the women’s lived experiences and the norms faced by them throughout these experiences</w:t>
      </w:r>
      <w:r w:rsidR="00181132" w:rsidRPr="00424BD3">
        <w:rPr>
          <w:rFonts w:cs="Arial"/>
          <w:szCs w:val="24"/>
        </w:rPr>
        <w:t xml:space="preserve"> is explored</w:t>
      </w:r>
      <w:r w:rsidRPr="00424BD3">
        <w:rPr>
          <w:rFonts w:cs="Arial"/>
          <w:szCs w:val="24"/>
        </w:rPr>
        <w:t xml:space="preserve">. </w:t>
      </w:r>
      <w:r w:rsidR="00181132" w:rsidRPr="00424BD3">
        <w:rPr>
          <w:rFonts w:cs="Arial"/>
          <w:szCs w:val="24"/>
        </w:rPr>
        <w:t>An</w:t>
      </w:r>
      <w:r w:rsidRPr="00424BD3">
        <w:rPr>
          <w:rFonts w:cs="Arial"/>
          <w:szCs w:val="24"/>
        </w:rPr>
        <w:t xml:space="preserve"> examin</w:t>
      </w:r>
      <w:r w:rsidR="00181132" w:rsidRPr="00424BD3">
        <w:rPr>
          <w:rFonts w:cs="Arial"/>
          <w:szCs w:val="24"/>
        </w:rPr>
        <w:t>ation of</w:t>
      </w:r>
      <w:r w:rsidRPr="00424BD3">
        <w:rPr>
          <w:rFonts w:cs="Arial"/>
          <w:szCs w:val="24"/>
        </w:rPr>
        <w:t xml:space="preserve"> how the cyclical nature between the norms they’ve encountered, their experiences, and their familial health and deaths influence their perceptions about these issues as well as health inequities</w:t>
      </w:r>
      <w:r w:rsidR="00181132" w:rsidRPr="00424BD3">
        <w:rPr>
          <w:rFonts w:cs="Arial"/>
          <w:szCs w:val="24"/>
        </w:rPr>
        <w:t xml:space="preserve"> is undertaken</w:t>
      </w:r>
      <w:r w:rsidRPr="00424BD3">
        <w:rPr>
          <w:rFonts w:cs="Arial"/>
          <w:szCs w:val="24"/>
        </w:rPr>
        <w:t xml:space="preserve">. </w:t>
      </w:r>
    </w:p>
    <w:p w14:paraId="59AC1F4F" w14:textId="63E195E5" w:rsidR="008844E4" w:rsidRPr="00424BD3" w:rsidRDefault="00181132" w:rsidP="000126EE">
      <w:pPr>
        <w:spacing w:after="0" w:line="480" w:lineRule="auto"/>
        <w:ind w:firstLine="720"/>
        <w:rPr>
          <w:rFonts w:cs="Arial"/>
          <w:szCs w:val="24"/>
        </w:rPr>
      </w:pPr>
      <w:r w:rsidRPr="00424BD3">
        <w:rPr>
          <w:rFonts w:cs="Arial"/>
          <w:szCs w:val="24"/>
        </w:rPr>
        <w:t>A</w:t>
      </w:r>
      <w:r w:rsidR="008844E4" w:rsidRPr="00424BD3">
        <w:rPr>
          <w:rFonts w:cs="Arial"/>
          <w:szCs w:val="24"/>
        </w:rPr>
        <w:t xml:space="preserve"> number of </w:t>
      </w:r>
      <w:r w:rsidR="00AA7579" w:rsidRPr="00424BD3">
        <w:rPr>
          <w:rFonts w:cs="Arial"/>
          <w:szCs w:val="24"/>
        </w:rPr>
        <w:t>dimensions</w:t>
      </w:r>
      <w:r w:rsidR="008844E4" w:rsidRPr="00424BD3">
        <w:rPr>
          <w:rFonts w:cs="Arial"/>
          <w:szCs w:val="24"/>
        </w:rPr>
        <w:t xml:space="preserve"> including: place (state and town residences); family and youth experiences (‘good’ and ‘bad’ childhood memories, adverse childhood experiences, positive childhood experiences, and people they felt influenced them); and their genealogies of health and mortality (participant childhood health, participant adulthood health, and family health and mortality, specifically family member illnesses and deaths and participants’ perceptions of the causes of those illnesses and deaths)</w:t>
      </w:r>
      <w:r w:rsidRPr="00424BD3">
        <w:rPr>
          <w:rFonts w:cs="Arial"/>
          <w:szCs w:val="24"/>
        </w:rPr>
        <w:t xml:space="preserve"> </w:t>
      </w:r>
      <w:r w:rsidR="00427E81" w:rsidRPr="00424BD3">
        <w:rPr>
          <w:rFonts w:cs="Arial"/>
          <w:szCs w:val="24"/>
        </w:rPr>
        <w:t>are</w:t>
      </w:r>
      <w:r w:rsidRPr="00424BD3">
        <w:rPr>
          <w:rFonts w:cs="Arial"/>
          <w:szCs w:val="24"/>
        </w:rPr>
        <w:t xml:space="preserve"> examined</w:t>
      </w:r>
      <w:r w:rsidR="008844E4" w:rsidRPr="00424BD3">
        <w:rPr>
          <w:rFonts w:cs="Arial"/>
          <w:szCs w:val="24"/>
        </w:rPr>
        <w:t>.</w:t>
      </w:r>
    </w:p>
    <w:p w14:paraId="3B3A04EC" w14:textId="44FA2980" w:rsidR="008844E4" w:rsidRPr="00424BD3" w:rsidRDefault="008844E4" w:rsidP="000126EE">
      <w:pPr>
        <w:spacing w:after="0" w:line="480" w:lineRule="auto"/>
        <w:ind w:firstLine="720"/>
        <w:rPr>
          <w:rFonts w:cs="Arial"/>
          <w:szCs w:val="24"/>
        </w:rPr>
      </w:pPr>
      <w:r w:rsidRPr="00424BD3">
        <w:rPr>
          <w:rFonts w:cs="Arial"/>
          <w:szCs w:val="24"/>
        </w:rPr>
        <w:t xml:space="preserve">In addition to geopolitical environment and norms, these social, cultural and familial variables are important indicators of how the women’s perceptions were shaped over their lifespan regarding health inequities, health and illness in general, and mortality </w:t>
      </w:r>
      <w:r w:rsidRPr="00424BD3">
        <w:rPr>
          <w:rFonts w:cs="Arial"/>
          <w:szCs w:val="24"/>
        </w:rPr>
        <w:fldChar w:fldCharType="begin"/>
      </w:r>
      <w:r w:rsidR="00990F3A">
        <w:rPr>
          <w:rFonts w:cs="Arial"/>
          <w:szCs w:val="24"/>
        </w:rPr>
        <w:instrText xml:space="preserve"> ADDIN ZOTERO_ITEM CSL_CITATION {"citationID":"MSkIGmAf","properties":{"formattedCitation":"(Broderick, 1993; Carr, 2018; Christakis &amp; Fowler, 2009; P. H. Collins, 1998; Crenshaw, 1989; Krieger, 1994, 2001, 2012; J. C. Phelan et al., 2010; Thomeer et al., 2020)","plainCitation":"(Broderick, 1993; Carr, 2018; Christakis &amp; Fowler, 2009; P. H. Collins, 1998; Crenshaw, 1989; Krieger, 1994, 2001, 2012; J. C. Phelan et al., 2010; Thomeer et al., 2020)","noteIndex":0},"citationItems":[{"id":959,"uris":["http://zotero.org/users/4946941/items/KSP8BGE5"],"itemData":{"id":959,"type":"book","abstract":"Systems theory is the basic theoretical model underlying most contemporary family therapy. In this accessible introduction, the author traces how systems theory gave rise to family systems theory, outlines the basic propositions of family systems and links it both to other family theory literature and to clinical practice.  Among the topics covered are relational space, family boundaries, family stratification and child socialization. Family meanings and such shared realities as family folklore, stories, myths and memorabilia are discussed. Family rituals are also explored.","ISBN":"978-0-8039-3778-9","language":"en","note":"Google-Books-ID: EZpSZWkMw0wC","number-of-pages":"288","publisher":"SAGE","source":"Google Books","title":"Understanding Family Process: Basics of Family Systems Theory","title-short":"Understanding Family Process","author":[{"family":"Broderick","given":"Carlfred B."}],"issued":{"date-parts":[["1993",3,9]]}}},{"id":961,"uris":["http://zotero.org/users/4946941/items/2NEY9UPI"],"itemData":{"id":961,"type":"chapter","abstract":"Social relationships are essential to our emotional, social, physical, and economic well-being at every stage of the life course (House et al. 1988). National surveys consistently show that more than 95 percent of persons in the United States rate their families as “very” or “extremely” important to them, and more than three-quarters rate their friendships as such (Moore 2003). Yet even our most personal and intimate relationships are powerfully shaped by social structures, including historical and cultural contexts, and the social institutions in which we are embedded. That social contexts shape human relationships is a core theme of sociological perspectives on the life course (Elder 1994, 2000). This framework rests on four foundational concepts: historical context; personal timing; agency versus structure; and social relationships (i.e., linked lives). The latter theme is essential to the study of contemporary research on social networks, which uses state of the art methods to understand the complex role that social ties play in shaping attitudes, behaviors, health, and well-being over the life course.","collection-title":"Frontiers in Sociology and Social Research","container-title":"Social Networks and the Life Course: Integrating the Development of Human Lives and Social Relational Networks","event-place":"Cham","ISBN":"978-3-319-71544-5","language":"en","note":"DOI: 10.1007/978-3-319-71544-5_3","page":"41-63","publisher":"Springer International Publishing","publisher-place":"Cham","source":"Springer Link","title":"The Linked Lives Principle in Life Course Studies: Classic Approaches and Contemporary Advances","title-short":"The Linked Lives Principle in Life Course Studies","URL":"https://doi.org/10.1007/978-3-319-71544-5_3","author":[{"family":"Carr","given":"Deborah"}],"editor":[{"family":"Alwin","given":"Duane F."},{"family":"Felmlee","given":"Diane H."},{"family":"Kreager","given":"Derek A."}],"accessed":{"date-parts":[["2022",7,15]]},"issued":{"date-parts":[["2018"]]}}},{"id":969,"uris":["http://zotero.org/users/4946941/items/D5AQNRUG"],"itemData":{"id":969,"type":"book","abstract":"Celebrated scientists Nicholas Christakis and James Fowler explain the amazing power of social networks and our profound influence on one another's lives. Your colleague's husband's sister can make you fat, even if you don't know her. A happy neighbor has more impact on your happiness than a happy spouse. These startling revelations of how much we truly influence one another are revealed in the studies of Dr. Christakis and Fowler, which have repeatedly made front-page news nationwide.  In Connected, the authors explain why emotions are contagious, how health behaviors spread, why the rich get richer, even how we find and choose our partners. Intriguing and entertaining, Connected overturns the notion of the individual and provides a revolutionary paradigm-that social networks influence our ideas, emotions, health, relationships, behavior, politics, and much more. It will change the way we think about every aspect of our lives.","ISBN":"978-0-316-07134-5","language":"en","note":"Google-Books-ID: LXHi4wgIkzEC","number-of-pages":"344","publisher":"Little, Brown","source":"Google Books","title":"Connected: The Surprising Power of Our Social Networks and How They Shape Our Lives","title-short":"Connected","author":[{"family":"Christakis","given":"Nicholas A."},{"family":"Fowler","given":"James H."}],"issued":{"date-parts":[["2009",9,28]]}}},{"id":966,"uris":["http://zotero.org/users/4946941/items/AMRGL3MU"],"itemData":{"id":966,"type":"article-journal","abstract":"This article explores how recent theoretical developments in viewing race, social class, gender, and nation as dimensions of interlocking systems of oppression might suggest new directions for Black family studies. Traditional social science approaches typically treat race, class, gender, and nationality as descriptive variables attached to individuals who are then reinserted into existing theoretical models on the family. In contrast, intersectional approaches view institutionalized racism, social class relations, gender inequalities, and nationalism expressed on both sides of state power as analytical constructs that explain family organization in general, and Black family organization in particular. By exploring three such intersections, namely those of race and class, of race and gender, and of race and nation, this article examines how selected issues in Black family studies might benefit by approaching Black family studies via an intersectional lens.","container-title":"Journal of Comparative Family Studies","DOI":"10.3138/jcfs.29.1.27","ISSN":"0047-2328","issue":"1","note":"publisher: University of Toronto Press","page":"27-36","source":"utpjournals.press (Atypon)","title":"Intersections of Race, Class, Gender, and Nation: Some Implications for Black Family Studies","title-short":"Intersections of Race, Class, Gender, and Nation","volume":"29","author":[{"family":"Collins","given":"Patricia Hill"}],"issued":{"date-parts":[["1998",3]]}}},{"id":964,"uris":["http://zotero.org/users/4946941/items/L8U5BWTM"],"itemData":{"id":964,"type":"article-journal","container-title":"U. Chi. Legal F.","page":"139","title":"Demarginalizing the Intersection of Race and Sex: A Black Feminist Critique of Antidiscrimination Doctrine, Feminist Theory and Antiracist Politics","title-short":"Demarginalizing the Intersection of Race and Sex","volume":"1989","author":[{"family":"Crenshaw","given":"Kimberlé"}],"issued":{"date-parts":[["1989",1,1]]}}},{"id":905,"uris":["http://zotero.org/users/4946941/items/BFE7AEJK"],"itemData":{"id":905,"type":"article-journal","abstract":"‘Multiple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causation","volume":"39","author":[{"family":"Krieger","given":"Nancy"}],"issued":{"date-parts":[["1994",10,1]]}}},{"id":904,"uris":["http://zotero.org/users/4946941/items/FF5NBNQJ"],"itemData":{"id":904,"type":"article-journal","abstract":"‘Both thinking and facts are changeable, if only because changes in thinking manifest themselves in changed facts. Conversely, fundamentally new facts can be discovered only through new thinking.’ Ludwick Fleck (1935) Genesis and Development of a Scientific Fact.1,pp.50–51‘Once we recognize the state of the art is a social product, we are freer to look critically at the agenda of our science, its conceptual framework, and accepted methodologies, and to make conscious research choices.’ Richard Levins and Richard Lewontin (1987) The Dialectical Biologist.2,p.286","container-title":"International Journal of Epidemiology","DOI":"10.1093/ije/30.4.668","ISSN":"0300-5771","issue":"4","journalAbbreviation":"International Journal of Epidemiology","page":"668-677","source":"Silverchair","title":"Theories for social epidemiology in the 21st century: an ecosocial perspective","title-short":"Theories for social epidemiology in the 21st century","volume":"30","author":[{"family":"Krieger","given":"Nancy"}],"issued":{"date-parts":[["2001",8,1]]}}},{"id":897,"uris":["http://zotero.org/users/4946941/items/S62TE74T"],"itemData":{"id":897,"type":"article-journal","container-title":"American Journal of Public Health","issue":"5","page":"936-944","title":"Methods for the Scientific Study of Discrimination and Health: An Ecosocial Approach","volume":"102","author":[{"family":"Krieger","given":"Nancy"}],"issued":{"date-parts":[["2012"]]}}},{"id":769,"uris":["http://zotero.org/users/4946941/items/7F8PHKIQ"],"itemData":{"id":769,"type":"article-journal","container-title":"Journal of health and social behavior","DOI":"10.1177/0022146510383498","issue":"1_suppl","language":"en","page":"28– 40","title":"Social conditions as fundamental causes of health inequalities: theory, evidence, and policy implications","volume":"51","author":[{"family":"Phelan","given":"J.C."},{"family":"Link","given":"B.G."},{"family":"Tehranifar","given":"P."}],"issued":{"date-parts":[["2010"]]}}},{"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001F2B17" w:rsidRPr="00424BD3">
        <w:rPr>
          <w:rFonts w:cs="Arial"/>
        </w:rPr>
        <w:t>(Broderick, 1993; Carr, 2018; Christakis &amp; Fowler, 2009; P. H. Collins, 1998; Crenshaw, 1989; Krieger, 1994, 2001, 2012; J. C. Phelan et al., 2010; Thomeer et al., 2020)</w:t>
      </w:r>
      <w:r w:rsidRPr="00424BD3">
        <w:rPr>
          <w:rFonts w:cs="Arial"/>
          <w:szCs w:val="24"/>
        </w:rPr>
        <w:fldChar w:fldCharType="end"/>
      </w:r>
      <w:r w:rsidRPr="00424BD3">
        <w:rPr>
          <w:rFonts w:cs="Arial"/>
          <w:szCs w:val="24"/>
        </w:rPr>
        <w:t xml:space="preserve">. </w:t>
      </w:r>
      <w:r w:rsidR="006C51C9" w:rsidRPr="00424BD3">
        <w:rPr>
          <w:rFonts w:cs="Arial"/>
          <w:szCs w:val="24"/>
        </w:rPr>
        <w:t>T</w:t>
      </w:r>
      <w:r w:rsidRPr="00424BD3">
        <w:rPr>
          <w:rFonts w:cs="Arial"/>
          <w:szCs w:val="24"/>
        </w:rPr>
        <w:t xml:space="preserve">hese variables shed significant light on why the women think these illnesses and deaths have happened throughout their genealogical timeline (family history). By knowing what the women think and believe about causes of health inequities and </w:t>
      </w:r>
      <w:r w:rsidRPr="00424BD3">
        <w:rPr>
          <w:rFonts w:cs="Arial"/>
          <w:szCs w:val="24"/>
        </w:rPr>
        <w:lastRenderedPageBreak/>
        <w:t xml:space="preserve">mortality outcomes in their family, researchers can develop translational </w:t>
      </w:r>
      <w:r w:rsidR="00C215EE" w:rsidRPr="00424BD3">
        <w:rPr>
          <w:rFonts w:cs="Arial"/>
          <w:szCs w:val="24"/>
        </w:rPr>
        <w:t xml:space="preserve">and implementation </w:t>
      </w:r>
      <w:r w:rsidR="00E43437" w:rsidRPr="00424BD3">
        <w:rPr>
          <w:rFonts w:cs="Arial"/>
          <w:szCs w:val="24"/>
        </w:rPr>
        <w:t xml:space="preserve">health science </w:t>
      </w:r>
      <w:r w:rsidRPr="00424BD3">
        <w:rPr>
          <w:rFonts w:cs="Arial"/>
          <w:szCs w:val="24"/>
        </w:rPr>
        <w:t>protocols in order to help older women, clinicians, researcher</w:t>
      </w:r>
      <w:r w:rsidR="00E43437" w:rsidRPr="00424BD3">
        <w:rPr>
          <w:rFonts w:cs="Arial"/>
          <w:szCs w:val="24"/>
        </w:rPr>
        <w:t>s</w:t>
      </w:r>
      <w:r w:rsidRPr="00424BD3">
        <w:rPr>
          <w:rFonts w:cs="Arial"/>
          <w:szCs w:val="24"/>
        </w:rPr>
        <w:t xml:space="preserve">, policymakers and others develop more appropriate policies and interventions to meet the health needs of older women and to mitigate their health inequities. </w:t>
      </w:r>
    </w:p>
    <w:p w14:paraId="1F5D3CE3" w14:textId="7CDE330A" w:rsidR="008844E4" w:rsidRPr="00424BD3" w:rsidRDefault="008844E4" w:rsidP="000126EE">
      <w:pPr>
        <w:pStyle w:val="Heading2"/>
        <w:spacing w:before="0" w:line="480" w:lineRule="auto"/>
        <w:jc w:val="center"/>
        <w:rPr>
          <w:rFonts w:ascii="Arial" w:hAnsi="Arial" w:cs="Arial"/>
          <w:b/>
          <w:bCs/>
          <w:color w:val="auto"/>
          <w:sz w:val="24"/>
          <w:szCs w:val="24"/>
        </w:rPr>
      </w:pPr>
      <w:bookmarkStart w:id="61" w:name="_Toc118232327"/>
      <w:r w:rsidRPr="00424BD3">
        <w:rPr>
          <w:rFonts w:ascii="Arial" w:hAnsi="Arial" w:cs="Arial"/>
          <w:b/>
          <w:bCs/>
          <w:color w:val="auto"/>
          <w:sz w:val="24"/>
          <w:szCs w:val="24"/>
        </w:rPr>
        <w:t>Places</w:t>
      </w:r>
      <w:r w:rsidR="00573774" w:rsidRPr="00424BD3">
        <w:rPr>
          <w:rFonts w:ascii="Arial" w:hAnsi="Arial" w:cs="Arial"/>
          <w:b/>
          <w:bCs/>
          <w:color w:val="auto"/>
          <w:sz w:val="24"/>
          <w:szCs w:val="24"/>
        </w:rPr>
        <w:t xml:space="preserve"> of Residence</w:t>
      </w:r>
      <w:r w:rsidRPr="00846A04">
        <w:rPr>
          <w:rStyle w:val="FootnoteReference"/>
        </w:rPr>
        <w:footnoteReference w:id="13"/>
      </w:r>
      <w:bookmarkEnd w:id="61"/>
      <w:r w:rsidRPr="00424BD3">
        <w:rPr>
          <w:rFonts w:ascii="Arial" w:hAnsi="Arial" w:cs="Arial"/>
          <w:b/>
          <w:bCs/>
          <w:color w:val="auto"/>
          <w:sz w:val="24"/>
          <w:szCs w:val="24"/>
        </w:rPr>
        <w:t xml:space="preserve"> </w:t>
      </w:r>
    </w:p>
    <w:p w14:paraId="56F59373" w14:textId="50DB89FC" w:rsidR="008844E4" w:rsidRPr="00424BD3" w:rsidRDefault="008844E4" w:rsidP="000126EE">
      <w:pPr>
        <w:spacing w:after="0" w:line="480" w:lineRule="auto"/>
        <w:ind w:firstLine="720"/>
        <w:rPr>
          <w:rFonts w:cs="Arial"/>
          <w:szCs w:val="24"/>
        </w:rPr>
      </w:pPr>
      <w:r w:rsidRPr="00424BD3">
        <w:rPr>
          <w:rFonts w:cs="Arial"/>
          <w:szCs w:val="24"/>
        </w:rPr>
        <w:t xml:space="preserve">Although all of the women interviewed currently reside in East Tennessee, all except Deborah and Anita were born in other states prior to relocating to East Tennessee. All but one had resided in other states or countries. Of those who relocated to East Tennessee, none had lived in </w:t>
      </w:r>
      <w:r w:rsidR="007D6A28" w:rsidRPr="00424BD3">
        <w:rPr>
          <w:rFonts w:cs="Arial"/>
          <w:szCs w:val="24"/>
        </w:rPr>
        <w:t xml:space="preserve">the </w:t>
      </w:r>
      <w:r w:rsidRPr="00424BD3">
        <w:rPr>
          <w:rFonts w:cs="Arial"/>
          <w:szCs w:val="24"/>
        </w:rPr>
        <w:t xml:space="preserve">area less than seven years. The places the women were born and lived in show a U.S. north mid-and-east geographical concentration of participant’s birthplaces and the lack of U.S. northern mid-west and, </w:t>
      </w:r>
      <w:r w:rsidR="00A95898" w:rsidRPr="00424BD3">
        <w:rPr>
          <w:rFonts w:cs="Arial"/>
          <w:szCs w:val="24"/>
        </w:rPr>
        <w:t xml:space="preserve">surprisingly to me, </w:t>
      </w:r>
      <w:r w:rsidRPr="00424BD3">
        <w:rPr>
          <w:rFonts w:cs="Arial"/>
          <w:szCs w:val="24"/>
        </w:rPr>
        <w:t xml:space="preserve">southeast, lived-in places. This may be important because it shows a concentration of north-eastern and western immigration to East Tennessee, which will allow an examination of whether a cultural norm difference in primarily non-Appalachian attitudes, beliefs, and perceptions of health, health inequalities, and mortality manifests in the participants’ responses </w:t>
      </w:r>
      <w:r w:rsidRPr="00424BD3">
        <w:rPr>
          <w:rFonts w:cs="Arial"/>
          <w:szCs w:val="24"/>
        </w:rPr>
        <w:fldChar w:fldCharType="begin"/>
      </w:r>
      <w:r w:rsidR="00990F3A">
        <w:rPr>
          <w:rFonts w:cs="Arial"/>
          <w:szCs w:val="24"/>
        </w:rPr>
        <w:instrText xml:space="preserve"> ADDIN ZOTERO_ITEM CSL_CITATION {"citationID":"PCEpzXhq","properties":{"formattedCitation":"(Hege et al., 2018; McGarvey et al., 2011; Morrone et al., 2021)","plainCitation":"(Hege et al., 2018; McGarvey et al., 2011; Morrone et al., 2021)","noteIndex":0},"citationItems":[{"id":1075,"uris":["http://zotero.org/users/4946941/items/AKU9QUCD"],"itemData":{"id":1075,"type":"article-journal","abstract":"Recent evidence highlights health disparities among rural communities. The purpose of this study was to learn from members of 2 Appalachia communities in North Carolina about barriers to health and well-being. Researchers conducted 3 focus groups (n = 24), which were coded and analyzed by a team of researchers to identify themes. Researchers identified 5 themes: (1) poverty/lack of economic opportunity; (2) access to health care and health resources; (3) social/mental health challenges; (4) food insecurity/hunger; and (5) youth/older adults being most vulnerable to health disparities. Ample evidence suggests that rural Appalachia is in dire need of public health attention.","container-title":"Family &amp; Community Health","DOI":"10.1097/FCH.0000000000000201","ISSN":"0160-6379","issue":"4","language":"en-US","page":"244–254","source":"journals.lww.com","title":"Social Determinants of Health and the Effects on Quality of Life and Well-being in 2 Rural Appalachia Communities: The Community Members' Perspective and Implications for Health Disparities","title-short":"Social Determinants of Health and the Effects on Quality of Life and Well-being in 2 Rural Appalachia Communities","volume":"41","author":[{"family":"Hege","given":"Adam"},{"family":"Ball","given":"Lanae"},{"family":"Christiana","given":"Richard W."},{"family":"Wallace","given":"Conner"},{"family":"Hubbard","given":"Cami"},{"family":"Truesdale","given":"Danielle"},{"family":"Hege","given":"Jennifer"},{"family":"Fleming","given":"Howard"}],"issued":{"date-parts":[["2018",12]]}}},{"id":1025,"uris":["http://zotero.org/users/4946941/items/SL8NC8ZG"],"itemData":{"id":1025,"type":"article-journal","abstract":"The examination of health disparities among people within Appalachian counties compared to people living in other counties is needed to find ways to strategically target improvements in community health in the United States of America (USA). Methods: A telephone survey of a random sample of adults living in households within communities of all counties of the state of Virginia (VA) in the USA was conducted. Findings: Health status was poorer among those in communities within Appalachian counties in VA and health insurance did not make a difference. Health perception was significantly worse in residents within communities in Appalachian counties compared to non-Appalachian community residents (30.5 vs. 17.4% rated their health status as poor/fair), and was worse even among those with no chronic diseases. Within communities in Appalachian counties, black residents report significantly better health perception than do white residents. Conclusion: Residents living in communities in Appalachian counties in VA are not receiving adequate health care, even among those with health insurance. More research with a larger ethnic minority sample is needed to investigate the racial/ethnic disparities in self-reported health and health care utilization within communities.","container-title":"Journal of Community Health","DOI":"10.1007/s10900-010-9315-9","ISSN":"0094-5145","issue":"3","journalAbbreviation":"J Community Health","note":"PMID: 20862529\nPMCID: PMC3089820","page":"348-356","source":"PubMed Central","title":"Health Disparities Between Appalachian and Non-Appalachian Counties in Virginia USA","volume":"36","author":[{"family":"McGarvey","given":"Elizabeth L."},{"family":"Leon-Verdin","given":"MaGuadalupe"},{"family":"Killos","given":"Lydia F."},{"family":"Guterbock","given":"Thomas"},{"family":"Cohn","given":"Wendy F."}],"issued":{"date-parts":[["2011"]]}}},{"id":1078,"uris":["http://zotero.org/users/4946941/items/8CG62MCL"],"itemData":{"id":1078,"type":"article-journal","abstract":"Introduction: Health disparities such as cancer and diabetes are well documented in Appalachia. These disparities contribute to health status, and by many indicators, Appalachian people are less healthy than those who live in other parts of the country. Access to health care is one factor that contributes to health disparities. Access to care is complex and involves both intrinsic and extrinsic aspects, including satisfaction with quality of care. This research sought to compare Appalachian to non-Appalachian communities in terms of perceptions of access to care., Methods: We implemented a statewide survey to quantify perceptions of multiple components of access to care, including satisfaction with quality of care. We compared survey results to quantitative data from the County Health Rankings to document consistency with perceptions of access to care. We used chi-square analysis to compare Appalachian with non-Appalachian respondents., Results: More than 600 people completed the survey. Results of the survey identify significant differences between Appalachian and non-Appalachian residents' perceptions of access to care and their satisfaction with health care. Specifically, Appalachian residents are less satisfied with convenience, information, quality, and courtesy of health care. They perceive providers relying on stereotypes when communicating with patients., Implications: Examining and documenting perceptions of health care is important because it could lead to improving access by focusing on cultural competency in addition to more resource intensive strategies. Health disparities in Appalachia might be minimized by being more compassionate and understanding of people who live here.","container-title":"Journal of Appalachian Health","ISSN":"2641-7804","issue":"4","note":"publisher: The University Press of Kentucky","page":"123-136","source":"Project MUSE","title":"Access to Health Care in Appalachia Perception and Reality","volume":"3","author":[{"family":"Morrone","given":"Michele"},{"family":"Cronin","given":"Cory E."},{"family":"Schuller","given":"Kristin"},{"family":"Nicks","given":"Shannon E."}],"issued":{"date-parts":[["2021"]]}}}],"schema":"https://github.com/citation-style-language/schema/raw/master/csl-citation.json"} </w:instrText>
      </w:r>
      <w:r w:rsidRPr="00424BD3">
        <w:rPr>
          <w:rFonts w:cs="Arial"/>
          <w:szCs w:val="24"/>
        </w:rPr>
        <w:fldChar w:fldCharType="separate"/>
      </w:r>
      <w:r w:rsidRPr="00424BD3">
        <w:rPr>
          <w:rFonts w:cs="Arial"/>
        </w:rPr>
        <w:t>(Hege et al., 2018; McGarvey et al., 2011; Morrone et al., 2021)</w:t>
      </w:r>
      <w:r w:rsidRPr="00424BD3">
        <w:rPr>
          <w:rFonts w:cs="Arial"/>
          <w:szCs w:val="24"/>
        </w:rPr>
        <w:fldChar w:fldCharType="end"/>
      </w:r>
      <w:r w:rsidRPr="00424BD3">
        <w:rPr>
          <w:rFonts w:cs="Arial"/>
          <w:szCs w:val="24"/>
        </w:rPr>
        <w:t>. It allows us to see where residence overlap occurred in participant residency locations</w:t>
      </w:r>
      <w:r w:rsidR="00C42E99" w:rsidRPr="00424BD3">
        <w:rPr>
          <w:rFonts w:cs="Arial"/>
          <w:szCs w:val="24"/>
        </w:rPr>
        <w:t xml:space="preserve"> including the states of </w:t>
      </w:r>
      <w:r w:rsidRPr="00424BD3">
        <w:rPr>
          <w:rFonts w:cs="Arial"/>
          <w:szCs w:val="24"/>
        </w:rPr>
        <w:t>California, Illinois, New York, Texas, Virginia</w:t>
      </w:r>
      <w:r w:rsidR="00C42E99" w:rsidRPr="00424BD3">
        <w:rPr>
          <w:rFonts w:cs="Arial"/>
          <w:szCs w:val="24"/>
        </w:rPr>
        <w:t xml:space="preserve">, </w:t>
      </w:r>
      <w:r w:rsidRPr="00424BD3">
        <w:rPr>
          <w:rFonts w:cs="Arial"/>
          <w:szCs w:val="24"/>
        </w:rPr>
        <w:t xml:space="preserve">and </w:t>
      </w:r>
      <w:r w:rsidR="00C42E99" w:rsidRPr="00424BD3">
        <w:rPr>
          <w:rFonts w:cs="Arial"/>
          <w:szCs w:val="24"/>
        </w:rPr>
        <w:t xml:space="preserve">the counties / cities of </w:t>
      </w:r>
      <w:r w:rsidRPr="00424BD3">
        <w:rPr>
          <w:rFonts w:cs="Arial"/>
          <w:szCs w:val="24"/>
        </w:rPr>
        <w:t>Ann Arbor (Michigan)</w:t>
      </w:r>
      <w:r w:rsidR="00C42E99" w:rsidRPr="00424BD3">
        <w:rPr>
          <w:rFonts w:cs="Arial"/>
          <w:szCs w:val="24"/>
        </w:rPr>
        <w:t xml:space="preserve">, </w:t>
      </w:r>
      <w:r w:rsidRPr="00424BD3">
        <w:rPr>
          <w:rFonts w:cs="Arial"/>
          <w:szCs w:val="24"/>
        </w:rPr>
        <w:t>Davis, (California)</w:t>
      </w:r>
      <w:r w:rsidR="00C42E99" w:rsidRPr="00424BD3">
        <w:rPr>
          <w:rFonts w:cs="Arial"/>
          <w:szCs w:val="24"/>
        </w:rPr>
        <w:t xml:space="preserve">, </w:t>
      </w:r>
      <w:r w:rsidRPr="00424BD3">
        <w:rPr>
          <w:rFonts w:cs="Arial"/>
          <w:szCs w:val="24"/>
        </w:rPr>
        <w:t>Nashville (Tennessee)</w:t>
      </w:r>
      <w:r w:rsidR="00C42E99" w:rsidRPr="00424BD3">
        <w:rPr>
          <w:rFonts w:cs="Arial"/>
          <w:szCs w:val="24"/>
        </w:rPr>
        <w:t xml:space="preserve">, </w:t>
      </w:r>
      <w:r w:rsidRPr="00424BD3">
        <w:rPr>
          <w:rFonts w:cs="Arial"/>
          <w:szCs w:val="24"/>
        </w:rPr>
        <w:t>New York City, (New York)</w:t>
      </w:r>
      <w:r w:rsidR="00C42E99" w:rsidRPr="00424BD3">
        <w:rPr>
          <w:rFonts w:cs="Arial"/>
          <w:szCs w:val="24"/>
        </w:rPr>
        <w:t xml:space="preserve">, </w:t>
      </w:r>
      <w:r w:rsidRPr="00424BD3">
        <w:rPr>
          <w:rFonts w:cs="Arial"/>
          <w:szCs w:val="24"/>
        </w:rPr>
        <w:t>and Westchester Co (New York)</w:t>
      </w:r>
      <w:r w:rsidR="007947B4" w:rsidRPr="00424BD3">
        <w:rPr>
          <w:rFonts w:cs="Arial"/>
          <w:szCs w:val="24"/>
        </w:rPr>
        <w:t xml:space="preserve"> (for a full </w:t>
      </w:r>
      <w:r w:rsidR="00B92608" w:rsidRPr="00424BD3">
        <w:rPr>
          <w:rFonts w:cs="Arial"/>
          <w:szCs w:val="24"/>
        </w:rPr>
        <w:t xml:space="preserve">breakdown of </w:t>
      </w:r>
      <w:r w:rsidR="00B92608" w:rsidRPr="00424BD3">
        <w:rPr>
          <w:rFonts w:cs="Arial"/>
          <w:szCs w:val="24"/>
        </w:rPr>
        <w:lastRenderedPageBreak/>
        <w:t xml:space="preserve">city and state </w:t>
      </w:r>
      <w:r w:rsidR="00BB1777" w:rsidRPr="00424BD3">
        <w:rPr>
          <w:rFonts w:cs="Arial"/>
          <w:szCs w:val="24"/>
        </w:rPr>
        <w:t>locations</w:t>
      </w:r>
      <w:r w:rsidR="00B92608" w:rsidRPr="00424BD3">
        <w:rPr>
          <w:rFonts w:cs="Arial"/>
          <w:szCs w:val="24"/>
        </w:rPr>
        <w:t xml:space="preserve"> by number of </w:t>
      </w:r>
      <w:r w:rsidR="00BB1777" w:rsidRPr="00424BD3">
        <w:rPr>
          <w:rFonts w:cs="Arial"/>
          <w:szCs w:val="24"/>
        </w:rPr>
        <w:t xml:space="preserve">participant residences, see Table </w:t>
      </w:r>
      <w:r w:rsidR="00360766" w:rsidRPr="00424BD3">
        <w:rPr>
          <w:rFonts w:cs="Arial"/>
          <w:szCs w:val="24"/>
        </w:rPr>
        <w:t>4</w:t>
      </w:r>
      <w:r w:rsidR="00C779A8" w:rsidRPr="00424BD3">
        <w:rPr>
          <w:rFonts w:cs="Arial"/>
          <w:szCs w:val="24"/>
        </w:rPr>
        <w:t xml:space="preserve"> </w:t>
      </w:r>
      <w:r w:rsidR="002B720C" w:rsidRPr="00424BD3">
        <w:rPr>
          <w:rFonts w:cs="Arial"/>
          <w:szCs w:val="24"/>
        </w:rPr>
        <w:t xml:space="preserve">in Appendix </w:t>
      </w:r>
      <w:r w:rsidR="00C779A8" w:rsidRPr="00424BD3">
        <w:rPr>
          <w:rFonts w:cs="Arial"/>
          <w:szCs w:val="24"/>
        </w:rPr>
        <w:t>1</w:t>
      </w:r>
      <w:r w:rsidR="008D41E0" w:rsidRPr="00424BD3">
        <w:rPr>
          <w:rFonts w:cs="Arial"/>
          <w:szCs w:val="24"/>
        </w:rPr>
        <w:t>)</w:t>
      </w:r>
      <w:r w:rsidR="00C42E99" w:rsidRPr="00424BD3">
        <w:rPr>
          <w:rFonts w:cs="Arial"/>
          <w:szCs w:val="24"/>
        </w:rPr>
        <w:t xml:space="preserve">. It also allows us to see </w:t>
      </w:r>
      <w:r w:rsidR="00612D62" w:rsidRPr="00424BD3">
        <w:rPr>
          <w:rFonts w:cs="Arial"/>
          <w:szCs w:val="24"/>
        </w:rPr>
        <w:t>if</w:t>
      </w:r>
      <w:r w:rsidRPr="00424BD3">
        <w:rPr>
          <w:rFonts w:cs="Arial"/>
          <w:szCs w:val="24"/>
        </w:rPr>
        <w:t xml:space="preserve"> the women who unrelatedly lived in the same </w:t>
      </w:r>
      <w:r w:rsidR="003164CF" w:rsidRPr="00424BD3">
        <w:rPr>
          <w:rFonts w:cs="Arial"/>
          <w:szCs w:val="24"/>
        </w:rPr>
        <w:t>states, counties, or cities</w:t>
      </w:r>
      <w:r w:rsidRPr="00424BD3">
        <w:rPr>
          <w:rFonts w:cs="Arial"/>
          <w:szCs w:val="24"/>
        </w:rPr>
        <w:t xml:space="preserve"> outside of Tennessee, share some of the same attitudes, beliefs or perceptions. Finally, by examining the breadth and diversity of residency locations of these twelve women, it is possible to argue that their geopolitical, social</w:t>
      </w:r>
      <w:r w:rsidR="00584DA0" w:rsidRPr="00424BD3">
        <w:rPr>
          <w:rFonts w:cs="Arial"/>
          <w:szCs w:val="24"/>
        </w:rPr>
        <w:t>,</w:t>
      </w:r>
      <w:r w:rsidRPr="00424BD3">
        <w:rPr>
          <w:rFonts w:cs="Arial"/>
          <w:szCs w:val="24"/>
        </w:rPr>
        <w:t xml:space="preserve"> and cultural place experiences were not limited in scope, and allow for a wider understanding of place, health, and policy experiences across the U.S.</w:t>
      </w:r>
    </w:p>
    <w:p w14:paraId="26268B74" w14:textId="435018EC" w:rsidR="008844E4" w:rsidRPr="00424BD3" w:rsidRDefault="008844E4" w:rsidP="000126EE">
      <w:pPr>
        <w:spacing w:after="0" w:line="480" w:lineRule="auto"/>
        <w:ind w:firstLine="720"/>
        <w:rPr>
          <w:rFonts w:cs="Arial"/>
          <w:szCs w:val="24"/>
        </w:rPr>
      </w:pPr>
      <w:r w:rsidRPr="00424BD3">
        <w:rPr>
          <w:rFonts w:cs="Arial"/>
          <w:szCs w:val="24"/>
        </w:rPr>
        <w:t xml:space="preserve">To provide context to the geopolitical similarities or differences of various areas the women have lived in compared to East Tennessee, and to build a life course approach </w:t>
      </w:r>
      <w:r w:rsidRPr="00424BD3">
        <w:rPr>
          <w:rFonts w:cs="Arial"/>
          <w:szCs w:val="24"/>
        </w:rPr>
        <w:fldChar w:fldCharType="begin"/>
      </w:r>
      <w:r w:rsidR="00990F3A">
        <w:rPr>
          <w:rFonts w:cs="Arial"/>
          <w:szCs w:val="24"/>
        </w:rPr>
        <w:instrText xml:space="preserve"> ADDIN ZOTERO_ITEM CSL_CITATION {"citationID":"gap7jphX","properties":{"formattedCitation":"(Carr, 2018)","plainCitation":"(Carr, 2018)","noteIndex":0},"citationItems":[{"id":961,"uris":["http://zotero.org/users/4946941/items/2NEY9UPI"],"itemData":{"id":961,"type":"chapter","abstract":"Social relationships are essential to our emotional, social, physical, and economic well-being at every stage of the life course (House et al. 1988). National surveys consistently show that more than 95 percent of persons in the United States rate their families as “very” or “extremely” important to them, and more than three-quarters rate their friendships as such (Moore 2003). Yet even our most personal and intimate relationships are powerfully shaped by social structures, including historical and cultural contexts, and the social institutions in which we are embedded. That social contexts shape human relationships is a core theme of sociological perspectives on the life course (Elder 1994, 2000). This framework rests on four foundational concepts: historical context; personal timing; agency versus structure; and social relationships (i.e., linked lives). The latter theme is essential to the study of contemporary research on social networks, which uses state of the art methods to understand the complex role that social ties play in shaping attitudes, behaviors, health, and well-being over the life course.","collection-title":"Frontiers in Sociology and Social Research","container-title":"Social Networks and the Life Course: Integrating the Development of Human Lives and Social Relational Networks","event-place":"Cham","ISBN":"978-3-319-71544-5","language":"en","note":"DOI: 10.1007/978-3-319-71544-5_3","page":"41-63","publisher":"Springer International Publishing","publisher-place":"Cham","source":"Springer Link","title":"The Linked Lives Principle in Life Course Studies: Classic Approaches and Contemporary Advances","title-short":"The Linked Lives Principle in Life Course Studies","URL":"https://doi.org/10.1007/978-3-319-71544-5_3","author":[{"family":"Carr","given":"Deborah"}],"editor":[{"family":"Alwin","given":"Duane F."},{"family":"Felmlee","given":"Diane H."},{"family":"Kreager","given":"Derek A."}],"accessed":{"date-parts":[["2022",7,15]]},"issued":{"date-parts":[["2018"]]}}}],"schema":"https://github.com/citation-style-language/schema/raw/master/csl-citation.json"} </w:instrText>
      </w:r>
      <w:r w:rsidRPr="00424BD3">
        <w:rPr>
          <w:rFonts w:cs="Arial"/>
          <w:szCs w:val="24"/>
        </w:rPr>
        <w:fldChar w:fldCharType="separate"/>
      </w:r>
      <w:r w:rsidRPr="00424BD3">
        <w:rPr>
          <w:rFonts w:cs="Arial"/>
        </w:rPr>
        <w:t>(Carr, 2018)</w:t>
      </w:r>
      <w:r w:rsidRPr="00424BD3">
        <w:rPr>
          <w:rFonts w:cs="Arial"/>
          <w:szCs w:val="24"/>
        </w:rPr>
        <w:fldChar w:fldCharType="end"/>
      </w:r>
      <w:r w:rsidRPr="00424BD3">
        <w:rPr>
          <w:rFonts w:cs="Arial"/>
          <w:szCs w:val="24"/>
        </w:rPr>
        <w:t xml:space="preserve"> connection to the geopolitical and social place environments they have encountered prior to living in the Tennessee and East Tennessee geopolitical and social place environment, a short comparison synopsis of the areas in which the women lived outside of East Tennessee to the three counties within the study counties of residence</w:t>
      </w:r>
      <w:r w:rsidR="00AE218B" w:rsidRPr="00424BD3">
        <w:rPr>
          <w:rFonts w:cs="Arial"/>
          <w:szCs w:val="24"/>
        </w:rPr>
        <w:t xml:space="preserve"> </w:t>
      </w:r>
      <w:r w:rsidR="007E482F" w:rsidRPr="00424BD3">
        <w:rPr>
          <w:rFonts w:cs="Arial"/>
          <w:szCs w:val="24"/>
        </w:rPr>
        <w:t>is</w:t>
      </w:r>
      <w:r w:rsidR="00AE218B" w:rsidRPr="00424BD3">
        <w:rPr>
          <w:rFonts w:cs="Arial"/>
          <w:szCs w:val="24"/>
        </w:rPr>
        <w:t xml:space="preserve"> undertaken</w:t>
      </w:r>
      <w:r w:rsidRPr="00424BD3">
        <w:rPr>
          <w:rFonts w:cs="Arial"/>
          <w:szCs w:val="24"/>
        </w:rPr>
        <w:t xml:space="preserve">. </w:t>
      </w:r>
      <w:r w:rsidR="007E482F" w:rsidRPr="00424BD3">
        <w:rPr>
          <w:rFonts w:cs="Arial"/>
          <w:szCs w:val="24"/>
        </w:rPr>
        <w:t>A</w:t>
      </w:r>
      <w:r w:rsidRPr="00424BD3">
        <w:rPr>
          <w:rFonts w:cs="Arial"/>
          <w:szCs w:val="24"/>
        </w:rPr>
        <w:t xml:space="preserve"> review the social determinants of political environment, race-majority make-up percentages, and age 65</w:t>
      </w:r>
      <w:r w:rsidR="00815F08" w:rsidRPr="00424BD3">
        <w:rPr>
          <w:rFonts w:cs="Arial"/>
          <w:szCs w:val="24"/>
        </w:rPr>
        <w:t xml:space="preserve"> years and over</w:t>
      </w:r>
      <w:r w:rsidRPr="00424BD3">
        <w:rPr>
          <w:rFonts w:cs="Arial"/>
          <w:szCs w:val="24"/>
        </w:rPr>
        <w:t xml:space="preserve"> population percentage</w:t>
      </w:r>
      <w:r w:rsidR="007E482F" w:rsidRPr="00424BD3">
        <w:rPr>
          <w:rFonts w:cs="Arial"/>
          <w:szCs w:val="24"/>
        </w:rPr>
        <w:t xml:space="preserve"> </w:t>
      </w:r>
      <w:r w:rsidR="004D24FE" w:rsidRPr="00424BD3">
        <w:rPr>
          <w:rFonts w:cs="Arial"/>
          <w:szCs w:val="24"/>
        </w:rPr>
        <w:t>as well as a</w:t>
      </w:r>
      <w:r w:rsidRPr="00424BD3">
        <w:rPr>
          <w:rFonts w:cs="Arial"/>
          <w:szCs w:val="24"/>
        </w:rPr>
        <w:t xml:space="preserve"> compar</w:t>
      </w:r>
      <w:r w:rsidR="006E1B97" w:rsidRPr="00424BD3">
        <w:rPr>
          <w:rFonts w:cs="Arial"/>
          <w:szCs w:val="24"/>
        </w:rPr>
        <w:t xml:space="preserve">ison of </w:t>
      </w:r>
      <w:r w:rsidRPr="00424BD3">
        <w:rPr>
          <w:rFonts w:cs="Arial"/>
          <w:szCs w:val="24"/>
        </w:rPr>
        <w:t>non-East Tennessee areas against the major population areas within the East Tennessee study counties of residence: Knoxville (Knox County), Maryville &amp; Alcoa (Blount County), and Sevierville (Sevier County) (birthplace of Dolly Parton)</w:t>
      </w:r>
      <w:r w:rsidR="006E1B97" w:rsidRPr="00424BD3">
        <w:rPr>
          <w:rFonts w:cs="Arial"/>
          <w:szCs w:val="24"/>
        </w:rPr>
        <w:t xml:space="preserve"> is also undertaken</w:t>
      </w:r>
      <w:r w:rsidRPr="00424BD3">
        <w:rPr>
          <w:rFonts w:cs="Arial"/>
          <w:szCs w:val="24"/>
        </w:rPr>
        <w:t>. Knoxville is, relatively speaking, a more racially diverse area than much of the U.S with a 68% white-majority population</w:t>
      </w:r>
      <w:r w:rsidR="00471DED" w:rsidRPr="00424BD3">
        <w:rPr>
          <w:rFonts w:cs="Arial"/>
          <w:szCs w:val="24"/>
        </w:rPr>
        <w:t>. Fourteen percent of its population is 65 years</w:t>
      </w:r>
      <w:r w:rsidR="00815F08" w:rsidRPr="00424BD3">
        <w:rPr>
          <w:rFonts w:cs="Arial"/>
          <w:szCs w:val="24"/>
        </w:rPr>
        <w:t xml:space="preserve"> </w:t>
      </w:r>
      <w:r w:rsidR="00471DED" w:rsidRPr="00424BD3">
        <w:rPr>
          <w:rFonts w:cs="Arial"/>
          <w:szCs w:val="24"/>
        </w:rPr>
        <w:t xml:space="preserve">and over. </w:t>
      </w:r>
      <w:r w:rsidRPr="00424BD3">
        <w:rPr>
          <w:rFonts w:cs="Arial"/>
          <w:szCs w:val="24"/>
        </w:rPr>
        <w:t xml:space="preserve">The city itself has a mixed history of democrat-liberalism with republican-conservatism and is currently democrat-liberal within a conservative county, metro area, and state. Maryville is a strongly white-majority </w:t>
      </w:r>
      <w:r w:rsidRPr="00424BD3">
        <w:rPr>
          <w:rFonts w:cs="Arial"/>
          <w:szCs w:val="24"/>
        </w:rPr>
        <w:lastRenderedPageBreak/>
        <w:t xml:space="preserve">population with a just over 91% white-majority population and just over an 18% population of those 65 </w:t>
      </w:r>
      <w:r w:rsidR="00815F08" w:rsidRPr="00424BD3">
        <w:rPr>
          <w:rFonts w:cs="Arial"/>
          <w:szCs w:val="24"/>
        </w:rPr>
        <w:t xml:space="preserve">years </w:t>
      </w:r>
      <w:r w:rsidRPr="00424BD3">
        <w:rPr>
          <w:rFonts w:cs="Arial"/>
          <w:szCs w:val="24"/>
        </w:rPr>
        <w:t xml:space="preserve">and over. Alcoa has a 74% white-majority population and just over 17% of its population is 65 years and over. Sevierville has a 73% white majority population, and just over 20% of its population is 65 </w:t>
      </w:r>
      <w:r w:rsidR="00815F08" w:rsidRPr="00424BD3">
        <w:rPr>
          <w:rFonts w:cs="Arial"/>
          <w:szCs w:val="24"/>
        </w:rPr>
        <w:t xml:space="preserve">years </w:t>
      </w:r>
      <w:r w:rsidRPr="00424BD3">
        <w:rPr>
          <w:rFonts w:cs="Arial"/>
          <w:szCs w:val="24"/>
        </w:rPr>
        <w:t xml:space="preserve">and over. All Blount County and Sevier County areas are conservative with conservative counties, metro areas, and state. </w:t>
      </w:r>
    </w:p>
    <w:p w14:paraId="2FC0B177" w14:textId="3E6A07EC" w:rsidR="008844E4" w:rsidRPr="00424BD3" w:rsidRDefault="008844E4" w:rsidP="000126EE">
      <w:pPr>
        <w:pStyle w:val="Heading3"/>
        <w:spacing w:before="0" w:line="480" w:lineRule="auto"/>
        <w:rPr>
          <w:rFonts w:ascii="Arial" w:hAnsi="Arial" w:cs="Arial"/>
          <w:b/>
          <w:bCs/>
          <w:i/>
          <w:iCs/>
          <w:color w:val="auto"/>
        </w:rPr>
      </w:pPr>
      <w:bookmarkStart w:id="62" w:name="_Toc118232328"/>
      <w:r w:rsidRPr="00424BD3">
        <w:rPr>
          <w:rFonts w:ascii="Arial" w:hAnsi="Arial" w:cs="Arial"/>
          <w:b/>
          <w:bCs/>
          <w:i/>
          <w:iCs/>
          <w:color w:val="auto"/>
        </w:rPr>
        <w:t xml:space="preserve">Short </w:t>
      </w:r>
      <w:r w:rsidR="00D814B1">
        <w:rPr>
          <w:rFonts w:ascii="Arial" w:hAnsi="Arial" w:cs="Arial"/>
          <w:b/>
          <w:bCs/>
          <w:i/>
          <w:iCs/>
          <w:color w:val="auto"/>
        </w:rPr>
        <w:t>S</w:t>
      </w:r>
      <w:r w:rsidRPr="00424BD3">
        <w:rPr>
          <w:rFonts w:ascii="Arial" w:hAnsi="Arial" w:cs="Arial"/>
          <w:b/>
          <w:bCs/>
          <w:i/>
          <w:iCs/>
          <w:color w:val="auto"/>
        </w:rPr>
        <w:t>ynopsis</w:t>
      </w:r>
      <w:bookmarkEnd w:id="62"/>
    </w:p>
    <w:p w14:paraId="0E64F148" w14:textId="26613840" w:rsidR="008844E4" w:rsidRPr="00424BD3" w:rsidRDefault="008844E4"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t>Deborah has only ever lived in East Tennessee, highly white-majority population areas, and in majority republican-conservative political environments.</w:t>
      </w:r>
    </w:p>
    <w:p w14:paraId="518922D5" w14:textId="77777777" w:rsidR="008844E4" w:rsidRPr="00424BD3" w:rsidRDefault="008844E4"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t xml:space="preserve">Cynthia, Anita, Sharon, Ruth, Sylvia, Carolyn, Kathryn all have the experience of living in non-white-majority population areas. </w:t>
      </w:r>
    </w:p>
    <w:p w14:paraId="150A30C1" w14:textId="2B97CFF4" w:rsidR="008844E4" w:rsidRPr="00424BD3" w:rsidRDefault="008844E4"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t xml:space="preserve">Cynthia, Anita, Sharon, Margaret, Sylvia have </w:t>
      </w:r>
      <w:r w:rsidR="001E2131">
        <w:rPr>
          <w:rFonts w:ascii="Arial" w:hAnsi="Arial" w:cs="Arial"/>
          <w:sz w:val="24"/>
          <w:szCs w:val="24"/>
        </w:rPr>
        <w:t xml:space="preserve">the </w:t>
      </w:r>
      <w:r w:rsidRPr="00424BD3">
        <w:rPr>
          <w:rFonts w:ascii="Arial" w:hAnsi="Arial" w:cs="Arial"/>
          <w:sz w:val="24"/>
          <w:szCs w:val="24"/>
        </w:rPr>
        <w:t>experience of living in both majority democrat-liberal and republican-conservative areas.</w:t>
      </w:r>
    </w:p>
    <w:p w14:paraId="42FD1AC1" w14:textId="77777777" w:rsidR="008844E4" w:rsidRPr="00424BD3" w:rsidRDefault="008844E4"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t>Carolyn had only ever lived in democrat-liberal areas until moving to East Tennessee.</w:t>
      </w:r>
    </w:p>
    <w:p w14:paraId="02F83243" w14:textId="77777777" w:rsidR="008844E4" w:rsidRPr="00424BD3" w:rsidRDefault="008844E4"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t>Cynthia and Kathryn had only ever lived in democrat-liberal areas with the exception of one republican-conservative area in their lives before relocating to East Tennessee.</w:t>
      </w:r>
    </w:p>
    <w:p w14:paraId="4AFED0CB" w14:textId="77777777" w:rsidR="00644589" w:rsidRPr="00424BD3" w:rsidRDefault="00644589"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t xml:space="preserve">All areas in which they have lived have been just over 50% female population majority </w:t>
      </w:r>
    </w:p>
    <w:p w14:paraId="2C9CC866" w14:textId="2BB08EBA" w:rsidR="00644589" w:rsidRPr="00424BD3" w:rsidRDefault="00644589"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t xml:space="preserve">The area with the highest 65 years </w:t>
      </w:r>
      <w:r w:rsidR="00815F08" w:rsidRPr="00424BD3">
        <w:rPr>
          <w:rFonts w:ascii="Arial" w:hAnsi="Arial" w:cs="Arial"/>
          <w:sz w:val="24"/>
          <w:szCs w:val="24"/>
        </w:rPr>
        <w:t xml:space="preserve">and over </w:t>
      </w:r>
      <w:r w:rsidRPr="00424BD3">
        <w:rPr>
          <w:rFonts w:ascii="Arial" w:hAnsi="Arial" w:cs="Arial"/>
          <w:sz w:val="24"/>
          <w:szCs w:val="24"/>
        </w:rPr>
        <w:t xml:space="preserve">population in which any of the women lived had 22.5 percent of residents 65 years and over. </w:t>
      </w:r>
    </w:p>
    <w:p w14:paraId="15C0C3EE" w14:textId="319CF470" w:rsidR="00644589" w:rsidRPr="00424BD3" w:rsidRDefault="00644589" w:rsidP="000126EE">
      <w:pPr>
        <w:pStyle w:val="ListParagraph"/>
        <w:numPr>
          <w:ilvl w:val="0"/>
          <w:numId w:val="12"/>
        </w:numPr>
        <w:spacing w:after="0" w:line="480" w:lineRule="auto"/>
        <w:rPr>
          <w:rFonts w:ascii="Arial" w:hAnsi="Arial" w:cs="Arial"/>
          <w:sz w:val="24"/>
          <w:szCs w:val="24"/>
        </w:rPr>
      </w:pPr>
      <w:r w:rsidRPr="00424BD3">
        <w:rPr>
          <w:rFonts w:ascii="Arial" w:hAnsi="Arial" w:cs="Arial"/>
          <w:sz w:val="24"/>
          <w:szCs w:val="24"/>
        </w:rPr>
        <w:lastRenderedPageBreak/>
        <w:t xml:space="preserve">The women lived in a wide range of racially diverse areas. The area with the least racial diversity had 98% white majority population while the area with the most racial diversity had just over 12% white majority population. Half (six) of the women lived in non-white majority areas for some </w:t>
      </w:r>
      <w:r w:rsidR="005639A6" w:rsidRPr="00424BD3">
        <w:rPr>
          <w:rFonts w:ascii="Arial" w:hAnsi="Arial" w:cs="Arial"/>
          <w:sz w:val="24"/>
          <w:szCs w:val="24"/>
        </w:rPr>
        <w:t>period</w:t>
      </w:r>
      <w:r w:rsidRPr="00424BD3">
        <w:rPr>
          <w:rFonts w:ascii="Arial" w:hAnsi="Arial" w:cs="Arial"/>
          <w:sz w:val="24"/>
          <w:szCs w:val="24"/>
        </w:rPr>
        <w:t xml:space="preserve"> in their lives.</w:t>
      </w:r>
    </w:p>
    <w:p w14:paraId="27E00358" w14:textId="467DEAAD" w:rsidR="008844E4" w:rsidRPr="00424BD3" w:rsidRDefault="008844E4" w:rsidP="000126EE">
      <w:pPr>
        <w:pStyle w:val="Heading2"/>
        <w:spacing w:before="0" w:line="480" w:lineRule="auto"/>
        <w:jc w:val="center"/>
        <w:rPr>
          <w:rFonts w:ascii="Arial" w:hAnsi="Arial" w:cs="Arial"/>
          <w:b/>
          <w:bCs/>
          <w:color w:val="auto"/>
          <w:sz w:val="24"/>
          <w:szCs w:val="24"/>
        </w:rPr>
      </w:pPr>
      <w:bookmarkStart w:id="63" w:name="_Toc118232329"/>
      <w:r w:rsidRPr="00424BD3">
        <w:rPr>
          <w:rFonts w:ascii="Arial" w:hAnsi="Arial" w:cs="Arial"/>
          <w:b/>
          <w:bCs/>
          <w:color w:val="auto"/>
          <w:sz w:val="24"/>
          <w:szCs w:val="24"/>
        </w:rPr>
        <w:t>Family and Youth Experiences</w:t>
      </w:r>
      <w:bookmarkEnd w:id="63"/>
    </w:p>
    <w:p w14:paraId="57ED0412" w14:textId="253853A0" w:rsidR="008844E4" w:rsidRPr="00424BD3" w:rsidRDefault="008D6A31" w:rsidP="000126EE">
      <w:pPr>
        <w:spacing w:after="0" w:line="480" w:lineRule="auto"/>
        <w:ind w:firstLine="720"/>
        <w:rPr>
          <w:rFonts w:cs="Arial"/>
          <w:szCs w:val="24"/>
        </w:rPr>
      </w:pPr>
      <w:r w:rsidRPr="00424BD3">
        <w:rPr>
          <w:rFonts w:cs="Arial"/>
          <w:szCs w:val="24"/>
        </w:rPr>
        <w:t>T</w:t>
      </w:r>
      <w:r w:rsidR="008844E4" w:rsidRPr="00424BD3">
        <w:rPr>
          <w:rFonts w:cs="Arial"/>
          <w:szCs w:val="24"/>
        </w:rPr>
        <w:t xml:space="preserve">he women </w:t>
      </w:r>
      <w:r w:rsidRPr="00424BD3">
        <w:rPr>
          <w:rFonts w:cs="Arial"/>
          <w:szCs w:val="24"/>
        </w:rPr>
        <w:t xml:space="preserve">were asked </w:t>
      </w:r>
      <w:r w:rsidR="008844E4" w:rsidRPr="00424BD3">
        <w:rPr>
          <w:rFonts w:cs="Arial"/>
          <w:szCs w:val="24"/>
        </w:rPr>
        <w:t xml:space="preserve">about their childhood and young adult experiences in order to understand and uncover any social determinant and family systems, family diversity, and family composition norm patterns that may be running through these women’s childhoods and young adulthoods </w:t>
      </w:r>
      <w:r w:rsidR="008844E4" w:rsidRPr="00424BD3">
        <w:rPr>
          <w:rFonts w:cs="Arial"/>
          <w:szCs w:val="24"/>
        </w:rPr>
        <w:fldChar w:fldCharType="begin"/>
      </w:r>
      <w:r w:rsidR="00990F3A">
        <w:rPr>
          <w:rFonts w:cs="Arial"/>
          <w:szCs w:val="24"/>
        </w:rPr>
        <w:instrText xml:space="preserve"> ADDIN ZOTERO_ITEM CSL_CITATION {"citationID":"TtTJCse1","properties":{"formattedCitation":"(Broderick, 1993; P. H. Collins, 1998; Thomeer et al., 2020)","plainCitation":"(Broderick, 1993; P. H. Collins, 1998; Thomeer et al., 2020)","noteIndex":0},"citationItems":[{"id":959,"uris":["http://zotero.org/users/4946941/items/KSP8BGE5"],"itemData":{"id":959,"type":"book","abstract":"Systems theory is the basic theoretical model underlying most contemporary family therapy. In this accessible introduction, the author traces how systems theory gave rise to family systems theory, outlines the basic propositions of family systems and links it both to other family theory literature and to clinical practice.  Among the topics covered are relational space, family boundaries, family stratification and child socialization. Family meanings and such shared realities as family folklore, stories, myths and memorabilia are discussed. Family rituals are also explored.","ISBN":"978-0-8039-3778-9","language":"en","note":"Google-Books-ID: EZpSZWkMw0wC","number-of-pages":"288","publisher":"SAGE","source":"Google Books","title":"Understanding Family Process: Basics of Family Systems Theory","title-short":"Understanding Family Process","author":[{"family":"Broderick","given":"Carlfred B."}],"issued":{"date-parts":[["1993",3,9]]}}},{"id":966,"uris":["http://zotero.org/users/4946941/items/AMRGL3MU"],"itemData":{"id":966,"type":"article-journal","abstract":"This article explores how recent theoretical developments in viewing race, social class, gender, and nation as dimensions of interlocking systems of oppression might suggest new directions for Black family studies. Traditional social science approaches typically treat race, class, gender, and nationality as descriptive variables attached to individuals who are then reinserted into existing theoretical models on the family. In contrast, intersectional approaches view institutionalized racism, social class relations, gender inequalities, and nationalism expressed on both sides of state power as analytical constructs that explain family organization in general, and Black family organization in particular. By exploring three such intersections, namely those of race and class, of race and gender, and of race and nation, this article examines how selected issues in Black family studies might benefit by approaching Black family studies via an intersectional lens.","container-title":"Journal of Comparative Family Studies","DOI":"10.3138/jcfs.29.1.27","ISSN":"0047-2328","issue":"1","note":"publisher: University of Toronto Press","page":"27-36","source":"utpjournals.press (Atypon)","title":"Intersections of Race, Class, Gender, and Nation: Some Implications for Black Family Studies","title-short":"Intersections of Race, Class, Gender, and Nation","volume":"29","author":[{"family":"Collins","given":"Patricia Hill"}],"issued":{"date-parts":[["1998",3]]}}},{"id":952,"uris":["http://zotero.org/users/4946941/items/583YY2AM"],"itemData":{"id":952,"type":"article-journal","container-title":"Journal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008844E4" w:rsidRPr="00424BD3">
        <w:rPr>
          <w:rFonts w:cs="Arial"/>
          <w:szCs w:val="24"/>
        </w:rPr>
        <w:fldChar w:fldCharType="separate"/>
      </w:r>
      <w:r w:rsidR="001F2B17" w:rsidRPr="00424BD3">
        <w:rPr>
          <w:rFonts w:cs="Arial"/>
        </w:rPr>
        <w:t>(Broderick, 1993; P. H. Collins, 1998; Thomeer et al., 2020)</w:t>
      </w:r>
      <w:r w:rsidR="008844E4" w:rsidRPr="00424BD3">
        <w:rPr>
          <w:rFonts w:cs="Arial"/>
          <w:szCs w:val="24"/>
        </w:rPr>
        <w:fldChar w:fldCharType="end"/>
      </w:r>
      <w:r w:rsidR="008844E4" w:rsidRPr="00424BD3">
        <w:rPr>
          <w:rFonts w:cs="Arial"/>
          <w:szCs w:val="24"/>
        </w:rPr>
        <w:t xml:space="preserve">. Some stated that they’d had very good child and young-adult hoods. Some had extremely difficult ones with several adverse childhood events. In the sense of what illnesses and deaths occurred in their families, familial health and death histories (FHDH), surprisingly, differed very little, nor did attitudes and beliefs about the causes of these histories. There were, of course, some exceptions. Some women were very knowledgeable about their FHDH, some knew very little at all or reported very little at all, in keeping with attitudes and beliefs about secrecy and stigma. Many were very frank about the shortcomings of their familial attitudes and beliefs while others often chalked these up to the times in which they were raised. The </w:t>
      </w:r>
      <w:r w:rsidR="00DE2E76" w:rsidRPr="00424BD3">
        <w:rPr>
          <w:rFonts w:cs="Arial"/>
          <w:szCs w:val="24"/>
        </w:rPr>
        <w:t>findings</w:t>
      </w:r>
      <w:r w:rsidR="008844E4" w:rsidRPr="00424BD3">
        <w:rPr>
          <w:rFonts w:cs="Arial"/>
          <w:szCs w:val="24"/>
        </w:rPr>
        <w:t xml:space="preserve"> of these inputs on the participant’s health inequities perceptions, attitudes and beliefs will be explored in Chapter </w:t>
      </w:r>
      <w:r w:rsidR="00DE2E76" w:rsidRPr="00424BD3">
        <w:rPr>
          <w:rFonts w:cs="Arial"/>
          <w:szCs w:val="24"/>
        </w:rPr>
        <w:t>Seven</w:t>
      </w:r>
      <w:r w:rsidR="008844E4" w:rsidRPr="00424BD3">
        <w:rPr>
          <w:rFonts w:cs="Arial"/>
          <w:szCs w:val="24"/>
        </w:rPr>
        <w:t>.</w:t>
      </w:r>
      <w:r w:rsidR="005778FC" w:rsidRPr="00424BD3">
        <w:rPr>
          <w:rFonts w:cs="Arial"/>
          <w:szCs w:val="24"/>
        </w:rPr>
        <w:t xml:space="preserve"> A</w:t>
      </w:r>
      <w:r w:rsidR="008844E4" w:rsidRPr="00424BD3">
        <w:rPr>
          <w:rFonts w:cs="Arial"/>
          <w:szCs w:val="24"/>
        </w:rPr>
        <w:t xml:space="preserve">ll of the women reported being deeply impacted, positively or negatively, by parents, family members, friends, school, or home environments. The literature is well established on the impacts or influences on health inequities on these </w:t>
      </w:r>
      <w:r w:rsidR="008844E4" w:rsidRPr="00424BD3">
        <w:rPr>
          <w:rFonts w:cs="Arial"/>
          <w:szCs w:val="24"/>
        </w:rPr>
        <w:lastRenderedPageBreak/>
        <w:t xml:space="preserve">determinants </w:t>
      </w:r>
      <w:r w:rsidR="008844E4" w:rsidRPr="00424BD3">
        <w:rPr>
          <w:rFonts w:cs="Arial"/>
          <w:szCs w:val="24"/>
        </w:rPr>
        <w:fldChar w:fldCharType="begin"/>
      </w:r>
      <w:r w:rsidR="00B47795">
        <w:rPr>
          <w:rFonts w:cs="Arial"/>
          <w:szCs w:val="24"/>
        </w:rPr>
        <w:instrText xml:space="preserve"> ADDIN ZOTERO_ITEM CSL_CITATION {"citationID":"GoHBtZYn","properties":{"formattedCitation":"(Allison et al., 2019; N. L. Jones et al., 2019; Kuhlman et al., 2018; S. R. Liu et al., 2019; Umberson &amp; Thomeer, 2020)","plainCitation":"(Allison et al., 2019; N. L. Jones et al., 2019; Kuhlman et al., 2018; S. R. Liu et al., 2019; Umberson &amp; Thomeer, 2020)","noteIndex":0},"citationItems":[{"id":1085,"uris":["http://zotero.org/users/4946941/items/RAKHWLBS"],"itemData":{"id":1085,"type":"article-journal","abstract":"More than 6.5 million children in the United States, approximately 13% of all students, miss 15 or more days of school each year. The rates of chronic absenteeism vary between states, communities, and schools, with significant disparities based on income, race, and ethnicity. Chronic school absenteeism, starting as early as preschool and kindergarten, puts students at risk for poor school performance and school dropout, which in turn, put them at risk for unhealthy behaviors as adolescents and young adults as well as poor long-term health outcomes. Pediatricians and their colleagues caring for children in the medical setting have opportunities at the individual patient and/or family, practice, and population levels to promote school attendance and reduce chronic absenteeism and resulting health disparities. Although this policy statement is primarily focused on absenteeism related to students’ physical and mental health, pediatricians may play a role in addressing absenteeism attributable to a wide range of factors through individual interactions with patients and their parents and through community-, state-, and federal-level advocacy.","container-title":"Pediatrics","DOI":"10.1542/peds.2018-3648","ISSN":"0031-4005","issue":"2","journalAbbreviation":"Pediatrics","page":"e20183648","source":"Silverchair","title":"The Link Between School Attendance and Good Health","volume":"143","author":[{"family":"Allison","given":"Mandy A."},{"family":"Attisha","given":"Elliott"},{"family":"Lerner","given":"Marc"},{"family":"De Pinto","given":"Cheryl Duncan"},{"family":"Beers","given":"Nathaniel Savio"},{"family":"Gibson","given":"Erica J."},{"family":"Gorski","given":"Peter"},{"family":"Kjolhede","given":"Chris"},{"family":"O’Leary","given":"Sonja C."},{"family":"Schumacher","given":"Heidi"},{"family":"Weiss-Harrison","given":"Adrienne"}],"issued":{"date-parts":[["2019",2,1]]}}},{"id":1083,"uris":["http://zotero.org/users/4946941/items/ZSFHEY9V"],"itemData":{"id":1083,"type":"article-journal","container-title":"American Journal of Public Health","issue":"51","page":"S48-S55","title":"Life Course Approaches to the Causes of Health Disparities | AJPH | Vol. 109 Issue S1","volume":"109","author":[{"family":"Jones","given":"Nancy L."},{"family":"Gilman","given":"Stephen E."},{"family":"Cheng","given":"Tina L."},{"family":"Drury","given":"Stacy S."},{"family":"Hill","given":"Carl V."},{"family":"Geronimus","given":"Arline T."}],"issued":{"date-parts":[["2019"]]}}},{"id":1081,"uris":["http://zotero.org/users/4946941/items/8ZCZ88N4"],"itemData":{"id":1081,"type":"article-journal","abstract":"Existing research on childhood adversity and health risk across the lifespan lacks specificity regarding which types of exposures to assess and when. The purpose of this study was to contribute to an empirically-supported framework to guide practitioners interested in identifying youth who may be at greatest risk for a lifelong trajectory of health disparities. We also sought to identify the point in childhood at which screening for adversity exposure would capture the largest group of at risk individuals for triage to prevention and intervention services. Participants (n = 4036) collected as part of the Midlife in the United States study reported their medical status and history including physical (cardiovascular disease, hypertension, obesity, diabetes, cancer) and mental health (depression, substance use problems, sleep problems). Participants indicated whether they were exposed to 7 adversities at any point in childhood and their age of exposure to 19 additional lifetime adversities before the age of 18. Parent drug abuse, dropping out or failing out of school, being fired from a job, and sexual assault during childhood exhibited the largest effect sizes on health in adulthood, which were comparable to the effects of childhood maltreatment. Childhood adversity screening in early adolescence may identify the largest proportion of youth at risk for negative health trajectories. The results of this descriptive analysis provide an empirical framework to guide screening for childhood adversity in pediatric populations. We discuss the implications of these observations in the context of prevention science and practice.","container-title":"Journal of Behavioral Medicine","DOI":"10.1007/s10865-018-9921-z","ISSN":"1573-3521","issue":"4","journalAbbreviation":"J Behav Med","language":"en","page":"516-527","source":"Springer Link","title":"Screening for childhood adversity: the what and when of identifying individuals at risk for lifespan health disparities","title-short":"Screening for childhood adversity","volume":"41","author":[{"family":"Kuhlman","given":"Kate Ryan"},{"family":"Robles","given":"Theodore F."},{"family":"Bower","given":"Julienne E."},{"family":"Carroll","given":"Judith E."}],"issued":{"date-parts":[["2018",8,1]]}}},{"id":1080,"uris":["http://zotero.org/users/4946941/items/ELGETDPR"],"itemData":{"id":1080,"type":"article-journal","abstract":"Increasing knowledge of factors that promote health among youth from diverse backgrounds is an important step towards addressing health disparities. Although many promotive factors have been identified individually, there is an overabundance of research on risk factors, and a comparable dearth of knowledge regarding the influence of combinations of promotive factors. The current study examined how promotive factors across family, school, and community contexts co-occur to promote health among youth of different race/ethnicity. Utilizing a nationally representative sample of Black (10%), Latinx (12%), and White (77%) youth ages 12–17 (N = 30,668), latent class analysis was employed to identify classes of youth who endorsed homogenous patterns of promotive factors. Associations between class membership and health were explored. Each subsample was best characterized by its own 4-class model, with significant differences in patterns of promotive factors experienced by Black, Latinx, and White youth. Youth health outcomes also varied significantly by class membership (p &lt; .05). Greater access to more promotive factors was associated with better health, and low access to community and school promotive factors was associated with worse health. Results suggest that increasing promotive factors in school, family, and community settings may help to prevent poor health outcomes; however, jointly addressing discrimination against racial/ethnic minority youth through education, policy, and practice is also needed to address health disparities.","container-title":"Prevention Science","DOI":"10.1007/s11121-019-01021-5","ISSN":"1573-6695","issue":"7","journalAbbreviation":"Prev Sci","language":"en","page":"1103-1113","source":"Springer Link","title":"Patterns of Family, School, and Community Promotive Factors and Health Disparities Among Youth: Implications for Prevention Science","title-short":"Patterns of Family, School, and Community Promotive Factors and Health Disparities Among Youth","volume":"20","author":[{"family":"Liu","given":"Sabrina R."},{"family":"Kia-Keating","given":"Maryam"},{"family":"Nylund-Gibson","given":"Karen"}],"issued":{"date-parts":[["2019",10,1]]}}},{"id":951,"uris":["http://zotero.org/users/4946941/items/VNKEPQ52"],"itemData":{"id":951,"type":"article-journal","container-title":"Journal of Marriage and Family","DOI":"10.1111/jomf.12640","ISSN":"0022-2445, 1741-3737","issue":"1","journalAbbreviation":"J. Marriage Fam","language":"en","page":"404-419","source":"DOI.org (Crossref)","title":"Family Matters: Research on Family Ties and Health, 2010 to 2020","title-short":"Family Matters","volume":"82","author":[{"family":"Umberson","given":"Debra"},{"family":"Thomeer","given":"Mieke Beth"}],"issued":{"date-parts":[["2020",2]]}}}],"schema":"https://github.com/citation-style-language/schema/raw/master/csl-citation.json"} </w:instrText>
      </w:r>
      <w:r w:rsidR="008844E4" w:rsidRPr="00424BD3">
        <w:rPr>
          <w:rFonts w:cs="Arial"/>
          <w:szCs w:val="24"/>
        </w:rPr>
        <w:fldChar w:fldCharType="separate"/>
      </w:r>
      <w:r w:rsidR="000A06A2" w:rsidRPr="00424BD3">
        <w:rPr>
          <w:rFonts w:cs="Arial"/>
        </w:rPr>
        <w:t>(Allison et al., 2019; N. L. Jones et al., 2019; Kuhlman et al., 2018; S. R. Liu et al., 2019; Umberson &amp; Thomeer, 2020)</w:t>
      </w:r>
      <w:r w:rsidR="008844E4" w:rsidRPr="00424BD3">
        <w:rPr>
          <w:rFonts w:cs="Arial"/>
          <w:szCs w:val="24"/>
        </w:rPr>
        <w:fldChar w:fldCharType="end"/>
      </w:r>
      <w:r w:rsidR="008844E4" w:rsidRPr="00424BD3">
        <w:rPr>
          <w:rFonts w:cs="Arial"/>
          <w:szCs w:val="24"/>
        </w:rPr>
        <w:t xml:space="preserve">. </w:t>
      </w:r>
    </w:p>
    <w:p w14:paraId="3AC21878" w14:textId="12174941" w:rsidR="008844E4" w:rsidRPr="00424BD3" w:rsidRDefault="008844E4" w:rsidP="000126EE">
      <w:pPr>
        <w:pStyle w:val="Heading2"/>
        <w:spacing w:before="0" w:line="480" w:lineRule="auto"/>
        <w:jc w:val="center"/>
        <w:rPr>
          <w:rFonts w:ascii="Arial" w:hAnsi="Arial" w:cs="Arial"/>
          <w:b/>
          <w:bCs/>
          <w:color w:val="auto"/>
          <w:sz w:val="24"/>
          <w:szCs w:val="24"/>
        </w:rPr>
      </w:pPr>
      <w:bookmarkStart w:id="64" w:name="_Toc118232330"/>
      <w:r w:rsidRPr="00424BD3">
        <w:rPr>
          <w:rFonts w:ascii="Arial" w:hAnsi="Arial" w:cs="Arial"/>
          <w:b/>
          <w:bCs/>
          <w:color w:val="auto"/>
          <w:sz w:val="24"/>
          <w:szCs w:val="24"/>
        </w:rPr>
        <w:t>Adverse Childhood Events</w:t>
      </w:r>
      <w:bookmarkEnd w:id="64"/>
    </w:p>
    <w:p w14:paraId="4331815F" w14:textId="08F92475" w:rsidR="008844E4" w:rsidRPr="00424BD3" w:rsidRDefault="008844E4" w:rsidP="000126EE">
      <w:pPr>
        <w:pStyle w:val="Heading3"/>
        <w:spacing w:before="0" w:line="480" w:lineRule="auto"/>
        <w:rPr>
          <w:rFonts w:ascii="Arial" w:hAnsi="Arial" w:cs="Arial"/>
          <w:b/>
          <w:bCs/>
          <w:i/>
          <w:iCs/>
          <w:color w:val="auto"/>
        </w:rPr>
      </w:pPr>
      <w:bookmarkStart w:id="65" w:name="_Toc118232331"/>
      <w:r w:rsidRPr="00424BD3">
        <w:rPr>
          <w:rFonts w:ascii="Arial" w:hAnsi="Arial" w:cs="Arial"/>
          <w:b/>
          <w:bCs/>
          <w:i/>
          <w:iCs/>
          <w:color w:val="auto"/>
        </w:rPr>
        <w:t>Alcoholism, Abuse, Neglect, Abandonment</w:t>
      </w:r>
      <w:bookmarkEnd w:id="65"/>
    </w:p>
    <w:p w14:paraId="1A5A78BD" w14:textId="2D3103DB" w:rsidR="00D5423F" w:rsidRPr="00424BD3" w:rsidRDefault="008844E4" w:rsidP="000126EE">
      <w:pPr>
        <w:spacing w:after="0" w:line="480" w:lineRule="auto"/>
        <w:ind w:firstLine="720"/>
        <w:rPr>
          <w:rFonts w:cs="Arial"/>
          <w:szCs w:val="24"/>
        </w:rPr>
      </w:pPr>
      <w:r w:rsidRPr="00424BD3">
        <w:rPr>
          <w:rFonts w:cs="Arial"/>
          <w:szCs w:val="24"/>
        </w:rPr>
        <w:t xml:space="preserve">The adverse childhood experiences the women reported were many. Peggy, Barbara, Cynthia, and Margaret spoke about the impact they suffered because of parental or familial / generational alcoholism, even if </w:t>
      </w:r>
      <w:r w:rsidR="00494366" w:rsidRPr="00424BD3">
        <w:rPr>
          <w:rFonts w:cs="Arial"/>
          <w:szCs w:val="24"/>
        </w:rPr>
        <w:t xml:space="preserve">they </w:t>
      </w:r>
      <w:r w:rsidRPr="00424BD3">
        <w:rPr>
          <w:rFonts w:cs="Arial"/>
          <w:szCs w:val="24"/>
        </w:rPr>
        <w:t xml:space="preserve">felt they did not suffer parental abuse because of this. However, Mary, Peggy, and Barbara </w:t>
      </w:r>
      <w:r w:rsidR="00700FBB" w:rsidRPr="00424BD3">
        <w:rPr>
          <w:rFonts w:cs="Arial"/>
          <w:szCs w:val="24"/>
        </w:rPr>
        <w:t>talked</w:t>
      </w:r>
      <w:r w:rsidRPr="00424BD3">
        <w:rPr>
          <w:rFonts w:cs="Arial"/>
          <w:szCs w:val="24"/>
        </w:rPr>
        <w:t xml:space="preserve"> about the abuse, neglect, isolation, and silences they suffered in the home as children by family members or other caretakers </w:t>
      </w:r>
      <w:r w:rsidRPr="00424BD3">
        <w:rPr>
          <w:rFonts w:cs="Arial"/>
          <w:szCs w:val="24"/>
        </w:rPr>
        <w:fldChar w:fldCharType="begin"/>
      </w:r>
      <w:r w:rsidR="00990F3A">
        <w:rPr>
          <w:rFonts w:cs="Arial"/>
          <w:szCs w:val="24"/>
        </w:rPr>
        <w:instrText xml:space="preserve"> ADDIN ZOTERO_ITEM CSL_CITATION {"citationID":"C7HUpQKR","properties":{"formattedCitation":"(Thomeer et al., 2020)","plainCitation":"(Thomeer et al., 2020)","noteIndex":0},"citationItems":[{"id":952,"uris":["http://zotero.org/users/4946941/items/583YY2AM"],"itemData":{"id":952,"type":"article-journal","container-title":"Journal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Pr="00424BD3">
        <w:rPr>
          <w:rFonts w:cs="Arial"/>
          <w:szCs w:val="24"/>
        </w:rPr>
        <w:fldChar w:fldCharType="separate"/>
      </w:r>
      <w:r w:rsidRPr="00424BD3">
        <w:rPr>
          <w:rFonts w:cs="Arial"/>
        </w:rPr>
        <w:t>(Thomeer et al., 2020)</w:t>
      </w:r>
      <w:r w:rsidRPr="00424BD3">
        <w:rPr>
          <w:rFonts w:cs="Arial"/>
          <w:szCs w:val="24"/>
        </w:rPr>
        <w:fldChar w:fldCharType="end"/>
      </w:r>
      <w:r w:rsidRPr="00424BD3">
        <w:rPr>
          <w:rFonts w:cs="Arial"/>
          <w:szCs w:val="24"/>
        </w:rPr>
        <w:t xml:space="preserve">. Both Mary and Peggy were treated as pariahs by certain family members, reflecting deep levels of family social contagion effects upon their health </w:t>
      </w:r>
      <w:r w:rsidRPr="00424BD3">
        <w:rPr>
          <w:rFonts w:cs="Arial"/>
          <w:szCs w:val="24"/>
        </w:rPr>
        <w:fldChar w:fldCharType="begin"/>
      </w:r>
      <w:r w:rsidR="00990F3A">
        <w:rPr>
          <w:rFonts w:cs="Arial"/>
          <w:szCs w:val="24"/>
        </w:rPr>
        <w:instrText xml:space="preserve"> ADDIN ZOTERO_ITEM CSL_CITATION {"citationID":"FRuZ1r1Q","properties":{"formattedCitation":"(Christakis &amp; Fowler, 2009)","plainCitation":"(Christakis &amp; Fowler, 2009)","noteIndex":0},"citationItems":[{"id":969,"uris":["http://zotero.org/users/4946941/items/D5AQNRUG"],"itemData":{"id":969,"type":"book","abstract":"Celebrated scientists Nicholas Christakis and James Fowler explain the amazing power of social networks and our profound influence on one another's lives. Your colleague's husband's sister can make you fat, even if you don't know her. A happy neighbor has more impact on your happiness than a happy spouse. These startling revelations of how much we truly influence one another are revealed in the studies of Dr. Christakis and Fowler, which have repeatedly made front-page news nationwide.  In Connected, the authors explain why emotions are contagious, how health behaviors spread, why the rich get richer, even how we find and choose our partners. Intriguing and entertaining, Connected overturns the notion of the individual and provides a revolutionary paradigm-that social networks influence our ideas, emotions, health, relationships, behavior, politics, and much more. It will change the way we think about every aspect of our lives.","ISBN":"978-0-316-07134-5","language":"en","note":"Google-Books-ID: LXHi4wgIkzEC","number-of-pages":"344","publisher":"Little, Brown","source":"Google Books","title":"Connected: The Surprising Power of Our Social Networks and How They Shape Our Lives","title-short":"Connected","author":[{"family":"Christakis","given":"Nicholas A."},{"family":"Fowler","given":"James H."}],"issued":{"date-parts":[["2009",9,28]]}}}],"schema":"https://github.com/citation-style-language/schema/raw/master/csl-citation.json"} </w:instrText>
      </w:r>
      <w:r w:rsidRPr="00424BD3">
        <w:rPr>
          <w:rFonts w:cs="Arial"/>
          <w:szCs w:val="24"/>
        </w:rPr>
        <w:fldChar w:fldCharType="separate"/>
      </w:r>
      <w:r w:rsidRPr="00424BD3">
        <w:rPr>
          <w:rFonts w:cs="Arial"/>
        </w:rPr>
        <w:t>(Christakis &amp; Fowler, 2009)</w:t>
      </w:r>
      <w:r w:rsidRPr="00424BD3">
        <w:rPr>
          <w:rFonts w:cs="Arial"/>
          <w:szCs w:val="24"/>
        </w:rPr>
        <w:fldChar w:fldCharType="end"/>
      </w:r>
      <w:r w:rsidRPr="00424BD3">
        <w:rPr>
          <w:rFonts w:cs="Arial"/>
          <w:szCs w:val="24"/>
        </w:rPr>
        <w:t xml:space="preserve">. </w:t>
      </w:r>
    </w:p>
    <w:p w14:paraId="29805E41" w14:textId="77777777" w:rsidR="00A62F9C" w:rsidRPr="00424BD3" w:rsidRDefault="00A62F9C" w:rsidP="000126EE">
      <w:pPr>
        <w:spacing w:after="0" w:line="480" w:lineRule="auto"/>
        <w:ind w:firstLine="720"/>
        <w:rPr>
          <w:rFonts w:cs="Arial"/>
          <w:szCs w:val="24"/>
        </w:rPr>
      </w:pPr>
      <w:r w:rsidRPr="00424BD3">
        <w:rPr>
          <w:rFonts w:cs="Arial"/>
          <w:szCs w:val="24"/>
        </w:rPr>
        <w:t>Mary said, when speaking about her mother:</w:t>
      </w:r>
    </w:p>
    <w:p w14:paraId="549F2FC1" w14:textId="423757F1" w:rsidR="00A62F9C" w:rsidRPr="00424BD3" w:rsidRDefault="00A62F9C" w:rsidP="000126EE">
      <w:pPr>
        <w:spacing w:after="0" w:line="480" w:lineRule="auto"/>
        <w:ind w:left="720"/>
        <w:rPr>
          <w:rFonts w:cs="Arial"/>
          <w:szCs w:val="24"/>
        </w:rPr>
      </w:pPr>
      <w:r w:rsidRPr="00424BD3">
        <w:rPr>
          <w:rFonts w:cs="Arial"/>
          <w:szCs w:val="24"/>
        </w:rPr>
        <w:t>“</w:t>
      </w:r>
      <w:r w:rsidR="00496960">
        <w:rPr>
          <w:rFonts w:cs="Arial"/>
          <w:szCs w:val="24"/>
        </w:rPr>
        <w:t>I</w:t>
      </w:r>
      <w:r w:rsidRPr="00424BD3">
        <w:rPr>
          <w:rFonts w:cs="Arial"/>
          <w:szCs w:val="24"/>
        </w:rPr>
        <w:t xml:space="preserve">t seemed like I was always a problem to her…and I see now that I was, kind of the way she got rid of things she didn’t want. I was kind of like the sacrificial lamb…so I was very anxious, very nervous, um, terribly frightened about everything and, </w:t>
      </w:r>
      <w:r w:rsidR="00496960">
        <w:rPr>
          <w:rFonts w:cs="Arial"/>
          <w:szCs w:val="24"/>
        </w:rPr>
        <w:t xml:space="preserve">[developed] </w:t>
      </w:r>
      <w:r w:rsidRPr="00424BD3">
        <w:rPr>
          <w:rFonts w:cs="Arial"/>
          <w:szCs w:val="24"/>
        </w:rPr>
        <w:t>digestive problems…and I think the anxiety had a lot to do with my heart issues. I started having those in the eighth grade.”</w:t>
      </w:r>
    </w:p>
    <w:p w14:paraId="5D3CE1D1" w14:textId="7FF09282" w:rsidR="008844E4" w:rsidRPr="00424BD3" w:rsidRDefault="008844E4" w:rsidP="000126EE">
      <w:pPr>
        <w:spacing w:after="0" w:line="480" w:lineRule="auto"/>
        <w:ind w:firstLine="720"/>
        <w:rPr>
          <w:rFonts w:cs="Arial"/>
          <w:szCs w:val="24"/>
        </w:rPr>
      </w:pPr>
      <w:r w:rsidRPr="00424BD3">
        <w:rPr>
          <w:rFonts w:cs="Arial"/>
          <w:szCs w:val="24"/>
        </w:rPr>
        <w:t>Barbara’s mother left the family (</w:t>
      </w:r>
      <w:r w:rsidR="007066BE">
        <w:rPr>
          <w:rFonts w:cs="Arial"/>
          <w:szCs w:val="24"/>
        </w:rPr>
        <w:t>“</w:t>
      </w:r>
      <w:r w:rsidRPr="00424BD3">
        <w:rPr>
          <w:rFonts w:cs="Arial"/>
          <w:szCs w:val="24"/>
        </w:rPr>
        <w:t>abandoned</w:t>
      </w:r>
      <w:r w:rsidR="007066BE">
        <w:rPr>
          <w:rFonts w:cs="Arial"/>
          <w:szCs w:val="24"/>
        </w:rPr>
        <w:t>”</w:t>
      </w:r>
      <w:r w:rsidRPr="00424BD3">
        <w:rPr>
          <w:rFonts w:cs="Arial"/>
          <w:szCs w:val="24"/>
        </w:rPr>
        <w:t xml:space="preserve"> as Barbara says) when Barbara was young. Both of her parents were alcoholics, so she and her underage siblings were removed from the family and placed into foster care while her two “of age” siblings were left to find their own places to live and to care for themselves. Having returned to </w:t>
      </w:r>
      <w:r w:rsidR="000B7BBF" w:rsidRPr="00424BD3">
        <w:rPr>
          <w:rFonts w:cs="Arial"/>
          <w:szCs w:val="24"/>
        </w:rPr>
        <w:t xml:space="preserve">live with </w:t>
      </w:r>
      <w:r w:rsidRPr="00424BD3">
        <w:rPr>
          <w:rFonts w:cs="Arial"/>
          <w:szCs w:val="24"/>
        </w:rPr>
        <w:t xml:space="preserve">her father and his new wife when she was fourteen, she ran away from home. The </w:t>
      </w:r>
      <w:r w:rsidRPr="00424BD3">
        <w:rPr>
          <w:rFonts w:cs="Arial"/>
          <w:szCs w:val="24"/>
        </w:rPr>
        <w:lastRenderedPageBreak/>
        <w:t xml:space="preserve">local police gave her a choice to return home </w:t>
      </w:r>
      <w:r w:rsidR="00FA6CB9" w:rsidRPr="00424BD3">
        <w:rPr>
          <w:rFonts w:cs="Arial"/>
          <w:szCs w:val="24"/>
        </w:rPr>
        <w:t>to</w:t>
      </w:r>
      <w:r w:rsidRPr="00424BD3">
        <w:rPr>
          <w:rFonts w:cs="Arial"/>
          <w:szCs w:val="24"/>
        </w:rPr>
        <w:t xml:space="preserve"> her father or to stay in jail for two weeks. She chose jail</w:t>
      </w:r>
      <w:r w:rsidR="00AD4776" w:rsidRPr="00424BD3">
        <w:rPr>
          <w:rFonts w:cs="Arial"/>
          <w:szCs w:val="24"/>
        </w:rPr>
        <w:t>, which she</w:t>
      </w:r>
      <w:r w:rsidR="005829CC" w:rsidRPr="00424BD3">
        <w:rPr>
          <w:rFonts w:cs="Arial"/>
          <w:szCs w:val="24"/>
        </w:rPr>
        <w:t xml:space="preserve"> said </w:t>
      </w:r>
      <w:r w:rsidR="002C677B" w:rsidRPr="00424BD3">
        <w:rPr>
          <w:rFonts w:cs="Arial"/>
          <w:szCs w:val="24"/>
        </w:rPr>
        <w:t xml:space="preserve">she </w:t>
      </w:r>
      <w:r w:rsidR="00AD4776" w:rsidRPr="00424BD3">
        <w:rPr>
          <w:rFonts w:cs="Arial"/>
          <w:szCs w:val="24"/>
        </w:rPr>
        <w:t>felt provided more semblance of safety compared to living with her father</w:t>
      </w:r>
      <w:r w:rsidRPr="00424BD3">
        <w:rPr>
          <w:rFonts w:cs="Arial"/>
          <w:szCs w:val="24"/>
        </w:rPr>
        <w:t xml:space="preserve">. Kathryn experienced an incident with an instructor so inappropriate that she </w:t>
      </w:r>
      <w:r w:rsidR="00226526" w:rsidRPr="00424BD3">
        <w:rPr>
          <w:rFonts w:cs="Arial"/>
          <w:szCs w:val="24"/>
        </w:rPr>
        <w:t xml:space="preserve">stated that she </w:t>
      </w:r>
      <w:r w:rsidRPr="00424BD3">
        <w:rPr>
          <w:rFonts w:cs="Arial"/>
          <w:szCs w:val="24"/>
        </w:rPr>
        <w:t xml:space="preserve">has </w:t>
      </w:r>
      <w:r w:rsidR="00E620EE" w:rsidRPr="00424BD3">
        <w:rPr>
          <w:rFonts w:cs="Arial"/>
          <w:szCs w:val="24"/>
        </w:rPr>
        <w:t>“</w:t>
      </w:r>
      <w:r w:rsidRPr="00424BD3">
        <w:rPr>
          <w:rFonts w:cs="Arial"/>
          <w:szCs w:val="24"/>
        </w:rPr>
        <w:t>blocked out</w:t>
      </w:r>
      <w:r w:rsidR="00E620EE" w:rsidRPr="00424BD3">
        <w:rPr>
          <w:rFonts w:cs="Arial"/>
          <w:szCs w:val="24"/>
        </w:rPr>
        <w:t>”</w:t>
      </w:r>
      <w:r w:rsidRPr="00424BD3">
        <w:rPr>
          <w:rFonts w:cs="Arial"/>
          <w:szCs w:val="24"/>
        </w:rPr>
        <w:t xml:space="preserve"> the details of it. Peggy was moved from home to home </w:t>
      </w:r>
      <w:r w:rsidR="00226526" w:rsidRPr="00424BD3">
        <w:rPr>
          <w:rFonts w:cs="Arial"/>
          <w:szCs w:val="24"/>
        </w:rPr>
        <w:t>because of</w:t>
      </w:r>
      <w:r w:rsidRPr="00424BD3">
        <w:rPr>
          <w:rFonts w:cs="Arial"/>
          <w:szCs w:val="24"/>
        </w:rPr>
        <w:t xml:space="preserve"> her mother’s life-threatening illness.</w:t>
      </w:r>
    </w:p>
    <w:p w14:paraId="03AFF3A2" w14:textId="3D683093" w:rsidR="008844E4" w:rsidRPr="00424BD3" w:rsidRDefault="008844E4" w:rsidP="000126EE">
      <w:pPr>
        <w:pStyle w:val="Heading3"/>
        <w:spacing w:before="0" w:line="480" w:lineRule="auto"/>
        <w:rPr>
          <w:rFonts w:ascii="Arial" w:hAnsi="Arial" w:cs="Arial"/>
          <w:b/>
          <w:bCs/>
          <w:i/>
          <w:iCs/>
          <w:color w:val="auto"/>
        </w:rPr>
      </w:pPr>
      <w:bookmarkStart w:id="66" w:name="_Toc118232332"/>
      <w:r w:rsidRPr="00424BD3">
        <w:rPr>
          <w:rFonts w:ascii="Arial" w:hAnsi="Arial" w:cs="Arial"/>
          <w:b/>
          <w:bCs/>
          <w:i/>
          <w:iCs/>
          <w:color w:val="auto"/>
        </w:rPr>
        <w:t>Parental Illness</w:t>
      </w:r>
      <w:bookmarkEnd w:id="66"/>
    </w:p>
    <w:p w14:paraId="10224620" w14:textId="5E71BEFE" w:rsidR="008844E4" w:rsidRPr="00424BD3" w:rsidRDefault="008844E4" w:rsidP="000126EE">
      <w:pPr>
        <w:spacing w:after="0" w:line="480" w:lineRule="auto"/>
        <w:ind w:firstLine="720"/>
        <w:rPr>
          <w:rFonts w:cs="Arial"/>
          <w:szCs w:val="24"/>
        </w:rPr>
      </w:pPr>
      <w:r w:rsidRPr="00424BD3">
        <w:rPr>
          <w:rFonts w:cs="Arial"/>
          <w:szCs w:val="24"/>
        </w:rPr>
        <w:t xml:space="preserve">Peggy was traumatized by her mother’s </w:t>
      </w:r>
      <w:r w:rsidR="00FF3BBE" w:rsidRPr="00424BD3">
        <w:rPr>
          <w:rFonts w:cs="Arial"/>
          <w:szCs w:val="24"/>
        </w:rPr>
        <w:t>illness</w:t>
      </w:r>
      <w:r w:rsidRPr="00424BD3">
        <w:rPr>
          <w:rFonts w:cs="Arial"/>
          <w:szCs w:val="24"/>
        </w:rPr>
        <w:t xml:space="preserve"> because of the decision her father made to resettle her with family in another state until she was two, making her mother a stranger to her. </w:t>
      </w:r>
      <w:r w:rsidR="00FF3BBE" w:rsidRPr="00424BD3">
        <w:rPr>
          <w:rFonts w:cs="Arial"/>
          <w:szCs w:val="24"/>
        </w:rPr>
        <w:t>Peggy feels t</w:t>
      </w:r>
      <w:r w:rsidRPr="00424BD3">
        <w:rPr>
          <w:rFonts w:cs="Arial"/>
          <w:szCs w:val="24"/>
        </w:rPr>
        <w:t>his pattern of shuttling Peggy back and forth between family members, followed by punishments by her father if Peggy upset her mother, and non-allowance by the family to discuss both her mother’s illness and the punishments she received</w:t>
      </w:r>
      <w:r w:rsidR="00FF3BBE" w:rsidRPr="00424BD3">
        <w:rPr>
          <w:rFonts w:cs="Arial"/>
          <w:szCs w:val="24"/>
        </w:rPr>
        <w:t xml:space="preserve"> deeply affected her health</w:t>
      </w:r>
      <w:r w:rsidRPr="00424BD3">
        <w:rPr>
          <w:rFonts w:cs="Arial"/>
          <w:szCs w:val="24"/>
        </w:rPr>
        <w:t xml:space="preserve">. When Sharon was a teenager, her mother had breast cancer. She recalls visiting her mother in the hospital and nearly fainting from distress. </w:t>
      </w:r>
    </w:p>
    <w:p w14:paraId="0DE8FCEA" w14:textId="6A4C45EC" w:rsidR="008844E4" w:rsidRPr="00424BD3" w:rsidRDefault="008844E4" w:rsidP="000126EE">
      <w:pPr>
        <w:pStyle w:val="Heading3"/>
        <w:spacing w:before="0" w:line="480" w:lineRule="auto"/>
        <w:rPr>
          <w:rFonts w:ascii="Arial" w:hAnsi="Arial" w:cs="Arial"/>
          <w:b/>
          <w:bCs/>
          <w:i/>
          <w:iCs/>
          <w:color w:val="auto"/>
        </w:rPr>
      </w:pPr>
      <w:bookmarkStart w:id="67" w:name="_Toc118232333"/>
      <w:r w:rsidRPr="00424BD3">
        <w:rPr>
          <w:rFonts w:ascii="Arial" w:hAnsi="Arial" w:cs="Arial"/>
          <w:b/>
          <w:bCs/>
          <w:i/>
          <w:iCs/>
          <w:color w:val="auto"/>
        </w:rPr>
        <w:t xml:space="preserve">Loss of </w:t>
      </w:r>
      <w:r w:rsidR="00D814B1">
        <w:rPr>
          <w:rFonts w:ascii="Arial" w:hAnsi="Arial" w:cs="Arial"/>
          <w:b/>
          <w:bCs/>
          <w:i/>
          <w:iCs/>
          <w:color w:val="auto"/>
        </w:rPr>
        <w:t>L</w:t>
      </w:r>
      <w:r w:rsidRPr="00424BD3">
        <w:rPr>
          <w:rFonts w:ascii="Arial" w:hAnsi="Arial" w:cs="Arial"/>
          <w:b/>
          <w:bCs/>
          <w:i/>
          <w:iCs/>
          <w:color w:val="auto"/>
        </w:rPr>
        <w:t xml:space="preserve">oved </w:t>
      </w:r>
      <w:r w:rsidR="00D814B1">
        <w:rPr>
          <w:rFonts w:ascii="Arial" w:hAnsi="Arial" w:cs="Arial"/>
          <w:b/>
          <w:bCs/>
          <w:i/>
          <w:iCs/>
          <w:color w:val="auto"/>
        </w:rPr>
        <w:t>O</w:t>
      </w:r>
      <w:r w:rsidRPr="00424BD3">
        <w:rPr>
          <w:rFonts w:ascii="Arial" w:hAnsi="Arial" w:cs="Arial"/>
          <w:b/>
          <w:bCs/>
          <w:i/>
          <w:iCs/>
          <w:color w:val="auto"/>
        </w:rPr>
        <w:t xml:space="preserve">nes in </w:t>
      </w:r>
      <w:r w:rsidR="00D814B1">
        <w:rPr>
          <w:rFonts w:ascii="Arial" w:hAnsi="Arial" w:cs="Arial"/>
          <w:b/>
          <w:bCs/>
          <w:i/>
          <w:iCs/>
          <w:color w:val="auto"/>
        </w:rPr>
        <w:t>C</w:t>
      </w:r>
      <w:r w:rsidRPr="00424BD3">
        <w:rPr>
          <w:rFonts w:ascii="Arial" w:hAnsi="Arial" w:cs="Arial"/>
          <w:b/>
          <w:bCs/>
          <w:i/>
          <w:iCs/>
          <w:color w:val="auto"/>
        </w:rPr>
        <w:t>hildhood</w:t>
      </w:r>
      <w:bookmarkEnd w:id="67"/>
    </w:p>
    <w:p w14:paraId="3E3B54D4" w14:textId="35150C63" w:rsidR="008844E4" w:rsidRPr="00424BD3" w:rsidRDefault="008844E4" w:rsidP="000126EE">
      <w:pPr>
        <w:spacing w:after="0" w:line="480" w:lineRule="auto"/>
        <w:ind w:firstLine="720"/>
        <w:rPr>
          <w:rFonts w:cs="Arial"/>
          <w:szCs w:val="24"/>
        </w:rPr>
      </w:pPr>
      <w:r w:rsidRPr="00424BD3">
        <w:rPr>
          <w:rFonts w:cs="Arial"/>
          <w:szCs w:val="24"/>
        </w:rPr>
        <w:t xml:space="preserve">As young people, Sylvia discussed the impact of the loss of her grandparents, which affected her due to their close relationship, </w:t>
      </w:r>
      <w:r w:rsidR="00330BD7" w:rsidRPr="00424BD3">
        <w:rPr>
          <w:rFonts w:cs="Arial"/>
          <w:szCs w:val="24"/>
        </w:rPr>
        <w:t>as did</w:t>
      </w:r>
      <w:r w:rsidRPr="00424BD3">
        <w:rPr>
          <w:rFonts w:cs="Arial"/>
          <w:szCs w:val="24"/>
        </w:rPr>
        <w:t xml:space="preserve"> the sudden and shocking loss of her older sister’s fiancé to an </w:t>
      </w:r>
      <w:r w:rsidR="00330BD7" w:rsidRPr="00424BD3">
        <w:rPr>
          <w:rFonts w:cs="Arial"/>
          <w:szCs w:val="24"/>
        </w:rPr>
        <w:t>unexpected, sudden illness</w:t>
      </w:r>
      <w:r w:rsidRPr="00424BD3">
        <w:rPr>
          <w:rFonts w:cs="Arial"/>
          <w:szCs w:val="24"/>
        </w:rPr>
        <w:t xml:space="preserve">. Margaret lost four of her childhood friends within a very short time of one another. Kathryn lost her father, Peggy eventually lost her mother </w:t>
      </w:r>
      <w:r w:rsidR="0054757D" w:rsidRPr="00424BD3">
        <w:rPr>
          <w:rFonts w:cs="Arial"/>
          <w:szCs w:val="24"/>
        </w:rPr>
        <w:t>due to her mother’s life-long illness</w:t>
      </w:r>
      <w:r w:rsidRPr="00424BD3">
        <w:rPr>
          <w:rFonts w:cs="Arial"/>
          <w:szCs w:val="24"/>
        </w:rPr>
        <w:t xml:space="preserve">, and Sharon lost her sister. </w:t>
      </w:r>
      <w:r w:rsidR="000843C7" w:rsidRPr="00424BD3">
        <w:rPr>
          <w:rFonts w:cs="Arial"/>
          <w:szCs w:val="24"/>
        </w:rPr>
        <w:t>This is explored</w:t>
      </w:r>
      <w:r w:rsidRPr="00424BD3">
        <w:rPr>
          <w:rFonts w:cs="Arial"/>
          <w:szCs w:val="24"/>
        </w:rPr>
        <w:t xml:space="preserve"> more further in this chapter. Deborah and Kathryn, who are extremely attached to pets and animals, spoke of the devastation of losing their childhood pets. Deborah remembered this loss and this pet all of her life and was </w:t>
      </w:r>
      <w:r w:rsidR="002173DD" w:rsidRPr="00424BD3">
        <w:rPr>
          <w:rFonts w:cs="Arial"/>
          <w:szCs w:val="24"/>
        </w:rPr>
        <w:lastRenderedPageBreak/>
        <w:t>a</w:t>
      </w:r>
      <w:r w:rsidRPr="00424BD3">
        <w:rPr>
          <w:rFonts w:cs="Arial"/>
          <w:szCs w:val="24"/>
        </w:rPr>
        <w:t xml:space="preserve">ffected deeply enough to remember it as part of her responses in relation to </w:t>
      </w:r>
      <w:r w:rsidR="00ED0101" w:rsidRPr="00424BD3">
        <w:rPr>
          <w:rFonts w:cs="Arial"/>
          <w:szCs w:val="24"/>
        </w:rPr>
        <w:t xml:space="preserve">the </w:t>
      </w:r>
      <w:r w:rsidRPr="00424BD3">
        <w:rPr>
          <w:rFonts w:cs="Arial"/>
          <w:szCs w:val="24"/>
        </w:rPr>
        <w:t xml:space="preserve">question about “bad childhood memories”. </w:t>
      </w:r>
      <w:r w:rsidR="00C8367F" w:rsidRPr="00424BD3">
        <w:rPr>
          <w:rFonts w:cs="Arial"/>
          <w:szCs w:val="24"/>
        </w:rPr>
        <w:t>It is important to consider</w:t>
      </w:r>
      <w:r w:rsidR="00945EFE" w:rsidRPr="00424BD3">
        <w:rPr>
          <w:rFonts w:cs="Arial"/>
          <w:szCs w:val="24"/>
        </w:rPr>
        <w:t xml:space="preserve"> </w:t>
      </w:r>
      <w:r w:rsidR="0054757D" w:rsidRPr="00424BD3">
        <w:rPr>
          <w:rFonts w:cs="Arial"/>
          <w:szCs w:val="24"/>
        </w:rPr>
        <w:t xml:space="preserve">that </w:t>
      </w:r>
      <w:r w:rsidRPr="00424BD3">
        <w:rPr>
          <w:rFonts w:cs="Arial"/>
          <w:szCs w:val="24"/>
        </w:rPr>
        <w:t>the bonding that happens between children / young adults and their pets</w:t>
      </w:r>
      <w:r w:rsidR="00945EFE" w:rsidRPr="00424BD3">
        <w:rPr>
          <w:rFonts w:cs="Arial"/>
          <w:szCs w:val="24"/>
        </w:rPr>
        <w:t xml:space="preserve"> is an area that is often overlooked when looking at ACEs and health inequities</w:t>
      </w:r>
      <w:r w:rsidRPr="00424BD3">
        <w:rPr>
          <w:rFonts w:cs="Arial"/>
          <w:szCs w:val="24"/>
        </w:rPr>
        <w:t xml:space="preserve">. At the University of Tennessee, this has been recognized through the establishment of the veterinary social work program and the pet loss support group services </w:t>
      </w:r>
      <w:r w:rsidRPr="00424BD3">
        <w:rPr>
          <w:rFonts w:cs="Arial"/>
          <w:szCs w:val="24"/>
        </w:rPr>
        <w:fldChar w:fldCharType="begin"/>
      </w:r>
      <w:r w:rsidR="00743511">
        <w:rPr>
          <w:rFonts w:cs="Arial"/>
          <w:szCs w:val="24"/>
        </w:rPr>
        <w:instrText xml:space="preserve"> ADDIN ZOTERO_ITEM CSL_CITATION {"citationID":"0KF3MQL9","properties":{"formattedCitation":"(UT Vet Social Work, 2022b, 2022a)","plainCitation":"(UT Vet Social Work, 2022b, 2022a)","noteIndex":0},"citationItems":[{"id":1092,"uris":["http://zotero.org/users/4946941/items/HLXPMHE9"],"itemData":{"id":1092,"type":"webpage","abstract":"Attending to human needs at the intersection of veterinary and social work practice Veterinary Social Work Oath “Specializing in veterinary […]","container-title":"Veterinary Social Work","language":"en-US","title":"University of Tennessee Veterinary Social Work","title-short":"https","URL":"https://vetsocialwork.utk.edu/","author":[{"family":"UT Vet Social Work","given":""}],"accessed":{"date-parts":[["2022",7,16]]},"issued":{"date-parts":[["2022"]]}}},{"id":1094,"uris":["http://zotero.org/users/4946941/items/2QGZLGF4"],"itemData":{"id":1094,"type":"post-weblog","abstract":"Our Pet Loss Support Group is held via telehealth. We will think about resuming in-person meetings when and if the […]","container-title":"Veterinary Social Work","language":"en-US","title":"University of Tennessee Pet Loss Support Group","URL":"https://vetsocialwork.utk.edu/pet-loss-support-group-2/","author":[{"family":"UT Vet Social Work","given":""}],"accessed":{"date-parts":[["2022",7,16]]},"issued":{"date-parts":[["2022"]]}}}],"schema":"https://github.com/citation-style-language/schema/raw/master/csl-citation.json"} </w:instrText>
      </w:r>
      <w:r w:rsidRPr="00424BD3">
        <w:rPr>
          <w:rFonts w:cs="Arial"/>
          <w:szCs w:val="24"/>
        </w:rPr>
        <w:fldChar w:fldCharType="separate"/>
      </w:r>
      <w:r w:rsidR="00743511" w:rsidRPr="00743511">
        <w:rPr>
          <w:rFonts w:cs="Arial"/>
        </w:rPr>
        <w:t>(UT Vet Social Work, 2022b, 2022a)</w:t>
      </w:r>
      <w:r w:rsidRPr="00424BD3">
        <w:rPr>
          <w:rFonts w:cs="Arial"/>
          <w:szCs w:val="24"/>
        </w:rPr>
        <w:fldChar w:fldCharType="end"/>
      </w:r>
      <w:r w:rsidRPr="00424BD3">
        <w:rPr>
          <w:rFonts w:cs="Arial"/>
          <w:szCs w:val="24"/>
        </w:rPr>
        <w:t xml:space="preserve">. </w:t>
      </w:r>
    </w:p>
    <w:p w14:paraId="05322F39" w14:textId="35F41680" w:rsidR="008844E4" w:rsidRPr="00424BD3" w:rsidRDefault="008844E4" w:rsidP="000126EE">
      <w:pPr>
        <w:pStyle w:val="Heading3"/>
        <w:spacing w:before="0" w:line="480" w:lineRule="auto"/>
        <w:rPr>
          <w:rFonts w:ascii="Arial" w:hAnsi="Arial" w:cs="Arial"/>
          <w:b/>
          <w:bCs/>
          <w:i/>
          <w:iCs/>
          <w:color w:val="auto"/>
        </w:rPr>
      </w:pPr>
      <w:bookmarkStart w:id="68" w:name="_Toc118232334"/>
      <w:r w:rsidRPr="00424BD3">
        <w:rPr>
          <w:rFonts w:ascii="Arial" w:hAnsi="Arial" w:cs="Arial"/>
          <w:b/>
          <w:bCs/>
          <w:i/>
          <w:iCs/>
          <w:color w:val="auto"/>
        </w:rPr>
        <w:t>School</w:t>
      </w:r>
      <w:bookmarkEnd w:id="68"/>
    </w:p>
    <w:p w14:paraId="714A47E4" w14:textId="306D0A41" w:rsidR="008844E4" w:rsidRPr="00424BD3" w:rsidRDefault="008844E4" w:rsidP="000126EE">
      <w:pPr>
        <w:spacing w:after="0" w:line="480" w:lineRule="auto"/>
        <w:ind w:firstLine="720"/>
        <w:rPr>
          <w:rFonts w:cs="Arial"/>
          <w:szCs w:val="24"/>
        </w:rPr>
      </w:pPr>
      <w:r w:rsidRPr="00424BD3">
        <w:rPr>
          <w:rFonts w:cs="Arial"/>
          <w:szCs w:val="24"/>
        </w:rPr>
        <w:t xml:space="preserve">Carolyn was bullied at “regular” school, and it was only when she transferred to a performance arts school that she felt accepted, was able to build friendships and felt at home (even though the performance arts school was </w:t>
      </w:r>
      <w:r w:rsidR="0065467D" w:rsidRPr="00424BD3">
        <w:rPr>
          <w:rFonts w:cs="Arial"/>
          <w:szCs w:val="24"/>
        </w:rPr>
        <w:t>not in her home</w:t>
      </w:r>
      <w:r w:rsidRPr="00424BD3">
        <w:rPr>
          <w:rFonts w:cs="Arial"/>
          <w:szCs w:val="24"/>
        </w:rPr>
        <w:t xml:space="preserve"> city). Sharon started a protest movement at school regarding restrictive school uniforms, which was successful, but she accidentally struck a fellow student while waving her hand and received a punishment from the school</w:t>
      </w:r>
      <w:r w:rsidR="00553C7B" w:rsidRPr="00424BD3">
        <w:rPr>
          <w:rFonts w:cs="Arial"/>
          <w:szCs w:val="24"/>
        </w:rPr>
        <w:t>, the effects of</w:t>
      </w:r>
      <w:r w:rsidRPr="00424BD3">
        <w:rPr>
          <w:rFonts w:cs="Arial"/>
          <w:szCs w:val="24"/>
        </w:rPr>
        <w:t xml:space="preserve"> which ha</w:t>
      </w:r>
      <w:r w:rsidR="00553C7B" w:rsidRPr="00424BD3">
        <w:rPr>
          <w:rFonts w:cs="Arial"/>
          <w:szCs w:val="24"/>
        </w:rPr>
        <w:t>ve</w:t>
      </w:r>
      <w:r w:rsidRPr="00424BD3">
        <w:rPr>
          <w:rFonts w:cs="Arial"/>
          <w:szCs w:val="24"/>
        </w:rPr>
        <w:t xml:space="preserve"> stayed with her even now. </w:t>
      </w:r>
    </w:p>
    <w:p w14:paraId="49B4D9C8" w14:textId="5B697280" w:rsidR="008844E4" w:rsidRPr="00424BD3" w:rsidRDefault="008844E4" w:rsidP="000126EE">
      <w:pPr>
        <w:pStyle w:val="Heading3"/>
        <w:spacing w:before="0" w:line="480" w:lineRule="auto"/>
        <w:rPr>
          <w:rFonts w:ascii="Arial" w:hAnsi="Arial" w:cs="Arial"/>
          <w:b/>
          <w:bCs/>
          <w:i/>
          <w:iCs/>
          <w:color w:val="auto"/>
        </w:rPr>
      </w:pPr>
      <w:bookmarkStart w:id="69" w:name="_Toc118232335"/>
      <w:r w:rsidRPr="00424BD3">
        <w:rPr>
          <w:rFonts w:ascii="Arial" w:hAnsi="Arial" w:cs="Arial"/>
          <w:b/>
          <w:bCs/>
          <w:i/>
          <w:iCs/>
          <w:color w:val="auto"/>
        </w:rPr>
        <w:t>Racism, Segregation, and the Jim Crow South</w:t>
      </w:r>
      <w:bookmarkEnd w:id="69"/>
    </w:p>
    <w:p w14:paraId="05B26E69" w14:textId="3A1130A1" w:rsidR="008C50C6" w:rsidRPr="00424BD3" w:rsidRDefault="008844E4" w:rsidP="000126EE">
      <w:pPr>
        <w:spacing w:after="0" w:line="480" w:lineRule="auto"/>
        <w:ind w:firstLine="720"/>
        <w:rPr>
          <w:rFonts w:cs="Arial"/>
          <w:szCs w:val="24"/>
        </w:rPr>
      </w:pPr>
      <w:r w:rsidRPr="00424BD3">
        <w:rPr>
          <w:rFonts w:cs="Arial"/>
          <w:szCs w:val="24"/>
        </w:rPr>
        <w:t xml:space="preserve">Anita, a </w:t>
      </w:r>
      <w:r w:rsidR="000B0F8C" w:rsidRPr="00424BD3">
        <w:rPr>
          <w:rFonts w:cs="Arial"/>
          <w:szCs w:val="24"/>
        </w:rPr>
        <w:t>Black</w:t>
      </w:r>
      <w:r w:rsidRPr="00424BD3">
        <w:rPr>
          <w:rFonts w:cs="Arial"/>
          <w:szCs w:val="24"/>
        </w:rPr>
        <w:t xml:space="preserve"> woman, spoke openly about her health care access experiences growing up as a </w:t>
      </w:r>
      <w:r w:rsidR="000B0F8C" w:rsidRPr="00424BD3">
        <w:rPr>
          <w:rFonts w:cs="Arial"/>
          <w:szCs w:val="24"/>
        </w:rPr>
        <w:t>Black</w:t>
      </w:r>
      <w:r w:rsidRPr="00424BD3">
        <w:rPr>
          <w:rFonts w:cs="Arial"/>
          <w:szCs w:val="24"/>
        </w:rPr>
        <w:t xml:space="preserve"> child in the Jim Crow American South. </w:t>
      </w:r>
    </w:p>
    <w:p w14:paraId="611E9B4E" w14:textId="77777777" w:rsidR="00724F22" w:rsidRPr="00424BD3" w:rsidRDefault="00724F22" w:rsidP="000126EE">
      <w:pPr>
        <w:spacing w:after="0" w:line="480" w:lineRule="auto"/>
        <w:ind w:left="720"/>
        <w:rPr>
          <w:rFonts w:cs="Arial"/>
          <w:szCs w:val="24"/>
        </w:rPr>
      </w:pPr>
      <w:r w:rsidRPr="00424BD3">
        <w:rPr>
          <w:rFonts w:cs="Arial"/>
          <w:szCs w:val="24"/>
        </w:rPr>
        <w:t xml:space="preserve">“Some of…my memories aren’t so favorable, you know. It involved, you know, the fact that you didn’t realize that your status in life was different than that of some of your white counterparts…I remember the segregation, I remember ‘colored’ fountains, I remember, “you can eat here, you can’t eat there”, I remember traveling and, you know, you could only travel during certain…times of day, in particular at night when you know there’s not a lot of folks around. You </w:t>
      </w:r>
      <w:r w:rsidRPr="00424BD3">
        <w:rPr>
          <w:rFonts w:cs="Arial"/>
          <w:szCs w:val="24"/>
        </w:rPr>
        <w:lastRenderedPageBreak/>
        <w:t>know, there were certain places you could not stop. You had to be sure you had enough gas and liquid, whatever, to get through this particular town.”</w:t>
      </w:r>
    </w:p>
    <w:p w14:paraId="5982C719" w14:textId="2CCFE937" w:rsidR="007773A4" w:rsidRPr="00424BD3" w:rsidRDefault="008844E4" w:rsidP="000126EE">
      <w:pPr>
        <w:spacing w:after="0" w:line="480" w:lineRule="auto"/>
        <w:ind w:firstLine="720"/>
        <w:rPr>
          <w:rFonts w:cs="Arial"/>
          <w:szCs w:val="24"/>
        </w:rPr>
      </w:pPr>
      <w:r w:rsidRPr="00424BD3">
        <w:rPr>
          <w:rFonts w:cs="Arial"/>
          <w:szCs w:val="24"/>
        </w:rPr>
        <w:t xml:space="preserve">She detailed the segregation of health care access as a child and of only being able to receive dental and medical care after regular office hours. She spoke of only being allowed to enter at the backdoor of the offices of providers who were willing to treat </w:t>
      </w:r>
      <w:r w:rsidR="000B0F8C" w:rsidRPr="00424BD3">
        <w:rPr>
          <w:rFonts w:cs="Arial"/>
          <w:szCs w:val="24"/>
        </w:rPr>
        <w:t>Black</w:t>
      </w:r>
      <w:r w:rsidRPr="00424BD3">
        <w:rPr>
          <w:rFonts w:cs="Arial"/>
          <w:szCs w:val="24"/>
        </w:rPr>
        <w:t xml:space="preserve"> people. She also spoke at length about what Collins </w:t>
      </w:r>
      <w:r w:rsidRPr="00424BD3">
        <w:rPr>
          <w:rFonts w:cs="Arial"/>
          <w:szCs w:val="24"/>
        </w:rPr>
        <w:fldChar w:fldCharType="begin"/>
      </w:r>
      <w:r w:rsidR="00990F3A">
        <w:rPr>
          <w:rFonts w:cs="Arial"/>
          <w:szCs w:val="24"/>
        </w:rPr>
        <w:instrText xml:space="preserve"> ADDIN ZOTERO_ITEM CSL_CITATION {"citationID":"BO8vHBDj","properties":{"formattedCitation":"(1998)","plainCitation":"(1998)","noteIndex":0},"citationItems":[{"id":966,"uris":["http://zotero.org/users/4946941/items/AMRGL3MU"],"itemData":{"id":966,"type":"article-journal","abstract":"This article explores how recent theoretical developments in viewing race, social class, gender, and nation as dimensions of interlocking systems of oppression might suggest new directions for Black family studies. Traditional social science approaches typically treat race, class, gender, and nationality as descriptive variables attached to individuals who are then reinserted into existing theoretical models on the family. In contrast, intersectional approaches view institutionalized racism, social class relations, gender inequalities, and nationalism expressed on both sides of state power as analytical constructs that explain family organization in general, and Black family organization in particular. By exploring three such intersections, namely those of race and class, of race and gender, and of race and nation, this article examines how selected issues in Black family studies might benefit by approaching Black family studies via an intersectional lens.","container-title":"Journal of Comparative Family Studies","DOI":"10.3138/jcfs.29.1.27","ISSN":"0047-2328","issue":"1","note":"publisher: University of Toronto Press","page":"27-36","source":"utpjournals.press (Atypon)","title":"Intersections of Race, Class, Gender, and Nation: Some Implications for Black Family Studies","title-short":"Intersections of Race, Class, Gender, and Nation","volume":"29","author":[{"family":"Collins","given":"Patricia Hill"}],"issued":{"date-parts":[["1998",3]]}},"suppress-author":true}],"schema":"https://github.com/citation-style-language/schema/raw/master/csl-citation.json"} </w:instrText>
      </w:r>
      <w:r w:rsidRPr="00424BD3">
        <w:rPr>
          <w:rFonts w:cs="Arial"/>
          <w:szCs w:val="24"/>
        </w:rPr>
        <w:fldChar w:fldCharType="separate"/>
      </w:r>
      <w:r w:rsidRPr="00424BD3">
        <w:rPr>
          <w:rFonts w:cs="Arial"/>
        </w:rPr>
        <w:t>(1998)</w:t>
      </w:r>
      <w:r w:rsidRPr="00424BD3">
        <w:rPr>
          <w:rFonts w:cs="Arial"/>
          <w:szCs w:val="24"/>
        </w:rPr>
        <w:fldChar w:fldCharType="end"/>
      </w:r>
      <w:r w:rsidRPr="00424BD3">
        <w:rPr>
          <w:rFonts w:cs="Arial"/>
          <w:szCs w:val="24"/>
        </w:rPr>
        <w:t xml:space="preserve"> term</w:t>
      </w:r>
      <w:r w:rsidR="00C3427D" w:rsidRPr="00424BD3">
        <w:rPr>
          <w:rFonts w:cs="Arial"/>
          <w:szCs w:val="24"/>
        </w:rPr>
        <w:t>s</w:t>
      </w:r>
      <w:r w:rsidRPr="00424BD3">
        <w:rPr>
          <w:rFonts w:cs="Arial"/>
          <w:szCs w:val="24"/>
        </w:rPr>
        <w:t xml:space="preserve"> a family diversity coping strategy (extended to the ’community family’ as well) - the need for </w:t>
      </w:r>
      <w:r w:rsidR="000B0F8C" w:rsidRPr="00424BD3">
        <w:rPr>
          <w:rFonts w:cs="Arial"/>
          <w:szCs w:val="24"/>
        </w:rPr>
        <w:t>Black</w:t>
      </w:r>
      <w:r w:rsidRPr="00424BD3">
        <w:rPr>
          <w:rFonts w:cs="Arial"/>
          <w:szCs w:val="24"/>
        </w:rPr>
        <w:t xml:space="preserve"> families and </w:t>
      </w:r>
      <w:r w:rsidR="000B0F8C" w:rsidRPr="00424BD3">
        <w:rPr>
          <w:rFonts w:cs="Arial"/>
          <w:szCs w:val="24"/>
        </w:rPr>
        <w:t>Black</w:t>
      </w:r>
      <w:r w:rsidRPr="00424BD3">
        <w:rPr>
          <w:rFonts w:cs="Arial"/>
          <w:szCs w:val="24"/>
        </w:rPr>
        <w:t xml:space="preserve"> communities to develop their own in-home medical services which </w:t>
      </w:r>
      <w:r w:rsidR="002D7F3D" w:rsidRPr="00424BD3">
        <w:rPr>
          <w:rFonts w:cs="Arial"/>
          <w:szCs w:val="24"/>
        </w:rPr>
        <w:t xml:space="preserve">her family and neighbors </w:t>
      </w:r>
      <w:r w:rsidRPr="00424BD3">
        <w:rPr>
          <w:rFonts w:cs="Arial"/>
          <w:szCs w:val="24"/>
        </w:rPr>
        <w:t xml:space="preserve">did, teaching the next generation how to provide midwifery services in each other’s homes, as an example. </w:t>
      </w:r>
    </w:p>
    <w:p w14:paraId="20E6E723" w14:textId="49AA97B2" w:rsidR="00780983" w:rsidRPr="00424BD3" w:rsidRDefault="00780983" w:rsidP="000126EE">
      <w:pPr>
        <w:spacing w:after="0" w:line="480" w:lineRule="auto"/>
        <w:ind w:left="720"/>
        <w:rPr>
          <w:rFonts w:cs="Arial"/>
          <w:szCs w:val="24"/>
        </w:rPr>
      </w:pPr>
      <w:r w:rsidRPr="00424BD3">
        <w:rPr>
          <w:rFonts w:cs="Arial"/>
          <w:szCs w:val="24"/>
        </w:rPr>
        <w:t>“</w:t>
      </w:r>
      <w:r w:rsidR="007066BE">
        <w:rPr>
          <w:rFonts w:cs="Arial"/>
          <w:szCs w:val="24"/>
        </w:rPr>
        <w:t>M</w:t>
      </w:r>
      <w:r w:rsidRPr="00424BD3">
        <w:rPr>
          <w:rFonts w:cs="Arial"/>
          <w:szCs w:val="24"/>
        </w:rPr>
        <w:t xml:space="preserve">y mother gave birth to me at home because, you know, during those times </w:t>
      </w:r>
      <w:r w:rsidR="0090373B" w:rsidRPr="00424BD3">
        <w:rPr>
          <w:rFonts w:cs="Arial"/>
          <w:szCs w:val="24"/>
        </w:rPr>
        <w:t>Blacks</w:t>
      </w:r>
      <w:r w:rsidR="00BE3E03" w:rsidRPr="00424BD3">
        <w:rPr>
          <w:rFonts w:cs="Arial"/>
          <w:szCs w:val="24"/>
        </w:rPr>
        <w:t xml:space="preserve"> </w:t>
      </w:r>
      <w:r w:rsidR="0090373B" w:rsidRPr="00424BD3">
        <w:rPr>
          <w:rFonts w:cs="Arial"/>
          <w:szCs w:val="24"/>
        </w:rPr>
        <w:t>[sic]</w:t>
      </w:r>
      <w:r w:rsidRPr="00424BD3">
        <w:rPr>
          <w:rFonts w:cs="Arial"/>
          <w:szCs w:val="24"/>
        </w:rPr>
        <w:t xml:space="preserve"> or ‘</w:t>
      </w:r>
      <w:r w:rsidR="007066BE">
        <w:rPr>
          <w:rFonts w:cs="Arial"/>
          <w:szCs w:val="24"/>
        </w:rPr>
        <w:t>C</w:t>
      </w:r>
      <w:r w:rsidRPr="00424BD3">
        <w:rPr>
          <w:rFonts w:cs="Arial"/>
          <w:szCs w:val="24"/>
        </w:rPr>
        <w:t>oloreds’</w:t>
      </w:r>
      <w:r w:rsidR="00BE3E03" w:rsidRPr="00424BD3">
        <w:rPr>
          <w:rFonts w:cs="Arial"/>
          <w:szCs w:val="24"/>
        </w:rPr>
        <w:t xml:space="preserve"> [sic]</w:t>
      </w:r>
      <w:r w:rsidRPr="00424BD3">
        <w:rPr>
          <w:rFonts w:cs="Arial"/>
          <w:szCs w:val="24"/>
        </w:rPr>
        <w:t xml:space="preserve"> could not go to the hospital. So</w:t>
      </w:r>
      <w:r w:rsidR="001E2131">
        <w:rPr>
          <w:rFonts w:cs="Arial"/>
          <w:szCs w:val="24"/>
        </w:rPr>
        <w:t>,</w:t>
      </w:r>
      <w:r w:rsidRPr="00424BD3">
        <w:rPr>
          <w:rFonts w:cs="Arial"/>
          <w:szCs w:val="24"/>
        </w:rPr>
        <w:t xml:space="preserve"> most of your care was in your house</w:t>
      </w:r>
      <w:r w:rsidR="007066BE">
        <w:rPr>
          <w:rFonts w:cs="Arial"/>
          <w:szCs w:val="24"/>
        </w:rPr>
        <w:t>,</w:t>
      </w:r>
      <w:r w:rsidRPr="00424BD3">
        <w:rPr>
          <w:rFonts w:cs="Arial"/>
          <w:szCs w:val="24"/>
        </w:rPr>
        <w:t xml:space="preserve"> and it was the neighbors and, you know, their different preventative, you know, ideas, okay? [laughs] It wasn’t necessarily grounded in medical knowledge, but it was those stories and those treatments that were passed down through generations.”</w:t>
      </w:r>
    </w:p>
    <w:p w14:paraId="44948E59" w14:textId="22B07020" w:rsidR="002D7F3D" w:rsidRPr="00424BD3" w:rsidRDefault="008844E4" w:rsidP="000126EE">
      <w:pPr>
        <w:spacing w:after="0" w:line="480" w:lineRule="auto"/>
        <w:ind w:firstLine="720"/>
        <w:rPr>
          <w:rFonts w:cs="Arial"/>
          <w:szCs w:val="24"/>
        </w:rPr>
      </w:pPr>
      <w:r w:rsidRPr="00424BD3">
        <w:rPr>
          <w:rFonts w:cs="Arial"/>
          <w:szCs w:val="24"/>
        </w:rPr>
        <w:t xml:space="preserve">Anita recounted her and her community’s experiences and the daily fear for their </w:t>
      </w:r>
      <w:r w:rsidR="00875038" w:rsidRPr="00424BD3">
        <w:rPr>
          <w:rFonts w:cs="Arial"/>
          <w:szCs w:val="24"/>
        </w:rPr>
        <w:t>lives and</w:t>
      </w:r>
      <w:r w:rsidR="00D90D10" w:rsidRPr="00424BD3">
        <w:rPr>
          <w:rFonts w:cs="Arial"/>
          <w:szCs w:val="24"/>
        </w:rPr>
        <w:t xml:space="preserve"> </w:t>
      </w:r>
      <w:r w:rsidRPr="00424BD3">
        <w:rPr>
          <w:rFonts w:cs="Arial"/>
          <w:szCs w:val="24"/>
        </w:rPr>
        <w:t xml:space="preserve">was very careful about displaying emotion in her voice when recalling this. </w:t>
      </w:r>
    </w:p>
    <w:p w14:paraId="20D9701E" w14:textId="2090EF0E" w:rsidR="008844E4" w:rsidRPr="00424BD3" w:rsidRDefault="008844E4" w:rsidP="000126EE">
      <w:pPr>
        <w:pStyle w:val="Heading2"/>
        <w:spacing w:before="0" w:line="480" w:lineRule="auto"/>
        <w:jc w:val="center"/>
        <w:rPr>
          <w:rFonts w:ascii="Arial" w:hAnsi="Arial" w:cs="Arial"/>
          <w:b/>
          <w:bCs/>
          <w:color w:val="auto"/>
          <w:sz w:val="24"/>
          <w:szCs w:val="24"/>
        </w:rPr>
      </w:pPr>
      <w:bookmarkStart w:id="70" w:name="_Toc118232336"/>
      <w:r w:rsidRPr="00424BD3">
        <w:rPr>
          <w:rFonts w:ascii="Arial" w:hAnsi="Arial" w:cs="Arial"/>
          <w:b/>
          <w:bCs/>
          <w:color w:val="auto"/>
          <w:sz w:val="24"/>
          <w:szCs w:val="24"/>
        </w:rPr>
        <w:t>Positive Childhood Experiences</w:t>
      </w:r>
      <w:bookmarkEnd w:id="70"/>
    </w:p>
    <w:p w14:paraId="50AF0118" w14:textId="2A0086C0" w:rsidR="008844E4" w:rsidRPr="00424BD3" w:rsidRDefault="008844E4" w:rsidP="000126EE">
      <w:pPr>
        <w:spacing w:after="0" w:line="480" w:lineRule="auto"/>
        <w:ind w:firstLine="720"/>
        <w:rPr>
          <w:rFonts w:cs="Arial"/>
          <w:szCs w:val="24"/>
        </w:rPr>
      </w:pPr>
      <w:r w:rsidRPr="00424BD3">
        <w:rPr>
          <w:rFonts w:cs="Arial"/>
          <w:szCs w:val="24"/>
        </w:rPr>
        <w:t>Even in the midst of traumatic relationships, most of the women recalled good memories with their family or friends or particular situations. Peggy’s good experiences</w:t>
      </w:r>
      <w:r w:rsidR="00C463FA" w:rsidRPr="00424BD3">
        <w:rPr>
          <w:rFonts w:cs="Arial"/>
          <w:szCs w:val="24"/>
        </w:rPr>
        <w:t xml:space="preserve"> </w:t>
      </w:r>
      <w:r w:rsidRPr="00424BD3">
        <w:rPr>
          <w:rFonts w:cs="Arial"/>
          <w:szCs w:val="24"/>
        </w:rPr>
        <w:t xml:space="preserve">centered around being outside, away from the home, and with drastically different female influencers – the nuns at the school she attended, and the sex workers in the </w:t>
      </w:r>
      <w:r w:rsidRPr="00424BD3">
        <w:rPr>
          <w:rFonts w:cs="Arial"/>
          <w:szCs w:val="24"/>
        </w:rPr>
        <w:lastRenderedPageBreak/>
        <w:t xml:space="preserve">dark hideaway alleys she frequented in her city in order to escape the difficulties at home. When asked what her good childhood memories were, </w:t>
      </w:r>
      <w:r w:rsidR="009B2322" w:rsidRPr="00424BD3">
        <w:rPr>
          <w:rFonts w:cs="Arial"/>
          <w:szCs w:val="24"/>
        </w:rPr>
        <w:t>Barbara</w:t>
      </w:r>
      <w:r w:rsidRPr="00424BD3">
        <w:rPr>
          <w:rFonts w:cs="Arial"/>
          <w:szCs w:val="24"/>
        </w:rPr>
        <w:t xml:space="preserve"> </w:t>
      </w:r>
      <w:r w:rsidR="00A2361B" w:rsidRPr="00424BD3">
        <w:rPr>
          <w:rFonts w:cs="Arial"/>
          <w:szCs w:val="24"/>
        </w:rPr>
        <w:t xml:space="preserve">stated </w:t>
      </w:r>
      <w:r w:rsidR="00D90D10" w:rsidRPr="00424BD3">
        <w:rPr>
          <w:rFonts w:cs="Arial"/>
          <w:szCs w:val="24"/>
        </w:rPr>
        <w:t>with little voice or body emotion</w:t>
      </w:r>
      <w:r w:rsidR="00A2361B" w:rsidRPr="00424BD3">
        <w:rPr>
          <w:rFonts w:cs="Arial"/>
          <w:szCs w:val="24"/>
        </w:rPr>
        <w:t xml:space="preserve">, </w:t>
      </w:r>
      <w:r w:rsidRPr="00424BD3">
        <w:rPr>
          <w:rFonts w:cs="Arial"/>
          <w:szCs w:val="24"/>
        </w:rPr>
        <w:t xml:space="preserve">“Not very many. I hate to say that, but I can’t think of any really good memories. There just weren’t any.” </w:t>
      </w:r>
      <w:r w:rsidR="00481BD1" w:rsidRPr="00424BD3">
        <w:rPr>
          <w:rFonts w:cs="Arial"/>
          <w:szCs w:val="24"/>
        </w:rPr>
        <w:t>Barbara’s statement was surprising</w:t>
      </w:r>
      <w:r w:rsidR="005B789B" w:rsidRPr="00424BD3">
        <w:rPr>
          <w:rFonts w:cs="Arial"/>
          <w:szCs w:val="24"/>
        </w:rPr>
        <w:t xml:space="preserve">, </w:t>
      </w:r>
      <w:r w:rsidRPr="00424BD3">
        <w:rPr>
          <w:rFonts w:cs="Arial"/>
          <w:szCs w:val="24"/>
        </w:rPr>
        <w:t xml:space="preserve">not because of her answer, which, given the circumstances in which she grew up, made complete sense, but because she had the courage to </w:t>
      </w:r>
      <w:r w:rsidR="005B789B" w:rsidRPr="00424BD3">
        <w:rPr>
          <w:rFonts w:cs="Arial"/>
          <w:szCs w:val="24"/>
        </w:rPr>
        <w:t>say this</w:t>
      </w:r>
      <w:r w:rsidRPr="00424BD3">
        <w:rPr>
          <w:rFonts w:cs="Arial"/>
          <w:szCs w:val="24"/>
        </w:rPr>
        <w:t xml:space="preserve">. </w:t>
      </w:r>
      <w:r w:rsidR="005527FE" w:rsidRPr="00424BD3">
        <w:rPr>
          <w:rFonts w:cs="Arial"/>
          <w:szCs w:val="24"/>
        </w:rPr>
        <w:t xml:space="preserve">The fact that her </w:t>
      </w:r>
      <w:r w:rsidR="00D22642" w:rsidRPr="00424BD3">
        <w:rPr>
          <w:rFonts w:cs="Arial"/>
          <w:szCs w:val="24"/>
        </w:rPr>
        <w:t xml:space="preserve">openness about her lack of good </w:t>
      </w:r>
      <w:r w:rsidR="00BF3CEE" w:rsidRPr="00424BD3">
        <w:rPr>
          <w:rFonts w:cs="Arial"/>
          <w:szCs w:val="24"/>
        </w:rPr>
        <w:t xml:space="preserve">childhood </w:t>
      </w:r>
      <w:r w:rsidR="00D22642" w:rsidRPr="00424BD3">
        <w:rPr>
          <w:rFonts w:cs="Arial"/>
          <w:szCs w:val="24"/>
        </w:rPr>
        <w:t xml:space="preserve">memories </w:t>
      </w:r>
      <w:r w:rsidR="005B789B" w:rsidRPr="00424BD3">
        <w:rPr>
          <w:rFonts w:cs="Arial"/>
          <w:szCs w:val="24"/>
        </w:rPr>
        <w:t xml:space="preserve">required </w:t>
      </w:r>
      <w:r w:rsidR="00064DC1" w:rsidRPr="00424BD3">
        <w:rPr>
          <w:rFonts w:cs="Arial"/>
          <w:szCs w:val="24"/>
        </w:rPr>
        <w:t xml:space="preserve">a self-reflection </w:t>
      </w:r>
      <w:r w:rsidR="00F87713">
        <w:rPr>
          <w:rFonts w:cs="Arial"/>
          <w:szCs w:val="24"/>
        </w:rPr>
        <w:t>on my part</w:t>
      </w:r>
      <w:r w:rsidR="00064DC1" w:rsidRPr="00424BD3">
        <w:rPr>
          <w:rFonts w:cs="Arial"/>
          <w:szCs w:val="24"/>
        </w:rPr>
        <w:t xml:space="preserve"> regarding self</w:t>
      </w:r>
      <w:r w:rsidR="009557D0" w:rsidRPr="00424BD3">
        <w:rPr>
          <w:rFonts w:cs="Arial"/>
          <w:szCs w:val="24"/>
        </w:rPr>
        <w:t xml:space="preserve">-internalized </w:t>
      </w:r>
      <w:r w:rsidR="00D22642" w:rsidRPr="00424BD3">
        <w:rPr>
          <w:rFonts w:cs="Arial"/>
          <w:szCs w:val="24"/>
        </w:rPr>
        <w:t xml:space="preserve">social norms around being silent </w:t>
      </w:r>
      <w:r w:rsidR="005364A8" w:rsidRPr="00424BD3">
        <w:rPr>
          <w:rFonts w:cs="Arial"/>
          <w:szCs w:val="24"/>
        </w:rPr>
        <w:t xml:space="preserve">in public or to others </w:t>
      </w:r>
      <w:r w:rsidR="00D22642" w:rsidRPr="00424BD3">
        <w:rPr>
          <w:rFonts w:cs="Arial"/>
          <w:szCs w:val="24"/>
        </w:rPr>
        <w:t xml:space="preserve">about bad </w:t>
      </w:r>
      <w:r w:rsidR="005364A8" w:rsidRPr="00424BD3">
        <w:rPr>
          <w:rFonts w:cs="Arial"/>
          <w:szCs w:val="24"/>
        </w:rPr>
        <w:t xml:space="preserve">childhood </w:t>
      </w:r>
      <w:r w:rsidR="00D22642" w:rsidRPr="00424BD3">
        <w:rPr>
          <w:rFonts w:cs="Arial"/>
          <w:szCs w:val="24"/>
        </w:rPr>
        <w:t xml:space="preserve">experiences. </w:t>
      </w:r>
    </w:p>
    <w:p w14:paraId="64C9D985" w14:textId="36C2F955" w:rsidR="008844E4" w:rsidRPr="00424BD3" w:rsidRDefault="008844E4" w:rsidP="000126EE">
      <w:pPr>
        <w:spacing w:after="0" w:line="480" w:lineRule="auto"/>
        <w:ind w:firstLine="720"/>
        <w:rPr>
          <w:rFonts w:cs="Arial"/>
          <w:szCs w:val="24"/>
        </w:rPr>
      </w:pPr>
      <w:r w:rsidRPr="00424BD3">
        <w:rPr>
          <w:rFonts w:cs="Arial"/>
          <w:szCs w:val="24"/>
        </w:rPr>
        <w:t>Deborah, Cynthia, Sylvia, and Kathryn cited being with their family as one of their main good experiences growing up, while Carolyn, Barbara, and Anita specifically mentioned being with their parents as a good experience. Cynthia, Ruth, Sylvia, and Kathryn stated that family events, celebrations, holidays</w:t>
      </w:r>
      <w:r w:rsidR="00475CBB">
        <w:rPr>
          <w:rFonts w:cs="Arial"/>
          <w:szCs w:val="24"/>
        </w:rPr>
        <w:t>,</w:t>
      </w:r>
      <w:r w:rsidRPr="00424BD3">
        <w:rPr>
          <w:rFonts w:cs="Arial"/>
          <w:szCs w:val="24"/>
        </w:rPr>
        <w:t xml:space="preserve"> and vacations were positive experiences for them. Mary, Deborah, </w:t>
      </w:r>
      <w:r w:rsidR="00FE0024" w:rsidRPr="00424BD3">
        <w:rPr>
          <w:rFonts w:cs="Arial"/>
          <w:szCs w:val="24"/>
        </w:rPr>
        <w:t xml:space="preserve">and </w:t>
      </w:r>
      <w:r w:rsidRPr="00424BD3">
        <w:rPr>
          <w:rFonts w:cs="Arial"/>
          <w:szCs w:val="24"/>
        </w:rPr>
        <w:t>Cynthia recalled good experiences with one or both of their grandparents. Mary specifically mentioned</w:t>
      </w:r>
      <w:r w:rsidR="008445E1" w:rsidRPr="00424BD3">
        <w:rPr>
          <w:rFonts w:cs="Arial"/>
          <w:szCs w:val="24"/>
        </w:rPr>
        <w:t xml:space="preserve"> good</w:t>
      </w:r>
      <w:r w:rsidRPr="00424BD3">
        <w:rPr>
          <w:rFonts w:cs="Arial"/>
          <w:szCs w:val="24"/>
        </w:rPr>
        <w:t xml:space="preserve"> times with her brother. Mary and Deborah also spoke at length about spending </w:t>
      </w:r>
      <w:r w:rsidR="007E02DC" w:rsidRPr="00424BD3">
        <w:rPr>
          <w:rFonts w:cs="Arial"/>
          <w:szCs w:val="24"/>
        </w:rPr>
        <w:t xml:space="preserve">good </w:t>
      </w:r>
      <w:r w:rsidRPr="00424BD3">
        <w:rPr>
          <w:rFonts w:cs="Arial"/>
          <w:szCs w:val="24"/>
        </w:rPr>
        <w:t>time</w:t>
      </w:r>
      <w:r w:rsidR="007E02DC" w:rsidRPr="00424BD3">
        <w:rPr>
          <w:rFonts w:cs="Arial"/>
          <w:szCs w:val="24"/>
        </w:rPr>
        <w:t>s</w:t>
      </w:r>
      <w:r w:rsidRPr="00424BD3">
        <w:rPr>
          <w:rFonts w:cs="Arial"/>
          <w:szCs w:val="24"/>
        </w:rPr>
        <w:t xml:space="preserve"> with their aunts. For Mary, this was an interesting revelation because she was speaking about her maternal aunt</w:t>
      </w:r>
      <w:r w:rsidR="009B1C52" w:rsidRPr="00424BD3">
        <w:rPr>
          <w:rFonts w:cs="Arial"/>
          <w:szCs w:val="24"/>
        </w:rPr>
        <w:t xml:space="preserve"> </w:t>
      </w:r>
      <w:r w:rsidRPr="00424BD3">
        <w:rPr>
          <w:rFonts w:cs="Arial"/>
          <w:szCs w:val="24"/>
        </w:rPr>
        <w:t>and highlighting the stark differences between her mother</w:t>
      </w:r>
      <w:r w:rsidR="009B1C52" w:rsidRPr="00424BD3">
        <w:rPr>
          <w:rFonts w:cs="Arial"/>
          <w:szCs w:val="24"/>
        </w:rPr>
        <w:t>, who she spoke about as being abusive to her,</w:t>
      </w:r>
      <w:r w:rsidRPr="00424BD3">
        <w:rPr>
          <w:rFonts w:cs="Arial"/>
          <w:szCs w:val="24"/>
        </w:rPr>
        <w:t xml:space="preserve"> and her mother’s sister</w:t>
      </w:r>
      <w:r w:rsidR="00FB415F" w:rsidRPr="00424BD3">
        <w:rPr>
          <w:rFonts w:cs="Arial"/>
          <w:szCs w:val="24"/>
        </w:rPr>
        <w:t xml:space="preserve">, who </w:t>
      </w:r>
      <w:r w:rsidR="00D21A06" w:rsidRPr="00424BD3">
        <w:rPr>
          <w:rFonts w:cs="Arial"/>
          <w:szCs w:val="24"/>
        </w:rPr>
        <w:t xml:space="preserve">she saw </w:t>
      </w:r>
      <w:r w:rsidR="00FB415F" w:rsidRPr="00424BD3">
        <w:rPr>
          <w:rFonts w:cs="Arial"/>
          <w:szCs w:val="24"/>
        </w:rPr>
        <w:t>as kind to her</w:t>
      </w:r>
      <w:r w:rsidRPr="00424BD3">
        <w:rPr>
          <w:rFonts w:cs="Arial"/>
          <w:szCs w:val="24"/>
        </w:rPr>
        <w:t xml:space="preserve">. </w:t>
      </w:r>
      <w:r w:rsidR="00DB0D27" w:rsidRPr="00424BD3">
        <w:rPr>
          <w:rFonts w:cs="Arial"/>
          <w:szCs w:val="24"/>
        </w:rPr>
        <w:t>T</w:t>
      </w:r>
      <w:r w:rsidRPr="00424BD3">
        <w:rPr>
          <w:rFonts w:cs="Arial"/>
          <w:szCs w:val="24"/>
        </w:rPr>
        <w:t>his is a further area of research</w:t>
      </w:r>
      <w:r w:rsidR="00DB0D27" w:rsidRPr="00424BD3">
        <w:rPr>
          <w:rFonts w:cs="Arial"/>
          <w:szCs w:val="24"/>
        </w:rPr>
        <w:t xml:space="preserve"> that future researchers can examine</w:t>
      </w:r>
      <w:r w:rsidRPr="00424BD3">
        <w:rPr>
          <w:rFonts w:cs="Arial"/>
          <w:szCs w:val="24"/>
        </w:rPr>
        <w:t xml:space="preserve"> – what differences in health</w:t>
      </w:r>
      <w:r w:rsidR="00711C96" w:rsidRPr="00424BD3">
        <w:rPr>
          <w:rFonts w:cs="Arial"/>
          <w:szCs w:val="24"/>
        </w:rPr>
        <w:t xml:space="preserve">, </w:t>
      </w:r>
      <w:r w:rsidRPr="00424BD3">
        <w:rPr>
          <w:rFonts w:cs="Arial"/>
          <w:szCs w:val="24"/>
        </w:rPr>
        <w:t>mental health</w:t>
      </w:r>
      <w:r w:rsidR="00711C96" w:rsidRPr="00424BD3">
        <w:rPr>
          <w:rFonts w:cs="Arial"/>
          <w:szCs w:val="24"/>
        </w:rPr>
        <w:t xml:space="preserve">, and </w:t>
      </w:r>
      <w:r w:rsidRPr="00424BD3">
        <w:rPr>
          <w:rFonts w:cs="Arial"/>
          <w:szCs w:val="24"/>
        </w:rPr>
        <w:t>health inequities</w:t>
      </w:r>
      <w:r w:rsidR="00711C96" w:rsidRPr="00424BD3">
        <w:rPr>
          <w:rFonts w:cs="Arial"/>
          <w:szCs w:val="24"/>
        </w:rPr>
        <w:t xml:space="preserve"> exist</w:t>
      </w:r>
      <w:r w:rsidRPr="00424BD3">
        <w:rPr>
          <w:rFonts w:cs="Arial"/>
          <w:szCs w:val="24"/>
        </w:rPr>
        <w:t>, if any, between siblings who gr</w:t>
      </w:r>
      <w:r w:rsidR="007007AE" w:rsidRPr="00424BD3">
        <w:rPr>
          <w:rFonts w:cs="Arial"/>
          <w:szCs w:val="24"/>
        </w:rPr>
        <w:t>o</w:t>
      </w:r>
      <w:r w:rsidRPr="00424BD3">
        <w:rPr>
          <w:rFonts w:cs="Arial"/>
          <w:szCs w:val="24"/>
        </w:rPr>
        <w:t xml:space="preserve">w up together in the same home, and present very differently to </w:t>
      </w:r>
      <w:r w:rsidR="007007AE" w:rsidRPr="00424BD3">
        <w:rPr>
          <w:rFonts w:cs="Arial"/>
          <w:szCs w:val="24"/>
        </w:rPr>
        <w:t>their children or relatives.</w:t>
      </w:r>
    </w:p>
    <w:p w14:paraId="2EAAC16C" w14:textId="47F591BC" w:rsidR="008844E4" w:rsidRPr="00424BD3" w:rsidRDefault="008844E4" w:rsidP="000126EE">
      <w:pPr>
        <w:spacing w:after="0" w:line="480" w:lineRule="auto"/>
        <w:ind w:firstLine="720"/>
        <w:rPr>
          <w:rFonts w:cs="Arial"/>
          <w:szCs w:val="24"/>
        </w:rPr>
      </w:pPr>
      <w:r w:rsidRPr="00424BD3">
        <w:rPr>
          <w:rFonts w:cs="Arial"/>
          <w:szCs w:val="24"/>
        </w:rPr>
        <w:lastRenderedPageBreak/>
        <w:t xml:space="preserve">Anita unequivocally stated that her community and neighborhood camaraderie were essential to her positive experiences growing up. She included teachers as part of that community, and said she had good teachers who got involved in and were supportive of the lives of the children in their school. Cynthia had good memories of high school and making new friends in school each time she moved. Sharon </w:t>
      </w:r>
      <w:r w:rsidR="005A54B2" w:rsidRPr="00424BD3">
        <w:rPr>
          <w:rFonts w:cs="Arial"/>
          <w:szCs w:val="24"/>
        </w:rPr>
        <w:t xml:space="preserve">had good memories of </w:t>
      </w:r>
      <w:r w:rsidR="00085346" w:rsidRPr="00424BD3">
        <w:rPr>
          <w:rFonts w:cs="Arial"/>
          <w:szCs w:val="24"/>
        </w:rPr>
        <w:t>her neighborhood friends</w:t>
      </w:r>
      <w:r w:rsidR="005A54B2" w:rsidRPr="00424BD3">
        <w:rPr>
          <w:rFonts w:cs="Arial"/>
          <w:szCs w:val="24"/>
        </w:rPr>
        <w:t>. She also stated that</w:t>
      </w:r>
      <w:r w:rsidR="00085346" w:rsidRPr="00424BD3">
        <w:rPr>
          <w:rFonts w:cs="Arial"/>
          <w:szCs w:val="24"/>
        </w:rPr>
        <w:t xml:space="preserve"> </w:t>
      </w:r>
      <w:r w:rsidRPr="00424BD3">
        <w:rPr>
          <w:rFonts w:cs="Arial"/>
          <w:szCs w:val="24"/>
        </w:rPr>
        <w:t xml:space="preserve">school was </w:t>
      </w:r>
      <w:r w:rsidR="00D413DE" w:rsidRPr="00424BD3">
        <w:rPr>
          <w:rFonts w:cs="Arial"/>
          <w:szCs w:val="24"/>
        </w:rPr>
        <w:t xml:space="preserve">a </w:t>
      </w:r>
      <w:r w:rsidRPr="00424BD3">
        <w:rPr>
          <w:rFonts w:cs="Arial"/>
          <w:szCs w:val="24"/>
        </w:rPr>
        <w:t>positive</w:t>
      </w:r>
      <w:r w:rsidR="00D413DE" w:rsidRPr="00424BD3">
        <w:rPr>
          <w:rFonts w:cs="Arial"/>
          <w:szCs w:val="24"/>
        </w:rPr>
        <w:t xml:space="preserve"> memory</w:t>
      </w:r>
      <w:r w:rsidRPr="00424BD3">
        <w:rPr>
          <w:rFonts w:cs="Arial"/>
          <w:szCs w:val="24"/>
        </w:rPr>
        <w:t xml:space="preserve"> for her</w:t>
      </w:r>
      <w:r w:rsidR="00D413DE" w:rsidRPr="00424BD3">
        <w:rPr>
          <w:rFonts w:cs="Arial"/>
          <w:szCs w:val="24"/>
        </w:rPr>
        <w:t xml:space="preserve">. This </w:t>
      </w:r>
      <w:r w:rsidR="00A532D6" w:rsidRPr="00424BD3">
        <w:rPr>
          <w:rFonts w:cs="Arial"/>
          <w:szCs w:val="24"/>
        </w:rPr>
        <w:t xml:space="preserve">conflicts with her earlier statements about the </w:t>
      </w:r>
      <w:r w:rsidR="00972467" w:rsidRPr="00424BD3">
        <w:rPr>
          <w:rFonts w:cs="Arial"/>
          <w:szCs w:val="24"/>
        </w:rPr>
        <w:t xml:space="preserve">negative lifelong </w:t>
      </w:r>
      <w:r w:rsidR="00FD1DD0" w:rsidRPr="00424BD3">
        <w:rPr>
          <w:rFonts w:cs="Arial"/>
          <w:szCs w:val="24"/>
        </w:rPr>
        <w:t>emotional effects of</w:t>
      </w:r>
      <w:r w:rsidRPr="00424BD3">
        <w:rPr>
          <w:rFonts w:cs="Arial"/>
          <w:szCs w:val="24"/>
        </w:rPr>
        <w:t xml:space="preserve"> </w:t>
      </w:r>
      <w:r w:rsidR="00FD1DD0" w:rsidRPr="00424BD3">
        <w:rPr>
          <w:rFonts w:cs="Arial"/>
          <w:szCs w:val="24"/>
        </w:rPr>
        <w:t>the</w:t>
      </w:r>
      <w:r w:rsidRPr="00424BD3">
        <w:rPr>
          <w:rFonts w:cs="Arial"/>
          <w:szCs w:val="24"/>
        </w:rPr>
        <w:t xml:space="preserve"> punishment</w:t>
      </w:r>
      <w:r w:rsidR="00FD1DD0" w:rsidRPr="00424BD3">
        <w:rPr>
          <w:rFonts w:cs="Arial"/>
          <w:szCs w:val="24"/>
        </w:rPr>
        <w:t xml:space="preserve"> she received</w:t>
      </w:r>
      <w:r w:rsidRPr="00424BD3">
        <w:rPr>
          <w:rFonts w:cs="Arial"/>
          <w:szCs w:val="24"/>
        </w:rPr>
        <w:t xml:space="preserve"> for mounting a school uniform protest movemen</w:t>
      </w:r>
      <w:r w:rsidR="00972467" w:rsidRPr="00424BD3">
        <w:rPr>
          <w:rFonts w:cs="Arial"/>
          <w:szCs w:val="24"/>
        </w:rPr>
        <w:t>t</w:t>
      </w:r>
      <w:r w:rsidR="004541BA" w:rsidRPr="00424BD3">
        <w:rPr>
          <w:rFonts w:cs="Arial"/>
          <w:szCs w:val="24"/>
        </w:rPr>
        <w:t xml:space="preserve">. </w:t>
      </w:r>
      <w:r w:rsidRPr="00424BD3">
        <w:rPr>
          <w:rFonts w:cs="Arial"/>
          <w:szCs w:val="24"/>
        </w:rPr>
        <w:t xml:space="preserve">Margaret also relished her neighborhood friendships, and “getting into mischief”. Sylvia referenced her </w:t>
      </w:r>
      <w:r w:rsidR="00DC1140" w:rsidRPr="00424BD3">
        <w:rPr>
          <w:rFonts w:cs="Arial"/>
          <w:szCs w:val="24"/>
        </w:rPr>
        <w:t xml:space="preserve">good times with her </w:t>
      </w:r>
      <w:r w:rsidRPr="00424BD3">
        <w:rPr>
          <w:rFonts w:cs="Arial"/>
          <w:szCs w:val="24"/>
        </w:rPr>
        <w:t>friends as well.</w:t>
      </w:r>
    </w:p>
    <w:p w14:paraId="67CB1A9B" w14:textId="62B03BF9" w:rsidR="008844E4" w:rsidRPr="00424BD3" w:rsidRDefault="008844E4" w:rsidP="000126EE">
      <w:pPr>
        <w:spacing w:after="0" w:line="480" w:lineRule="auto"/>
        <w:ind w:firstLine="720"/>
        <w:rPr>
          <w:rFonts w:cs="Arial"/>
          <w:szCs w:val="24"/>
        </w:rPr>
      </w:pPr>
      <w:r w:rsidRPr="00424BD3">
        <w:rPr>
          <w:rFonts w:cs="Arial"/>
          <w:szCs w:val="24"/>
        </w:rPr>
        <w:t xml:space="preserve">For Mary and Carolyn, dancing was and remains a major joy in life. Likewise, Sharon enjoyed playing piano. Animals and pets played a </w:t>
      </w:r>
      <w:r w:rsidR="003D2AB5" w:rsidRPr="00424BD3">
        <w:rPr>
          <w:rFonts w:cs="Arial"/>
          <w:szCs w:val="24"/>
        </w:rPr>
        <w:t>positive</w:t>
      </w:r>
      <w:r w:rsidRPr="00424BD3">
        <w:rPr>
          <w:rFonts w:cs="Arial"/>
          <w:szCs w:val="24"/>
        </w:rPr>
        <w:t xml:space="preserve"> role in Mary’s, Peggy’s, Deborah’s, Ruth’s, and Sylvia’s lives – so much so that Peggy, Ruth</w:t>
      </w:r>
      <w:r w:rsidR="003A527E">
        <w:rPr>
          <w:rFonts w:cs="Arial"/>
          <w:szCs w:val="24"/>
        </w:rPr>
        <w:t>,</w:t>
      </w:r>
      <w:r w:rsidRPr="00424BD3">
        <w:rPr>
          <w:rFonts w:cs="Arial"/>
          <w:szCs w:val="24"/>
        </w:rPr>
        <w:t xml:space="preserve"> and Sylvia went on to work in the animal health field as adults. </w:t>
      </w:r>
      <w:r w:rsidR="00E612A2" w:rsidRPr="00424BD3">
        <w:rPr>
          <w:rFonts w:cs="Arial"/>
          <w:szCs w:val="24"/>
        </w:rPr>
        <w:t xml:space="preserve">Peggy and Sylvia said that </w:t>
      </w:r>
      <w:r w:rsidR="00AE7D8E" w:rsidRPr="00424BD3">
        <w:rPr>
          <w:rFonts w:cs="Arial"/>
          <w:szCs w:val="24"/>
        </w:rPr>
        <w:t>N</w:t>
      </w:r>
      <w:r w:rsidRPr="00424BD3">
        <w:rPr>
          <w:rFonts w:cs="Arial"/>
          <w:szCs w:val="24"/>
        </w:rPr>
        <w:t>ature provided good experiences for</w:t>
      </w:r>
      <w:r w:rsidR="00AE7D8E" w:rsidRPr="00424BD3">
        <w:rPr>
          <w:rFonts w:cs="Arial"/>
          <w:szCs w:val="24"/>
        </w:rPr>
        <w:t xml:space="preserve"> them, </w:t>
      </w:r>
      <w:r w:rsidRPr="00424BD3">
        <w:rPr>
          <w:rFonts w:cs="Arial"/>
          <w:szCs w:val="24"/>
        </w:rPr>
        <w:t xml:space="preserve">while Deborah remembers being happy being part of groups like the Girl Scouts and </w:t>
      </w:r>
      <w:r w:rsidR="000B0F8C" w:rsidRPr="00424BD3">
        <w:rPr>
          <w:rFonts w:cs="Arial"/>
          <w:szCs w:val="24"/>
        </w:rPr>
        <w:t>Brown</w:t>
      </w:r>
      <w:r w:rsidRPr="00424BD3">
        <w:rPr>
          <w:rFonts w:cs="Arial"/>
          <w:szCs w:val="24"/>
        </w:rPr>
        <w:t xml:space="preserve">ies. When Ruth answered what her good experiences were, she cited “food overall” as her most positive experience, outside of family vacations and holidays. </w:t>
      </w:r>
    </w:p>
    <w:p w14:paraId="562D2B37" w14:textId="32E4C27F" w:rsidR="003D418C" w:rsidRPr="00424BD3" w:rsidRDefault="008844E4" w:rsidP="000126EE">
      <w:pPr>
        <w:spacing w:after="0" w:line="480" w:lineRule="auto"/>
        <w:ind w:firstLine="720"/>
        <w:rPr>
          <w:rFonts w:cs="Arial"/>
          <w:szCs w:val="24"/>
        </w:rPr>
      </w:pPr>
      <w:r w:rsidRPr="00424BD3">
        <w:rPr>
          <w:rFonts w:cs="Arial"/>
          <w:szCs w:val="24"/>
        </w:rPr>
        <w:t xml:space="preserve">Ruth, Carolyn, and Kathryn said that they had good childhoods, and had very few negative experiences in childhood. In fact, Ruth gave no negative examples of childhood experiences at all. Sharon surprised me, as I’ve mentioned, when she said she’d had a good childhood overall and that nothing negative had happened to her – despite her mother’s cancer and the death of her young sister. </w:t>
      </w:r>
      <w:r w:rsidR="003D418C" w:rsidRPr="00424BD3">
        <w:rPr>
          <w:rFonts w:cs="Arial"/>
          <w:szCs w:val="24"/>
        </w:rPr>
        <w:t xml:space="preserve">Like others in this study, </w:t>
      </w:r>
      <w:r w:rsidR="003D418C" w:rsidRPr="00424BD3">
        <w:rPr>
          <w:rFonts w:cs="Arial"/>
          <w:szCs w:val="24"/>
        </w:rPr>
        <w:lastRenderedPageBreak/>
        <w:t>very often when traumatic experiences were discussed, Sharon responded showing little voice or body emotion, which may be a conditioned, normed response. When discussing her mother’s cancer, she said:</w:t>
      </w:r>
    </w:p>
    <w:p w14:paraId="6D3AEA62" w14:textId="58B59F7E" w:rsidR="004906B5" w:rsidRPr="00424BD3" w:rsidRDefault="004906B5" w:rsidP="000126EE">
      <w:pPr>
        <w:spacing w:after="0" w:line="480" w:lineRule="auto"/>
        <w:ind w:left="720"/>
        <w:rPr>
          <w:rFonts w:cs="Arial"/>
          <w:szCs w:val="24"/>
        </w:rPr>
      </w:pPr>
      <w:r w:rsidRPr="00424BD3">
        <w:rPr>
          <w:rFonts w:cs="Arial"/>
          <w:szCs w:val="24"/>
        </w:rPr>
        <w:t xml:space="preserve">“I was in my sophomore year, my mother came down with breast cancer, and she had a major operation, and they decided to keep her another couple of weeks, to do a…hysterectomy because they weren't sure how far the cancer </w:t>
      </w:r>
      <w:r w:rsidR="006C3960">
        <w:rPr>
          <w:rFonts w:cs="Arial"/>
          <w:szCs w:val="24"/>
        </w:rPr>
        <w:t>had</w:t>
      </w:r>
      <w:r w:rsidR="006C3960" w:rsidRPr="00424BD3">
        <w:rPr>
          <w:rFonts w:cs="Arial"/>
          <w:szCs w:val="24"/>
        </w:rPr>
        <w:t xml:space="preserve"> </w:t>
      </w:r>
      <w:r w:rsidRPr="00424BD3">
        <w:rPr>
          <w:rFonts w:cs="Arial"/>
          <w:szCs w:val="24"/>
        </w:rPr>
        <w:t>travelled. I went to visit her and nearly fainted."</w:t>
      </w:r>
    </w:p>
    <w:p w14:paraId="083E94BC" w14:textId="77777777" w:rsidR="004906B5" w:rsidRPr="00424BD3" w:rsidRDefault="004906B5" w:rsidP="000126EE">
      <w:pPr>
        <w:spacing w:after="0" w:line="480" w:lineRule="auto"/>
        <w:ind w:firstLine="720"/>
        <w:rPr>
          <w:rFonts w:cs="Arial"/>
          <w:szCs w:val="24"/>
        </w:rPr>
      </w:pPr>
      <w:r w:rsidRPr="00424BD3">
        <w:rPr>
          <w:rFonts w:cs="Arial"/>
          <w:szCs w:val="24"/>
        </w:rPr>
        <w:t>When discussing her sister’s death, Sharon said:</w:t>
      </w:r>
    </w:p>
    <w:p w14:paraId="63DCAFC2" w14:textId="2B84F4C9" w:rsidR="004906B5" w:rsidRPr="00424BD3" w:rsidRDefault="004906B5" w:rsidP="000126EE">
      <w:pPr>
        <w:spacing w:after="0" w:line="480" w:lineRule="auto"/>
        <w:ind w:left="720"/>
        <w:rPr>
          <w:rFonts w:cs="Arial"/>
          <w:szCs w:val="24"/>
        </w:rPr>
      </w:pPr>
      <w:r w:rsidRPr="00424BD3">
        <w:rPr>
          <w:rFonts w:cs="Arial"/>
          <w:szCs w:val="24"/>
        </w:rPr>
        <w:t>“Oh, I had a sister a couple years [sic] younger than I, when I was [age] and she was [age in relation to school year]. She died from [pause]…some kind of [illness]. She had two or three different things going on, and she had sixteen operations and…</w:t>
      </w:r>
      <w:r w:rsidR="006C3960">
        <w:rPr>
          <w:rFonts w:cs="Arial"/>
          <w:szCs w:val="24"/>
        </w:rPr>
        <w:t>t</w:t>
      </w:r>
      <w:r w:rsidRPr="00424BD3">
        <w:rPr>
          <w:rFonts w:cs="Arial"/>
          <w:szCs w:val="24"/>
        </w:rPr>
        <w:t xml:space="preserve">hey had to take her all the way to [name of area] for the children's hospital. </w:t>
      </w:r>
      <w:r w:rsidR="006C3960">
        <w:rPr>
          <w:rFonts w:cs="Arial"/>
          <w:szCs w:val="24"/>
        </w:rPr>
        <w:t>E</w:t>
      </w:r>
      <w:r w:rsidRPr="00424BD3">
        <w:rPr>
          <w:rFonts w:cs="Arial"/>
          <w:szCs w:val="24"/>
        </w:rPr>
        <w:t>ven when I went there, they wouldn't let me see her, you had to be a</w:t>
      </w:r>
      <w:r w:rsidR="00E40E7E">
        <w:rPr>
          <w:rFonts w:cs="Arial"/>
          <w:szCs w:val="24"/>
        </w:rPr>
        <w:t>t</w:t>
      </w:r>
      <w:r w:rsidRPr="00424BD3">
        <w:rPr>
          <w:rFonts w:cs="Arial"/>
          <w:szCs w:val="24"/>
        </w:rPr>
        <w:t xml:space="preserve"> least sixteen to see a patient, so that was sad." </w:t>
      </w:r>
    </w:p>
    <w:p w14:paraId="300E1BAF" w14:textId="29838F95" w:rsidR="00551FB6" w:rsidRPr="00424BD3" w:rsidRDefault="007D66B5" w:rsidP="000126EE">
      <w:pPr>
        <w:spacing w:after="0" w:line="480" w:lineRule="auto"/>
        <w:ind w:firstLine="720"/>
        <w:rPr>
          <w:rFonts w:cs="Arial"/>
          <w:szCs w:val="24"/>
        </w:rPr>
      </w:pPr>
      <w:r w:rsidRPr="00424BD3">
        <w:rPr>
          <w:rFonts w:cs="Arial"/>
          <w:szCs w:val="24"/>
        </w:rPr>
        <w:t xml:space="preserve">In the interview, Sharon recalled this information about her sister almost as a second thought, prompted in her memory of it only after speaking of her mother and her mother’s illness. Her responses reflect what appear to be silences and disconnects in her responses regarding the traumatic loss of her sister and of her distress of her mother’s cancer. Sharon could not readily recall what illness her sister had and, instead, made a reference to the area of the body her sister’s illness was located, nor did she mention what the other ‘things going on’ were. Sharon, of course, was not the only woman in the study to respond to the </w:t>
      </w:r>
      <w:r w:rsidR="0018041A">
        <w:rPr>
          <w:rFonts w:cs="Arial"/>
          <w:szCs w:val="24"/>
        </w:rPr>
        <w:t>difficult</w:t>
      </w:r>
      <w:r w:rsidR="0018041A" w:rsidRPr="00424BD3">
        <w:rPr>
          <w:rFonts w:cs="Arial"/>
          <w:szCs w:val="24"/>
        </w:rPr>
        <w:t xml:space="preserve"> </w:t>
      </w:r>
      <w:r w:rsidRPr="00424BD3">
        <w:rPr>
          <w:rFonts w:cs="Arial"/>
          <w:szCs w:val="24"/>
        </w:rPr>
        <w:t>events she endured in this way</w:t>
      </w:r>
      <w:r w:rsidR="00F86704" w:rsidRPr="00424BD3">
        <w:rPr>
          <w:rFonts w:cs="Arial"/>
          <w:szCs w:val="24"/>
        </w:rPr>
        <w:t>,</w:t>
      </w:r>
      <w:r w:rsidR="00551FB6" w:rsidRPr="00424BD3">
        <w:rPr>
          <w:rFonts w:cs="Arial"/>
          <w:szCs w:val="24"/>
        </w:rPr>
        <w:t xml:space="preserve"> but </w:t>
      </w:r>
      <w:r w:rsidR="008B3D29" w:rsidRPr="00424BD3">
        <w:rPr>
          <w:rFonts w:cs="Arial"/>
          <w:szCs w:val="24"/>
        </w:rPr>
        <w:t>she provided conflicting statements more than once when speaking of</w:t>
      </w:r>
      <w:r w:rsidR="005248CD" w:rsidRPr="00424BD3">
        <w:rPr>
          <w:rFonts w:cs="Arial"/>
          <w:szCs w:val="24"/>
        </w:rPr>
        <w:t xml:space="preserve"> </w:t>
      </w:r>
      <w:r w:rsidR="00270E35">
        <w:rPr>
          <w:rFonts w:cs="Arial"/>
          <w:szCs w:val="24"/>
        </w:rPr>
        <w:t>difficult</w:t>
      </w:r>
      <w:r w:rsidR="00270E35" w:rsidRPr="00424BD3">
        <w:rPr>
          <w:rFonts w:cs="Arial"/>
          <w:szCs w:val="24"/>
        </w:rPr>
        <w:t xml:space="preserve"> </w:t>
      </w:r>
      <w:r w:rsidR="005248CD" w:rsidRPr="00424BD3">
        <w:rPr>
          <w:rFonts w:cs="Arial"/>
          <w:szCs w:val="24"/>
        </w:rPr>
        <w:t xml:space="preserve">events. </w:t>
      </w:r>
    </w:p>
    <w:p w14:paraId="2E892F86" w14:textId="64A7188F" w:rsidR="008844E4" w:rsidRPr="00424BD3" w:rsidRDefault="008844E4" w:rsidP="000126EE">
      <w:pPr>
        <w:pStyle w:val="Heading2"/>
        <w:spacing w:before="0" w:line="480" w:lineRule="auto"/>
        <w:jc w:val="center"/>
        <w:rPr>
          <w:rFonts w:ascii="Arial" w:hAnsi="Arial" w:cs="Arial"/>
          <w:b/>
          <w:bCs/>
          <w:color w:val="auto"/>
          <w:sz w:val="24"/>
          <w:szCs w:val="24"/>
        </w:rPr>
      </w:pPr>
      <w:bookmarkStart w:id="71" w:name="_Toc118232337"/>
      <w:r w:rsidRPr="00424BD3">
        <w:rPr>
          <w:rFonts w:ascii="Arial" w:hAnsi="Arial" w:cs="Arial"/>
          <w:b/>
          <w:bCs/>
          <w:color w:val="auto"/>
          <w:sz w:val="24"/>
          <w:szCs w:val="24"/>
        </w:rPr>
        <w:lastRenderedPageBreak/>
        <w:t>Influencers</w:t>
      </w:r>
      <w:bookmarkEnd w:id="71"/>
    </w:p>
    <w:p w14:paraId="3217E4AB" w14:textId="0D065CE1" w:rsidR="00F84EC3" w:rsidRPr="00424BD3" w:rsidRDefault="008844E4" w:rsidP="000126EE">
      <w:pPr>
        <w:spacing w:after="0" w:line="480" w:lineRule="auto"/>
        <w:ind w:firstLine="720"/>
        <w:rPr>
          <w:rFonts w:cs="Arial"/>
          <w:szCs w:val="24"/>
        </w:rPr>
      </w:pPr>
      <w:r w:rsidRPr="00424BD3">
        <w:rPr>
          <w:rFonts w:cs="Arial"/>
          <w:szCs w:val="24"/>
        </w:rPr>
        <w:t xml:space="preserve">Most of the women named their influencers as the people that provided them good memories in childhood (noted above). </w:t>
      </w:r>
      <w:r w:rsidR="00F84EC3" w:rsidRPr="00424BD3">
        <w:rPr>
          <w:rFonts w:cs="Arial"/>
          <w:szCs w:val="24"/>
        </w:rPr>
        <w:t>Barbara, who experienced extreme parental abuse and neglect, cited her caseworker / social worker, and the philanthropist who was her college scholarship provider as the people who most influenced her:</w:t>
      </w:r>
    </w:p>
    <w:p w14:paraId="59AC5201" w14:textId="5D033CD6" w:rsidR="00F84EC3" w:rsidRPr="00424BD3" w:rsidRDefault="00F84EC3" w:rsidP="000126EE">
      <w:pPr>
        <w:spacing w:after="0" w:line="480" w:lineRule="auto"/>
        <w:ind w:left="720"/>
        <w:rPr>
          <w:rFonts w:cs="Arial"/>
          <w:szCs w:val="24"/>
        </w:rPr>
      </w:pPr>
      <w:r w:rsidRPr="00424BD3">
        <w:rPr>
          <w:rFonts w:cs="Arial"/>
          <w:szCs w:val="24"/>
        </w:rPr>
        <w:t>“I had a really…fantastic caseworker… she was very helpful and such a positive person and kind and everything, so as a matter of fact, when I went…to college…I got another degree in social work just because of that.”</w:t>
      </w:r>
    </w:p>
    <w:p w14:paraId="5FF0E2F2" w14:textId="5501725D" w:rsidR="008844E4" w:rsidRPr="00424BD3" w:rsidRDefault="008844E4" w:rsidP="000126EE">
      <w:pPr>
        <w:spacing w:after="0" w:line="480" w:lineRule="auto"/>
        <w:ind w:firstLine="720"/>
        <w:rPr>
          <w:rFonts w:cs="Arial"/>
          <w:szCs w:val="24"/>
        </w:rPr>
      </w:pPr>
      <w:r w:rsidRPr="00424BD3">
        <w:rPr>
          <w:rFonts w:cs="Arial"/>
          <w:szCs w:val="24"/>
        </w:rPr>
        <w:t>This was interesting because</w:t>
      </w:r>
      <w:r w:rsidR="007C5DED">
        <w:rPr>
          <w:rFonts w:cs="Arial"/>
          <w:szCs w:val="24"/>
        </w:rPr>
        <w:t xml:space="preserve"> </w:t>
      </w:r>
      <w:r w:rsidR="00837974">
        <w:rPr>
          <w:rFonts w:cs="Arial"/>
          <w:szCs w:val="24"/>
        </w:rPr>
        <w:t>it speaks to Barbara’s efforts and willingness</w:t>
      </w:r>
      <w:r w:rsidRPr="00424BD3">
        <w:rPr>
          <w:rFonts w:cs="Arial"/>
          <w:szCs w:val="24"/>
        </w:rPr>
        <w:t xml:space="preserve"> to find those people who played a part in building a sense of social cohesion for her, </w:t>
      </w:r>
      <w:r w:rsidR="00837974">
        <w:rPr>
          <w:rFonts w:cs="Arial"/>
          <w:szCs w:val="24"/>
        </w:rPr>
        <w:t>given difficult circumstances</w:t>
      </w:r>
      <w:r w:rsidRPr="00424BD3">
        <w:rPr>
          <w:rFonts w:cs="Arial"/>
          <w:szCs w:val="24"/>
        </w:rPr>
        <w:t xml:space="preserve">. As </w:t>
      </w:r>
      <w:r w:rsidR="000C4EE7" w:rsidRPr="00424BD3">
        <w:rPr>
          <w:rFonts w:cs="Arial"/>
          <w:szCs w:val="24"/>
        </w:rPr>
        <w:t>is well documented</w:t>
      </w:r>
      <w:r w:rsidRPr="00424BD3">
        <w:rPr>
          <w:rFonts w:cs="Arial"/>
          <w:szCs w:val="24"/>
        </w:rPr>
        <w:t xml:space="preserve">, social cohesion can have a mitigating effect on health inequities </w:t>
      </w:r>
      <w:r w:rsidRPr="00424BD3">
        <w:rPr>
          <w:rFonts w:cs="Arial"/>
          <w:szCs w:val="24"/>
        </w:rPr>
        <w:fldChar w:fldCharType="begin"/>
      </w:r>
      <w:r w:rsidR="00990F3A">
        <w:rPr>
          <w:rFonts w:cs="Arial"/>
          <w:szCs w:val="24"/>
        </w:rPr>
        <w:instrText xml:space="preserve"> ADDIN ZOTERO_ITEM CSL_CITATION {"citationID":"wFVDjpC5","properties":{"formattedCitation":"(G\\uc0\\u243{}mez et al., 2021; Martin et al., 2021; Zhang et al., 2019)","plainCitation":"(Gómez et al., 2021; Martin et al., 2021; Zhang et al., 2019)","noteIndex":0},"citationItems":[{"id":1098,"uris":["http://zotero.org/users/4946941/items/R3S3HG2L"],"itemData":{"id":1098,"type":"article-journal","abstract":"Supplemental Digital Content is Available in the Text., The evolution of Healthy People reflects growing awareness of health inequities over the life course. Each decade, the initiative has gained understanding of how the nation can achieve health and well-being. To inform Healthy People 2030's visionary goal of achieving health equity in the coming decade, the Secretary's Advisory Committee on National Health Promotion and Disease Prevention Objectives for 2030 (Secretary's Advisory Committee) provided the US Department of Health and Human Services with guidance on key terms, frameworks, and measurement for health equity. Conditions in the environments in which people are born, live, learn, work, play, worship, and age influence health and well-being outcomes, functioning, and quality-of-life outcomes and risks and are mostly responsible for health inequities. No single individual, organization, community, or sector has sole ownership, accountability, or capacity to sustain the health and well-being of an entire population. The COVID-19 pandemic in the United States highlights underlying inequities and disparities in health and health care across segments of the population. Contributing factors that were known prior to the pandemic have led to major discrepancies in rates of infection and death. To reduce health disparities and advance health equity, systems approaches—designed to shift interconnected aspects of public health problems—are needed.","container-title":"Journal of Public Health Management and Practice","DOI":"10.1097/PHH.0000000000001297","ISSN":"1078-4659","issue":"6","journalAbbreviation":"J Public Health Manag Pract","note":"PMID: 33729197\nPMCID: PMC8478299","page":"S249-S257","source":"PubMed Central","title":"Addressing Health Equity and Social Determinants of Health Through Healthy People 2030","volume":"27","author":[{"family":"Gómez","given":"Cynthia A."},{"family":"Kleinman","given":"Dushanka V."},{"family":"Pronk","given":"Nico"},{"family":"Wrenn Gordon","given":"Glenda L."},{"family":"Ochiai","given":"Emmeline"},{"family":"Blakey","given":"Carter"},{"family":"Johnson","given":"Ayanna"},{"family":"Brewer","given":"Karen H."}],"issued":{"date-parts":[["2021",11]]}}},{"id":1101,"uris":["http://zotero.org/users/4946941/items/YT9QDPLW"],"itemData":{"id":1101,"type":"article-journal","abstract":"Living in adverse neighborhood environments has been linked to risk of aging-related diseases and mortality; however, the biological mechanisms explaining this observation remain poorly understood. DNA methylation (DNAm), a proposed mechanism and biomarker of biological aging responsive to environmental stressors, offers promising insight into potential molecular pathways. We examined associations between three neighborhood social environment measures (poverty, quality, and social cohesion) and three epigenetic clocks (Horvath, Hannum, and PhenoAge) using data from the Detroit Neighborhood Health Study (n=158). Using linear regression models, we evaluated associations in the total sample and stratified by sex and social cohesion. Neighborhood quality was associated with accelerated DNAm aging for Horvath age acceleration (β = 1.8; 95% CI: 0.4, 3.1), Hannum age acceleration (β = 1.7; 95% CI: 0.4, 3.0), and PhenoAge acceleration (β = 2.1; 95% CI: 0.4, 3.8). In models stratified on social cohesion, associations of neighborhood poverty and quality with accelerated DNAm aging remained elevated for residents living in neighborhoods with lower social cohesion, but were null for those living in neighborhoods with higher social cohesion. Our study suggests that living in adverse neighborhood environments can speed up epigenetic aging, while positive neighborhood attributes may buffer effects.","container-title":"Aging (Albany NY)","DOI":"10.18632/aging.202814","ISSN":"1945-4589","issue":"6","journalAbbreviation":"Aging (Albany NY)","note":"PMID: 33714950\nPMCID: PMC8034890","page":"7883-7899","source":"PubMed Central","title":"Neighborhood environment, social cohesion, and epigenetic aging","volume":"13","author":[{"family":"Martin","given":"Chantel L."},{"family":"Ward-Caviness","given":"Cavin K."},{"family":"Dhingra","given":"Radhika"},{"family":"Zikry","given":"Tarek M."},{"family":"Galea","given":"Sandro"},{"family":"Wildman","given":"Derek E."},{"family":"Koenen","given":"Karestan C."},{"family":"Uddin","given":"Monica"},{"family":"Aiello","given":"Allison E"}],"issued":{"date-parts":[["2021",3,14]]}}},{"id":1096,"uris":["http://zotero.org/users/4946941/items/T57BZMV4"],"itemData":{"id":1096,"type":"article-journal","container-title":"Frontiers in Public Health","ISSN":"2296-2565","source":"Frontiers","title":"Socioeconomic Inequalities in Older Adults' Health: The Roles of Neighborhood and Individual-Level Psychosocial and Behavioral Resources","title-short":"Socioeconomic Inequalities in Older Adults' Health","URL":"https://www.frontiersin.org/articles/10.3389/fpubh.2019.00318","volume":"7","author":[{"family":"Zhang","given":"Chun-Qing"},{"family":"Chung","given":"Pak-Kwong"},{"family":"Zhang","given":"Ru"},{"family":"Schüz","given":"Benjamin"}],"accessed":{"date-parts":[["2022",7,16]]},"issued":{"date-parts":[["2019"]]}}}],"schema":"https://github.com/citation-style-language/schema/raw/master/csl-citation.json"} </w:instrText>
      </w:r>
      <w:r w:rsidRPr="00424BD3">
        <w:rPr>
          <w:rFonts w:cs="Arial"/>
          <w:szCs w:val="24"/>
        </w:rPr>
        <w:fldChar w:fldCharType="separate"/>
      </w:r>
      <w:r w:rsidR="00376BA7" w:rsidRPr="00424BD3">
        <w:rPr>
          <w:rFonts w:cs="Arial"/>
          <w:szCs w:val="24"/>
        </w:rPr>
        <w:t>(Gómez et al., 2021; Martin et al., 2021; Zhang et al., 2019)</w:t>
      </w:r>
      <w:r w:rsidRPr="00424BD3">
        <w:rPr>
          <w:rFonts w:cs="Arial"/>
          <w:szCs w:val="24"/>
        </w:rPr>
        <w:fldChar w:fldCharType="end"/>
      </w:r>
      <w:r w:rsidRPr="00424BD3">
        <w:rPr>
          <w:rFonts w:cs="Arial"/>
          <w:szCs w:val="24"/>
        </w:rPr>
        <w:t xml:space="preserve">. Although Mary and Cynthia didn’t speak about good experiences with siblings specifically, both stated that they were positively influenced by their brothers. Likewise, for Margaret, it was her best friend, though she didn’t specifically reference her in any of her childhood experiences, and for Kathryn it was her school peers and one classmate in particular. Anita stated that church was a major influencer in her life. </w:t>
      </w:r>
    </w:p>
    <w:p w14:paraId="373F51C1" w14:textId="44C7B710" w:rsidR="008844E4" w:rsidRPr="00424BD3" w:rsidRDefault="008844E4" w:rsidP="000126EE">
      <w:pPr>
        <w:pStyle w:val="Heading2"/>
        <w:spacing w:before="0" w:line="480" w:lineRule="auto"/>
        <w:jc w:val="center"/>
        <w:rPr>
          <w:rFonts w:ascii="Arial" w:hAnsi="Arial" w:cs="Arial"/>
          <w:b/>
          <w:bCs/>
          <w:color w:val="auto"/>
          <w:sz w:val="24"/>
          <w:szCs w:val="24"/>
        </w:rPr>
      </w:pPr>
      <w:bookmarkStart w:id="72" w:name="_Toc118232338"/>
      <w:r w:rsidRPr="00424BD3">
        <w:rPr>
          <w:rFonts w:ascii="Arial" w:hAnsi="Arial" w:cs="Arial"/>
          <w:b/>
          <w:bCs/>
          <w:color w:val="auto"/>
          <w:sz w:val="24"/>
          <w:szCs w:val="24"/>
        </w:rPr>
        <w:t xml:space="preserve">Participant Genealogies of </w:t>
      </w:r>
      <w:r w:rsidR="00EF5507" w:rsidRPr="00424BD3">
        <w:rPr>
          <w:rFonts w:ascii="Arial" w:hAnsi="Arial" w:cs="Arial"/>
          <w:b/>
          <w:bCs/>
          <w:color w:val="auto"/>
          <w:sz w:val="24"/>
          <w:szCs w:val="24"/>
        </w:rPr>
        <w:t xml:space="preserve">Self and Familial </w:t>
      </w:r>
      <w:r w:rsidRPr="00424BD3">
        <w:rPr>
          <w:rFonts w:ascii="Arial" w:hAnsi="Arial" w:cs="Arial"/>
          <w:b/>
          <w:bCs/>
          <w:color w:val="auto"/>
          <w:sz w:val="24"/>
          <w:szCs w:val="24"/>
        </w:rPr>
        <w:t xml:space="preserve">Ill Health and </w:t>
      </w:r>
      <w:r w:rsidR="00EF5507" w:rsidRPr="00424BD3">
        <w:rPr>
          <w:rFonts w:ascii="Arial" w:hAnsi="Arial" w:cs="Arial"/>
          <w:b/>
          <w:bCs/>
          <w:color w:val="auto"/>
          <w:sz w:val="24"/>
          <w:szCs w:val="24"/>
        </w:rPr>
        <w:t>Familial Death</w:t>
      </w:r>
      <w:bookmarkEnd w:id="72"/>
    </w:p>
    <w:p w14:paraId="207C65ED" w14:textId="2CBF581F" w:rsidR="00194BD0" w:rsidRPr="00424BD3" w:rsidRDefault="008844E4" w:rsidP="000126EE">
      <w:pPr>
        <w:spacing w:after="0" w:line="480" w:lineRule="auto"/>
        <w:ind w:firstLine="720"/>
        <w:rPr>
          <w:rFonts w:cs="Arial"/>
          <w:szCs w:val="24"/>
        </w:rPr>
      </w:pPr>
      <w:r w:rsidRPr="00424BD3">
        <w:rPr>
          <w:rFonts w:cs="Arial"/>
          <w:szCs w:val="24"/>
        </w:rPr>
        <w:t xml:space="preserve">To ask a person to recall, describe and expound upon their own ill health and the illnesses and deaths of family members is a profound experience. It is, perhaps, the most intimate part of examining the role of family systems in a person’s health </w:t>
      </w:r>
      <w:r w:rsidRPr="00424BD3">
        <w:rPr>
          <w:rFonts w:cs="Arial"/>
          <w:szCs w:val="24"/>
        </w:rPr>
        <w:fldChar w:fldCharType="begin"/>
      </w:r>
      <w:r w:rsidR="00990F3A">
        <w:rPr>
          <w:rFonts w:cs="Arial"/>
          <w:szCs w:val="24"/>
        </w:rPr>
        <w:instrText xml:space="preserve"> ADDIN ZOTERO_ITEM CSL_CITATION {"citationID":"M6jUtw8v","properties":{"formattedCitation":"(Broderick, 1993)","plainCitation":"(Broderick, 1993)","noteIndex":0},"citationItems":[{"id":959,"uris":["http://zotero.org/users/4946941/items/KSP8BGE5"],"itemData":{"id":959,"type":"book","abstract":"Systems theory is the basic theoretical model underlying most contemporary family therapy. In this accessible introduction, the author traces how systems theory gave rise to family systems theory, outlines the basic propositions of family systems and links it both to other family theory literature and to clinical practice.  Among the topics covered are relational space, family boundaries, family stratification and child socialization. Family meanings and such shared realities as family folklore, stories, myths and memorabilia are discussed. Family rituals are also explored.","ISBN":"978-0-8039-3778-9","language":"en","note":"Google-Books-ID: EZpSZWkMw0wC","number-of-pages":"288","publisher":"SAGE","source":"Google Books","title":"Understanding Family Process: Basics of Family Systems Theory","title-short":"Understanding Family Process","author":[{"family":"Broderick","given":"Carlfred B."}],"issued":{"date-parts":[["1993",3,9]]}}}],"schema":"https://github.com/citation-style-language/schema/raw/master/csl-citation.json"} </w:instrText>
      </w:r>
      <w:r w:rsidRPr="00424BD3">
        <w:rPr>
          <w:rFonts w:cs="Arial"/>
          <w:szCs w:val="24"/>
        </w:rPr>
        <w:fldChar w:fldCharType="separate"/>
      </w:r>
      <w:r w:rsidRPr="00424BD3">
        <w:rPr>
          <w:rFonts w:cs="Arial"/>
        </w:rPr>
        <w:t>(Broderick, 1993)</w:t>
      </w:r>
      <w:r w:rsidRPr="00424BD3">
        <w:rPr>
          <w:rFonts w:cs="Arial"/>
          <w:szCs w:val="24"/>
        </w:rPr>
        <w:fldChar w:fldCharType="end"/>
      </w:r>
      <w:r w:rsidRPr="00424BD3">
        <w:rPr>
          <w:rFonts w:cs="Arial"/>
          <w:szCs w:val="24"/>
        </w:rPr>
        <w:t xml:space="preserve">. </w:t>
      </w:r>
    </w:p>
    <w:p w14:paraId="3A115878" w14:textId="00A7EE49" w:rsidR="008844E4" w:rsidRPr="00424BD3" w:rsidRDefault="008D5B9F" w:rsidP="000126EE">
      <w:pPr>
        <w:spacing w:after="0" w:line="480" w:lineRule="auto"/>
        <w:ind w:firstLine="720"/>
        <w:rPr>
          <w:rFonts w:cs="Arial"/>
          <w:szCs w:val="24"/>
        </w:rPr>
      </w:pPr>
      <w:r w:rsidRPr="00424BD3">
        <w:rPr>
          <w:rFonts w:cs="Arial"/>
          <w:szCs w:val="24"/>
        </w:rPr>
        <w:lastRenderedPageBreak/>
        <w:t>At the beginning of this section of the interview, t</w:t>
      </w:r>
      <w:r w:rsidR="00F9044D" w:rsidRPr="00424BD3">
        <w:rPr>
          <w:rFonts w:cs="Arial"/>
          <w:szCs w:val="24"/>
        </w:rPr>
        <w:t>he participants were</w:t>
      </w:r>
      <w:r w:rsidR="008844E4" w:rsidRPr="00424BD3">
        <w:rPr>
          <w:rFonts w:cs="Arial"/>
          <w:szCs w:val="24"/>
        </w:rPr>
        <w:t xml:space="preserve"> warn</w:t>
      </w:r>
      <w:r w:rsidRPr="00424BD3">
        <w:rPr>
          <w:rFonts w:cs="Arial"/>
          <w:szCs w:val="24"/>
        </w:rPr>
        <w:t xml:space="preserve">ed </w:t>
      </w:r>
      <w:r w:rsidR="008844E4" w:rsidRPr="00424BD3">
        <w:rPr>
          <w:rFonts w:cs="Arial"/>
          <w:szCs w:val="24"/>
        </w:rPr>
        <w:t xml:space="preserve">that this was ‘one of the most difficult parts of the interview’ and reminded </w:t>
      </w:r>
      <w:r w:rsidR="006D5928">
        <w:rPr>
          <w:rFonts w:cs="Arial"/>
          <w:szCs w:val="24"/>
        </w:rPr>
        <w:t>that they</w:t>
      </w:r>
      <w:r w:rsidR="006D5928" w:rsidRPr="00424BD3">
        <w:rPr>
          <w:rFonts w:cs="Arial"/>
          <w:szCs w:val="24"/>
        </w:rPr>
        <w:t xml:space="preserve"> </w:t>
      </w:r>
      <w:r w:rsidR="00CD72BE" w:rsidRPr="00424BD3">
        <w:rPr>
          <w:rFonts w:cs="Arial"/>
          <w:szCs w:val="24"/>
        </w:rPr>
        <w:t>could withdraw from the interview if and whenever they wanted and that they only had to answer questions they felt comfortable answering.</w:t>
      </w:r>
      <w:r w:rsidR="008844E4" w:rsidRPr="00424BD3">
        <w:rPr>
          <w:rFonts w:cs="Arial"/>
          <w:szCs w:val="24"/>
        </w:rPr>
        <w:t xml:space="preserve"> None of them did. Most were stoic, some were extremely honest about their bitterness and disappointment, some were grateful for their faith. Looking at their experiences of </w:t>
      </w:r>
      <w:r w:rsidR="00BC7063">
        <w:rPr>
          <w:rFonts w:cs="Arial"/>
          <w:szCs w:val="24"/>
        </w:rPr>
        <w:t xml:space="preserve">self and familial </w:t>
      </w:r>
      <w:r w:rsidR="008844E4" w:rsidRPr="00424BD3">
        <w:rPr>
          <w:rFonts w:cs="Arial"/>
          <w:szCs w:val="24"/>
        </w:rPr>
        <w:t>illness, death</w:t>
      </w:r>
      <w:r w:rsidR="00697F2A">
        <w:rPr>
          <w:rFonts w:cs="Arial"/>
          <w:szCs w:val="24"/>
        </w:rPr>
        <w:t xml:space="preserve">, </w:t>
      </w:r>
      <w:r w:rsidR="008844E4" w:rsidRPr="00424BD3">
        <w:rPr>
          <w:rFonts w:cs="Arial"/>
          <w:szCs w:val="24"/>
        </w:rPr>
        <w:t xml:space="preserve">their perceived causes of death, and what they had to say about them, provides a researcher </w:t>
      </w:r>
      <w:r w:rsidR="00D82219">
        <w:rPr>
          <w:rFonts w:cs="Arial"/>
          <w:szCs w:val="24"/>
        </w:rPr>
        <w:t xml:space="preserve">the fundamental context they </w:t>
      </w:r>
      <w:r w:rsidR="008844E4" w:rsidRPr="00424BD3">
        <w:rPr>
          <w:rFonts w:cs="Arial"/>
          <w:szCs w:val="24"/>
        </w:rPr>
        <w:t xml:space="preserve">need in which to understand why these older women perceive health inequities </w:t>
      </w:r>
      <w:r w:rsidR="00BC7063" w:rsidRPr="00424BD3">
        <w:rPr>
          <w:rFonts w:cs="Arial"/>
          <w:szCs w:val="24"/>
        </w:rPr>
        <w:t>the</w:t>
      </w:r>
      <w:r w:rsidR="008844E4" w:rsidRPr="00424BD3">
        <w:rPr>
          <w:rFonts w:cs="Arial"/>
          <w:szCs w:val="24"/>
        </w:rPr>
        <w:t xml:space="preserve"> way they do, and why they make the suggestions they make. This has implications for policy and for research on older women’s health inequities across the inter-disciplines. </w:t>
      </w:r>
    </w:p>
    <w:p w14:paraId="467BD0BB" w14:textId="20D810C5" w:rsidR="008844E4" w:rsidRPr="00424BD3" w:rsidRDefault="008844E4" w:rsidP="000126EE">
      <w:pPr>
        <w:pStyle w:val="Heading3"/>
        <w:spacing w:before="0" w:line="480" w:lineRule="auto"/>
        <w:rPr>
          <w:rFonts w:ascii="Arial" w:hAnsi="Arial" w:cs="Arial"/>
          <w:b/>
          <w:bCs/>
          <w:i/>
          <w:iCs/>
          <w:color w:val="auto"/>
        </w:rPr>
      </w:pPr>
      <w:bookmarkStart w:id="73" w:name="_Toc118232339"/>
      <w:r w:rsidRPr="00424BD3">
        <w:rPr>
          <w:rFonts w:ascii="Arial" w:hAnsi="Arial" w:cs="Arial"/>
          <w:b/>
          <w:bCs/>
          <w:i/>
          <w:iCs/>
          <w:color w:val="auto"/>
        </w:rPr>
        <w:t xml:space="preserve">Childhood </w:t>
      </w:r>
      <w:r w:rsidR="008A3C65">
        <w:rPr>
          <w:rFonts w:ascii="Arial" w:hAnsi="Arial" w:cs="Arial"/>
          <w:b/>
          <w:bCs/>
          <w:i/>
          <w:iCs/>
          <w:color w:val="auto"/>
        </w:rPr>
        <w:t>H</w:t>
      </w:r>
      <w:r w:rsidRPr="00424BD3">
        <w:rPr>
          <w:rFonts w:ascii="Arial" w:hAnsi="Arial" w:cs="Arial"/>
          <w:b/>
          <w:bCs/>
          <w:i/>
          <w:iCs/>
          <w:color w:val="auto"/>
        </w:rPr>
        <w:t>ealth</w:t>
      </w:r>
      <w:bookmarkEnd w:id="73"/>
    </w:p>
    <w:p w14:paraId="60F46942" w14:textId="146A6252" w:rsidR="00EE14BA" w:rsidRDefault="000A4660" w:rsidP="000126EE">
      <w:pPr>
        <w:spacing w:after="0" w:line="480" w:lineRule="auto"/>
        <w:ind w:firstLine="720"/>
        <w:rPr>
          <w:rFonts w:cs="Arial"/>
          <w:szCs w:val="24"/>
        </w:rPr>
      </w:pPr>
      <w:r w:rsidRPr="00424BD3">
        <w:rPr>
          <w:rFonts w:cs="Arial"/>
          <w:szCs w:val="24"/>
        </w:rPr>
        <w:t>T</w:t>
      </w:r>
      <w:r w:rsidR="008844E4" w:rsidRPr="00424BD3">
        <w:rPr>
          <w:rFonts w:cs="Arial"/>
          <w:szCs w:val="24"/>
        </w:rPr>
        <w:t xml:space="preserve">he women </w:t>
      </w:r>
      <w:r w:rsidRPr="00424BD3">
        <w:rPr>
          <w:rFonts w:cs="Arial"/>
          <w:szCs w:val="24"/>
        </w:rPr>
        <w:t xml:space="preserve">were asked </w:t>
      </w:r>
      <w:r w:rsidR="008844E4" w:rsidRPr="00424BD3">
        <w:rPr>
          <w:rFonts w:cs="Arial"/>
          <w:szCs w:val="24"/>
        </w:rPr>
        <w:t xml:space="preserve">about their childhood health, health conditions, and their understanding of the causes of any illnesses or accidents they may have had, some of the women spoke at length about the illnesses and injuries they suffered </w:t>
      </w:r>
      <w:r w:rsidR="001C2475">
        <w:rPr>
          <w:rFonts w:cs="Arial"/>
          <w:szCs w:val="24"/>
        </w:rPr>
        <w:t>during</w:t>
      </w:r>
      <w:r w:rsidR="008844E4" w:rsidRPr="00424BD3">
        <w:rPr>
          <w:rFonts w:cs="Arial"/>
          <w:szCs w:val="24"/>
        </w:rPr>
        <w:t xml:space="preserve"> childhood</w:t>
      </w:r>
      <w:r w:rsidR="00010B13">
        <w:rPr>
          <w:rFonts w:cs="Arial"/>
          <w:szCs w:val="24"/>
        </w:rPr>
        <w:t>,</w:t>
      </w:r>
      <w:r w:rsidR="008844E4" w:rsidRPr="00424BD3">
        <w:rPr>
          <w:rFonts w:cs="Arial"/>
          <w:szCs w:val="24"/>
        </w:rPr>
        <w:t xml:space="preserve"> and some did not refer to any childhood illnesses or injuries. Mary had scarlet fever as a child, causing complications including ear infections, temporary deafness and breathing problems. She also suffered from debilitating anxiety and digestive disorders, which she believes were caused by the parental abuse she endured and the resultant home environment in which she was raised. Likewise, Peggy identified parental abuse as the cause of her </w:t>
      </w:r>
      <w:r w:rsidR="003B4A4C" w:rsidRPr="00424BD3">
        <w:rPr>
          <w:rFonts w:cs="Arial"/>
          <w:szCs w:val="24"/>
        </w:rPr>
        <w:t xml:space="preserve">broken bones and cuts and </w:t>
      </w:r>
      <w:r w:rsidR="001A33E4" w:rsidRPr="00424BD3">
        <w:rPr>
          <w:rFonts w:cs="Arial"/>
          <w:szCs w:val="24"/>
        </w:rPr>
        <w:t>believe</w:t>
      </w:r>
      <w:r w:rsidR="00094EF7" w:rsidRPr="00424BD3">
        <w:rPr>
          <w:rFonts w:cs="Arial"/>
          <w:szCs w:val="24"/>
        </w:rPr>
        <w:t xml:space="preserve">s </w:t>
      </w:r>
      <w:r w:rsidR="001A33E4" w:rsidRPr="00424BD3">
        <w:rPr>
          <w:rFonts w:cs="Arial"/>
          <w:szCs w:val="24"/>
        </w:rPr>
        <w:t xml:space="preserve">their abuse is the cause of her </w:t>
      </w:r>
      <w:r w:rsidR="008844E4" w:rsidRPr="00424BD3">
        <w:rPr>
          <w:rFonts w:cs="Arial"/>
          <w:szCs w:val="24"/>
        </w:rPr>
        <w:t xml:space="preserve">stomach ulcers </w:t>
      </w:r>
      <w:r w:rsidR="00100295" w:rsidRPr="00424BD3">
        <w:rPr>
          <w:rFonts w:cs="Arial"/>
          <w:szCs w:val="24"/>
        </w:rPr>
        <w:t xml:space="preserve">which began </w:t>
      </w:r>
      <w:r w:rsidR="008844E4" w:rsidRPr="00424BD3">
        <w:rPr>
          <w:rFonts w:cs="Arial"/>
          <w:szCs w:val="24"/>
        </w:rPr>
        <w:t xml:space="preserve">at the age of twelve. </w:t>
      </w:r>
    </w:p>
    <w:p w14:paraId="645BB10B" w14:textId="77777777" w:rsidR="00A844BF" w:rsidRPr="00424BD3" w:rsidRDefault="00A844BF" w:rsidP="000126EE">
      <w:pPr>
        <w:spacing w:after="0" w:line="480" w:lineRule="auto"/>
        <w:ind w:firstLine="720"/>
        <w:rPr>
          <w:rFonts w:cs="Arial"/>
          <w:szCs w:val="24"/>
        </w:rPr>
      </w:pPr>
    </w:p>
    <w:p w14:paraId="1AC23C1E" w14:textId="77777777" w:rsidR="004E6C6B" w:rsidRPr="00424BD3" w:rsidRDefault="004E6C6B" w:rsidP="000126EE">
      <w:pPr>
        <w:spacing w:after="0" w:line="480" w:lineRule="auto"/>
        <w:ind w:firstLine="720"/>
        <w:rPr>
          <w:rFonts w:cs="Arial"/>
          <w:szCs w:val="24"/>
        </w:rPr>
      </w:pPr>
      <w:r w:rsidRPr="00424BD3">
        <w:rPr>
          <w:rFonts w:cs="Arial"/>
          <w:szCs w:val="24"/>
        </w:rPr>
        <w:lastRenderedPageBreak/>
        <w:t>Referring to her young childhood, Peggy said:</w:t>
      </w:r>
    </w:p>
    <w:p w14:paraId="28891B26" w14:textId="7FDD2898" w:rsidR="004E6C6B" w:rsidRPr="00424BD3" w:rsidRDefault="004E6C6B" w:rsidP="000126EE">
      <w:pPr>
        <w:spacing w:after="0" w:line="480" w:lineRule="auto"/>
        <w:ind w:left="720"/>
        <w:rPr>
          <w:rFonts w:cs="Arial"/>
          <w:szCs w:val="24"/>
        </w:rPr>
      </w:pPr>
      <w:r w:rsidRPr="00424BD3">
        <w:rPr>
          <w:rFonts w:cs="Arial"/>
          <w:szCs w:val="24"/>
        </w:rPr>
        <w:t>“</w:t>
      </w:r>
      <w:r w:rsidR="006B6BAD">
        <w:rPr>
          <w:rFonts w:cs="Arial"/>
          <w:szCs w:val="24"/>
        </w:rPr>
        <w:t>I</w:t>
      </w:r>
      <w:r w:rsidRPr="00424BD3">
        <w:rPr>
          <w:rFonts w:cs="Arial"/>
          <w:szCs w:val="24"/>
        </w:rPr>
        <w:t>t was a time of uncertainty, all my life, you know, I never knew where I was going to be, where abuse was gonna come from. I had ulcers by the time I was 12, stomach ulcers</w:t>
      </w:r>
      <w:r w:rsidR="006B6BAD">
        <w:rPr>
          <w:rFonts w:cs="Arial"/>
          <w:szCs w:val="24"/>
        </w:rPr>
        <w:t>. T</w:t>
      </w:r>
      <w:r w:rsidRPr="00424BD3">
        <w:rPr>
          <w:rFonts w:cs="Arial"/>
          <w:szCs w:val="24"/>
        </w:rPr>
        <w:t>he pediatricians were beyond useless. Like sometimes I’d end up in the hospital from broken bones or things that needed to be sutured up or whatever, and they’d say, “You know, you shouldn’t get your dad upset, he’s got a temper</w:t>
      </w:r>
      <w:r w:rsidR="006B6BAD">
        <w:rPr>
          <w:rFonts w:cs="Arial"/>
          <w:szCs w:val="24"/>
        </w:rPr>
        <w:t>”</w:t>
      </w:r>
      <w:r w:rsidR="00D55300">
        <w:rPr>
          <w:rFonts w:cs="Arial"/>
          <w:szCs w:val="24"/>
        </w:rPr>
        <w:t xml:space="preserve"> </w:t>
      </w:r>
      <w:r w:rsidRPr="00424BD3">
        <w:rPr>
          <w:rFonts w:cs="Arial"/>
          <w:szCs w:val="24"/>
        </w:rPr>
        <w:t>[laughs]. I just cracked up at that ‘cause now it’s like, “yeah, right, that wouldn’t be happening” or hopefully it wouldn’t…I never felt that there was anyone that I could feel really…supported by, so I was, I was a tense kid…”</w:t>
      </w:r>
    </w:p>
    <w:p w14:paraId="4F318019" w14:textId="246968F9" w:rsidR="004E6C6B" w:rsidRPr="00424BD3" w:rsidRDefault="008844E4" w:rsidP="000126EE">
      <w:pPr>
        <w:spacing w:after="0" w:line="480" w:lineRule="auto"/>
        <w:ind w:firstLine="720"/>
        <w:rPr>
          <w:rFonts w:cs="Arial"/>
          <w:szCs w:val="24"/>
        </w:rPr>
      </w:pPr>
      <w:r w:rsidRPr="00424BD3">
        <w:rPr>
          <w:rFonts w:cs="Arial"/>
          <w:szCs w:val="24"/>
        </w:rPr>
        <w:t xml:space="preserve">Barbara discussed the hunger, malnutrition, and cavities she endured as a result of parental abuse and neglect of healthcare. She also described a leg injury due to an accident that cut her leg nearly to the bone, and the battle between her father who refused to allow </w:t>
      </w:r>
      <w:r w:rsidR="002C20A0" w:rsidRPr="00424BD3">
        <w:rPr>
          <w:rFonts w:cs="Arial"/>
          <w:szCs w:val="24"/>
        </w:rPr>
        <w:t xml:space="preserve">her to </w:t>
      </w:r>
      <w:r w:rsidRPr="00424BD3">
        <w:rPr>
          <w:rFonts w:cs="Arial"/>
          <w:szCs w:val="24"/>
        </w:rPr>
        <w:t xml:space="preserve">seek care for it, and her mother who fought to take her to the hospital. </w:t>
      </w:r>
    </w:p>
    <w:p w14:paraId="51810C8B" w14:textId="5D36749E" w:rsidR="006C404E" w:rsidRPr="00424BD3" w:rsidRDefault="006C404E" w:rsidP="000126EE">
      <w:pPr>
        <w:spacing w:after="0" w:line="480" w:lineRule="auto"/>
        <w:ind w:left="720"/>
        <w:rPr>
          <w:rFonts w:cs="Arial"/>
          <w:szCs w:val="24"/>
        </w:rPr>
      </w:pPr>
      <w:r w:rsidRPr="00424BD3">
        <w:rPr>
          <w:rFonts w:cs="Arial"/>
          <w:szCs w:val="24"/>
        </w:rPr>
        <w:t xml:space="preserve">"I don't know this, but I'm assuming my parents couldn't afford...to take us to a doctor. I can remember as a very young child going to the health department to get my </w:t>
      </w:r>
      <w:r w:rsidR="00FF3BBE" w:rsidRPr="00424BD3">
        <w:rPr>
          <w:rFonts w:cs="Arial"/>
          <w:szCs w:val="24"/>
        </w:rPr>
        <w:t>illness</w:t>
      </w:r>
      <w:r w:rsidRPr="00424BD3">
        <w:rPr>
          <w:rFonts w:cs="Arial"/>
          <w:szCs w:val="24"/>
        </w:rPr>
        <w:t xml:space="preserve"> shot</w:t>
      </w:r>
      <w:r w:rsidR="0033568A">
        <w:rPr>
          <w:rFonts w:cs="Arial"/>
          <w:szCs w:val="24"/>
        </w:rPr>
        <w:t xml:space="preserve"> [sic]</w:t>
      </w:r>
      <w:r w:rsidRPr="00424BD3">
        <w:rPr>
          <w:rFonts w:cs="Arial"/>
          <w:szCs w:val="24"/>
        </w:rPr>
        <w:t xml:space="preserve">. I don't know if everybody did that, or we just did it because we were poor. I had a really bad accident, when I was a little girl...really bad, and my dad would not allow my mother to take me to the hospital. My brother also had a pretty bad accident and </w:t>
      </w:r>
      <w:r w:rsidR="0033568A">
        <w:rPr>
          <w:rFonts w:cs="Arial"/>
          <w:szCs w:val="24"/>
        </w:rPr>
        <w:t xml:space="preserve">[my dad] </w:t>
      </w:r>
      <w:r w:rsidRPr="00424BD3">
        <w:rPr>
          <w:rFonts w:cs="Arial"/>
          <w:szCs w:val="24"/>
        </w:rPr>
        <w:t>wouldn't let hi</w:t>
      </w:r>
      <w:r w:rsidR="00586A25" w:rsidRPr="00424BD3">
        <w:rPr>
          <w:rFonts w:cs="Arial"/>
          <w:szCs w:val="24"/>
        </w:rPr>
        <w:t xml:space="preserve">m </w:t>
      </w:r>
      <w:r w:rsidRPr="00424BD3">
        <w:rPr>
          <w:rFonts w:cs="Arial"/>
          <w:szCs w:val="24"/>
        </w:rPr>
        <w:t xml:space="preserve">go to the hospital. I just don't ever remember us receiving any kind of health care, besides mercurochrome and turpentine from my mom. </w:t>
      </w:r>
      <w:r w:rsidR="0033568A">
        <w:rPr>
          <w:rFonts w:cs="Arial"/>
          <w:szCs w:val="24"/>
        </w:rPr>
        <w:t>L</w:t>
      </w:r>
      <w:r w:rsidRPr="00424BD3">
        <w:rPr>
          <w:rFonts w:cs="Arial"/>
          <w:szCs w:val="24"/>
        </w:rPr>
        <w:t>ike I said, I don't know if we couldn't afford it or…what but we just didn't...get seen by doctors and dentists."</w:t>
      </w:r>
    </w:p>
    <w:p w14:paraId="13DFC812" w14:textId="45F02FFC" w:rsidR="00A4218B" w:rsidRPr="00424BD3" w:rsidRDefault="008844E4" w:rsidP="000126EE">
      <w:pPr>
        <w:spacing w:after="0" w:line="480" w:lineRule="auto"/>
        <w:ind w:firstLine="720"/>
        <w:rPr>
          <w:rFonts w:cs="Arial"/>
          <w:szCs w:val="24"/>
        </w:rPr>
      </w:pPr>
      <w:r w:rsidRPr="00424BD3">
        <w:rPr>
          <w:rFonts w:cs="Arial"/>
          <w:szCs w:val="24"/>
        </w:rPr>
        <w:lastRenderedPageBreak/>
        <w:t xml:space="preserve">Both Anita and Carolyn also had issues with cavities, though for drastically different reasons. Carolyn stated that she inherited issues with her teeth from her mother. Anita was, as always, </w:t>
      </w:r>
      <w:r w:rsidR="00F0231B" w:rsidRPr="00424BD3">
        <w:rPr>
          <w:rFonts w:cs="Arial"/>
          <w:szCs w:val="24"/>
        </w:rPr>
        <w:t>unemotional</w:t>
      </w:r>
      <w:r w:rsidR="00EF5580" w:rsidRPr="00424BD3">
        <w:rPr>
          <w:rFonts w:cs="Arial"/>
          <w:szCs w:val="24"/>
        </w:rPr>
        <w:t xml:space="preserve"> when recalling</w:t>
      </w:r>
      <w:r w:rsidRPr="00424BD3">
        <w:rPr>
          <w:rFonts w:cs="Arial"/>
          <w:szCs w:val="24"/>
        </w:rPr>
        <w:t xml:space="preserve"> that her cavities and poor teeth issues were </w:t>
      </w:r>
      <w:r w:rsidR="00EF5580" w:rsidRPr="00424BD3">
        <w:rPr>
          <w:rFonts w:cs="Arial"/>
          <w:szCs w:val="24"/>
        </w:rPr>
        <w:t xml:space="preserve">a result of the </w:t>
      </w:r>
      <w:r w:rsidRPr="00424BD3">
        <w:rPr>
          <w:rFonts w:cs="Arial"/>
          <w:szCs w:val="24"/>
        </w:rPr>
        <w:t xml:space="preserve">racism and the segregated care that </w:t>
      </w:r>
      <w:r w:rsidR="000B0F8C" w:rsidRPr="00424BD3">
        <w:rPr>
          <w:rFonts w:cs="Arial"/>
          <w:szCs w:val="24"/>
        </w:rPr>
        <w:t>Black</w:t>
      </w:r>
      <w:r w:rsidRPr="00424BD3">
        <w:rPr>
          <w:rFonts w:cs="Arial"/>
          <w:szCs w:val="24"/>
        </w:rPr>
        <w:t xml:space="preserve"> people received while she was growing up. She also spoke at length about the poor teeth issues that were endemic to </w:t>
      </w:r>
      <w:r w:rsidR="000B0F8C" w:rsidRPr="00424BD3">
        <w:rPr>
          <w:rFonts w:cs="Arial"/>
          <w:szCs w:val="24"/>
        </w:rPr>
        <w:t>Black</w:t>
      </w:r>
      <w:r w:rsidRPr="00424BD3">
        <w:rPr>
          <w:rFonts w:cs="Arial"/>
          <w:szCs w:val="24"/>
        </w:rPr>
        <w:t xml:space="preserve"> people in her community during those days, and that how, as </w:t>
      </w:r>
      <w:r w:rsidR="003E605B">
        <w:rPr>
          <w:rFonts w:cs="Arial"/>
          <w:szCs w:val="24"/>
        </w:rPr>
        <w:t xml:space="preserve">an </w:t>
      </w:r>
      <w:r w:rsidRPr="00424BD3">
        <w:rPr>
          <w:rFonts w:cs="Arial"/>
          <w:szCs w:val="24"/>
        </w:rPr>
        <w:t xml:space="preserve">adult, the first thing she did with her wages was to get the dental work done that she needed on her teeth </w:t>
      </w:r>
      <w:r w:rsidRPr="00424BD3">
        <w:rPr>
          <w:rFonts w:cs="Arial"/>
          <w:szCs w:val="24"/>
        </w:rPr>
        <w:fldChar w:fldCharType="begin"/>
      </w:r>
      <w:r w:rsidR="00990F3A">
        <w:rPr>
          <w:rFonts w:cs="Arial"/>
          <w:szCs w:val="24"/>
        </w:rPr>
        <w:instrText xml:space="preserve"> ADDIN ZOTERO_ITEM CSL_CITATION {"citationID":"XkqXcIoo","properties":{"formattedCitation":"(P. H. Collins, 1998)","plainCitation":"(P. H. Collins, 1998)","noteIndex":0},"citationItems":[{"id":966,"uris":["http://zotero.org/users/4946941/items/AMRGL3MU"],"itemData":{"id":966,"type":"article-journal","abstract":"This article explores how recent theoretical developments in viewing race, social class, gender, and nation as dimensions of interlocking systems of oppression might suggest new directions for Black family studies. Traditional social science approaches typically treat race, class, gender, and nationality as descriptive variables attached to individuals who are then reinserted into existing theoretical models on the family. In contrast, intersectional approaches view institutionalized racism, social class relations, gender inequalities, and nationalism expressed on both sides of state power as analytical constructs that explain family organization in general, and Black family organization in particular. By exploring three such intersections, namely those of race and class, of race and gender, and of race and nation, this article examines how selected issues in Black family studies might benefit by approaching Black family studies via an intersectional lens.","container-title":"Journal of Comparative Family Studies","DOI":"10.3138/jcfs.29.1.27","ISSN":"0047-2328","issue":"1","note":"publisher: University of Toronto Press","page":"27-36","source":"utpjournals.press (Atypon)","title":"Intersections of Race, Class, Gender, and Nation: Some Implications for Black Family Studies","title-short":"Intersections of Race, Class, Gender, and Nation","volume":"29","author":[{"family":"Collins","given":"Patricia Hill"}],"issued":{"date-parts":[["1998",3]]}}}],"schema":"https://github.com/citation-style-language/schema/raw/master/csl-citation.json"} </w:instrText>
      </w:r>
      <w:r w:rsidRPr="00424BD3">
        <w:rPr>
          <w:rFonts w:cs="Arial"/>
          <w:szCs w:val="24"/>
        </w:rPr>
        <w:fldChar w:fldCharType="separate"/>
      </w:r>
      <w:r w:rsidR="001F2B17" w:rsidRPr="00424BD3">
        <w:rPr>
          <w:rFonts w:cs="Arial"/>
        </w:rPr>
        <w:t>(P. H. Collins, 1998)</w:t>
      </w:r>
      <w:r w:rsidRPr="00424BD3">
        <w:rPr>
          <w:rFonts w:cs="Arial"/>
          <w:szCs w:val="24"/>
        </w:rPr>
        <w:fldChar w:fldCharType="end"/>
      </w:r>
      <w:r w:rsidRPr="00424BD3">
        <w:rPr>
          <w:rFonts w:cs="Arial"/>
          <w:szCs w:val="24"/>
        </w:rPr>
        <w:t xml:space="preserve">. </w:t>
      </w:r>
    </w:p>
    <w:p w14:paraId="511D75B8" w14:textId="77777777" w:rsidR="00825FBE" w:rsidRPr="00424BD3" w:rsidRDefault="00825FBE" w:rsidP="000126EE">
      <w:pPr>
        <w:spacing w:after="0" w:line="480" w:lineRule="auto"/>
        <w:ind w:firstLine="720"/>
        <w:rPr>
          <w:rFonts w:cs="Arial"/>
          <w:szCs w:val="24"/>
        </w:rPr>
      </w:pPr>
      <w:r w:rsidRPr="00424BD3">
        <w:rPr>
          <w:rFonts w:cs="Arial"/>
          <w:szCs w:val="24"/>
        </w:rPr>
        <w:t>Like Sharon’s response regarding her mother’s and sister’s illnesses, Margaret’s response regarding her childhood illnesses experience seems to suggest a disconnect in her perception of her childhood health:</w:t>
      </w:r>
    </w:p>
    <w:p w14:paraId="1659E39B" w14:textId="4415926F" w:rsidR="00825FBE" w:rsidRPr="00424BD3" w:rsidRDefault="00825FBE" w:rsidP="000126EE">
      <w:pPr>
        <w:spacing w:after="0" w:line="480" w:lineRule="auto"/>
        <w:ind w:left="720"/>
        <w:rPr>
          <w:rFonts w:cs="Arial"/>
          <w:szCs w:val="24"/>
        </w:rPr>
      </w:pPr>
      <w:r w:rsidRPr="00424BD3">
        <w:rPr>
          <w:rFonts w:cs="Arial"/>
          <w:szCs w:val="24"/>
        </w:rPr>
        <w:t xml:space="preserve">“Well, growing up, no, there was really no [life experiences] impact on my health because my health was good. Hardly ever got sick. But if I got sick, I had, like, the flu. Caught the flu when I was 15 or 16, getting ready to go back to work. My mother told me to get back in bed. She'd called the doctor. </w:t>
      </w:r>
      <w:r w:rsidR="00CB192A">
        <w:rPr>
          <w:rFonts w:cs="Arial"/>
          <w:szCs w:val="24"/>
        </w:rPr>
        <w:t>H</w:t>
      </w:r>
      <w:r w:rsidRPr="00424BD3">
        <w:rPr>
          <w:rFonts w:cs="Arial"/>
          <w:szCs w:val="24"/>
        </w:rPr>
        <w:t>ouse doctors over there made house calls, and I think they still do. It turns out, I had the German measles [laughs]. But that's the only kind</w:t>
      </w:r>
      <w:r w:rsidR="00F213FA">
        <w:rPr>
          <w:rFonts w:cs="Arial"/>
          <w:szCs w:val="24"/>
        </w:rPr>
        <w:t xml:space="preserve"> of</w:t>
      </w:r>
      <w:r w:rsidR="002978DD">
        <w:rPr>
          <w:rFonts w:cs="Arial"/>
          <w:szCs w:val="24"/>
        </w:rPr>
        <w:t xml:space="preserve"> </w:t>
      </w:r>
      <w:r w:rsidRPr="00424BD3">
        <w:rPr>
          <w:rFonts w:cs="Arial"/>
          <w:szCs w:val="24"/>
        </w:rPr>
        <w:t xml:space="preserve">children's diseases. I've had the measles, the mumps, the chicken pox, tonsillitis, but other than that, my health was great." </w:t>
      </w:r>
    </w:p>
    <w:p w14:paraId="7B33BEEA" w14:textId="6ED4EFA0" w:rsidR="00825FBE" w:rsidRPr="00424BD3" w:rsidRDefault="00825FBE" w:rsidP="000126EE">
      <w:pPr>
        <w:spacing w:after="0" w:line="480" w:lineRule="auto"/>
        <w:ind w:firstLine="720"/>
        <w:rPr>
          <w:rFonts w:cs="Arial"/>
        </w:rPr>
      </w:pPr>
      <w:r w:rsidRPr="00424BD3">
        <w:rPr>
          <w:rFonts w:cs="Arial"/>
          <w:szCs w:val="24"/>
        </w:rPr>
        <w:t xml:space="preserve">Margaret’s perception that having had several contagious diseases equated to hardly ever getting sick, and that these diseases were </w:t>
      </w:r>
      <w:r w:rsidR="00F213FA" w:rsidRPr="00424BD3">
        <w:rPr>
          <w:rFonts w:cs="Arial"/>
          <w:szCs w:val="24"/>
        </w:rPr>
        <w:t>part</w:t>
      </w:r>
      <w:r w:rsidRPr="00424BD3">
        <w:rPr>
          <w:rFonts w:cs="Arial"/>
          <w:szCs w:val="24"/>
        </w:rPr>
        <w:t xml:space="preserve"> of childhood, </w:t>
      </w:r>
      <w:r w:rsidR="009975CF" w:rsidRPr="00424BD3">
        <w:rPr>
          <w:rFonts w:cs="Arial"/>
          <w:szCs w:val="24"/>
        </w:rPr>
        <w:t xml:space="preserve">it </w:t>
      </w:r>
      <w:r w:rsidRPr="00424BD3">
        <w:rPr>
          <w:rFonts w:cs="Arial"/>
          <w:szCs w:val="24"/>
        </w:rPr>
        <w:t>may be</w:t>
      </w:r>
      <w:r w:rsidR="009975CF" w:rsidRPr="00424BD3">
        <w:rPr>
          <w:rFonts w:cs="Arial"/>
          <w:szCs w:val="24"/>
        </w:rPr>
        <w:t xml:space="preserve"> said, is</w:t>
      </w:r>
      <w:r w:rsidRPr="00424BD3">
        <w:rPr>
          <w:rFonts w:cs="Arial"/>
          <w:szCs w:val="24"/>
        </w:rPr>
        <w:t xml:space="preserve"> indicative of social and familial norms regarding how illness was seen in her childhood years. This is explored further in Chapter Six.</w:t>
      </w:r>
    </w:p>
    <w:p w14:paraId="789EFF36" w14:textId="3ABFE5BB" w:rsidR="008844E4" w:rsidRPr="00424BD3" w:rsidRDefault="008844E4" w:rsidP="000126EE">
      <w:pPr>
        <w:pStyle w:val="Heading3"/>
        <w:spacing w:before="0" w:line="480" w:lineRule="auto"/>
        <w:rPr>
          <w:rFonts w:ascii="Arial" w:hAnsi="Arial" w:cs="Arial"/>
          <w:b/>
          <w:bCs/>
          <w:i/>
          <w:iCs/>
          <w:color w:val="auto"/>
        </w:rPr>
      </w:pPr>
      <w:bookmarkStart w:id="74" w:name="_Toc118232340"/>
      <w:r w:rsidRPr="00424BD3">
        <w:rPr>
          <w:rFonts w:ascii="Arial" w:hAnsi="Arial" w:cs="Arial"/>
          <w:b/>
          <w:bCs/>
          <w:i/>
          <w:iCs/>
          <w:color w:val="auto"/>
        </w:rPr>
        <w:lastRenderedPageBreak/>
        <w:t xml:space="preserve">Adulthood </w:t>
      </w:r>
      <w:r w:rsidR="008A3C65">
        <w:rPr>
          <w:rFonts w:ascii="Arial" w:hAnsi="Arial" w:cs="Arial"/>
          <w:b/>
          <w:bCs/>
          <w:i/>
          <w:iCs/>
          <w:color w:val="auto"/>
        </w:rPr>
        <w:t>H</w:t>
      </w:r>
      <w:r w:rsidRPr="00424BD3">
        <w:rPr>
          <w:rFonts w:ascii="Arial" w:hAnsi="Arial" w:cs="Arial"/>
          <w:b/>
          <w:bCs/>
          <w:i/>
          <w:iCs/>
          <w:color w:val="auto"/>
        </w:rPr>
        <w:t>ealth</w:t>
      </w:r>
      <w:bookmarkEnd w:id="74"/>
    </w:p>
    <w:p w14:paraId="06B1BFB2" w14:textId="20C6352F" w:rsidR="008844E4" w:rsidRPr="00424BD3" w:rsidRDefault="009F24CE" w:rsidP="000126EE">
      <w:pPr>
        <w:spacing w:after="0" w:line="480" w:lineRule="auto"/>
        <w:ind w:firstLine="720"/>
        <w:rPr>
          <w:rFonts w:cs="Arial"/>
          <w:szCs w:val="24"/>
        </w:rPr>
      </w:pPr>
      <w:r w:rsidRPr="00424BD3">
        <w:rPr>
          <w:rFonts w:cs="Arial"/>
          <w:szCs w:val="24"/>
        </w:rPr>
        <w:t>I</w:t>
      </w:r>
      <w:r w:rsidR="008844E4" w:rsidRPr="00424BD3">
        <w:rPr>
          <w:rFonts w:cs="Arial"/>
          <w:szCs w:val="24"/>
        </w:rPr>
        <w:t xml:space="preserve">n adulthood, some of the women have suffered catastrophic, life-threatening illness. Mary developed </w:t>
      </w:r>
      <w:r w:rsidR="00381F9F" w:rsidRPr="00424BD3">
        <w:rPr>
          <w:rFonts w:cs="Arial"/>
          <w:szCs w:val="24"/>
        </w:rPr>
        <w:t xml:space="preserve">a </w:t>
      </w:r>
      <w:r w:rsidR="00BE4450" w:rsidRPr="00424BD3">
        <w:rPr>
          <w:rFonts w:cs="Arial"/>
          <w:szCs w:val="24"/>
        </w:rPr>
        <w:t xml:space="preserve">life-threatening </w:t>
      </w:r>
      <w:r w:rsidR="00381F9F" w:rsidRPr="00424BD3">
        <w:rPr>
          <w:rFonts w:cs="Arial"/>
          <w:szCs w:val="24"/>
        </w:rPr>
        <w:t>neurological disorder</w:t>
      </w:r>
      <w:r w:rsidR="008844E4" w:rsidRPr="00424BD3">
        <w:rPr>
          <w:rFonts w:cs="Arial"/>
          <w:szCs w:val="24"/>
        </w:rPr>
        <w:t xml:space="preserve">, which left her temporarily unable to walk or breathe deeply; a heart condition; a blood clot; and urinary retention under anesthesia. She has undergone several surgeries. She attributes all of these to the anxiety and stress she suffered in childhood </w:t>
      </w:r>
      <w:r w:rsidR="008844E4" w:rsidRPr="00424BD3">
        <w:rPr>
          <w:rFonts w:cs="Arial"/>
          <w:szCs w:val="24"/>
        </w:rPr>
        <w:fldChar w:fldCharType="begin"/>
      </w:r>
      <w:r w:rsidR="00990F3A">
        <w:rPr>
          <w:rFonts w:cs="Arial"/>
          <w:szCs w:val="24"/>
        </w:rPr>
        <w:instrText xml:space="preserve"> ADDIN ZOTERO_ITEM CSL_CITATION {"citationID":"adXUeU2u","properties":{"formattedCitation":"(Christakis &amp; Fowler, 2009; Thomeer et al., 2020)","plainCitation":"(Christakis &amp; Fowler, 2009; Thomeer et al., 2020)","noteIndex":0},"citationItems":[{"id":969,"uris":["http://zotero.org/users/4946941/items/D5AQNRUG"],"itemData":{"id":969,"type":"book","abstract":"Celebrated scientists Nicholas Christakis and James Fowler explain the amazing power of social networks and our profound influence on one another's lives. Your colleague's husband's sister can make you fat, even if you don't know her. A happy neighbor has more impact on your happiness than a happy spouse. These startling revelations of how much we truly influence one another are revealed in the studies of Dr. Christakis and Fowler, which have repeatedly made front-page news nationwide.  In Connected, the authors explain why emotions are contagious, how health behaviors spread, why the rich get richer, even how we find and choose our partners. Intriguing and entertaining, Connected overturns the notion of the individual and provides a revolutionary paradigm-that social networks influence our ideas, emotions, health, relationships, behavior, politics, and much more. It will change the way we think about every aspect of our lives.","ISBN":"978-0-316-07134-5","language":"en","note":"Google-Books-ID: LXHi4wgIkzEC","number-of-pages":"344","publisher":"Little, Brown","source":"Google Books","title":"Connected: The Surprising Power of Our Social Networks and How They Shape Our Lives","title-short":"Connected","author":[{"family":"Christakis","given":"Nicholas A."},{"family":"Fowler","given":"James H."}],"issued":{"date-parts":[["2009",9,28]]}}},{"id":952,"uris":["http://zotero.org/users/4946941/items/583YY2AM"],"itemData":{"id":952,"type":"article-journal","container-title":"Journal of Family Theory &amp; Review","DOI":"10.1111/jftr.12398","ISSN":"1756-2570, 1756-2589","issue":"4","journalAbbreviation":"J Fam Theory Rev","language":"en","page":"448-463","source":"DOI.org (Crossref)","title":"How families matter for health inequality during the &lt;span style=\"font-variant:small-caps;\"&gt;COVID&lt;/span&gt; </w:instrText>
      </w:r>
      <w:r w:rsidR="00990F3A">
        <w:rPr>
          <w:rFonts w:ascii="Cambria Math" w:hAnsi="Cambria Math" w:cs="Cambria Math"/>
          <w:szCs w:val="24"/>
        </w:rPr>
        <w:instrText>‐</w:instrText>
      </w:r>
      <w:r w:rsidR="00990F3A">
        <w:rPr>
          <w:rFonts w:cs="Arial"/>
          <w:szCs w:val="24"/>
        </w:rPr>
        <w:instrText>19 pandemic","title-short":"How families matter for health inequality during the &lt;span style=\"font-variant","volume":"12","author":[{"family":"Thomeer","given":"Mieke Beth"},{"family":"Yahirun","given":"Jenjira"},{"family":"Colón</w:instrText>
      </w:r>
      <w:r w:rsidR="00990F3A">
        <w:rPr>
          <w:rFonts w:ascii="Cambria Math" w:hAnsi="Cambria Math" w:cs="Cambria Math"/>
          <w:szCs w:val="24"/>
        </w:rPr>
        <w:instrText>‐</w:instrText>
      </w:r>
      <w:r w:rsidR="00990F3A">
        <w:rPr>
          <w:rFonts w:cs="Arial"/>
          <w:szCs w:val="24"/>
        </w:rPr>
        <w:instrText xml:space="preserve">López","given":"Alejandra"}],"issued":{"date-parts":[["2020",12]]}}}],"schema":"https://github.com/citation-style-language/schema/raw/master/csl-citation.json"} </w:instrText>
      </w:r>
      <w:r w:rsidR="008844E4" w:rsidRPr="00424BD3">
        <w:rPr>
          <w:rFonts w:cs="Arial"/>
          <w:szCs w:val="24"/>
        </w:rPr>
        <w:fldChar w:fldCharType="separate"/>
      </w:r>
      <w:r w:rsidR="008844E4" w:rsidRPr="00424BD3">
        <w:rPr>
          <w:rFonts w:cs="Arial"/>
        </w:rPr>
        <w:t>(Christakis &amp; Fowler, 2009; Thomeer et al., 2020)</w:t>
      </w:r>
      <w:r w:rsidR="008844E4" w:rsidRPr="00424BD3">
        <w:rPr>
          <w:rFonts w:cs="Arial"/>
          <w:szCs w:val="24"/>
        </w:rPr>
        <w:fldChar w:fldCharType="end"/>
      </w:r>
      <w:r w:rsidR="008844E4" w:rsidRPr="00424BD3">
        <w:rPr>
          <w:rFonts w:cs="Arial"/>
          <w:szCs w:val="24"/>
        </w:rPr>
        <w:t xml:space="preserve">. She even cites the ACEs she endured as the cause of a tooth infection. Peggy has had </w:t>
      </w:r>
      <w:r w:rsidR="006A5AC5" w:rsidRPr="00424BD3">
        <w:rPr>
          <w:rFonts w:cs="Arial"/>
          <w:szCs w:val="24"/>
        </w:rPr>
        <w:t>several</w:t>
      </w:r>
      <w:r w:rsidR="008844E4" w:rsidRPr="00424BD3">
        <w:rPr>
          <w:rFonts w:cs="Arial"/>
          <w:szCs w:val="24"/>
        </w:rPr>
        <w:t xml:space="preserve"> heart attacks, which she feels is just a family inheritance / norm, though she referred also to parental abuse and family norms of silence about health as affecting her over her life course. She contracted </w:t>
      </w:r>
      <w:r w:rsidR="00C17C31" w:rsidRPr="00424BD3">
        <w:rPr>
          <w:rFonts w:cs="Arial"/>
          <w:szCs w:val="24"/>
        </w:rPr>
        <w:t>a life-threatening disease</w:t>
      </w:r>
      <w:r w:rsidR="008844E4" w:rsidRPr="00424BD3">
        <w:rPr>
          <w:rFonts w:cs="Arial"/>
          <w:szCs w:val="24"/>
        </w:rPr>
        <w:t xml:space="preserve"> due to the nature of the work she did. She had a detached retina of which she doesn’t know a cause. Deborah mentioned that she now has allergies and acid reflux, but not why that might be. She has also had a broken arm, a damaged rotator cuff, and now has back and neck degeneration due to an accidental injury. She has concerns over the long-term effects of this injury as she ages and stated that she was more afraid of those effects than she is of having a heart attack. Cynthia also has degenerative arthritis in her feet, which she attributes to doing </w:t>
      </w:r>
      <w:r w:rsidR="00451B9D">
        <w:rPr>
          <w:rFonts w:cs="Arial"/>
          <w:szCs w:val="24"/>
        </w:rPr>
        <w:t>“</w:t>
      </w:r>
      <w:r w:rsidR="008844E4" w:rsidRPr="00424BD3">
        <w:rPr>
          <w:rFonts w:cs="Arial"/>
          <w:szCs w:val="24"/>
        </w:rPr>
        <w:t>stupid</w:t>
      </w:r>
      <w:r w:rsidR="00451B9D">
        <w:rPr>
          <w:rFonts w:cs="Arial"/>
          <w:szCs w:val="24"/>
        </w:rPr>
        <w:t>”</w:t>
      </w:r>
      <w:r w:rsidR="008844E4" w:rsidRPr="00424BD3">
        <w:rPr>
          <w:rFonts w:cs="Arial"/>
          <w:szCs w:val="24"/>
        </w:rPr>
        <w:t xml:space="preserve"> things when she was a child, such as walking around on her toes. Ruth has chronic pain due to arthritis, which she says is genetic, inherited from maternal and paternal grandmothers. She has also had two hip replacements as well as several accidental falls, resulting in a pulled hamstring, broken leg, broken ribs</w:t>
      </w:r>
      <w:r w:rsidR="00204EDC">
        <w:rPr>
          <w:rFonts w:cs="Arial"/>
          <w:szCs w:val="24"/>
        </w:rPr>
        <w:t>,</w:t>
      </w:r>
      <w:r w:rsidR="008844E4" w:rsidRPr="00424BD3">
        <w:rPr>
          <w:rFonts w:cs="Arial"/>
          <w:szCs w:val="24"/>
        </w:rPr>
        <w:t xml:space="preserve"> and broken trans</w:t>
      </w:r>
      <w:r w:rsidR="006A6601">
        <w:rPr>
          <w:rFonts w:cs="Arial"/>
          <w:szCs w:val="24"/>
        </w:rPr>
        <w:t>verse</w:t>
      </w:r>
      <w:r w:rsidR="008844E4" w:rsidRPr="00424BD3">
        <w:rPr>
          <w:rFonts w:cs="Arial"/>
          <w:szCs w:val="24"/>
        </w:rPr>
        <w:t xml:space="preserve"> processes. Carolyn nearly died in a car accident in mid-life, which required hospitalization and on-going care for </w:t>
      </w:r>
      <w:r w:rsidR="008F79C6" w:rsidRPr="00424BD3">
        <w:rPr>
          <w:rFonts w:cs="Arial"/>
          <w:szCs w:val="24"/>
        </w:rPr>
        <w:t xml:space="preserve">several </w:t>
      </w:r>
      <w:r w:rsidR="008844E4" w:rsidRPr="00424BD3">
        <w:rPr>
          <w:rFonts w:cs="Arial"/>
          <w:szCs w:val="24"/>
        </w:rPr>
        <w:t xml:space="preserve">years. She believed that her life may have been saved during the wreck </w:t>
      </w:r>
      <w:r w:rsidR="008844E4" w:rsidRPr="00424BD3">
        <w:rPr>
          <w:rFonts w:cs="Arial"/>
          <w:szCs w:val="24"/>
        </w:rPr>
        <w:lastRenderedPageBreak/>
        <w:t>because she danced professionally for a time when younger, and was, therefore, at elite athlet</w:t>
      </w:r>
      <w:r w:rsidR="00ED203D" w:rsidRPr="00424BD3">
        <w:rPr>
          <w:rFonts w:cs="Arial"/>
          <w:szCs w:val="24"/>
        </w:rPr>
        <w:t>ic</w:t>
      </w:r>
      <w:r w:rsidR="008844E4" w:rsidRPr="00424BD3">
        <w:rPr>
          <w:rFonts w:cs="Arial"/>
          <w:szCs w:val="24"/>
        </w:rPr>
        <w:t xml:space="preserve"> ability (with very good bone density, flexibility, and muscle strength). Although she quit smoking thirty or so years ago, she stated that she is having some effects from smoking. She began smoking </w:t>
      </w:r>
      <w:r w:rsidR="008F79C6" w:rsidRPr="00424BD3">
        <w:rPr>
          <w:rFonts w:cs="Arial"/>
          <w:szCs w:val="24"/>
        </w:rPr>
        <w:t>as a teenager</w:t>
      </w:r>
      <w:r w:rsidR="008844E4" w:rsidRPr="00424BD3">
        <w:rPr>
          <w:rFonts w:cs="Arial"/>
          <w:szCs w:val="24"/>
        </w:rPr>
        <w:t>, having learned it from her mother, and had withdrawals after leaving home as a young person because she was exposed to so much smoke. Sylvia discussed non-specified health issues she believes were brought on</w:t>
      </w:r>
      <w:r w:rsidR="00E13B64">
        <w:rPr>
          <w:rFonts w:cs="Arial"/>
          <w:szCs w:val="24"/>
        </w:rPr>
        <w:t xml:space="preserve"> by</w:t>
      </w:r>
      <w:r w:rsidR="008844E4" w:rsidRPr="00424BD3">
        <w:rPr>
          <w:rFonts w:cs="Arial"/>
          <w:szCs w:val="24"/>
        </w:rPr>
        <w:t xml:space="preserve"> the stress she endured because of sexism at work, beginning in her middle age. She also stated that almost all her health problems can be traced back to genetics, her parents, and their backgrounds. </w:t>
      </w:r>
    </w:p>
    <w:p w14:paraId="6C13B38D" w14:textId="643D3EEA" w:rsidR="008844E4" w:rsidRPr="00424BD3" w:rsidRDefault="008844E4" w:rsidP="000126EE">
      <w:pPr>
        <w:pStyle w:val="Heading3"/>
        <w:spacing w:before="0" w:line="480" w:lineRule="auto"/>
        <w:rPr>
          <w:rFonts w:ascii="Arial" w:hAnsi="Arial" w:cs="Arial"/>
          <w:b/>
          <w:bCs/>
          <w:i/>
          <w:iCs/>
          <w:color w:val="auto"/>
        </w:rPr>
      </w:pPr>
      <w:bookmarkStart w:id="75" w:name="_Toc118232341"/>
      <w:r w:rsidRPr="00424BD3">
        <w:rPr>
          <w:rFonts w:ascii="Arial" w:hAnsi="Arial" w:cs="Arial"/>
          <w:b/>
          <w:bCs/>
          <w:i/>
          <w:iCs/>
          <w:color w:val="auto"/>
        </w:rPr>
        <w:t xml:space="preserve">Familial </w:t>
      </w:r>
      <w:r w:rsidR="008A3C65">
        <w:rPr>
          <w:rFonts w:ascii="Arial" w:hAnsi="Arial" w:cs="Arial"/>
          <w:b/>
          <w:bCs/>
          <w:i/>
          <w:iCs/>
          <w:color w:val="auto"/>
        </w:rPr>
        <w:t>H</w:t>
      </w:r>
      <w:r w:rsidRPr="00424BD3">
        <w:rPr>
          <w:rFonts w:ascii="Arial" w:hAnsi="Arial" w:cs="Arial"/>
          <w:b/>
          <w:bCs/>
          <w:i/>
          <w:iCs/>
          <w:color w:val="auto"/>
        </w:rPr>
        <w:t>ealth</w:t>
      </w:r>
      <w:r w:rsidR="00230751" w:rsidRPr="00424BD3">
        <w:rPr>
          <w:rFonts w:ascii="Arial" w:hAnsi="Arial" w:cs="Arial"/>
          <w:b/>
          <w:bCs/>
          <w:i/>
          <w:iCs/>
          <w:color w:val="auto"/>
        </w:rPr>
        <w:t xml:space="preserve">, </w:t>
      </w:r>
      <w:r w:rsidR="008A3C65">
        <w:rPr>
          <w:rFonts w:ascii="Arial" w:hAnsi="Arial" w:cs="Arial"/>
          <w:b/>
          <w:bCs/>
          <w:i/>
          <w:iCs/>
          <w:color w:val="auto"/>
        </w:rPr>
        <w:t>I</w:t>
      </w:r>
      <w:r w:rsidR="00230751" w:rsidRPr="00424BD3">
        <w:rPr>
          <w:rFonts w:ascii="Arial" w:hAnsi="Arial" w:cs="Arial"/>
          <w:b/>
          <w:bCs/>
          <w:i/>
          <w:iCs/>
          <w:color w:val="auto"/>
        </w:rPr>
        <w:t>llness</w:t>
      </w:r>
      <w:r w:rsidRPr="00424BD3">
        <w:rPr>
          <w:rFonts w:ascii="Arial" w:hAnsi="Arial" w:cs="Arial"/>
          <w:b/>
          <w:bCs/>
          <w:i/>
          <w:iCs/>
          <w:color w:val="auto"/>
        </w:rPr>
        <w:t xml:space="preserve"> and </w:t>
      </w:r>
      <w:r w:rsidR="008A3C65">
        <w:rPr>
          <w:rFonts w:ascii="Arial" w:hAnsi="Arial" w:cs="Arial"/>
          <w:b/>
          <w:bCs/>
          <w:i/>
          <w:iCs/>
          <w:color w:val="auto"/>
        </w:rPr>
        <w:t>D</w:t>
      </w:r>
      <w:r w:rsidR="00230751" w:rsidRPr="00424BD3">
        <w:rPr>
          <w:rFonts w:ascii="Arial" w:hAnsi="Arial" w:cs="Arial"/>
          <w:b/>
          <w:bCs/>
          <w:i/>
          <w:iCs/>
          <w:color w:val="auto"/>
        </w:rPr>
        <w:t>eath</w:t>
      </w:r>
      <w:bookmarkEnd w:id="75"/>
    </w:p>
    <w:p w14:paraId="4ADC28A6" w14:textId="09654096" w:rsidR="008844E4" w:rsidRPr="00424BD3" w:rsidRDefault="008844E4" w:rsidP="000126EE">
      <w:pPr>
        <w:spacing w:after="0" w:line="480" w:lineRule="auto"/>
        <w:ind w:firstLine="720"/>
        <w:rPr>
          <w:rFonts w:cs="Arial"/>
          <w:szCs w:val="24"/>
        </w:rPr>
      </w:pPr>
      <w:r w:rsidRPr="00424BD3">
        <w:rPr>
          <w:rFonts w:cs="Arial"/>
          <w:szCs w:val="24"/>
        </w:rPr>
        <w:t>Examining the women’s family health histories (genealogies) is the crux of the genealogical part of this study. It helps to determine patterns in the passing on of familial health norms, beliefs, attitudes, and health ways of life, across diasporas, landscapes, places, spaces. It also helps to determine patterns of perceived (or real) illness and death within the families of these women. For the purposes of this study, participants’ genealogical (familial) health histories on both sides of participants’ family members (maternally and paternally)</w:t>
      </w:r>
      <w:r w:rsidR="00BF5891" w:rsidRPr="00424BD3">
        <w:rPr>
          <w:rFonts w:cs="Arial"/>
          <w:szCs w:val="24"/>
        </w:rPr>
        <w:t xml:space="preserve"> were tracked</w:t>
      </w:r>
      <w:r w:rsidRPr="00424BD3">
        <w:rPr>
          <w:rFonts w:cs="Arial"/>
          <w:szCs w:val="24"/>
        </w:rPr>
        <w:t xml:space="preserve">. </w:t>
      </w:r>
      <w:r w:rsidR="00BF5891" w:rsidRPr="00424BD3">
        <w:rPr>
          <w:rFonts w:cs="Arial"/>
          <w:szCs w:val="24"/>
        </w:rPr>
        <w:t>Their</w:t>
      </w:r>
      <w:r w:rsidRPr="00424BD3">
        <w:rPr>
          <w:rFonts w:cs="Arial"/>
          <w:szCs w:val="24"/>
        </w:rPr>
        <w:t xml:space="preserve"> family health histor</w:t>
      </w:r>
      <w:r w:rsidR="00BF5891" w:rsidRPr="00424BD3">
        <w:rPr>
          <w:rFonts w:cs="Arial"/>
          <w:szCs w:val="24"/>
        </w:rPr>
        <w:t>ies</w:t>
      </w:r>
      <w:r w:rsidRPr="00424BD3">
        <w:rPr>
          <w:rFonts w:cs="Arial"/>
          <w:szCs w:val="24"/>
        </w:rPr>
        <w:t xml:space="preserve"> of participants’ spouses / partners, if provided, in order to map out the illness and mortality genealogy of the next generation</w:t>
      </w:r>
      <w:r w:rsidR="00BF5891" w:rsidRPr="00424BD3">
        <w:rPr>
          <w:rFonts w:cs="Arial"/>
          <w:szCs w:val="24"/>
        </w:rPr>
        <w:t xml:space="preserve"> were also recorded</w:t>
      </w:r>
      <w:r w:rsidRPr="00424BD3">
        <w:rPr>
          <w:rFonts w:cs="Arial"/>
          <w:szCs w:val="24"/>
        </w:rPr>
        <w:t xml:space="preserve">. Not all participants answered questions about their family health history, or </w:t>
      </w:r>
      <w:r w:rsidR="00BF5891" w:rsidRPr="00424BD3">
        <w:rPr>
          <w:rFonts w:cs="Arial"/>
          <w:szCs w:val="24"/>
        </w:rPr>
        <w:t>did not</w:t>
      </w:r>
      <w:r w:rsidRPr="00424BD3">
        <w:rPr>
          <w:rFonts w:cs="Arial"/>
          <w:szCs w:val="24"/>
        </w:rPr>
        <w:t xml:space="preserve"> fully answer the questions, or could not recall some information about their familial illnesses and mortality histories. Nevertheless, the information provided gives us a clear insight into the genealogical patterns of illness and mortality in older women’s lives in East Tennessee. </w:t>
      </w:r>
    </w:p>
    <w:p w14:paraId="7B104F07" w14:textId="7F7E7B6F" w:rsidR="008844E4" w:rsidRPr="00424BD3" w:rsidRDefault="008844E4" w:rsidP="009F24CE">
      <w:pPr>
        <w:spacing w:after="0" w:line="480" w:lineRule="auto"/>
        <w:ind w:firstLine="720"/>
        <w:rPr>
          <w:rFonts w:cs="Arial"/>
          <w:szCs w:val="24"/>
        </w:rPr>
      </w:pPr>
      <w:r w:rsidRPr="00424BD3">
        <w:rPr>
          <w:rFonts w:cs="Arial"/>
          <w:szCs w:val="24"/>
        </w:rPr>
        <w:lastRenderedPageBreak/>
        <w:t xml:space="preserve">The patterns of illness and mortality </w:t>
      </w:r>
      <w:r w:rsidRPr="00424BD3">
        <w:rPr>
          <w:rFonts w:cs="Arial"/>
          <w:szCs w:val="24"/>
        </w:rPr>
        <w:fldChar w:fldCharType="begin"/>
      </w:r>
      <w:r w:rsidR="00990F3A">
        <w:rPr>
          <w:rFonts w:cs="Arial"/>
          <w:szCs w:val="24"/>
        </w:rPr>
        <w:instrText xml:space="preserve"> ADDIN ZOTERO_ITEM CSL_CITATION {"citationID":"Ohgc3iyP","properties":{"formattedCitation":"(Broderick, 1993)","plainCitation":"(Broderick, 1993)","noteIndex":0},"citationItems":[{"id":959,"uris":["http://zotero.org/users/4946941/items/KSP8BGE5"],"itemData":{"id":959,"type":"book","abstract":"Systems theory is the basic theoretical model underlying most contemporary family therapy. In this accessible introduction, the author traces how systems theory gave rise to family systems theory, outlines the basic propositions of family systems and links it both to other family theory literature and to clinical practice.  Among the topics covered are relational space, family boundaries, family stratification and child socialization. Family meanings and such shared realities as family folklore, stories, myths and memorabilia are discussed. Family rituals are also explored.","ISBN":"978-0-8039-3778-9","language":"en","note":"Google-Books-ID: EZpSZWkMw0wC","number-of-pages":"288","publisher":"SAGE","source":"Google Books","title":"Understanding Family Process: Basics of Family Systems Theory","title-short":"Understanding Family Process","author":[{"family":"Broderick","given":"Carlfred B."}],"issued":{"date-parts":[["1993",3,9]]}}}],"schema":"https://github.com/citation-style-language/schema/raw/master/csl-citation.json"} </w:instrText>
      </w:r>
      <w:r w:rsidRPr="00424BD3">
        <w:rPr>
          <w:rFonts w:cs="Arial"/>
          <w:szCs w:val="24"/>
        </w:rPr>
        <w:fldChar w:fldCharType="separate"/>
      </w:r>
      <w:r w:rsidRPr="00424BD3">
        <w:rPr>
          <w:rFonts w:cs="Arial"/>
        </w:rPr>
        <w:t>(Broderick, 1993)</w:t>
      </w:r>
      <w:r w:rsidRPr="00424BD3">
        <w:rPr>
          <w:rFonts w:cs="Arial"/>
          <w:szCs w:val="24"/>
        </w:rPr>
        <w:fldChar w:fldCharType="end"/>
      </w:r>
      <w:r w:rsidRPr="00424BD3">
        <w:rPr>
          <w:rFonts w:cs="Arial"/>
          <w:szCs w:val="24"/>
        </w:rPr>
        <w:t xml:space="preserve"> help to see which determinants may have played a role in the participant’s responses to what they perceived to be the causes of illness and mortality in their family health and death histories. </w:t>
      </w:r>
      <w:r w:rsidR="006F2D13" w:rsidRPr="00424BD3">
        <w:rPr>
          <w:rFonts w:cs="Arial"/>
          <w:szCs w:val="24"/>
        </w:rPr>
        <w:t xml:space="preserve">An exploration of </w:t>
      </w:r>
      <w:r w:rsidRPr="00424BD3">
        <w:rPr>
          <w:rFonts w:cs="Arial"/>
          <w:szCs w:val="24"/>
        </w:rPr>
        <w:t>participants’ family illness and mortality histories and what the participants perceived the causes to be is undertaken in Chapter</w:t>
      </w:r>
      <w:r w:rsidR="006F2D13" w:rsidRPr="00424BD3">
        <w:rPr>
          <w:rFonts w:cs="Arial"/>
          <w:szCs w:val="24"/>
        </w:rPr>
        <w:t xml:space="preserve"> Six</w:t>
      </w:r>
      <w:r w:rsidRPr="00424BD3">
        <w:rPr>
          <w:rFonts w:cs="Arial"/>
          <w:szCs w:val="24"/>
        </w:rPr>
        <w:t>.</w:t>
      </w:r>
    </w:p>
    <w:p w14:paraId="1E68CE01" w14:textId="1153AAE3" w:rsidR="00230751" w:rsidRPr="00424BD3" w:rsidRDefault="00C10134" w:rsidP="009F24CE">
      <w:pPr>
        <w:pStyle w:val="Heading4"/>
        <w:spacing w:before="0" w:line="480" w:lineRule="auto"/>
        <w:rPr>
          <w:rFonts w:ascii="Arial" w:hAnsi="Arial" w:cs="Arial"/>
          <w:color w:val="auto"/>
        </w:rPr>
      </w:pPr>
      <w:r w:rsidRPr="00424BD3">
        <w:rPr>
          <w:rFonts w:ascii="Arial" w:hAnsi="Arial" w:cs="Arial"/>
          <w:color w:val="auto"/>
        </w:rPr>
        <w:t>Illnesses</w:t>
      </w:r>
    </w:p>
    <w:p w14:paraId="5B7AC1FF" w14:textId="341AE2CB" w:rsidR="000C2085" w:rsidRPr="00424BD3" w:rsidRDefault="008844E4" w:rsidP="00AB6666">
      <w:pPr>
        <w:spacing w:after="0" w:line="480" w:lineRule="auto"/>
        <w:ind w:firstLine="720"/>
        <w:rPr>
          <w:rFonts w:cs="Arial"/>
          <w:szCs w:val="24"/>
        </w:rPr>
      </w:pPr>
      <w:r w:rsidRPr="00424BD3">
        <w:rPr>
          <w:rFonts w:cs="Arial"/>
          <w:szCs w:val="24"/>
        </w:rPr>
        <w:t xml:space="preserve">By far, the most common illness within the women’s families was cancer. </w:t>
      </w:r>
      <w:r w:rsidR="00DF6F49" w:rsidRPr="00424BD3">
        <w:rPr>
          <w:rFonts w:cs="Arial"/>
          <w:szCs w:val="24"/>
        </w:rPr>
        <w:t>Deborah, Barbara, Anita</w:t>
      </w:r>
      <w:r w:rsidR="00AC7188" w:rsidRPr="00424BD3">
        <w:rPr>
          <w:rFonts w:cs="Arial"/>
          <w:szCs w:val="24"/>
        </w:rPr>
        <w:t>, Sharon, Margaret, Ruth, Sylvia, Carolyn, and Kathryn</w:t>
      </w:r>
      <w:r w:rsidR="008B3B2B" w:rsidRPr="00424BD3">
        <w:rPr>
          <w:rFonts w:cs="Arial"/>
          <w:szCs w:val="24"/>
        </w:rPr>
        <w:t xml:space="preserve"> </w:t>
      </w:r>
      <w:r w:rsidRPr="00424BD3">
        <w:rPr>
          <w:rFonts w:cs="Arial"/>
          <w:szCs w:val="24"/>
        </w:rPr>
        <w:t>had family members who had cancer, while</w:t>
      </w:r>
      <w:r w:rsidR="008B3B2B" w:rsidRPr="00424BD3">
        <w:rPr>
          <w:rFonts w:cs="Arial"/>
          <w:szCs w:val="24"/>
        </w:rPr>
        <w:t xml:space="preserve"> </w:t>
      </w:r>
      <w:r w:rsidRPr="00424BD3">
        <w:rPr>
          <w:rFonts w:cs="Arial"/>
          <w:szCs w:val="24"/>
        </w:rPr>
        <w:t xml:space="preserve">Anita, Sharon, and Carolyn had more than one family member who had cancer. Cancer was followed by heart disease and diabetes as the top illnesses within these women’s families. </w:t>
      </w:r>
      <w:r w:rsidR="00512CEB" w:rsidRPr="00424BD3">
        <w:rPr>
          <w:rFonts w:cs="Arial"/>
          <w:szCs w:val="24"/>
        </w:rPr>
        <w:t>H</w:t>
      </w:r>
      <w:r w:rsidRPr="00424BD3">
        <w:rPr>
          <w:rFonts w:cs="Arial"/>
          <w:szCs w:val="24"/>
        </w:rPr>
        <w:t>eart disease appeared in immediate family member connections (parent to child)</w:t>
      </w:r>
      <w:r w:rsidR="00512CEB" w:rsidRPr="00424BD3">
        <w:rPr>
          <w:rFonts w:cs="Arial"/>
          <w:szCs w:val="24"/>
        </w:rPr>
        <w:t xml:space="preserve"> for</w:t>
      </w:r>
      <w:r w:rsidR="00066B6D" w:rsidRPr="00424BD3">
        <w:rPr>
          <w:rFonts w:cs="Arial"/>
          <w:szCs w:val="24"/>
        </w:rPr>
        <w:t xml:space="preserve"> Mary</w:t>
      </w:r>
      <w:r w:rsidR="00DF52BA" w:rsidRPr="00424BD3">
        <w:rPr>
          <w:rFonts w:cs="Arial"/>
          <w:szCs w:val="24"/>
        </w:rPr>
        <w:t xml:space="preserve"> and Deborah</w:t>
      </w:r>
      <w:r w:rsidR="00512CEB" w:rsidRPr="00424BD3">
        <w:rPr>
          <w:rFonts w:cs="Arial"/>
          <w:szCs w:val="24"/>
        </w:rPr>
        <w:t xml:space="preserve">. </w:t>
      </w:r>
      <w:r w:rsidR="00DE2D49" w:rsidRPr="00424BD3">
        <w:rPr>
          <w:rFonts w:cs="Arial"/>
          <w:szCs w:val="24"/>
        </w:rPr>
        <w:t xml:space="preserve">Diabetes </w:t>
      </w:r>
      <w:r w:rsidR="00252FC0" w:rsidRPr="00424BD3">
        <w:rPr>
          <w:rFonts w:cs="Arial"/>
          <w:szCs w:val="24"/>
        </w:rPr>
        <w:t>appeared in the families of</w:t>
      </w:r>
      <w:r w:rsidR="00DF52BA" w:rsidRPr="00424BD3">
        <w:rPr>
          <w:rFonts w:cs="Arial"/>
          <w:szCs w:val="24"/>
        </w:rPr>
        <w:t xml:space="preserve"> Deborah, Anita, Ruth, Sylvia, and Kathryn</w:t>
      </w:r>
      <w:r w:rsidR="00252FC0" w:rsidRPr="00424BD3">
        <w:rPr>
          <w:rFonts w:cs="Arial"/>
          <w:szCs w:val="24"/>
        </w:rPr>
        <w:t>. Fo</w:t>
      </w:r>
      <w:r w:rsidR="00491E3E" w:rsidRPr="00424BD3">
        <w:rPr>
          <w:rFonts w:cs="Arial"/>
          <w:szCs w:val="24"/>
        </w:rPr>
        <w:t>r</w:t>
      </w:r>
      <w:r w:rsidRPr="00424BD3">
        <w:rPr>
          <w:rFonts w:cs="Arial"/>
          <w:szCs w:val="24"/>
        </w:rPr>
        <w:t xml:space="preserve"> Deborah</w:t>
      </w:r>
      <w:r w:rsidR="00DF52BA" w:rsidRPr="00424BD3">
        <w:rPr>
          <w:rFonts w:cs="Arial"/>
          <w:szCs w:val="24"/>
        </w:rPr>
        <w:t xml:space="preserve"> and Ruth’s</w:t>
      </w:r>
      <w:r w:rsidRPr="00424BD3">
        <w:rPr>
          <w:rFonts w:cs="Arial"/>
          <w:szCs w:val="24"/>
        </w:rPr>
        <w:t xml:space="preserve"> families, diabetes </w:t>
      </w:r>
      <w:r w:rsidR="00F503C3" w:rsidRPr="00424BD3">
        <w:rPr>
          <w:rFonts w:cs="Arial"/>
          <w:szCs w:val="24"/>
        </w:rPr>
        <w:t xml:space="preserve">also appeared in immediate family member connections (parent to child). </w:t>
      </w:r>
      <w:r w:rsidRPr="00424BD3">
        <w:rPr>
          <w:rFonts w:cs="Arial"/>
          <w:szCs w:val="24"/>
        </w:rPr>
        <w:t xml:space="preserve">Other diseases that, as far as the women can recollect, </w:t>
      </w:r>
      <w:r w:rsidR="000C2085" w:rsidRPr="00424BD3">
        <w:rPr>
          <w:rFonts w:cs="Arial"/>
          <w:szCs w:val="24"/>
        </w:rPr>
        <w:t xml:space="preserve">have </w:t>
      </w:r>
      <w:r w:rsidRPr="00424BD3">
        <w:rPr>
          <w:rFonts w:cs="Arial"/>
          <w:szCs w:val="24"/>
        </w:rPr>
        <w:t>traveled genealogically through their families are Alzheimer’s</w:t>
      </w:r>
      <w:r w:rsidR="000C2085" w:rsidRPr="00424BD3">
        <w:rPr>
          <w:rFonts w:cs="Arial"/>
          <w:szCs w:val="24"/>
        </w:rPr>
        <w:t xml:space="preserve"> (</w:t>
      </w:r>
      <w:r w:rsidR="00E47E99" w:rsidRPr="00424BD3">
        <w:rPr>
          <w:rFonts w:cs="Arial"/>
          <w:szCs w:val="24"/>
        </w:rPr>
        <w:t xml:space="preserve">which </w:t>
      </w:r>
      <w:r w:rsidR="000C2085" w:rsidRPr="00424BD3">
        <w:rPr>
          <w:rFonts w:cs="Arial"/>
          <w:szCs w:val="24"/>
        </w:rPr>
        <w:t>has devastated Sylvia’s family</w:t>
      </w:r>
      <w:r w:rsidR="00E47E99" w:rsidRPr="00424BD3">
        <w:rPr>
          <w:rFonts w:cs="Arial"/>
          <w:szCs w:val="24"/>
        </w:rPr>
        <w:t xml:space="preserve">), </w:t>
      </w:r>
      <w:r w:rsidRPr="00424BD3">
        <w:rPr>
          <w:rFonts w:cs="Arial"/>
          <w:szCs w:val="24"/>
        </w:rPr>
        <w:t xml:space="preserve">high blood pressure, stroke, arthritis, mental ill health, obesity, and thyroid disease. </w:t>
      </w:r>
    </w:p>
    <w:p w14:paraId="314D58E9" w14:textId="19C27A15" w:rsidR="00C10134" w:rsidRPr="00424BD3" w:rsidRDefault="00C10134" w:rsidP="00AB6666">
      <w:pPr>
        <w:pStyle w:val="Heading4"/>
        <w:spacing w:before="0" w:line="480" w:lineRule="auto"/>
        <w:rPr>
          <w:rFonts w:ascii="Arial" w:hAnsi="Arial" w:cs="Arial"/>
          <w:color w:val="auto"/>
        </w:rPr>
      </w:pPr>
      <w:r w:rsidRPr="00424BD3">
        <w:rPr>
          <w:rFonts w:ascii="Arial" w:hAnsi="Arial" w:cs="Arial"/>
          <w:color w:val="auto"/>
        </w:rPr>
        <w:t>Deaths</w:t>
      </w:r>
    </w:p>
    <w:p w14:paraId="608AAE6F" w14:textId="7A25BA36" w:rsidR="00D32BFB" w:rsidRPr="00424BD3" w:rsidRDefault="008844E4" w:rsidP="00AB6666">
      <w:pPr>
        <w:spacing w:after="0" w:line="480" w:lineRule="auto"/>
        <w:ind w:firstLine="720"/>
        <w:rPr>
          <w:rFonts w:cs="Arial"/>
          <w:szCs w:val="24"/>
        </w:rPr>
      </w:pPr>
      <w:r w:rsidRPr="00424BD3">
        <w:rPr>
          <w:rFonts w:cs="Arial"/>
          <w:szCs w:val="24"/>
        </w:rPr>
        <w:t>Asking people to talk about the deaths of their loved ones is a fearful experience. As noted above, the more</w:t>
      </w:r>
      <w:r w:rsidR="00FD3BE1" w:rsidRPr="00424BD3">
        <w:rPr>
          <w:rFonts w:cs="Arial"/>
          <w:szCs w:val="24"/>
        </w:rPr>
        <w:t xml:space="preserve"> questions </w:t>
      </w:r>
      <w:r w:rsidR="006D1D20" w:rsidRPr="00424BD3">
        <w:rPr>
          <w:rFonts w:cs="Arial"/>
          <w:szCs w:val="24"/>
        </w:rPr>
        <w:t xml:space="preserve">like this that the women were asked, the more </w:t>
      </w:r>
      <w:r w:rsidR="00F87713">
        <w:rPr>
          <w:rFonts w:cs="Arial"/>
          <w:szCs w:val="24"/>
        </w:rPr>
        <w:t>I</w:t>
      </w:r>
      <w:r w:rsidR="006D1D20" w:rsidRPr="00424BD3">
        <w:rPr>
          <w:rFonts w:cs="Arial"/>
          <w:szCs w:val="24"/>
        </w:rPr>
        <w:t xml:space="preserve"> understood</w:t>
      </w:r>
      <w:r w:rsidRPr="00424BD3">
        <w:rPr>
          <w:rFonts w:cs="Arial"/>
          <w:szCs w:val="24"/>
        </w:rPr>
        <w:t xml:space="preserve"> </w:t>
      </w:r>
      <w:r w:rsidR="00AB0598" w:rsidRPr="00424BD3">
        <w:rPr>
          <w:rFonts w:cs="Arial"/>
          <w:szCs w:val="24"/>
        </w:rPr>
        <w:t xml:space="preserve">not only the </w:t>
      </w:r>
      <w:r w:rsidRPr="00424BD3">
        <w:rPr>
          <w:rFonts w:cs="Arial"/>
          <w:szCs w:val="24"/>
        </w:rPr>
        <w:t xml:space="preserve">power imbalance research such as </w:t>
      </w:r>
      <w:r w:rsidR="006D1D20" w:rsidRPr="00424BD3">
        <w:rPr>
          <w:rFonts w:cs="Arial"/>
          <w:szCs w:val="24"/>
        </w:rPr>
        <w:t>this</w:t>
      </w:r>
      <w:r w:rsidRPr="00424BD3">
        <w:rPr>
          <w:rFonts w:cs="Arial"/>
          <w:szCs w:val="24"/>
        </w:rPr>
        <w:t xml:space="preserve"> has</w:t>
      </w:r>
      <w:r w:rsidR="006D1D20" w:rsidRPr="00424BD3">
        <w:rPr>
          <w:rFonts w:cs="Arial"/>
          <w:szCs w:val="24"/>
        </w:rPr>
        <w:t xml:space="preserve"> between researcher and participant</w:t>
      </w:r>
      <w:r w:rsidR="00AB0598" w:rsidRPr="00424BD3">
        <w:rPr>
          <w:rFonts w:cs="Arial"/>
          <w:szCs w:val="24"/>
        </w:rPr>
        <w:t xml:space="preserve">, but also how </w:t>
      </w:r>
      <w:r w:rsidR="00DD6860" w:rsidRPr="00424BD3">
        <w:rPr>
          <w:rFonts w:cs="Arial"/>
          <w:szCs w:val="24"/>
        </w:rPr>
        <w:t xml:space="preserve">researchers can and do have their own </w:t>
      </w:r>
      <w:r w:rsidR="00DD6860" w:rsidRPr="00424BD3">
        <w:rPr>
          <w:rFonts w:cs="Arial"/>
          <w:szCs w:val="24"/>
        </w:rPr>
        <w:lastRenderedPageBreak/>
        <w:t>internalized norms</w:t>
      </w:r>
      <w:r w:rsidRPr="00424BD3">
        <w:rPr>
          <w:rFonts w:cs="Arial"/>
          <w:szCs w:val="24"/>
        </w:rPr>
        <w:t xml:space="preserve">. For each interview, </w:t>
      </w:r>
      <w:r w:rsidR="006D1D20" w:rsidRPr="00424BD3">
        <w:rPr>
          <w:rFonts w:cs="Arial"/>
          <w:szCs w:val="24"/>
        </w:rPr>
        <w:t xml:space="preserve">it was </w:t>
      </w:r>
      <w:r w:rsidRPr="00424BD3">
        <w:rPr>
          <w:rFonts w:cs="Arial"/>
          <w:szCs w:val="24"/>
        </w:rPr>
        <w:t xml:space="preserve">clarified several times that the women did not have to answer these questions. It turned out they wanted to talk about this, to share what they had been through, who and how much they had lost. Most were </w:t>
      </w:r>
      <w:r w:rsidR="00795030" w:rsidRPr="00424BD3">
        <w:rPr>
          <w:rFonts w:cs="Arial"/>
          <w:szCs w:val="24"/>
        </w:rPr>
        <w:t xml:space="preserve">unemotional when </w:t>
      </w:r>
      <w:r w:rsidR="006C03A3" w:rsidRPr="00424BD3">
        <w:rPr>
          <w:rFonts w:cs="Arial"/>
          <w:szCs w:val="24"/>
        </w:rPr>
        <w:t>discussing these issues</w:t>
      </w:r>
      <w:r w:rsidRPr="00424BD3">
        <w:rPr>
          <w:rFonts w:cs="Arial"/>
          <w:szCs w:val="24"/>
        </w:rPr>
        <w:t xml:space="preserve">. Others were </w:t>
      </w:r>
      <w:r w:rsidR="00D11D87" w:rsidRPr="00424BD3">
        <w:rPr>
          <w:rFonts w:cs="Arial"/>
          <w:szCs w:val="24"/>
        </w:rPr>
        <w:t xml:space="preserve">very emotional </w:t>
      </w:r>
      <w:r w:rsidRPr="00424BD3">
        <w:rPr>
          <w:rFonts w:cs="Arial"/>
          <w:szCs w:val="24"/>
        </w:rPr>
        <w:t>still deeply traumatized</w:t>
      </w:r>
      <w:r w:rsidR="00B84A5E" w:rsidRPr="00424BD3">
        <w:rPr>
          <w:rFonts w:cs="Arial"/>
          <w:szCs w:val="24"/>
        </w:rPr>
        <w:t xml:space="preserve"> and</w:t>
      </w:r>
      <w:r w:rsidRPr="00424BD3">
        <w:rPr>
          <w:rFonts w:cs="Arial"/>
          <w:szCs w:val="24"/>
        </w:rPr>
        <w:t xml:space="preserve"> shocked to their core by sudden and unexpected deaths, like Deborah </w:t>
      </w:r>
      <w:r w:rsidR="00B84A5E" w:rsidRPr="00424BD3">
        <w:rPr>
          <w:rFonts w:cs="Arial"/>
          <w:szCs w:val="24"/>
        </w:rPr>
        <w:t>with</w:t>
      </w:r>
      <w:r w:rsidRPr="00424BD3">
        <w:rPr>
          <w:rFonts w:cs="Arial"/>
          <w:szCs w:val="24"/>
        </w:rPr>
        <w:t xml:space="preserve"> the loss of her mother and her husband, Sharon </w:t>
      </w:r>
      <w:r w:rsidR="00B84A5E" w:rsidRPr="00424BD3">
        <w:rPr>
          <w:rFonts w:cs="Arial"/>
          <w:szCs w:val="24"/>
        </w:rPr>
        <w:t>with</w:t>
      </w:r>
      <w:r w:rsidRPr="00424BD3">
        <w:rPr>
          <w:rFonts w:cs="Arial"/>
          <w:szCs w:val="24"/>
        </w:rPr>
        <w:t xml:space="preserve"> the loss of her mother, Carolyn </w:t>
      </w:r>
      <w:r w:rsidR="00B84A5E" w:rsidRPr="00424BD3">
        <w:rPr>
          <w:rFonts w:cs="Arial"/>
          <w:szCs w:val="24"/>
        </w:rPr>
        <w:t>with</w:t>
      </w:r>
      <w:r w:rsidRPr="00424BD3">
        <w:rPr>
          <w:rFonts w:cs="Arial"/>
          <w:szCs w:val="24"/>
        </w:rPr>
        <w:t xml:space="preserve"> the loss of her father and her husband, Kathryn </w:t>
      </w:r>
      <w:r w:rsidR="00B84A5E" w:rsidRPr="00424BD3">
        <w:rPr>
          <w:rFonts w:cs="Arial"/>
          <w:szCs w:val="24"/>
        </w:rPr>
        <w:t>with</w:t>
      </w:r>
      <w:r w:rsidRPr="00424BD3">
        <w:rPr>
          <w:rFonts w:cs="Arial"/>
          <w:szCs w:val="24"/>
        </w:rPr>
        <w:t xml:space="preserve"> the loss of her brother, and Mary </w:t>
      </w:r>
      <w:r w:rsidR="00B84A5E" w:rsidRPr="00424BD3">
        <w:rPr>
          <w:rFonts w:cs="Arial"/>
          <w:szCs w:val="24"/>
        </w:rPr>
        <w:t>with</w:t>
      </w:r>
      <w:r w:rsidRPr="00424BD3">
        <w:rPr>
          <w:rFonts w:cs="Arial"/>
          <w:szCs w:val="24"/>
        </w:rPr>
        <w:t xml:space="preserve"> the loss of her aunt and uncle. </w:t>
      </w:r>
    </w:p>
    <w:p w14:paraId="50B8F360" w14:textId="3256FDB1" w:rsidR="00115D63" w:rsidRPr="00424BD3" w:rsidRDefault="00115D63" w:rsidP="000126EE">
      <w:pPr>
        <w:spacing w:after="0" w:line="480" w:lineRule="auto"/>
        <w:ind w:firstLine="720"/>
        <w:rPr>
          <w:rFonts w:cs="Arial"/>
          <w:szCs w:val="24"/>
        </w:rPr>
      </w:pPr>
      <w:r w:rsidRPr="00424BD3">
        <w:rPr>
          <w:rFonts w:cs="Arial"/>
          <w:szCs w:val="24"/>
        </w:rPr>
        <w:t>Deborah’s comments about her mother’s death highlight several of the challenges older women face across multiple social determinants of health:</w:t>
      </w:r>
    </w:p>
    <w:p w14:paraId="625D8134" w14:textId="676BD3D9" w:rsidR="00115D63" w:rsidRPr="00424BD3" w:rsidRDefault="00115D63" w:rsidP="000126EE">
      <w:pPr>
        <w:spacing w:after="0" w:line="480" w:lineRule="auto"/>
        <w:ind w:left="720"/>
        <w:rPr>
          <w:rFonts w:cs="Arial"/>
          <w:szCs w:val="24"/>
        </w:rPr>
      </w:pPr>
      <w:r w:rsidRPr="00424BD3">
        <w:rPr>
          <w:rFonts w:cs="Arial"/>
          <w:szCs w:val="24"/>
        </w:rPr>
        <w:t>“My mother was healthy, hardly ever got anything, cold or anything. She did have breast cancer</w:t>
      </w:r>
      <w:r w:rsidR="0092159E">
        <w:rPr>
          <w:rFonts w:cs="Arial"/>
          <w:szCs w:val="24"/>
        </w:rPr>
        <w:t>,</w:t>
      </w:r>
      <w:r w:rsidRPr="00424BD3">
        <w:rPr>
          <w:rFonts w:cs="Arial"/>
          <w:szCs w:val="24"/>
        </w:rPr>
        <w:t xml:space="preserve"> and then about five years later develops</w:t>
      </w:r>
      <w:r w:rsidR="0092159E">
        <w:rPr>
          <w:rFonts w:cs="Arial"/>
          <w:szCs w:val="24"/>
        </w:rPr>
        <w:t xml:space="preserve"> [sic]</w:t>
      </w:r>
      <w:r w:rsidRPr="00424BD3">
        <w:rPr>
          <w:rFonts w:cs="Arial"/>
          <w:szCs w:val="24"/>
        </w:rPr>
        <w:t xml:space="preserve"> leukemia. We don't know how on earth that happened. Our [mother] was always a person that...went to the doctor and took care of herself</w:t>
      </w:r>
      <w:r w:rsidR="0092159E">
        <w:rPr>
          <w:rFonts w:cs="Arial"/>
          <w:szCs w:val="24"/>
        </w:rPr>
        <w:t>,</w:t>
      </w:r>
      <w:r w:rsidRPr="00424BD3">
        <w:rPr>
          <w:rFonts w:cs="Arial"/>
          <w:szCs w:val="24"/>
        </w:rPr>
        <w:t xml:space="preserve"> and my dad did too. It just seemed really unfair for her to get that</w:t>
      </w:r>
      <w:r w:rsidR="0092159E">
        <w:rPr>
          <w:rFonts w:cs="Arial"/>
          <w:szCs w:val="24"/>
        </w:rPr>
        <w:t>. S</w:t>
      </w:r>
      <w:r w:rsidRPr="00424BD3">
        <w:rPr>
          <w:rFonts w:cs="Arial"/>
          <w:szCs w:val="24"/>
        </w:rPr>
        <w:t xml:space="preserve">he had breast cancer at about seventy...and supposedly...they got it all. It was at the end of the breast, and she hadn't had any problems. Never even took anything but a Tylenol...but you wonder if the cancer cells didn't get loose somewhere because then I lost her at seventy-five...to leukemia. It was really hard. My mother was really, really good. In fact, I was furious at the doctor. They thought she had some...Alzheimer's type stuff, but he should have been catching </w:t>
      </w:r>
      <w:r w:rsidR="0092159E">
        <w:rPr>
          <w:rFonts w:cs="Arial"/>
          <w:szCs w:val="24"/>
        </w:rPr>
        <w:t xml:space="preserve">that </w:t>
      </w:r>
      <w:r w:rsidRPr="00424BD3">
        <w:rPr>
          <w:rFonts w:cs="Arial"/>
          <w:szCs w:val="24"/>
        </w:rPr>
        <w:t xml:space="preserve">because the spleen was enlarged and, to me, he should have been knowing something bad was going on because </w:t>
      </w:r>
      <w:r w:rsidR="0092159E">
        <w:rPr>
          <w:rFonts w:cs="Arial"/>
          <w:szCs w:val="24"/>
        </w:rPr>
        <w:t>by</w:t>
      </w:r>
      <w:r w:rsidRPr="00424BD3">
        <w:rPr>
          <w:rFonts w:cs="Arial"/>
          <w:szCs w:val="24"/>
        </w:rPr>
        <w:t xml:space="preserve"> the time we got to the cancer doctor...he said. "Well, people can live...ten years with </w:t>
      </w:r>
      <w:r w:rsidRPr="00424BD3">
        <w:rPr>
          <w:rFonts w:cs="Arial"/>
          <w:szCs w:val="24"/>
        </w:rPr>
        <w:lastRenderedPageBreak/>
        <w:t>this</w:t>
      </w:r>
      <w:r w:rsidR="0092159E">
        <w:rPr>
          <w:rFonts w:cs="Arial"/>
          <w:szCs w:val="24"/>
        </w:rPr>
        <w:t>.” W</w:t>
      </w:r>
      <w:r w:rsidRPr="00424BD3">
        <w:rPr>
          <w:rFonts w:cs="Arial"/>
          <w:szCs w:val="24"/>
        </w:rPr>
        <w:t>ell she didn't even make it a year, and I just boohooed at the ten years [mark]. I feel like the primary care let us down. I would not go to him, ever, because he didn't catch, he should have caught what my mother was having going on."</w:t>
      </w:r>
    </w:p>
    <w:p w14:paraId="68F610F0" w14:textId="2F32C631" w:rsidR="008844E4" w:rsidRPr="00424BD3" w:rsidRDefault="008A282C" w:rsidP="000126EE">
      <w:pPr>
        <w:spacing w:after="0" w:line="480" w:lineRule="auto"/>
        <w:ind w:firstLine="720"/>
        <w:rPr>
          <w:rFonts w:cs="Arial"/>
          <w:szCs w:val="24"/>
        </w:rPr>
      </w:pPr>
      <w:r w:rsidRPr="00424BD3">
        <w:rPr>
          <w:rFonts w:cs="Arial"/>
          <w:szCs w:val="24"/>
        </w:rPr>
        <w:t>O</w:t>
      </w:r>
      <w:r w:rsidR="008844E4" w:rsidRPr="00424BD3">
        <w:rPr>
          <w:rFonts w:cs="Arial"/>
          <w:szCs w:val="24"/>
        </w:rPr>
        <w:t xml:space="preserve">f the deaths disclosed, cancer had the highest number of perceived causes of death for the women’s family members. Cynthia, Carolyn, Deborah, Peggy, Anita, Kathryn, Ruth, </w:t>
      </w:r>
      <w:r w:rsidR="00142AC4">
        <w:rPr>
          <w:rFonts w:cs="Arial"/>
          <w:szCs w:val="24"/>
        </w:rPr>
        <w:t xml:space="preserve">and </w:t>
      </w:r>
      <w:r w:rsidR="008844E4" w:rsidRPr="00424BD3">
        <w:rPr>
          <w:rFonts w:cs="Arial"/>
          <w:szCs w:val="24"/>
        </w:rPr>
        <w:t>Sharon had family members they perceived as having died from cancer</w:t>
      </w:r>
      <w:r w:rsidR="002628B4" w:rsidRPr="00424BD3">
        <w:rPr>
          <w:rFonts w:cs="Arial"/>
          <w:szCs w:val="24"/>
        </w:rPr>
        <w:t xml:space="preserve">: </w:t>
      </w:r>
      <w:r w:rsidR="008844E4" w:rsidRPr="00424BD3">
        <w:rPr>
          <w:rFonts w:cs="Arial"/>
          <w:szCs w:val="24"/>
        </w:rPr>
        <w:t>Cynthia, Debbie, Peggy, Anita, and Sharon had more than one family member die from cancer</w:t>
      </w:r>
      <w:r w:rsidR="002628B4" w:rsidRPr="00424BD3">
        <w:rPr>
          <w:rFonts w:cs="Arial"/>
          <w:szCs w:val="24"/>
        </w:rPr>
        <w:t xml:space="preserve">; </w:t>
      </w:r>
      <w:r w:rsidR="008844E4" w:rsidRPr="00424BD3">
        <w:rPr>
          <w:rFonts w:cs="Arial"/>
          <w:szCs w:val="24"/>
        </w:rPr>
        <w:t>Anita lost both of her parents and several cousins</w:t>
      </w:r>
      <w:r w:rsidR="002628B4" w:rsidRPr="00424BD3">
        <w:rPr>
          <w:rFonts w:cs="Arial"/>
          <w:szCs w:val="24"/>
        </w:rPr>
        <w:t xml:space="preserve">; </w:t>
      </w:r>
      <w:r w:rsidR="008844E4" w:rsidRPr="00424BD3">
        <w:rPr>
          <w:rFonts w:cs="Arial"/>
          <w:szCs w:val="24"/>
        </w:rPr>
        <w:t xml:space="preserve">Cynthia lost two of her maternal aunts who also lost their father; </w:t>
      </w:r>
      <w:r w:rsidR="00A34BCF" w:rsidRPr="00424BD3">
        <w:rPr>
          <w:rFonts w:cs="Arial"/>
          <w:szCs w:val="24"/>
        </w:rPr>
        <w:t xml:space="preserve">Peggy lost both of her wives; </w:t>
      </w:r>
      <w:r w:rsidR="008844E4" w:rsidRPr="00424BD3">
        <w:rPr>
          <w:rFonts w:cs="Arial"/>
          <w:szCs w:val="24"/>
        </w:rPr>
        <w:t>Sharon lost several unspecified family members, going so far as to say it is the most common cause of death in her family.</w:t>
      </w:r>
    </w:p>
    <w:p w14:paraId="42F4B927" w14:textId="56FFF233" w:rsidR="008844E4" w:rsidRPr="00424BD3" w:rsidRDefault="008844E4" w:rsidP="000126EE">
      <w:pPr>
        <w:spacing w:after="0" w:line="480" w:lineRule="auto"/>
        <w:ind w:firstLine="720"/>
        <w:rPr>
          <w:rFonts w:cs="Arial"/>
          <w:szCs w:val="24"/>
        </w:rPr>
      </w:pPr>
      <w:r w:rsidRPr="00424BD3">
        <w:rPr>
          <w:rFonts w:cs="Arial"/>
          <w:szCs w:val="24"/>
        </w:rPr>
        <w:t>Heart attack was the second leading perceived cause of death for the women’s family members</w:t>
      </w:r>
      <w:r w:rsidR="001A64C7" w:rsidRPr="00424BD3">
        <w:rPr>
          <w:rFonts w:cs="Arial"/>
          <w:szCs w:val="24"/>
        </w:rPr>
        <w:t xml:space="preserve">. </w:t>
      </w:r>
      <w:r w:rsidRPr="00424BD3">
        <w:rPr>
          <w:rFonts w:cs="Arial"/>
          <w:szCs w:val="24"/>
        </w:rPr>
        <w:t>Mary, Peggy, Deborah, Barbara, Cynthia, Sylvia, Carolyn, and Kathryn had family members who have died (or are believed to have died) from heart attacks</w:t>
      </w:r>
      <w:r w:rsidR="00AD0BC2" w:rsidRPr="00424BD3">
        <w:rPr>
          <w:rFonts w:cs="Arial"/>
          <w:szCs w:val="24"/>
        </w:rPr>
        <w:t>: Mary’s maternal grandmother; Cynthia’s father and she assumed her paternal grandfather; Barbara’s father</w:t>
      </w:r>
      <w:r w:rsidR="00C46572" w:rsidRPr="00424BD3">
        <w:rPr>
          <w:rFonts w:cs="Arial"/>
          <w:szCs w:val="24"/>
        </w:rPr>
        <w:t xml:space="preserve">, as told to her by her children, since she had lost contact with her father; </w:t>
      </w:r>
      <w:r w:rsidR="0078774B" w:rsidRPr="00424BD3">
        <w:rPr>
          <w:rFonts w:cs="Arial"/>
          <w:szCs w:val="24"/>
        </w:rPr>
        <w:t xml:space="preserve">all four of Peggy’s grandparents, to the best of her knowledge; </w:t>
      </w:r>
      <w:r w:rsidR="00941E57" w:rsidRPr="00424BD3">
        <w:rPr>
          <w:rFonts w:cs="Arial"/>
          <w:szCs w:val="24"/>
        </w:rPr>
        <w:t xml:space="preserve">possibly </w:t>
      </w:r>
      <w:r w:rsidR="00D640BA" w:rsidRPr="00424BD3">
        <w:rPr>
          <w:rFonts w:cs="Arial"/>
          <w:szCs w:val="24"/>
        </w:rPr>
        <w:t>Carolyn’s father</w:t>
      </w:r>
      <w:r w:rsidR="00881A66" w:rsidRPr="00424BD3">
        <w:rPr>
          <w:rFonts w:cs="Arial"/>
          <w:szCs w:val="24"/>
        </w:rPr>
        <w:t xml:space="preserve">; </w:t>
      </w:r>
      <w:r w:rsidRPr="00424BD3">
        <w:rPr>
          <w:rFonts w:cs="Arial"/>
          <w:szCs w:val="24"/>
        </w:rPr>
        <w:t>Sylvia paternal uncle at a young age</w:t>
      </w:r>
      <w:r w:rsidR="00881A66" w:rsidRPr="00424BD3">
        <w:rPr>
          <w:rFonts w:cs="Arial"/>
          <w:szCs w:val="24"/>
        </w:rPr>
        <w:t>;</w:t>
      </w:r>
      <w:r w:rsidRPr="00424BD3">
        <w:rPr>
          <w:rFonts w:cs="Arial"/>
          <w:szCs w:val="24"/>
        </w:rPr>
        <w:t xml:space="preserve"> Kathryn</w:t>
      </w:r>
      <w:r w:rsidR="00881A66" w:rsidRPr="00424BD3">
        <w:rPr>
          <w:rFonts w:cs="Arial"/>
          <w:szCs w:val="24"/>
        </w:rPr>
        <w:t xml:space="preserve">’s </w:t>
      </w:r>
      <w:r w:rsidRPr="00424BD3">
        <w:rPr>
          <w:rFonts w:cs="Arial"/>
          <w:szCs w:val="24"/>
        </w:rPr>
        <w:t>brother</w:t>
      </w:r>
      <w:r w:rsidR="00881A66" w:rsidRPr="00424BD3">
        <w:rPr>
          <w:rFonts w:cs="Arial"/>
          <w:szCs w:val="24"/>
        </w:rPr>
        <w:t xml:space="preserve">; </w:t>
      </w:r>
      <w:r w:rsidRPr="00424BD3">
        <w:rPr>
          <w:rFonts w:cs="Arial"/>
          <w:szCs w:val="24"/>
        </w:rPr>
        <w:t>Deborah</w:t>
      </w:r>
      <w:r w:rsidR="0065744A" w:rsidRPr="00424BD3">
        <w:rPr>
          <w:rFonts w:cs="Arial"/>
          <w:szCs w:val="24"/>
        </w:rPr>
        <w:t>’s</w:t>
      </w:r>
      <w:r w:rsidRPr="00424BD3">
        <w:rPr>
          <w:rFonts w:cs="Arial"/>
          <w:szCs w:val="24"/>
        </w:rPr>
        <w:t xml:space="preserve"> husband, who died </w:t>
      </w:r>
      <w:r w:rsidR="0065744A" w:rsidRPr="00424BD3">
        <w:rPr>
          <w:rFonts w:cs="Arial"/>
          <w:szCs w:val="24"/>
        </w:rPr>
        <w:t>tragically</w:t>
      </w:r>
      <w:r w:rsidRPr="00424BD3">
        <w:rPr>
          <w:rFonts w:cs="Arial"/>
          <w:szCs w:val="24"/>
        </w:rPr>
        <w:t xml:space="preserve"> of </w:t>
      </w:r>
      <w:r w:rsidR="0065744A" w:rsidRPr="00424BD3">
        <w:rPr>
          <w:rFonts w:cs="Arial"/>
          <w:szCs w:val="24"/>
        </w:rPr>
        <w:t xml:space="preserve">what is known colloquially as </w:t>
      </w:r>
      <w:r w:rsidRPr="00424BD3">
        <w:rPr>
          <w:rFonts w:cs="Arial"/>
          <w:szCs w:val="24"/>
        </w:rPr>
        <w:t>a “widowmaker” heart attack at age 52</w:t>
      </w:r>
      <w:r w:rsidR="0065744A" w:rsidRPr="00424BD3">
        <w:rPr>
          <w:rFonts w:cs="Arial"/>
          <w:szCs w:val="24"/>
        </w:rPr>
        <w:t xml:space="preserve"> years</w:t>
      </w:r>
      <w:r w:rsidRPr="00424BD3">
        <w:rPr>
          <w:rFonts w:cs="Arial"/>
          <w:szCs w:val="24"/>
        </w:rPr>
        <w:t xml:space="preserve">. Deborah’s husband died in the garage while the family was in the house preparing to do some work together. She cried throughout the interview when discussing her husband. Again, </w:t>
      </w:r>
      <w:r w:rsidR="00A54912" w:rsidRPr="00424BD3">
        <w:rPr>
          <w:rFonts w:cs="Arial"/>
          <w:szCs w:val="24"/>
        </w:rPr>
        <w:t xml:space="preserve">an offer was made </w:t>
      </w:r>
      <w:r w:rsidRPr="00424BD3">
        <w:rPr>
          <w:rFonts w:cs="Arial"/>
          <w:szCs w:val="24"/>
        </w:rPr>
        <w:t xml:space="preserve">to stop the interview, but she wished </w:t>
      </w:r>
      <w:r w:rsidRPr="00424BD3">
        <w:rPr>
          <w:rFonts w:cs="Arial"/>
          <w:szCs w:val="24"/>
        </w:rPr>
        <w:lastRenderedPageBreak/>
        <w:t xml:space="preserve">to continue, to share the horrific loss of her husband, the discovery of her children’s own heart related conditions, and the subsequent health actions her children have undertaken to mitigate the impact of those conditions. </w:t>
      </w:r>
    </w:p>
    <w:p w14:paraId="416FF192" w14:textId="4DC447B8" w:rsidR="008844E4" w:rsidRPr="00424BD3" w:rsidRDefault="00A139BC" w:rsidP="000126EE">
      <w:pPr>
        <w:spacing w:after="0" w:line="480" w:lineRule="auto"/>
        <w:ind w:firstLine="720"/>
        <w:rPr>
          <w:rFonts w:cs="Arial"/>
          <w:szCs w:val="24"/>
        </w:rPr>
      </w:pPr>
      <w:r w:rsidRPr="00424BD3">
        <w:rPr>
          <w:rFonts w:cs="Arial"/>
          <w:szCs w:val="24"/>
        </w:rPr>
        <w:t xml:space="preserve">Several of the women </w:t>
      </w:r>
      <w:r w:rsidR="00E6167A" w:rsidRPr="00424BD3">
        <w:rPr>
          <w:rFonts w:cs="Arial"/>
          <w:szCs w:val="24"/>
        </w:rPr>
        <w:t xml:space="preserve">referred to </w:t>
      </w:r>
      <w:r w:rsidR="000B3678" w:rsidRPr="00424BD3">
        <w:rPr>
          <w:rFonts w:cs="Arial"/>
          <w:szCs w:val="24"/>
        </w:rPr>
        <w:t>“</w:t>
      </w:r>
      <w:r w:rsidR="00E6167A" w:rsidRPr="00424BD3">
        <w:rPr>
          <w:rFonts w:cs="Arial"/>
          <w:szCs w:val="24"/>
        </w:rPr>
        <w:t>heart issues</w:t>
      </w:r>
      <w:r w:rsidR="000B3678" w:rsidRPr="00424BD3">
        <w:rPr>
          <w:rFonts w:cs="Arial"/>
          <w:szCs w:val="24"/>
        </w:rPr>
        <w:t>”</w:t>
      </w:r>
      <w:r w:rsidR="00E6167A" w:rsidRPr="00424BD3">
        <w:rPr>
          <w:rFonts w:cs="Arial"/>
          <w:szCs w:val="24"/>
        </w:rPr>
        <w:t xml:space="preserve"> as a cause of death</w:t>
      </w:r>
      <w:r w:rsidR="00BD2761" w:rsidRPr="00424BD3">
        <w:rPr>
          <w:rFonts w:cs="Arial"/>
          <w:szCs w:val="24"/>
        </w:rPr>
        <w:t xml:space="preserve"> for</w:t>
      </w:r>
      <w:r w:rsidR="00E6167A" w:rsidRPr="00424BD3">
        <w:rPr>
          <w:rFonts w:cs="Arial"/>
          <w:szCs w:val="24"/>
        </w:rPr>
        <w:t xml:space="preserve"> their famil</w:t>
      </w:r>
      <w:r w:rsidR="00BD2761" w:rsidRPr="00424BD3">
        <w:rPr>
          <w:rFonts w:cs="Arial"/>
          <w:szCs w:val="24"/>
        </w:rPr>
        <w:t>y members</w:t>
      </w:r>
      <w:r w:rsidR="00E6167A" w:rsidRPr="00424BD3">
        <w:rPr>
          <w:rFonts w:cs="Arial"/>
          <w:szCs w:val="24"/>
        </w:rPr>
        <w:t xml:space="preserve">: </w:t>
      </w:r>
      <w:r w:rsidR="008844E4" w:rsidRPr="00424BD3">
        <w:rPr>
          <w:rFonts w:cs="Arial"/>
          <w:szCs w:val="24"/>
        </w:rPr>
        <w:t>Sylvia’s father</w:t>
      </w:r>
      <w:r w:rsidR="0014017D" w:rsidRPr="00424BD3">
        <w:rPr>
          <w:rFonts w:cs="Arial"/>
          <w:szCs w:val="24"/>
        </w:rPr>
        <w:t xml:space="preserve">; </w:t>
      </w:r>
      <w:r w:rsidR="000B3678" w:rsidRPr="00424BD3">
        <w:rPr>
          <w:rFonts w:cs="Arial"/>
          <w:szCs w:val="24"/>
        </w:rPr>
        <w:t>Deborah’s maternal grandparents; Cynthia</w:t>
      </w:r>
      <w:r w:rsidR="00BD2761" w:rsidRPr="00424BD3">
        <w:rPr>
          <w:rFonts w:cs="Arial"/>
          <w:szCs w:val="24"/>
        </w:rPr>
        <w:t xml:space="preserve">’ </w:t>
      </w:r>
      <w:r w:rsidR="000B3678" w:rsidRPr="00424BD3">
        <w:rPr>
          <w:rFonts w:cs="Arial"/>
          <w:szCs w:val="24"/>
        </w:rPr>
        <w:t>maternal grandmother</w:t>
      </w:r>
      <w:r w:rsidR="00BD2761" w:rsidRPr="00424BD3">
        <w:rPr>
          <w:rFonts w:cs="Arial"/>
          <w:szCs w:val="24"/>
        </w:rPr>
        <w:t xml:space="preserve">; possibly </w:t>
      </w:r>
      <w:r w:rsidR="000B3678" w:rsidRPr="00424BD3">
        <w:rPr>
          <w:rFonts w:cs="Arial"/>
          <w:szCs w:val="24"/>
        </w:rPr>
        <w:t>Margaret</w:t>
      </w:r>
      <w:r w:rsidR="00BD2761" w:rsidRPr="00424BD3">
        <w:rPr>
          <w:rFonts w:cs="Arial"/>
          <w:szCs w:val="24"/>
        </w:rPr>
        <w:t>’s</w:t>
      </w:r>
      <w:r w:rsidR="00C70AAB" w:rsidRPr="00424BD3">
        <w:rPr>
          <w:rFonts w:cs="Arial"/>
          <w:szCs w:val="24"/>
        </w:rPr>
        <w:t xml:space="preserve"> </w:t>
      </w:r>
      <w:r w:rsidR="000B3678" w:rsidRPr="00424BD3">
        <w:rPr>
          <w:rFonts w:cs="Arial"/>
          <w:szCs w:val="24"/>
        </w:rPr>
        <w:t>mother</w:t>
      </w:r>
      <w:r w:rsidR="00C70AAB" w:rsidRPr="00424BD3">
        <w:rPr>
          <w:rFonts w:cs="Arial"/>
          <w:szCs w:val="24"/>
        </w:rPr>
        <w:t>; and</w:t>
      </w:r>
      <w:r w:rsidR="008844E4" w:rsidRPr="00424BD3">
        <w:rPr>
          <w:rFonts w:cs="Arial"/>
          <w:szCs w:val="24"/>
        </w:rPr>
        <w:t xml:space="preserve"> Kathryn’s maternal grandmother </w:t>
      </w:r>
      <w:r w:rsidR="00C70AAB" w:rsidRPr="00424BD3">
        <w:rPr>
          <w:rFonts w:cs="Arial"/>
          <w:szCs w:val="24"/>
        </w:rPr>
        <w:t xml:space="preserve">who she stated </w:t>
      </w:r>
      <w:r w:rsidR="008844E4" w:rsidRPr="00424BD3">
        <w:rPr>
          <w:rFonts w:cs="Arial"/>
          <w:szCs w:val="24"/>
        </w:rPr>
        <w:t>died of congestive heart failure</w:t>
      </w:r>
      <w:r w:rsidR="00C70AAB" w:rsidRPr="00424BD3">
        <w:rPr>
          <w:rFonts w:cs="Arial"/>
          <w:szCs w:val="24"/>
        </w:rPr>
        <w:t xml:space="preserve">. </w:t>
      </w:r>
    </w:p>
    <w:p w14:paraId="7583BA06" w14:textId="7AD6F0D4" w:rsidR="008844E4" w:rsidRPr="00424BD3" w:rsidRDefault="00EB5194" w:rsidP="000126EE">
      <w:pPr>
        <w:spacing w:after="0" w:line="480" w:lineRule="auto"/>
        <w:ind w:firstLine="720"/>
        <w:rPr>
          <w:rFonts w:cs="Arial"/>
          <w:szCs w:val="24"/>
        </w:rPr>
      </w:pPr>
      <w:r w:rsidRPr="00424BD3">
        <w:rPr>
          <w:rFonts w:cs="Arial"/>
          <w:szCs w:val="24"/>
        </w:rPr>
        <w:t xml:space="preserve">Mary, Deborah, Carolyn, and Sharon had family members who died </w:t>
      </w:r>
      <w:r w:rsidR="00646096" w:rsidRPr="00424BD3">
        <w:rPr>
          <w:rFonts w:cs="Arial"/>
          <w:szCs w:val="24"/>
        </w:rPr>
        <w:t xml:space="preserve">of stroke and stroke complications: </w:t>
      </w:r>
      <w:r w:rsidR="008844E4" w:rsidRPr="00424BD3">
        <w:rPr>
          <w:rFonts w:cs="Arial"/>
          <w:szCs w:val="24"/>
        </w:rPr>
        <w:t>Mary’s maternal grandmother</w:t>
      </w:r>
      <w:r w:rsidR="00646096" w:rsidRPr="00424BD3">
        <w:rPr>
          <w:rFonts w:cs="Arial"/>
          <w:szCs w:val="24"/>
        </w:rPr>
        <w:t xml:space="preserve">; </w:t>
      </w:r>
      <w:r w:rsidR="008844E4" w:rsidRPr="00424BD3">
        <w:rPr>
          <w:rFonts w:cs="Arial"/>
          <w:szCs w:val="24"/>
        </w:rPr>
        <w:t>Deborah’s paternal grandmother</w:t>
      </w:r>
      <w:r w:rsidR="00646096" w:rsidRPr="00424BD3">
        <w:rPr>
          <w:rFonts w:cs="Arial"/>
          <w:szCs w:val="24"/>
        </w:rPr>
        <w:t xml:space="preserve"> and possibly her f</w:t>
      </w:r>
      <w:r w:rsidR="007F5DF5" w:rsidRPr="00424BD3">
        <w:rPr>
          <w:rFonts w:cs="Arial"/>
          <w:szCs w:val="24"/>
        </w:rPr>
        <w:t xml:space="preserve">ather; </w:t>
      </w:r>
      <w:r w:rsidR="008844E4" w:rsidRPr="00424BD3">
        <w:rPr>
          <w:rFonts w:cs="Arial"/>
          <w:szCs w:val="24"/>
        </w:rPr>
        <w:t>Carolyn’s maternal grandmother</w:t>
      </w:r>
      <w:r w:rsidR="007F5DF5" w:rsidRPr="00424BD3">
        <w:rPr>
          <w:rFonts w:cs="Arial"/>
          <w:szCs w:val="24"/>
        </w:rPr>
        <w:t>;</w:t>
      </w:r>
      <w:r w:rsidR="008844E4" w:rsidRPr="00424BD3">
        <w:rPr>
          <w:rFonts w:cs="Arial"/>
          <w:szCs w:val="24"/>
        </w:rPr>
        <w:t xml:space="preserve"> and several unspecified members of Sharon’s family. Although alcoholism affected several of the women’s families, only Peggy and Margaret reported alcoholism as a cause of death for family members. Alzheimer’s caused the death of two of Sylvia’s aunts who were sisters, a disease which Sylvia perceives as genetic within her family. Both Mary and Margaret lost their fathers to sepsis. Mary’s father’s sepsis was due to an IV after a pacemaker installation surgery. “It took him 82 days to die,” she said, and stated that her brother had to fight the hospital to keep their father in the hospital after sepsis set in rather than the hospital transferring him to a nursing home. Mary spoke with bitterness and anger about what happened to her father, having also lost a maternal great-grandfather to surgery complications. </w:t>
      </w:r>
    </w:p>
    <w:p w14:paraId="59847B61" w14:textId="238365E9" w:rsidR="008844E4" w:rsidRPr="00424BD3" w:rsidRDefault="008844E4" w:rsidP="000126EE">
      <w:pPr>
        <w:spacing w:after="0" w:line="480" w:lineRule="auto"/>
        <w:ind w:firstLine="720"/>
        <w:rPr>
          <w:rFonts w:cs="Arial"/>
          <w:szCs w:val="24"/>
        </w:rPr>
      </w:pPr>
      <w:r w:rsidRPr="00424BD3">
        <w:rPr>
          <w:rFonts w:cs="Arial"/>
          <w:szCs w:val="24"/>
        </w:rPr>
        <w:t xml:space="preserve">Mary and Peggy lost family members to secondary blood clots, one caused by a fall and the other after a surgery. Anita also believed that several of her unspecified cousin’s deaths were due to ‘blood issues’. A brain embolism caused Cynthia’s paternal </w:t>
      </w:r>
      <w:r w:rsidRPr="00424BD3">
        <w:rPr>
          <w:rFonts w:cs="Arial"/>
          <w:szCs w:val="24"/>
        </w:rPr>
        <w:lastRenderedPageBreak/>
        <w:t xml:space="preserve">grandmother’s death, while a brain tumor caused Sylvia’s paternal uncle’s death at a young age. Diabetes complications were the cause of Sylvia’s paternal grandfather’s death as well as several unspecified members of Sharon’s family. Ruth’s father died from internal bleeding from a fall. Barbara’s mother died from pneumonia. Peggy’s mother, having battled </w:t>
      </w:r>
      <w:r w:rsidR="00FF3BBE" w:rsidRPr="00424BD3">
        <w:rPr>
          <w:rFonts w:cs="Arial"/>
          <w:szCs w:val="24"/>
        </w:rPr>
        <w:t>illness</w:t>
      </w:r>
      <w:r w:rsidRPr="00424BD3">
        <w:rPr>
          <w:rFonts w:cs="Arial"/>
          <w:szCs w:val="24"/>
        </w:rPr>
        <w:t xml:space="preserve"> her entire adult life, succumbed to renal failure due to post-</w:t>
      </w:r>
      <w:r w:rsidR="00FF3BBE" w:rsidRPr="00424BD3">
        <w:rPr>
          <w:rFonts w:cs="Arial"/>
          <w:szCs w:val="24"/>
        </w:rPr>
        <w:t>illness</w:t>
      </w:r>
      <w:r w:rsidRPr="00424BD3">
        <w:rPr>
          <w:rFonts w:cs="Arial"/>
          <w:szCs w:val="24"/>
        </w:rPr>
        <w:t xml:space="preserve"> syndrome.</w:t>
      </w:r>
    </w:p>
    <w:p w14:paraId="6503D681" w14:textId="1FB3EB1E" w:rsidR="001C2B84" w:rsidRPr="00424BD3" w:rsidRDefault="008844E4" w:rsidP="000126EE">
      <w:pPr>
        <w:spacing w:after="0" w:line="480" w:lineRule="auto"/>
        <w:ind w:firstLine="720"/>
        <w:rPr>
          <w:rFonts w:cs="Arial"/>
          <w:szCs w:val="24"/>
        </w:rPr>
      </w:pPr>
      <w:r w:rsidRPr="00424BD3">
        <w:rPr>
          <w:rFonts w:cs="Arial"/>
          <w:szCs w:val="24"/>
        </w:rPr>
        <w:t>Mary’s family suffered three particularly poignant family deaths, all involving paternal and maternal uncles. Like Deborah’s story about her husband, Mary’s stories about her uncles ha</w:t>
      </w:r>
      <w:r w:rsidR="00CC79E8">
        <w:rPr>
          <w:rFonts w:cs="Arial"/>
          <w:szCs w:val="24"/>
        </w:rPr>
        <w:t>ve</w:t>
      </w:r>
      <w:r w:rsidRPr="00424BD3">
        <w:rPr>
          <w:rFonts w:cs="Arial"/>
          <w:szCs w:val="24"/>
        </w:rPr>
        <w:t xml:space="preserve"> stayed with me. Mary stated that she believes one paternal uncle died of heartbreak six months after the death of his wife. He was 94 years old and had known his wife since the second grade (around age seven). Another paternal uncle died during World War </w:t>
      </w:r>
      <w:r w:rsidR="00876661" w:rsidRPr="00424BD3">
        <w:rPr>
          <w:rFonts w:cs="Arial"/>
          <w:szCs w:val="24"/>
        </w:rPr>
        <w:t>II</w:t>
      </w:r>
      <w:r w:rsidRPr="00424BD3">
        <w:rPr>
          <w:rFonts w:cs="Arial"/>
          <w:szCs w:val="24"/>
        </w:rPr>
        <w:t xml:space="preserve">, killed in the Battle of the Bulge at age 17. Her maternal uncle, at 88, had fallen and required permanent care. He was afraid to go into a nursing home and didn’t want to take family members up on an offer of living with them. </w:t>
      </w:r>
    </w:p>
    <w:p w14:paraId="279468E2" w14:textId="4758E9A7" w:rsidR="008736D6" w:rsidRPr="00424BD3" w:rsidRDefault="008157BA" w:rsidP="008736D6">
      <w:pPr>
        <w:spacing w:after="0" w:line="480" w:lineRule="auto"/>
        <w:ind w:firstLine="720"/>
        <w:rPr>
          <w:rFonts w:cs="Arial"/>
          <w:szCs w:val="24"/>
        </w:rPr>
      </w:pPr>
      <w:r w:rsidRPr="00424BD3">
        <w:rPr>
          <w:rFonts w:cs="Arial"/>
          <w:szCs w:val="24"/>
        </w:rPr>
        <w:t>“[uncle’s name] shot himself when he was 88 because he had fallen</w:t>
      </w:r>
      <w:r w:rsidR="006E62FD">
        <w:rPr>
          <w:rFonts w:cs="Arial"/>
          <w:szCs w:val="24"/>
        </w:rPr>
        <w:t>,</w:t>
      </w:r>
      <w:r w:rsidRPr="00424BD3">
        <w:rPr>
          <w:rFonts w:cs="Arial"/>
          <w:szCs w:val="24"/>
        </w:rPr>
        <w:t xml:space="preserve"> and he was afraid of going into a nursing home</w:t>
      </w:r>
      <w:r w:rsidR="006E62FD">
        <w:rPr>
          <w:rFonts w:cs="Arial"/>
          <w:szCs w:val="24"/>
        </w:rPr>
        <w:t>,</w:t>
      </w:r>
      <w:r w:rsidRPr="00424BD3">
        <w:rPr>
          <w:rFonts w:cs="Arial"/>
          <w:szCs w:val="24"/>
        </w:rPr>
        <w:t xml:space="preserve"> and my mother had called him after he had fallen and said, “What do you need?”</w:t>
      </w:r>
      <w:r w:rsidR="006E62FD">
        <w:rPr>
          <w:rFonts w:cs="Arial"/>
          <w:szCs w:val="24"/>
        </w:rPr>
        <w:t>,</w:t>
      </w:r>
      <w:r w:rsidRPr="00424BD3">
        <w:rPr>
          <w:rFonts w:cs="Arial"/>
          <w:szCs w:val="24"/>
        </w:rPr>
        <w:t xml:space="preserve"> and I told him he could come and live with me, and I would come down and get him. He lived in [name of town] and, um, instead, he chose that</w:t>
      </w:r>
      <w:r w:rsidR="003E4289">
        <w:rPr>
          <w:rFonts w:cs="Arial"/>
          <w:szCs w:val="24"/>
        </w:rPr>
        <w:t>,</w:t>
      </w:r>
      <w:r w:rsidRPr="00424BD3">
        <w:rPr>
          <w:rFonts w:cs="Arial"/>
          <w:szCs w:val="24"/>
        </w:rPr>
        <w:t xml:space="preserve"> and it’s hard not to go through second by second what happened.” When recounting this death, in particular, Mary spoke of how she understood his decision, though it devastated the family. </w:t>
      </w:r>
    </w:p>
    <w:p w14:paraId="61D8D751" w14:textId="6142FD87" w:rsidR="008844E4" w:rsidRPr="00424BD3" w:rsidRDefault="008844E4" w:rsidP="000126EE">
      <w:pPr>
        <w:spacing w:after="0" w:line="480" w:lineRule="auto"/>
        <w:ind w:firstLine="720"/>
        <w:rPr>
          <w:rFonts w:cs="Arial"/>
          <w:szCs w:val="24"/>
        </w:rPr>
      </w:pPr>
      <w:r w:rsidRPr="00424BD3">
        <w:rPr>
          <w:rFonts w:cs="Arial"/>
          <w:szCs w:val="24"/>
        </w:rPr>
        <w:t xml:space="preserve">As noted, this study happened during the time of the </w:t>
      </w:r>
      <w:r w:rsidR="0034211A" w:rsidRPr="00424BD3">
        <w:rPr>
          <w:rFonts w:cs="Arial"/>
          <w:szCs w:val="24"/>
        </w:rPr>
        <w:t>COVID-19</w:t>
      </w:r>
      <w:r w:rsidRPr="00424BD3">
        <w:rPr>
          <w:rFonts w:cs="Arial"/>
          <w:szCs w:val="24"/>
        </w:rPr>
        <w:t xml:space="preserve"> pandemic. Just prior to these interviews, Sylvia lost her maternal aunt, aged 93</w:t>
      </w:r>
      <w:r w:rsidR="00B56B64" w:rsidRPr="00424BD3">
        <w:rPr>
          <w:rFonts w:cs="Arial"/>
          <w:szCs w:val="24"/>
        </w:rPr>
        <w:t xml:space="preserve"> years</w:t>
      </w:r>
      <w:r w:rsidRPr="00424BD3">
        <w:rPr>
          <w:rFonts w:cs="Arial"/>
          <w:szCs w:val="24"/>
        </w:rPr>
        <w:t xml:space="preserve">, to </w:t>
      </w:r>
      <w:r w:rsidR="0034211A" w:rsidRPr="00424BD3">
        <w:rPr>
          <w:rFonts w:cs="Arial"/>
          <w:szCs w:val="24"/>
        </w:rPr>
        <w:t>COVID-19</w:t>
      </w:r>
      <w:r w:rsidRPr="00424BD3">
        <w:rPr>
          <w:rFonts w:cs="Arial"/>
          <w:szCs w:val="24"/>
        </w:rPr>
        <w:t xml:space="preserve">, </w:t>
      </w:r>
      <w:r w:rsidRPr="00424BD3">
        <w:rPr>
          <w:rFonts w:cs="Arial"/>
          <w:szCs w:val="24"/>
        </w:rPr>
        <w:lastRenderedPageBreak/>
        <w:t xml:space="preserve">while Anita </w:t>
      </w:r>
      <w:r w:rsidR="00727203" w:rsidRPr="00424BD3">
        <w:rPr>
          <w:rFonts w:cs="Arial"/>
          <w:szCs w:val="24"/>
        </w:rPr>
        <w:t xml:space="preserve">stated </w:t>
      </w:r>
      <w:r w:rsidR="00F56141" w:rsidRPr="00424BD3">
        <w:rPr>
          <w:rFonts w:cs="Arial"/>
          <w:szCs w:val="24"/>
        </w:rPr>
        <w:t xml:space="preserve">that she </w:t>
      </w:r>
      <w:r w:rsidRPr="00424BD3">
        <w:rPr>
          <w:rFonts w:cs="Arial"/>
          <w:szCs w:val="24"/>
        </w:rPr>
        <w:t xml:space="preserve">lost her brother to respiratory illness causing him to be </w:t>
      </w:r>
      <w:r w:rsidR="00F56141" w:rsidRPr="00424BD3">
        <w:rPr>
          <w:rFonts w:cs="Arial"/>
          <w:szCs w:val="24"/>
        </w:rPr>
        <w:t>“</w:t>
      </w:r>
      <w:r w:rsidRPr="00424BD3">
        <w:rPr>
          <w:rFonts w:cs="Arial"/>
          <w:szCs w:val="24"/>
        </w:rPr>
        <w:t>unable to breathe</w:t>
      </w:r>
      <w:r w:rsidR="00F56141" w:rsidRPr="00424BD3">
        <w:rPr>
          <w:rFonts w:cs="Arial"/>
          <w:szCs w:val="24"/>
        </w:rPr>
        <w:t>”</w:t>
      </w:r>
      <w:r w:rsidRPr="00424BD3">
        <w:rPr>
          <w:rFonts w:cs="Arial"/>
          <w:szCs w:val="24"/>
        </w:rPr>
        <w:t xml:space="preserve">, which she suspects may have been </w:t>
      </w:r>
      <w:r w:rsidR="0034211A" w:rsidRPr="00424BD3">
        <w:rPr>
          <w:rFonts w:cs="Arial"/>
          <w:szCs w:val="24"/>
        </w:rPr>
        <w:t>COVID-19</w:t>
      </w:r>
      <w:r w:rsidRPr="00424BD3">
        <w:rPr>
          <w:rFonts w:cs="Arial"/>
          <w:szCs w:val="24"/>
        </w:rPr>
        <w:t xml:space="preserve">. Anita expressed hesitation in sharing with me that she thought </w:t>
      </w:r>
      <w:r w:rsidR="0034211A" w:rsidRPr="00424BD3">
        <w:rPr>
          <w:rFonts w:cs="Arial"/>
          <w:szCs w:val="24"/>
        </w:rPr>
        <w:t>COVID-19</w:t>
      </w:r>
      <w:r w:rsidRPr="00424BD3">
        <w:rPr>
          <w:rFonts w:cs="Arial"/>
          <w:szCs w:val="24"/>
        </w:rPr>
        <w:t xml:space="preserve"> might be the cause of her brother’s death, as if she was worried her brother </w:t>
      </w:r>
      <w:r w:rsidR="003E16D5" w:rsidRPr="00424BD3">
        <w:rPr>
          <w:rFonts w:cs="Arial"/>
          <w:szCs w:val="24"/>
        </w:rPr>
        <w:t xml:space="preserve">would be judged </w:t>
      </w:r>
      <w:r w:rsidRPr="00424BD3">
        <w:rPr>
          <w:rFonts w:cs="Arial"/>
          <w:szCs w:val="24"/>
        </w:rPr>
        <w:t xml:space="preserve">for this. </w:t>
      </w:r>
      <w:r w:rsidR="007D7829" w:rsidRPr="00424BD3">
        <w:rPr>
          <w:rFonts w:cs="Arial"/>
          <w:szCs w:val="24"/>
        </w:rPr>
        <w:t>This made sense</w:t>
      </w:r>
      <w:r w:rsidRPr="00424BD3">
        <w:rPr>
          <w:rFonts w:cs="Arial"/>
          <w:szCs w:val="24"/>
        </w:rPr>
        <w:t xml:space="preserve">, given the stigmatized, highly politicized, and deeply divided opinions in the U.S. over </w:t>
      </w:r>
      <w:r w:rsidR="0034211A" w:rsidRPr="00424BD3">
        <w:rPr>
          <w:rFonts w:cs="Arial"/>
          <w:szCs w:val="24"/>
        </w:rPr>
        <w:t>COVID-19</w:t>
      </w:r>
      <w:r w:rsidRPr="00424BD3">
        <w:rPr>
          <w:rFonts w:cs="Arial"/>
          <w:szCs w:val="24"/>
        </w:rPr>
        <w:t xml:space="preserve">, but once </w:t>
      </w:r>
      <w:r w:rsidR="007D7829" w:rsidRPr="00424BD3">
        <w:rPr>
          <w:rFonts w:cs="Arial"/>
          <w:szCs w:val="24"/>
        </w:rPr>
        <w:t>she did not receive an adverse reaction</w:t>
      </w:r>
      <w:r w:rsidR="00D56FAE" w:rsidRPr="00424BD3">
        <w:rPr>
          <w:rFonts w:cs="Arial"/>
          <w:szCs w:val="24"/>
        </w:rPr>
        <w:t xml:space="preserve"> from </w:t>
      </w:r>
      <w:r w:rsidR="00F87713">
        <w:rPr>
          <w:rFonts w:cs="Arial"/>
          <w:szCs w:val="24"/>
        </w:rPr>
        <w:t>me</w:t>
      </w:r>
      <w:r w:rsidRPr="00424BD3">
        <w:rPr>
          <w:rFonts w:cs="Arial"/>
          <w:szCs w:val="24"/>
        </w:rPr>
        <w:t xml:space="preserve"> to her discussion, she spoke more openly about her thoughts and beliefs about the loss of her brother. </w:t>
      </w:r>
    </w:p>
    <w:p w14:paraId="6E6D68B8" w14:textId="78DCA5F2" w:rsidR="00670077" w:rsidRPr="00424BD3" w:rsidRDefault="008844E4" w:rsidP="000126EE">
      <w:pPr>
        <w:spacing w:after="0" w:line="480" w:lineRule="auto"/>
        <w:ind w:firstLine="720"/>
        <w:rPr>
          <w:rFonts w:cs="Arial"/>
          <w:szCs w:val="24"/>
        </w:rPr>
      </w:pPr>
      <w:r w:rsidRPr="00424BD3">
        <w:rPr>
          <w:rFonts w:cs="Arial"/>
          <w:szCs w:val="24"/>
        </w:rPr>
        <w:t xml:space="preserve">Barbara, Ruth, and Carolyn attributed several of their grandparents, aunts, and uncles’ deaths to </w:t>
      </w:r>
      <w:r w:rsidRPr="00424BD3">
        <w:rPr>
          <w:rFonts w:cs="Arial"/>
          <w:bCs/>
          <w:szCs w:val="24"/>
        </w:rPr>
        <w:t>“old age”.</w:t>
      </w:r>
      <w:r w:rsidRPr="00424BD3">
        <w:rPr>
          <w:rFonts w:cs="Arial"/>
          <w:szCs w:val="24"/>
        </w:rPr>
        <w:t xml:space="preserve"> Ruth used this term most of all, attributing old age as the cause of death for older family members for whom she was unsure of the cause. This term is important because it indicates a health belief (which will be discussed in the next chapter), one that has been normed and can discredit or even perpetuate stigma for older people’s mortality </w:t>
      </w:r>
      <w:r w:rsidRPr="00424BD3">
        <w:rPr>
          <w:rFonts w:cs="Arial"/>
          <w:szCs w:val="24"/>
        </w:rPr>
        <w:fldChar w:fldCharType="begin"/>
      </w:r>
      <w:r w:rsidR="00990F3A">
        <w:rPr>
          <w:rFonts w:cs="Arial"/>
          <w:szCs w:val="24"/>
        </w:rPr>
        <w:instrText xml:space="preserve"> ADDIN ZOTERO_ITEM CSL_CITATION {"citationID":"uT7LGFjD","properties":{"formattedCitation":"(Dionigi, 2015; Stewart et al., 2012)","plainCitation":"(Dionigi, 2015; Stewart et al., 2012)","noteIndex":0},"citationItems":[{"id":1121,"uris":["http://zotero.org/users/4946941/items/LR6DPM64"],"itemData":{"id":1121,"type":"article-journal","abstract":"The purpose of this review is to present findings on the effects of stereotypes of aging on health outcomes related to older adults, such as physical and mental functioning (specifically) and overall well-being and perceived quality of life (more broadly). This review shows that both positive and negative stereotypes of aging can have enabling and constraining effects on the actions, performance, decisions, attitudes, and, consequently, holistic health of an older adult. This review further highlights a variety of limitations in stereotype research in aging contexts, including a lack of qualitative studies focusing on older adult perspectives and the fluctuating definition of what constitutes “good health” during older age.","container-title":"Journal of Geriatrics","DOI":"10.1155/2015/954027","ISSN":"2356-7414, 2314-7121","journalAbbreviation":"Journal of Geriatrics","language":"en","page":"1-9","source":"DOI.org (Crossref)","title":"Stereotypes of Aging: Their Effects on the Health of Older Adults","title-short":"Stereotypes of Aging","volume":"2015","author":[{"family":"Dionigi","given":"Rylee A."}],"issued":{"date-parts":[["2015",11,12]]}}},{"id":1119,"uris":["http://zotero.org/users/4946941/items/G98K8M4Q"],"itemData":{"id":1119,"type":"article-journal","abstract":"Stereotypic beliefs about older adults and the aging process have led to endorsement of the myth that ‘to be old is to be ill.’ This study examined community-dwelling older adults’ (N = 105, age 80+) beliefs about the causes of their chronic illness (ie, heart disease, cancer, diabetes, etc.), and tested the hypothesis that attributing the onset of illness to ‘old age’ is associated with negative health outcomes. A series of multiple regressions (controlling for chronological age, gender, income, severity of chronic conditions, functional status and health locus of control) demonstrated that ‘old age’ attributions were associated with more frequent perceived health symptoms, poorer health maintenance behaviours and a greater likelihood of mortality at 2-year follow-up. The probability of death was more than double among participants who strongly endorsed the ‘old age’ attribution as compared to those who did not (36% vs. 14%). Findings are framed in the context of self-directed stereotypes and implications for potential interventions are considered.","container-title":"Psychology &amp; Health","DOI":"10.1080/08870446.2011.630735","ISSN":"0887-0446","issue":"8","note":"publisher: Routledge\n_eprint: https://doi.org/10.1080/08870446.2011.630735\nPMID: 22149693","page":"881-897","source":"Taylor and Francis+NEJM","title":"Attributing illness to ‘old age:’ Consequences of a self-directed stereotype for health and mortality","title-short":"Attributing illness to ‘old age","volume":"27","author":[{"family":"Stewart","given":"Tara   L."},{"family":"Chipperfield","given":"Judith   G."},{"family":"Perry","given":"Raymond   P."},{"family":"Weiner","given":"Bernard"}],"issued":{"date-parts":[["2012",8,1]]}}}],"schema":"https://github.com/citation-style-language/schema/raw/master/csl-citation.json"} </w:instrText>
      </w:r>
      <w:r w:rsidRPr="00424BD3">
        <w:rPr>
          <w:rFonts w:cs="Arial"/>
          <w:szCs w:val="24"/>
        </w:rPr>
        <w:fldChar w:fldCharType="separate"/>
      </w:r>
      <w:r w:rsidRPr="00424BD3">
        <w:rPr>
          <w:rFonts w:cs="Arial"/>
        </w:rPr>
        <w:t>(Dionigi, 2015; Stewart et al., 2012)</w:t>
      </w:r>
      <w:r w:rsidRPr="00424BD3">
        <w:rPr>
          <w:rFonts w:cs="Arial"/>
          <w:szCs w:val="24"/>
        </w:rPr>
        <w:fldChar w:fldCharType="end"/>
      </w:r>
      <w:r w:rsidRPr="00424BD3">
        <w:rPr>
          <w:rFonts w:cs="Arial"/>
          <w:szCs w:val="24"/>
        </w:rPr>
        <w:t xml:space="preserve">. By no means did Ruth appear to be intentionally discrediting or wishing to perpetuate stigma, nor portray any negative judgment about old age. However, it’s precisely perceptions and beliefs – or guesses – that permeate social norms around age and health and contribute to health inequities </w:t>
      </w:r>
      <w:r w:rsidRPr="00424BD3">
        <w:rPr>
          <w:rFonts w:cs="Arial"/>
          <w:szCs w:val="24"/>
        </w:rPr>
        <w:fldChar w:fldCharType="begin"/>
      </w:r>
      <w:r w:rsidR="00023341">
        <w:rPr>
          <w:rFonts w:cs="Arial"/>
          <w:szCs w:val="24"/>
        </w:rPr>
        <w:instrText xml:space="preserve"> ADDIN ZOTERO_ITEM CSL_CITATION {"citationID":"JW4BEOSz","properties":{"formattedCitation":"(WHO, 2016; Wurm et al., 2017)","plainCitation":"(WHO, 2016; Wurm et al., 2017)","noteIndex":0},"citationItems":[{"id":1125,"uris":["http://zotero.org/users/4946941/items/TUFMTHIQ"],"itemData":{"id":1125,"type":"webpage","abstract":"New analysis by WHO shows that negative or ageist attitudes towards older people are widespread. They also negatively affect older people’s physical and mental health.","container-title":"World Health Organization (WHO)","language":"en","title":"Discrimination and negative attitudes about ageing are bad for your health","URL":"https://www.who.int/news/item/29-09-2016-discrimination-and-negative-attitudes-about-ageing-are-bad-for-your-health","author":[{"family":"WHO","given":""}],"accessed":{"date-parts":[["2022",7,16]]},"issued":{"date-parts":[["2016"]]}}},{"id":1123,"uris":["http://zotero.org/users/4946941/items/PJ5YBJ6X"],"itemData":{"id":1123,"type":"article-journal","abstract":"Personal views on aging, such as age stereotypes and subjective aging, can affect various health outcomes in later life. For the past 20 years or so, a large body of experimental and longitudinal work has provided ample evidence for this connection. Thus, it seems timely to better understand the pathways of this linkage. The majority of existing studies has either focused on age stereotypes or subjective aging. This theoretical paper provides a systematic comparison of major theoretical approaches that offer explanations through which different views on aging may affect health. After a short review of findings on the short- and long-term effects of different views on aging, we describe theoretical approaches that provide explanations of underlying mechanisms for the effect of both uni- and multidimensional views on aging on health outcomes. We compare the specific characteristics of these approaches, provide a heuristic framework and outline recommendations for future research routes. A better understanding of the impact of different views on aging on health outcomes is not only relevant for basic research in life-span developmental psychology, geropsychology and health psychology, it has also implications for intervention research and public health practices.","container-title":"Developmental review : DR","DOI":"10.1016/j.dr.2017.08.002","ISSN":"0273-2297","journalAbbreviation":"Dev Rev","note":"PMID: 33927468\nPMCID: PMC8081396","page":"27-43","source":"PubMed Central","title":"How do views on aging affect health outcomes in adulthood and late life? Explanations for an established connection","title-short":"How do views on aging affect health outcomes in adulthood and late life?","volume":"46","author":[{"family":"Wurm","given":"Susanne"},{"family":"Diehl","given":"Manfred"},{"family":"Kornadt","given":"Anna E."},{"family":"Westerhof","given":"Gerben J."},{"family":"Wahl","given":"Hans-Werner"}],"issued":{"date-parts":[["2017",12]]}}}],"schema":"https://github.com/citation-style-language/schema/raw/master/csl-citation.json"} </w:instrText>
      </w:r>
      <w:r w:rsidRPr="00424BD3">
        <w:rPr>
          <w:rFonts w:cs="Arial"/>
          <w:szCs w:val="24"/>
        </w:rPr>
        <w:fldChar w:fldCharType="separate"/>
      </w:r>
      <w:r w:rsidRPr="00424BD3">
        <w:rPr>
          <w:rFonts w:cs="Arial"/>
        </w:rPr>
        <w:t>(WHO, 2016; Wurm et al., 2017)</w:t>
      </w:r>
      <w:r w:rsidRPr="00424BD3">
        <w:rPr>
          <w:rFonts w:cs="Arial"/>
          <w:szCs w:val="24"/>
        </w:rPr>
        <w:fldChar w:fldCharType="end"/>
      </w:r>
      <w:r w:rsidRPr="00424BD3">
        <w:rPr>
          <w:rFonts w:cs="Arial"/>
          <w:szCs w:val="24"/>
        </w:rPr>
        <w:t xml:space="preserve">. </w:t>
      </w:r>
      <w:r w:rsidR="00670077" w:rsidRPr="00424BD3">
        <w:rPr>
          <w:rFonts w:cs="Arial"/>
          <w:szCs w:val="24"/>
        </w:rPr>
        <w:t xml:space="preserve">This is not to say that reaching an ‘old age’ precludes concepts of ‘dying of old age’ as a natural end or a </w:t>
      </w:r>
      <w:r w:rsidR="006A626F">
        <w:rPr>
          <w:rFonts w:cs="Arial"/>
          <w:szCs w:val="24"/>
        </w:rPr>
        <w:t>non-</w:t>
      </w:r>
      <w:r w:rsidR="00670077" w:rsidRPr="00424BD3">
        <w:rPr>
          <w:rFonts w:cs="Arial"/>
          <w:szCs w:val="24"/>
        </w:rPr>
        <w:t>stigmatized conclusion to life. Still, by lumping older age death into a catchall phrase that doesn’t explain or expand upon the causes of older people’s illnesses and mortality, the opportunity to the chance of learning what older people are enduring, what the reality-</w:t>
      </w:r>
      <w:r w:rsidR="00670077" w:rsidRPr="00424BD3">
        <w:rPr>
          <w:rFonts w:cs="Arial"/>
          <w:szCs w:val="24"/>
        </w:rPr>
        <w:lastRenderedPageBreak/>
        <w:t>on-the-ground is of the health risks they face, and of mitigating their health inequalities and mortality outcomes</w:t>
      </w:r>
      <w:r w:rsidR="007D3FF5" w:rsidRPr="00424BD3">
        <w:rPr>
          <w:rFonts w:cs="Arial"/>
          <w:szCs w:val="24"/>
        </w:rPr>
        <w:t xml:space="preserve"> </w:t>
      </w:r>
      <w:r w:rsidR="00945C08" w:rsidRPr="00424BD3">
        <w:rPr>
          <w:rFonts w:cs="Arial"/>
          <w:szCs w:val="24"/>
        </w:rPr>
        <w:t>is lost</w:t>
      </w:r>
      <w:r w:rsidR="00670077" w:rsidRPr="00424BD3">
        <w:rPr>
          <w:rFonts w:cs="Arial"/>
          <w:szCs w:val="24"/>
        </w:rPr>
        <w:t>.</w:t>
      </w:r>
    </w:p>
    <w:p w14:paraId="7B97FBAA" w14:textId="01163E9A" w:rsidR="008844E4" w:rsidRDefault="008844E4" w:rsidP="00B61AE1">
      <w:pPr>
        <w:spacing w:after="0" w:line="480" w:lineRule="auto"/>
        <w:ind w:firstLine="720"/>
        <w:rPr>
          <w:rFonts w:cs="Arial"/>
          <w:szCs w:val="24"/>
        </w:rPr>
      </w:pPr>
      <w:r w:rsidRPr="00424BD3">
        <w:rPr>
          <w:rFonts w:cs="Arial"/>
          <w:szCs w:val="24"/>
        </w:rPr>
        <w:t xml:space="preserve">Finally, the remaining two </w:t>
      </w:r>
      <w:r w:rsidR="00352BC7" w:rsidRPr="00424BD3">
        <w:rPr>
          <w:rFonts w:cs="Arial"/>
          <w:szCs w:val="24"/>
        </w:rPr>
        <w:t xml:space="preserve">responses to </w:t>
      </w:r>
      <w:r w:rsidR="006D03EF" w:rsidRPr="00424BD3">
        <w:rPr>
          <w:rFonts w:cs="Arial"/>
          <w:szCs w:val="24"/>
        </w:rPr>
        <w:t xml:space="preserve">causes of illness and death </w:t>
      </w:r>
      <w:r w:rsidR="00912052" w:rsidRPr="00424BD3">
        <w:rPr>
          <w:rFonts w:cs="Arial"/>
          <w:szCs w:val="24"/>
        </w:rPr>
        <w:t xml:space="preserve">– </w:t>
      </w:r>
      <w:r w:rsidR="006D03EF" w:rsidRPr="00424BD3">
        <w:rPr>
          <w:rFonts w:cs="Arial"/>
          <w:szCs w:val="24"/>
        </w:rPr>
        <w:t>“</w:t>
      </w:r>
      <w:r w:rsidR="00912052" w:rsidRPr="00424BD3">
        <w:rPr>
          <w:rFonts w:cs="Arial"/>
          <w:szCs w:val="24"/>
        </w:rPr>
        <w:t>unsure</w:t>
      </w:r>
      <w:r w:rsidR="006D03EF" w:rsidRPr="00424BD3">
        <w:rPr>
          <w:rFonts w:cs="Arial"/>
          <w:szCs w:val="24"/>
        </w:rPr>
        <w:t>”</w:t>
      </w:r>
      <w:r w:rsidR="00912052" w:rsidRPr="00424BD3">
        <w:rPr>
          <w:rFonts w:cs="Arial"/>
          <w:szCs w:val="24"/>
        </w:rPr>
        <w:t xml:space="preserve"> </w:t>
      </w:r>
      <w:r w:rsidR="006D03EF" w:rsidRPr="00424BD3">
        <w:rPr>
          <w:rFonts w:cs="Arial"/>
          <w:szCs w:val="24"/>
        </w:rPr>
        <w:t xml:space="preserve">and </w:t>
      </w:r>
      <w:r w:rsidR="00352BC7" w:rsidRPr="00424BD3">
        <w:rPr>
          <w:rFonts w:cs="Arial"/>
          <w:szCs w:val="24"/>
        </w:rPr>
        <w:t>“participant did not state”</w:t>
      </w:r>
      <w:r w:rsidR="006D03EF" w:rsidRPr="00424BD3">
        <w:rPr>
          <w:rFonts w:cs="Arial"/>
          <w:szCs w:val="24"/>
        </w:rPr>
        <w:t xml:space="preserve"> - </w:t>
      </w:r>
      <w:r w:rsidRPr="00424BD3">
        <w:rPr>
          <w:rFonts w:cs="Arial"/>
          <w:szCs w:val="24"/>
        </w:rPr>
        <w:t xml:space="preserve">are the ones </w:t>
      </w:r>
      <w:r w:rsidR="000B1AD5" w:rsidRPr="00424BD3">
        <w:rPr>
          <w:rFonts w:cs="Arial"/>
          <w:szCs w:val="24"/>
        </w:rPr>
        <w:t xml:space="preserve">that </w:t>
      </w:r>
      <w:r w:rsidR="00F87713">
        <w:rPr>
          <w:rFonts w:cs="Arial"/>
          <w:szCs w:val="24"/>
        </w:rPr>
        <w:t xml:space="preserve">I most </w:t>
      </w:r>
      <w:r w:rsidRPr="00424BD3">
        <w:rPr>
          <w:rFonts w:cs="Arial"/>
          <w:szCs w:val="24"/>
        </w:rPr>
        <w:t xml:space="preserve">expected to </w:t>
      </w:r>
      <w:r w:rsidR="00F87713">
        <w:rPr>
          <w:rFonts w:cs="Arial"/>
          <w:szCs w:val="24"/>
        </w:rPr>
        <w:t>encounter</w:t>
      </w:r>
      <w:r w:rsidR="00352BC7" w:rsidRPr="00424BD3">
        <w:rPr>
          <w:rFonts w:cs="Arial"/>
          <w:szCs w:val="24"/>
        </w:rPr>
        <w:t xml:space="preserve">. This </w:t>
      </w:r>
      <w:r w:rsidRPr="00424BD3">
        <w:rPr>
          <w:rFonts w:cs="Arial"/>
          <w:szCs w:val="24"/>
        </w:rPr>
        <w:t xml:space="preserve">showed a bias </w:t>
      </w:r>
      <w:r w:rsidR="00F44DCB" w:rsidRPr="00424BD3">
        <w:rPr>
          <w:rFonts w:cs="Arial"/>
          <w:szCs w:val="24"/>
        </w:rPr>
        <w:t xml:space="preserve">on </w:t>
      </w:r>
      <w:r w:rsidR="00F87713">
        <w:rPr>
          <w:rFonts w:cs="Arial"/>
          <w:szCs w:val="24"/>
        </w:rPr>
        <w:t>my part</w:t>
      </w:r>
      <w:r w:rsidR="00F44DCB" w:rsidRPr="00424BD3">
        <w:rPr>
          <w:rFonts w:cs="Arial"/>
          <w:szCs w:val="24"/>
        </w:rPr>
        <w:t xml:space="preserve"> </w:t>
      </w:r>
      <w:r w:rsidRPr="00424BD3">
        <w:rPr>
          <w:rFonts w:cs="Arial"/>
          <w:szCs w:val="24"/>
        </w:rPr>
        <w:t xml:space="preserve">about older people, </w:t>
      </w:r>
      <w:r w:rsidR="006D0D21" w:rsidRPr="00424BD3">
        <w:rPr>
          <w:rFonts w:cs="Arial"/>
          <w:szCs w:val="24"/>
        </w:rPr>
        <w:t xml:space="preserve">prompting </w:t>
      </w:r>
      <w:r w:rsidR="0066430E" w:rsidRPr="00424BD3">
        <w:rPr>
          <w:rFonts w:cs="Arial"/>
          <w:szCs w:val="24"/>
        </w:rPr>
        <w:t>an</w:t>
      </w:r>
      <w:r w:rsidRPr="00424BD3">
        <w:rPr>
          <w:rFonts w:cs="Arial"/>
          <w:szCs w:val="24"/>
        </w:rPr>
        <w:t xml:space="preserve"> explor</w:t>
      </w:r>
      <w:r w:rsidR="0066430E" w:rsidRPr="00424BD3">
        <w:rPr>
          <w:rFonts w:cs="Arial"/>
          <w:szCs w:val="24"/>
        </w:rPr>
        <w:t>ation, as a researcher, about self-</w:t>
      </w:r>
      <w:r w:rsidRPr="00424BD3">
        <w:rPr>
          <w:rFonts w:cs="Arial"/>
          <w:szCs w:val="24"/>
        </w:rPr>
        <w:t xml:space="preserve">biases </w:t>
      </w:r>
      <w:r w:rsidR="0066430E" w:rsidRPr="00424BD3">
        <w:rPr>
          <w:rFonts w:cs="Arial"/>
          <w:szCs w:val="24"/>
        </w:rPr>
        <w:t>regarding</w:t>
      </w:r>
      <w:r w:rsidRPr="00424BD3">
        <w:rPr>
          <w:rFonts w:cs="Arial"/>
          <w:szCs w:val="24"/>
        </w:rPr>
        <w:t xml:space="preserve"> people’s knowledge of their family health</w:t>
      </w:r>
      <w:r w:rsidR="00AE7D85" w:rsidRPr="00424BD3">
        <w:rPr>
          <w:rFonts w:cs="Arial"/>
          <w:szCs w:val="24"/>
        </w:rPr>
        <w:t xml:space="preserve">, illness, </w:t>
      </w:r>
      <w:r w:rsidRPr="00424BD3">
        <w:rPr>
          <w:rFonts w:cs="Arial"/>
          <w:szCs w:val="24"/>
        </w:rPr>
        <w:t xml:space="preserve">and </w:t>
      </w:r>
      <w:r w:rsidR="00AE7D85" w:rsidRPr="00424BD3">
        <w:rPr>
          <w:rFonts w:cs="Arial"/>
          <w:szCs w:val="24"/>
        </w:rPr>
        <w:t xml:space="preserve">death </w:t>
      </w:r>
      <w:r w:rsidRPr="00424BD3">
        <w:rPr>
          <w:rFonts w:cs="Arial"/>
          <w:szCs w:val="24"/>
        </w:rPr>
        <w:t xml:space="preserve">histories in general. Mary, Barbara, Margaret, Carolyn, and Kathryn </w:t>
      </w:r>
      <w:r w:rsidR="0006034A" w:rsidRPr="00424BD3">
        <w:rPr>
          <w:rFonts w:cs="Arial"/>
          <w:szCs w:val="24"/>
        </w:rPr>
        <w:t>state</w:t>
      </w:r>
      <w:r w:rsidR="00AE54E7" w:rsidRPr="00424BD3">
        <w:rPr>
          <w:rFonts w:cs="Arial"/>
          <w:szCs w:val="24"/>
        </w:rPr>
        <w:t>d</w:t>
      </w:r>
      <w:r w:rsidRPr="00424BD3">
        <w:rPr>
          <w:rFonts w:cs="Arial"/>
          <w:szCs w:val="24"/>
        </w:rPr>
        <w:t xml:space="preserve"> that they had </w:t>
      </w:r>
      <w:r w:rsidR="00AE54E7" w:rsidRPr="00424BD3">
        <w:rPr>
          <w:rFonts w:cs="Arial"/>
          <w:szCs w:val="24"/>
        </w:rPr>
        <w:t xml:space="preserve">certain </w:t>
      </w:r>
      <w:r w:rsidRPr="00424BD3">
        <w:rPr>
          <w:rFonts w:cs="Arial"/>
          <w:szCs w:val="24"/>
        </w:rPr>
        <w:t xml:space="preserve">family members who died but that they were unsure of </w:t>
      </w:r>
      <w:r w:rsidR="0006034A" w:rsidRPr="00424BD3">
        <w:rPr>
          <w:rFonts w:cs="Arial"/>
          <w:szCs w:val="24"/>
        </w:rPr>
        <w:t>the</w:t>
      </w:r>
      <w:r w:rsidR="00743616" w:rsidRPr="00424BD3">
        <w:rPr>
          <w:rFonts w:cs="Arial"/>
          <w:szCs w:val="24"/>
        </w:rPr>
        <w:t>irs</w:t>
      </w:r>
      <w:r w:rsidR="0006034A" w:rsidRPr="00424BD3">
        <w:rPr>
          <w:rFonts w:cs="Arial"/>
          <w:szCs w:val="24"/>
        </w:rPr>
        <w:t xml:space="preserve"> cause of death</w:t>
      </w:r>
      <w:r w:rsidR="00AE54E7" w:rsidRPr="00424BD3">
        <w:rPr>
          <w:rFonts w:cs="Arial"/>
          <w:szCs w:val="24"/>
        </w:rPr>
        <w:t xml:space="preserve"> </w:t>
      </w:r>
      <w:r w:rsidR="00DA4563" w:rsidRPr="00424BD3">
        <w:rPr>
          <w:rFonts w:cs="Arial"/>
          <w:szCs w:val="24"/>
        </w:rPr>
        <w:t xml:space="preserve">while </w:t>
      </w:r>
      <w:r w:rsidR="0006034A" w:rsidRPr="00424BD3">
        <w:rPr>
          <w:rFonts w:cs="Arial"/>
          <w:szCs w:val="24"/>
        </w:rPr>
        <w:t>Mary, Deborah, Anita, Sharon, Sylvia, Carolyn, and Kathryn</w:t>
      </w:r>
      <w:r w:rsidR="000C6803" w:rsidRPr="00424BD3">
        <w:rPr>
          <w:rFonts w:cs="Arial"/>
          <w:szCs w:val="24"/>
        </w:rPr>
        <w:t xml:space="preserve"> had family members who were ill or who had</w:t>
      </w:r>
      <w:r w:rsidR="00743616" w:rsidRPr="00424BD3">
        <w:rPr>
          <w:rFonts w:cs="Arial"/>
          <w:szCs w:val="24"/>
        </w:rPr>
        <w:t xml:space="preserve"> </w:t>
      </w:r>
      <w:r w:rsidR="003B5CE5" w:rsidRPr="00424BD3">
        <w:rPr>
          <w:rFonts w:cs="Arial"/>
          <w:szCs w:val="24"/>
        </w:rPr>
        <w:t>died but</w:t>
      </w:r>
      <w:r w:rsidR="000C6803" w:rsidRPr="00424BD3">
        <w:rPr>
          <w:rFonts w:cs="Arial"/>
          <w:szCs w:val="24"/>
        </w:rPr>
        <w:t xml:space="preserve"> did not talk about the causes of illness or death for those family members.</w:t>
      </w:r>
    </w:p>
    <w:p w14:paraId="3A075D67" w14:textId="62EE9D8A" w:rsidR="008736D6" w:rsidRPr="006428FE" w:rsidRDefault="008736D6" w:rsidP="00B61AE1">
      <w:pPr>
        <w:pStyle w:val="Heading2"/>
        <w:spacing w:before="0" w:line="480" w:lineRule="auto"/>
        <w:jc w:val="center"/>
        <w:rPr>
          <w:rFonts w:ascii="Arial" w:hAnsi="Arial" w:cs="Arial"/>
          <w:b/>
          <w:bCs/>
          <w:color w:val="auto"/>
          <w:sz w:val="24"/>
          <w:szCs w:val="24"/>
        </w:rPr>
      </w:pPr>
      <w:bookmarkStart w:id="76" w:name="_Toc118232342"/>
      <w:r w:rsidRPr="006428FE">
        <w:rPr>
          <w:rFonts w:ascii="Arial" w:hAnsi="Arial" w:cs="Arial"/>
          <w:b/>
          <w:bCs/>
          <w:color w:val="auto"/>
          <w:sz w:val="24"/>
          <w:szCs w:val="24"/>
        </w:rPr>
        <w:t>Conclusion</w:t>
      </w:r>
      <w:bookmarkEnd w:id="76"/>
    </w:p>
    <w:p w14:paraId="6BF21B98" w14:textId="47462361" w:rsidR="001F32F0" w:rsidRPr="00424BD3" w:rsidRDefault="00F87713" w:rsidP="00B61AE1">
      <w:pPr>
        <w:spacing w:after="0" w:line="480" w:lineRule="auto"/>
        <w:ind w:firstLine="720"/>
        <w:rPr>
          <w:rFonts w:cs="Arial"/>
          <w:szCs w:val="24"/>
        </w:rPr>
      </w:pPr>
      <w:r>
        <w:rPr>
          <w:rFonts w:cs="Arial"/>
          <w:szCs w:val="24"/>
        </w:rPr>
        <w:t xml:space="preserve">I </w:t>
      </w:r>
      <w:r w:rsidR="008844E4" w:rsidRPr="00424BD3">
        <w:rPr>
          <w:rFonts w:cs="Arial"/>
          <w:szCs w:val="24"/>
        </w:rPr>
        <w:t xml:space="preserve">expected higher rates of lack of knowledge on causes of death, only to be shown that </w:t>
      </w:r>
      <w:r w:rsidR="0092772F" w:rsidRPr="00424BD3">
        <w:rPr>
          <w:rFonts w:cs="Arial"/>
          <w:szCs w:val="24"/>
        </w:rPr>
        <w:t xml:space="preserve">these </w:t>
      </w:r>
      <w:r w:rsidR="008844E4" w:rsidRPr="00424BD3">
        <w:rPr>
          <w:rFonts w:cs="Arial"/>
          <w:szCs w:val="24"/>
        </w:rPr>
        <w:t>expectations, at least in this cohort, were wrong. Th</w:t>
      </w:r>
      <w:r w:rsidR="001F32F0" w:rsidRPr="00424BD3">
        <w:rPr>
          <w:rFonts w:cs="Arial"/>
          <w:szCs w:val="24"/>
        </w:rPr>
        <w:t>e</w:t>
      </w:r>
      <w:r w:rsidR="0092772F" w:rsidRPr="00424BD3">
        <w:rPr>
          <w:rFonts w:cs="Arial"/>
          <w:szCs w:val="24"/>
        </w:rPr>
        <w:t xml:space="preserve"> women’s </w:t>
      </w:r>
      <w:r w:rsidR="001F32F0" w:rsidRPr="00424BD3">
        <w:rPr>
          <w:rFonts w:cs="Arial"/>
          <w:szCs w:val="24"/>
        </w:rPr>
        <w:t>knowledge of their familial health, illnesses, and deaths (and their causes)</w:t>
      </w:r>
      <w:r w:rsidR="008844E4" w:rsidRPr="00424BD3">
        <w:rPr>
          <w:rFonts w:cs="Arial"/>
          <w:szCs w:val="24"/>
        </w:rPr>
        <w:t xml:space="preserve"> </w:t>
      </w:r>
      <w:r w:rsidR="001B2DC3" w:rsidRPr="00424BD3">
        <w:rPr>
          <w:rFonts w:cs="Arial"/>
          <w:szCs w:val="24"/>
        </w:rPr>
        <w:t>confirms</w:t>
      </w:r>
      <w:r w:rsidR="008844E4" w:rsidRPr="00424BD3">
        <w:rPr>
          <w:rFonts w:cs="Arial"/>
          <w:szCs w:val="24"/>
        </w:rPr>
        <w:t xml:space="preserve"> </w:t>
      </w:r>
      <w:r w:rsidR="00ED5ABE" w:rsidRPr="00424BD3">
        <w:rPr>
          <w:rFonts w:cs="Arial"/>
          <w:szCs w:val="24"/>
        </w:rPr>
        <w:t xml:space="preserve">Vogel </w:t>
      </w:r>
      <w:r w:rsidR="00FC2F7D">
        <w:rPr>
          <w:rFonts w:cs="Arial"/>
          <w:szCs w:val="24"/>
        </w:rPr>
        <w:t>et al.</w:t>
      </w:r>
      <w:r w:rsidR="00ED5ABE" w:rsidRPr="00424BD3">
        <w:rPr>
          <w:rFonts w:cs="Arial"/>
          <w:szCs w:val="24"/>
        </w:rPr>
        <w:t xml:space="preserve">’s </w:t>
      </w:r>
      <w:r w:rsidR="008844E4" w:rsidRPr="00424BD3">
        <w:rPr>
          <w:rFonts w:cs="Arial"/>
          <w:szCs w:val="24"/>
        </w:rPr>
        <w:fldChar w:fldCharType="begin"/>
      </w:r>
      <w:r w:rsidR="00990F3A">
        <w:rPr>
          <w:rFonts w:cs="Arial"/>
          <w:szCs w:val="24"/>
        </w:rPr>
        <w:instrText xml:space="preserve"> ADDIN ZOTERO_ITEM CSL_CITATION {"citationID":"Qx9WxQJ9","properties":{"formattedCitation":"(2007)","plainCitation":"(2007)","noteIndex":0},"citationItems":[{"id":974,"uris":["http://zotero.org/users/4946941/items/QK5HTDG4"],"itemData":{"id":974,"type":"article-journal","abstract":"This study examined the mediating effects of the self-stigma associated with seeking counseling and attitudes toward seeking counseling on the link between perceived public stigma and willingness to seek counseling for psychological and interpersonal concerns. Structural equation modeling of data from 676 undergraduates indicated that the link between perceived public stigma and willingness to seek counseling was fully mediated by self-stigma and attitudes. Perceptions of public stigma contributed to the experience of self-stigma, which, in turn, influenced help-seeking attitudes and eventually help-seeking willingness. Furthermore, 57% of the variance in attitudes toward counseling and 34% of the variance in willingness to seek counseling for psychological and interpersonal concerns were accounted for in the proposed model.","container-title":"Journal of Counseling Psychology","DOI":"10.1037/0022-0167.54.1.40","journalAbbreviation":"Journal of Counseling Psychology","source":"ResearchGate","title":"Perceived Public Stigma and the Willingness to Seek Counseling: The Mediating Roles of Self-Stigma and Attitudes Toward Counseling","title-short":"Perceived Public Stigma and the Willingness to Seek Counseling","volume":"54","author":[{"family":"Vogel","given":"David"},{"family":"Wade","given":"Nathaniel"},{"family":"Hackler","given":"Ashley"}],"issued":{"date-parts":[["2007",1,1]]}},"label":"page","suppress-author":true}],"schema":"https://github.com/citation-style-language/schema/raw/master/csl-citation.json"} </w:instrText>
      </w:r>
      <w:r w:rsidR="008844E4" w:rsidRPr="00424BD3">
        <w:rPr>
          <w:rFonts w:cs="Arial"/>
          <w:szCs w:val="24"/>
        </w:rPr>
        <w:fldChar w:fldCharType="separate"/>
      </w:r>
      <w:r w:rsidR="00ED5ABE" w:rsidRPr="00424BD3">
        <w:rPr>
          <w:rFonts w:cs="Arial"/>
        </w:rPr>
        <w:t>(2007)</w:t>
      </w:r>
      <w:r w:rsidR="008844E4" w:rsidRPr="00424BD3">
        <w:rPr>
          <w:rFonts w:cs="Arial"/>
          <w:szCs w:val="24"/>
        </w:rPr>
        <w:fldChar w:fldCharType="end"/>
      </w:r>
      <w:r w:rsidR="008844E4" w:rsidRPr="00424BD3">
        <w:rPr>
          <w:rFonts w:cs="Arial"/>
          <w:szCs w:val="24"/>
        </w:rPr>
        <w:t xml:space="preserve"> argument </w:t>
      </w:r>
      <w:r w:rsidR="00B21FB2" w:rsidRPr="00424BD3">
        <w:rPr>
          <w:rFonts w:cs="Arial"/>
          <w:szCs w:val="24"/>
        </w:rPr>
        <w:t xml:space="preserve">that </w:t>
      </w:r>
      <w:r w:rsidR="00AE3C1E" w:rsidRPr="00424BD3">
        <w:rPr>
          <w:rFonts w:cs="Arial"/>
          <w:szCs w:val="24"/>
        </w:rPr>
        <w:t xml:space="preserve">women </w:t>
      </w:r>
      <w:r w:rsidR="00B21FB2" w:rsidRPr="00424BD3">
        <w:rPr>
          <w:rFonts w:cs="Arial"/>
          <w:szCs w:val="24"/>
        </w:rPr>
        <w:t xml:space="preserve">may tend to know or collect FHH more than men </w:t>
      </w:r>
      <w:r w:rsidR="00AE3C1E" w:rsidRPr="00424BD3">
        <w:rPr>
          <w:rFonts w:cs="Arial"/>
          <w:szCs w:val="24"/>
        </w:rPr>
        <w:t xml:space="preserve">due </w:t>
      </w:r>
      <w:r w:rsidR="008844E4" w:rsidRPr="00424BD3">
        <w:rPr>
          <w:rFonts w:cs="Arial"/>
          <w:szCs w:val="24"/>
        </w:rPr>
        <w:t>women</w:t>
      </w:r>
      <w:r w:rsidR="00AE3C1E" w:rsidRPr="00424BD3">
        <w:rPr>
          <w:rFonts w:cs="Arial"/>
          <w:szCs w:val="24"/>
        </w:rPr>
        <w:t>’s</w:t>
      </w:r>
      <w:r w:rsidR="008844E4" w:rsidRPr="00424BD3">
        <w:rPr>
          <w:rFonts w:cs="Arial"/>
          <w:szCs w:val="24"/>
        </w:rPr>
        <w:t xml:space="preserve"> traditional caring roles within the family, their roles in health care seeking, and their wider healthcare consumerist knowledge. </w:t>
      </w:r>
    </w:p>
    <w:p w14:paraId="2919C5C6" w14:textId="4E5076B7" w:rsidR="003754C6" w:rsidRPr="00424BD3" w:rsidRDefault="008844E4" w:rsidP="00C31786">
      <w:pPr>
        <w:spacing w:after="0" w:line="480" w:lineRule="auto"/>
        <w:ind w:firstLine="720"/>
        <w:rPr>
          <w:rFonts w:cs="Arial"/>
          <w:szCs w:val="24"/>
        </w:rPr>
      </w:pPr>
      <w:r w:rsidRPr="00424BD3">
        <w:rPr>
          <w:rFonts w:cs="Arial"/>
          <w:szCs w:val="24"/>
        </w:rPr>
        <w:t xml:space="preserve">Again, as when they discuss familial illnesses, it is difficult to know whether the women chose not to disclose the causes of death of particular family members or whether they simply forgot to mention what they knew during the interview. The silences in these instances were almost always about grandparents or aunts and uncles, with two notable exceptions: both Sharon and Carolyn did not discuss the cause of their </w:t>
      </w:r>
      <w:r w:rsidRPr="00424BD3">
        <w:rPr>
          <w:rFonts w:cs="Arial"/>
          <w:szCs w:val="24"/>
        </w:rPr>
        <w:lastRenderedPageBreak/>
        <w:t>mother’s deaths. Carolyn spoke briefly about her mother, who moved in with Carolyn when her mother was in her 80’s and who was a smoker until Carolyn insisted that she stop once she moved in. Carolyn did not speak harshly or negatively about her mother – only sharing the smoking story because she was explaining how she, herself, had been a long-time smoker. Likewise, given that Sharon remarked that she had a wonderful childhood and no bad remarks about her mother, that she was looking forward to spending more time with her mother upon her own retirement, and that she was shocked at her mother’s death, her lack of discussion around her mother’s cause of death was surprising.</w:t>
      </w:r>
      <w:r w:rsidR="00684BED" w:rsidRPr="00424BD3">
        <w:rPr>
          <w:rFonts w:cs="Arial"/>
          <w:szCs w:val="24"/>
        </w:rPr>
        <w:t xml:space="preserve"> </w:t>
      </w:r>
    </w:p>
    <w:p w14:paraId="574D4652" w14:textId="1B2209BA" w:rsidR="00E8695B" w:rsidRPr="00424BD3" w:rsidRDefault="00E8695B" w:rsidP="00E8695B">
      <w:pPr>
        <w:spacing w:after="0" w:line="480" w:lineRule="auto"/>
        <w:ind w:firstLine="720"/>
        <w:rPr>
          <w:rFonts w:cs="Arial"/>
          <w:szCs w:val="24"/>
        </w:rPr>
      </w:pPr>
      <w:r w:rsidRPr="00424BD3">
        <w:rPr>
          <w:rFonts w:cs="Arial"/>
          <w:szCs w:val="24"/>
        </w:rPr>
        <w:t>These women’s responses revealed the complicated nature of tracking familial health and mortality histories. More than biological health self-reporting, examining the intersectional nature of these histories means listening for the silences as well as what is told. It means gleaning what one can from the fuller picture of a person’s life course story, gleaning what one can from a person’s body language, tone of voice, choice of words they use (and don’t use), references to abuse, bitterness, loss, policy</w:t>
      </w:r>
      <w:r w:rsidR="00B357B6">
        <w:rPr>
          <w:rFonts w:cs="Arial"/>
          <w:szCs w:val="24"/>
        </w:rPr>
        <w:t>,</w:t>
      </w:r>
      <w:r w:rsidRPr="00424BD3">
        <w:rPr>
          <w:rFonts w:cs="Arial"/>
          <w:szCs w:val="24"/>
        </w:rPr>
        <w:t xml:space="preserve"> and political opinions. It means asking oneself from</w:t>
      </w:r>
      <w:r w:rsidR="00D87E94">
        <w:rPr>
          <w:rFonts w:cs="Arial"/>
          <w:szCs w:val="24"/>
        </w:rPr>
        <w:t xml:space="preserve"> what </w:t>
      </w:r>
      <w:r w:rsidRPr="00424BD3">
        <w:rPr>
          <w:rFonts w:cs="Arial"/>
          <w:szCs w:val="24"/>
        </w:rPr>
        <w:t>position</w:t>
      </w:r>
      <w:r w:rsidR="001A174A">
        <w:rPr>
          <w:rFonts w:cs="Arial"/>
          <w:szCs w:val="24"/>
        </w:rPr>
        <w:t>ality</w:t>
      </w:r>
      <w:r w:rsidRPr="00424BD3">
        <w:rPr>
          <w:rFonts w:cs="Arial"/>
          <w:szCs w:val="24"/>
        </w:rPr>
        <w:t xml:space="preserve"> one is coming, what normed interpretations one is putting into the women’s responses and silences, and what values, thoughts, and opinions one is trying to express. By the end of this chapter, it could be said that, as a researcher, a feeling of the weight of the pressure on clinicians, policymakers, and researchers on how to gather all of this information in very short periods of time and to provide older women with some sense of authentic caring about them as women who have waited a long time to have their story heard, their needs met, and their inequities mitigated in some form. </w:t>
      </w:r>
    </w:p>
    <w:p w14:paraId="109EAB5C" w14:textId="1E8FE7F2" w:rsidR="008844E4" w:rsidRPr="00424BD3" w:rsidRDefault="008844E4" w:rsidP="000126EE">
      <w:pPr>
        <w:spacing w:after="0" w:line="480" w:lineRule="auto"/>
        <w:ind w:firstLine="720"/>
        <w:rPr>
          <w:rFonts w:cs="Arial"/>
          <w:szCs w:val="24"/>
        </w:rPr>
      </w:pPr>
      <w:r w:rsidRPr="00424BD3">
        <w:rPr>
          <w:rFonts w:cs="Arial"/>
          <w:szCs w:val="24"/>
        </w:rPr>
        <w:lastRenderedPageBreak/>
        <w:t>How did these women</w:t>
      </w:r>
      <w:r w:rsidR="00563896">
        <w:rPr>
          <w:rFonts w:cs="Arial"/>
          <w:szCs w:val="24"/>
        </w:rPr>
        <w:t>,</w:t>
      </w:r>
      <w:r w:rsidRPr="00424BD3">
        <w:rPr>
          <w:rFonts w:cs="Arial"/>
          <w:szCs w:val="24"/>
        </w:rPr>
        <w:t xml:space="preserve"> who had lost both parents </w:t>
      </w:r>
      <w:r w:rsidR="002B4B85">
        <w:rPr>
          <w:rFonts w:cs="Arial"/>
          <w:szCs w:val="24"/>
        </w:rPr>
        <w:t>and</w:t>
      </w:r>
      <w:r w:rsidRPr="00424BD3">
        <w:rPr>
          <w:rFonts w:cs="Arial"/>
          <w:szCs w:val="24"/>
        </w:rPr>
        <w:t xml:space="preserve"> all of the generations they knew growing up, cope? What stories did they tell themselves, or believe and repeat from what they had heard growing up from their parents, family members, peers, and society, that got them through these health crises and deaths? What were the </w:t>
      </w:r>
      <w:r w:rsidR="00144F50">
        <w:rPr>
          <w:rFonts w:cs="Arial"/>
          <w:szCs w:val="24"/>
        </w:rPr>
        <w:t>findings</w:t>
      </w:r>
      <w:r w:rsidRPr="00424BD3">
        <w:rPr>
          <w:rFonts w:cs="Arial"/>
          <w:szCs w:val="24"/>
        </w:rPr>
        <w:t xml:space="preserve"> of these illnesses, deaths, health beliefs and perceptions, policies on the genealogies of health for these women, and the recommendations they would make to clinicians and policymakers in order to mitigate the health inequities they face? </w:t>
      </w:r>
    </w:p>
    <w:p w14:paraId="3220B2FA" w14:textId="6FF0F22B" w:rsidR="00F12C15" w:rsidRPr="00424BD3" w:rsidRDefault="008844E4" w:rsidP="000126EE">
      <w:pPr>
        <w:spacing w:after="0" w:line="480" w:lineRule="auto"/>
        <w:ind w:firstLine="720"/>
        <w:rPr>
          <w:rFonts w:cs="Arial"/>
          <w:szCs w:val="24"/>
        </w:rPr>
      </w:pPr>
      <w:r w:rsidRPr="00424BD3">
        <w:rPr>
          <w:rFonts w:cs="Arial"/>
          <w:szCs w:val="24"/>
        </w:rPr>
        <w:t>This is explore</w:t>
      </w:r>
      <w:r w:rsidR="00C83B43" w:rsidRPr="00424BD3">
        <w:rPr>
          <w:rFonts w:cs="Arial"/>
          <w:szCs w:val="24"/>
        </w:rPr>
        <w:t>d</w:t>
      </w:r>
      <w:r w:rsidRPr="00424BD3">
        <w:rPr>
          <w:rFonts w:cs="Arial"/>
          <w:szCs w:val="24"/>
        </w:rPr>
        <w:t xml:space="preserve"> in the next chapter.</w:t>
      </w:r>
    </w:p>
    <w:p w14:paraId="4DBC37D9" w14:textId="77777777" w:rsidR="00F12C15" w:rsidRPr="00424BD3" w:rsidRDefault="00F12C15" w:rsidP="000126EE">
      <w:pPr>
        <w:spacing w:after="0" w:line="480" w:lineRule="auto"/>
        <w:rPr>
          <w:rFonts w:cs="Arial"/>
          <w:szCs w:val="24"/>
        </w:rPr>
      </w:pPr>
      <w:r w:rsidRPr="00424BD3">
        <w:rPr>
          <w:rFonts w:cs="Arial"/>
          <w:szCs w:val="24"/>
        </w:rPr>
        <w:br w:type="page"/>
      </w:r>
    </w:p>
    <w:p w14:paraId="023C0BAE" w14:textId="77777777" w:rsidR="000836B7" w:rsidRPr="00424BD3" w:rsidRDefault="008844E4" w:rsidP="000836B7">
      <w:pPr>
        <w:pStyle w:val="Heading1"/>
        <w:spacing w:before="0" w:line="480" w:lineRule="auto"/>
        <w:jc w:val="center"/>
        <w:rPr>
          <w:rFonts w:ascii="Arial" w:hAnsi="Arial" w:cs="Arial"/>
          <w:b/>
          <w:bCs/>
          <w:color w:val="auto"/>
          <w:sz w:val="24"/>
          <w:szCs w:val="24"/>
        </w:rPr>
      </w:pPr>
      <w:bookmarkStart w:id="77" w:name="_Toc118232343"/>
      <w:r w:rsidRPr="00424BD3">
        <w:rPr>
          <w:rFonts w:ascii="Arial" w:hAnsi="Arial" w:cs="Arial"/>
          <w:b/>
          <w:bCs/>
          <w:color w:val="auto"/>
          <w:sz w:val="24"/>
          <w:szCs w:val="24"/>
        </w:rPr>
        <w:lastRenderedPageBreak/>
        <w:t xml:space="preserve">CHAPTER </w:t>
      </w:r>
      <w:r w:rsidR="004F5ACC" w:rsidRPr="00424BD3">
        <w:rPr>
          <w:rFonts w:ascii="Arial" w:hAnsi="Arial" w:cs="Arial"/>
          <w:b/>
          <w:bCs/>
          <w:color w:val="auto"/>
          <w:sz w:val="24"/>
          <w:szCs w:val="24"/>
        </w:rPr>
        <w:t>SIX</w:t>
      </w:r>
      <w:bookmarkEnd w:id="77"/>
      <w:r w:rsidR="000836B7" w:rsidRPr="00424BD3">
        <w:rPr>
          <w:rFonts w:ascii="Arial" w:hAnsi="Arial" w:cs="Arial"/>
          <w:b/>
          <w:bCs/>
          <w:color w:val="auto"/>
          <w:sz w:val="24"/>
          <w:szCs w:val="24"/>
        </w:rPr>
        <w:t xml:space="preserve"> </w:t>
      </w:r>
    </w:p>
    <w:p w14:paraId="30401C8F" w14:textId="5861B76D" w:rsidR="008844E4" w:rsidRPr="00424BD3" w:rsidRDefault="00524624" w:rsidP="00271F64">
      <w:pPr>
        <w:pStyle w:val="Heading1"/>
        <w:spacing w:before="0" w:line="240" w:lineRule="auto"/>
        <w:jc w:val="center"/>
        <w:rPr>
          <w:rFonts w:ascii="Arial" w:hAnsi="Arial" w:cs="Arial"/>
          <w:b/>
          <w:bCs/>
          <w:color w:val="auto"/>
          <w:sz w:val="24"/>
          <w:szCs w:val="24"/>
        </w:rPr>
      </w:pPr>
      <w:bookmarkStart w:id="78" w:name="_Toc118232344"/>
      <w:r w:rsidRPr="00424BD3">
        <w:rPr>
          <w:rFonts w:ascii="Arial" w:hAnsi="Arial" w:cs="Arial"/>
          <w:b/>
          <w:bCs/>
          <w:color w:val="auto"/>
          <w:sz w:val="24"/>
          <w:szCs w:val="24"/>
        </w:rPr>
        <w:t>PARTICIPANT CONTEXT: FAMILIAL</w:t>
      </w:r>
      <w:r w:rsidR="00C85658">
        <w:rPr>
          <w:rFonts w:ascii="Arial" w:hAnsi="Arial" w:cs="Arial"/>
          <w:b/>
          <w:bCs/>
          <w:color w:val="auto"/>
          <w:sz w:val="24"/>
          <w:szCs w:val="24"/>
        </w:rPr>
        <w:t xml:space="preserve"> </w:t>
      </w:r>
      <w:r w:rsidRPr="00424BD3">
        <w:rPr>
          <w:rFonts w:ascii="Arial" w:hAnsi="Arial" w:cs="Arial"/>
          <w:b/>
          <w:bCs/>
          <w:color w:val="auto"/>
          <w:sz w:val="24"/>
          <w:szCs w:val="24"/>
        </w:rPr>
        <w:t>AND PEER INFLUENCES ON PARTICIPANT PERCEPTIONS OF SELF, HEALTH, ILLNESS, AND DEATH</w:t>
      </w:r>
      <w:bookmarkEnd w:id="78"/>
    </w:p>
    <w:p w14:paraId="269460D5" w14:textId="77777777" w:rsidR="008844E4" w:rsidRPr="00424BD3" w:rsidRDefault="008844E4" w:rsidP="000126EE">
      <w:pPr>
        <w:spacing w:after="0" w:line="480" w:lineRule="auto"/>
        <w:jc w:val="center"/>
        <w:rPr>
          <w:rFonts w:cs="Arial"/>
          <w:b/>
          <w:bCs/>
          <w:szCs w:val="24"/>
        </w:rPr>
      </w:pPr>
    </w:p>
    <w:p w14:paraId="14F343DB" w14:textId="4253C86B" w:rsidR="00870096" w:rsidRPr="00424BD3" w:rsidRDefault="008844E4" w:rsidP="000126EE">
      <w:pPr>
        <w:spacing w:after="0" w:line="480" w:lineRule="auto"/>
        <w:ind w:firstLine="720"/>
        <w:rPr>
          <w:rFonts w:cs="Arial"/>
          <w:szCs w:val="24"/>
        </w:rPr>
      </w:pPr>
      <w:r w:rsidRPr="00424BD3">
        <w:rPr>
          <w:rFonts w:cs="Arial"/>
          <w:szCs w:val="24"/>
        </w:rPr>
        <w:t xml:space="preserve">In understanding the impact of the health environment in which these women grew up, </w:t>
      </w:r>
      <w:r w:rsidR="00872A61" w:rsidRPr="00424BD3">
        <w:rPr>
          <w:rFonts w:cs="Arial"/>
          <w:szCs w:val="24"/>
        </w:rPr>
        <w:t xml:space="preserve">it may be said </w:t>
      </w:r>
      <w:r w:rsidR="00FD7FB7" w:rsidRPr="00424BD3">
        <w:rPr>
          <w:rFonts w:cs="Arial"/>
          <w:szCs w:val="24"/>
        </w:rPr>
        <w:t xml:space="preserve">that researchers must </w:t>
      </w:r>
      <w:r w:rsidR="00872A61" w:rsidRPr="00424BD3">
        <w:rPr>
          <w:rFonts w:cs="Arial"/>
          <w:szCs w:val="24"/>
        </w:rPr>
        <w:t xml:space="preserve">understand </w:t>
      </w:r>
      <w:r w:rsidRPr="00424BD3">
        <w:rPr>
          <w:rFonts w:cs="Arial"/>
          <w:szCs w:val="24"/>
        </w:rPr>
        <w:t xml:space="preserve">the influence of family members and peers on our own thoughts and beliefs about health and mortality </w:t>
      </w:r>
      <w:r w:rsidRPr="00424BD3">
        <w:rPr>
          <w:rFonts w:cs="Arial"/>
          <w:szCs w:val="24"/>
        </w:rPr>
        <w:fldChar w:fldCharType="begin"/>
      </w:r>
      <w:r w:rsidR="00990F3A">
        <w:rPr>
          <w:rFonts w:cs="Arial"/>
          <w:szCs w:val="24"/>
        </w:rPr>
        <w:instrText xml:space="preserve"> ADDIN ZOTERO_ITEM CSL_CITATION {"citationID":"XBgkqdAQ","properties":{"formattedCitation":"(Broderick, 1993; P. H. Collins, 1998)","plainCitation":"(Broderick, 1993; P. H. Collins, 1998)","noteIndex":0},"citationItems":[{"id":959,"uris":["http://zotero.org/users/4946941/items/KSP8BGE5"],"itemData":{"id":959,"type":"book","abstract":"Systems theory is the basic theoretical model underlying most contemporary family therapy. In this accessible introduction, the author traces how systems theory gave rise to family systems theory, outlines the basic propositions of family systems and links it both to other family theory literature and to clinical practice.  Among the topics covered are relational space, family boundaries, family stratification and child socialization. Family meanings and such shared realities as family folklore, stories, myths and memorabilia are discussed. Family rituals are also explored.","ISBN":"978-0-8039-3778-9","language":"en","note":"Google-Books-ID: EZpSZWkMw0wC","number-of-pages":"288","publisher":"SAGE","source":"Google Books","title":"Understanding Family Process: Basics of Family Systems Theory","title-short":"Understanding Family Process","author":[{"family":"Broderick","given":"Carlfred B."}],"issued":{"date-parts":[["1993",3,9]]}}},{"id":966,"uris":["http://zotero.org/users/4946941/items/AMRGL3MU"],"itemData":{"id":966,"type":"article-journal","abstract":"This article explores how recent theoretical developments in viewing race, social class, gender, and nation as dimensions of interlocking systems of oppression might suggest new directions for Black family studies. Traditional social science approaches typically treat race, class, gender, and nationality as descriptive variables attached to individuals who are then reinserted into existing theoretical models on the family. In contrast, intersectional approaches view institutionalized racism, social class relations, gender inequalities, and nationalism expressed on both sides of state power as analytical constructs that explain family organization in general, and Black family organization in particular. By exploring three such intersections, namely those of race and class, of race and gender, and of race and nation, this article examines how selected issues in Black family studies might benefit by approaching Black family studies via an intersectional lens.","container-title":"Journal of Comparative Family Studies","DOI":"10.3138/jcfs.29.1.27","ISSN":"0047-2328","issue":"1","note":"publisher: University of Toronto Press","page":"27-36","source":"utpjournals.press (Atypon)","title":"Intersections of Race, Class, Gender, and Nation: Some Implications for Black Family Studies","title-short":"Intersections of Race, Class, Gender, and Nation","volume":"29","author":[{"family":"Collins","given":"Patricia Hill"}],"issued":{"date-parts":[["1998",3]]}}}],"schema":"https://github.com/citation-style-language/schema/raw/master/csl-citation.json"} </w:instrText>
      </w:r>
      <w:r w:rsidRPr="00424BD3">
        <w:rPr>
          <w:rFonts w:cs="Arial"/>
          <w:szCs w:val="24"/>
        </w:rPr>
        <w:fldChar w:fldCharType="separate"/>
      </w:r>
      <w:r w:rsidR="001F2B17" w:rsidRPr="00424BD3">
        <w:rPr>
          <w:rFonts w:cs="Arial"/>
        </w:rPr>
        <w:t>(Broderick, 1993; P. H. Collins, 1998)</w:t>
      </w:r>
      <w:r w:rsidRPr="00424BD3">
        <w:rPr>
          <w:rFonts w:cs="Arial"/>
          <w:szCs w:val="24"/>
        </w:rPr>
        <w:fldChar w:fldCharType="end"/>
      </w:r>
      <w:r w:rsidRPr="00424BD3">
        <w:rPr>
          <w:rFonts w:cs="Arial"/>
          <w:szCs w:val="24"/>
        </w:rPr>
        <w:t xml:space="preserve">. To this end, much of the women’s family and childhood experiences </w:t>
      </w:r>
      <w:r w:rsidR="004A735A" w:rsidRPr="00424BD3">
        <w:rPr>
          <w:rFonts w:cs="Arial"/>
          <w:szCs w:val="24"/>
        </w:rPr>
        <w:t>are</w:t>
      </w:r>
      <w:r w:rsidR="00314C7C" w:rsidRPr="00424BD3">
        <w:rPr>
          <w:rFonts w:cs="Arial"/>
          <w:szCs w:val="24"/>
        </w:rPr>
        <w:t xml:space="preserve"> discussed </w:t>
      </w:r>
      <w:r w:rsidRPr="00424BD3">
        <w:rPr>
          <w:rFonts w:cs="Arial"/>
          <w:szCs w:val="24"/>
        </w:rPr>
        <w:t xml:space="preserve">in </w:t>
      </w:r>
      <w:r w:rsidR="006D021C" w:rsidRPr="00424BD3">
        <w:rPr>
          <w:rFonts w:cs="Arial"/>
          <w:szCs w:val="24"/>
        </w:rPr>
        <w:t>C</w:t>
      </w:r>
      <w:r w:rsidRPr="00424BD3">
        <w:rPr>
          <w:rFonts w:cs="Arial"/>
          <w:szCs w:val="24"/>
        </w:rPr>
        <w:t xml:space="preserve">hapter </w:t>
      </w:r>
      <w:r w:rsidR="001014BB" w:rsidRPr="00424BD3">
        <w:rPr>
          <w:rFonts w:cs="Arial"/>
          <w:szCs w:val="24"/>
        </w:rPr>
        <w:t>Five</w:t>
      </w:r>
      <w:r w:rsidRPr="00424BD3">
        <w:rPr>
          <w:rFonts w:cs="Arial"/>
          <w:szCs w:val="24"/>
        </w:rPr>
        <w:t xml:space="preserve">. Research shows </w:t>
      </w:r>
      <w:r w:rsidR="008F0B5C" w:rsidRPr="00424BD3">
        <w:rPr>
          <w:rFonts w:cs="Arial"/>
          <w:szCs w:val="24"/>
        </w:rPr>
        <w:t>that</w:t>
      </w:r>
      <w:r w:rsidRPr="00424BD3">
        <w:rPr>
          <w:rFonts w:cs="Arial"/>
          <w:szCs w:val="24"/>
        </w:rPr>
        <w:t xml:space="preserve"> family and friends play a large role in shaping </w:t>
      </w:r>
      <w:r w:rsidR="00D0349D" w:rsidRPr="00424BD3">
        <w:rPr>
          <w:rFonts w:cs="Arial"/>
          <w:szCs w:val="24"/>
        </w:rPr>
        <w:t xml:space="preserve">an </w:t>
      </w:r>
      <w:r w:rsidR="001014BB" w:rsidRPr="00424BD3">
        <w:rPr>
          <w:rFonts w:cs="Arial"/>
          <w:szCs w:val="24"/>
        </w:rPr>
        <w:t>individual’s</w:t>
      </w:r>
      <w:r w:rsidRPr="00424BD3">
        <w:rPr>
          <w:rFonts w:cs="Arial"/>
          <w:szCs w:val="24"/>
        </w:rPr>
        <w:t xml:space="preserve"> attitudes towards a given issue </w:t>
      </w:r>
      <w:r w:rsidRPr="00424BD3">
        <w:rPr>
          <w:rFonts w:cs="Arial"/>
          <w:szCs w:val="24"/>
        </w:rPr>
        <w:fldChar w:fldCharType="begin"/>
      </w:r>
      <w:r w:rsidR="00990F3A">
        <w:rPr>
          <w:rFonts w:cs="Arial"/>
          <w:szCs w:val="24"/>
        </w:rPr>
        <w:instrText xml:space="preserve"> ADDIN ZOTERO_ITEM CSL_CITATION {"citationID":"NethxJTy","properties":{"formattedCitation":"(W. Park, 2019; Telzer et al., 2018)","plainCitation":"(W. Park, 2019; Telzer et al., 2018)","noteIndex":0},"citationItems":[{"id":1127,"uris":["http://zotero.org/users/4946941/items/XREPMAXB"],"itemData":{"id":1127,"type":"webpage","abstract":"Our health choices are constantly influenced by our friends, both consciously or unconsciously","container-title":"BBC.com Future","language":"en","title":"How your friends change your habits - for better and worse","URL":"https://www.bbc.com/future/article/20190520-how-your-friends-change-your-habits---for-better-and-worse","author":[{"family":"Park","given":"William"}],"accessed":{"date-parts":[["2022",7,16]]},"issued":{"date-parts":[["2019"]]}}},{"id":1129,"uris":["http://zotero.org/users/4946941/items/H66BSC7N"],"itemData":{"id":1129,"type":"chapter","abstract":"Susceptibility to social influence is associated with a host of negative outcomes during adolescence. However, emerging evidence implicates the role of peers and parents in adolescents’ positive and adaptive adjustment. Hence, in this chapter we highlight social influence as an opportunity for promoting social adjustment, which can redirect negative trajectories and help adolescents thrive. We discuss influential models about the processes underlying social influence, with a particular emphasis on internalizing social norms, embedded in social learning and social identity theory. We link this behavioral work to developmental social neuroscience research, rooted in neurobiological models of decision making and social cognition. Work from this perspective suggests that the adolescent brain is highly malleable and particularly oriented toward the social world, which may account for heightened susceptibility to social influences during this developmental period. This chapter underscores the need to leverage social influences during adolescence, even beyond the family and peer context, to promote positive developmental outcomes. By further probing the underlying neural mechanisms as an additional layer to examining social influence on positive youth development, we will be able to gain traction on our understanding of this complex phenomenon.","container-title":"Advances in Child Development and Behavior","language":"en","note":"DOI: 10.1016/bs.acdb.2017.10.003","page":"215-258","publisher":"JAI","source":"ScienceDirect","title":"Chapter Seven - Social Influence on Positive Youth Development: A Developmental Neuroscience Perspective","title-short":"Chapter Seven - Social Influence on Positive Youth Development","URL":"https://www.sciencedirect.com/science/article/pii/S0065240717300332","volume":"54","author":[{"family":"Telzer","given":"Eva H."},{"family":"Hoorn","given":"Jorien","non-dropping-particle":"van"},{"family":"Rogers","given":"Christina R."},{"family":"Do","given":"Kathy T."}],"editor":[{"family":"Benson","given":"Janette B."}],"accessed":{"date-parts":[["2022",7,17]]},"issued":{"date-parts":[["2018",1,1]]}}}],"schema":"https://github.com/citation-style-language/schema/raw/master/csl-citation.json"} </w:instrText>
      </w:r>
      <w:r w:rsidRPr="00424BD3">
        <w:rPr>
          <w:rFonts w:cs="Arial"/>
          <w:szCs w:val="24"/>
        </w:rPr>
        <w:fldChar w:fldCharType="separate"/>
      </w:r>
      <w:r w:rsidRPr="00424BD3">
        <w:rPr>
          <w:rFonts w:cs="Arial"/>
        </w:rPr>
        <w:t>(W. Park, 2019; Telzer et al., 2018)</w:t>
      </w:r>
      <w:r w:rsidRPr="00424BD3">
        <w:rPr>
          <w:rFonts w:cs="Arial"/>
          <w:szCs w:val="24"/>
        </w:rPr>
        <w:fldChar w:fldCharType="end"/>
      </w:r>
      <w:r w:rsidRPr="00424BD3">
        <w:rPr>
          <w:rFonts w:cs="Arial"/>
          <w:szCs w:val="24"/>
        </w:rPr>
        <w:t xml:space="preserve">. This is the ‘genealogical’ nature of health beliefs, behaviors, and attitudes. </w:t>
      </w:r>
    </w:p>
    <w:p w14:paraId="4CE72B57" w14:textId="544FA60E" w:rsidR="0032431B" w:rsidRPr="00424BD3" w:rsidRDefault="0032431B" w:rsidP="00FC799B">
      <w:pPr>
        <w:spacing w:after="0" w:line="480" w:lineRule="auto"/>
        <w:ind w:firstLine="720"/>
        <w:rPr>
          <w:rFonts w:cs="Arial"/>
          <w:szCs w:val="24"/>
        </w:rPr>
      </w:pPr>
      <w:r w:rsidRPr="00424BD3">
        <w:rPr>
          <w:rFonts w:cs="Arial"/>
          <w:szCs w:val="24"/>
        </w:rPr>
        <w:t xml:space="preserve">This chapter discusses the women’s perceptions of and lived experiences with gendered health inequities, and the social determinants thereof; how they perceive those as situated in their genealogical (familial) and geographical and mortality outcomes histories; and how they perceive their experiences of these outcomes histories and health inequities as characterized by the geopolitical and social norms in which they live. Their responses help shape an understanding of the time and places which developed their health story, the knowing of which centers them in the solution to the health inequities that affect them. </w:t>
      </w:r>
    </w:p>
    <w:p w14:paraId="5B769999" w14:textId="033D25CB" w:rsidR="0032431B" w:rsidRPr="00424BD3" w:rsidRDefault="0032431B" w:rsidP="00FC799B">
      <w:pPr>
        <w:pStyle w:val="Heading2"/>
        <w:spacing w:before="0" w:line="480" w:lineRule="auto"/>
        <w:jc w:val="center"/>
        <w:rPr>
          <w:rFonts w:ascii="Arial" w:hAnsi="Arial" w:cs="Arial"/>
          <w:b/>
          <w:bCs/>
          <w:color w:val="auto"/>
          <w:sz w:val="24"/>
          <w:szCs w:val="24"/>
        </w:rPr>
      </w:pPr>
      <w:bookmarkStart w:id="79" w:name="_Toc118232345"/>
      <w:r w:rsidRPr="00424BD3">
        <w:rPr>
          <w:rFonts w:ascii="Arial" w:hAnsi="Arial" w:cs="Arial"/>
          <w:b/>
          <w:bCs/>
          <w:color w:val="auto"/>
          <w:sz w:val="24"/>
          <w:szCs w:val="24"/>
        </w:rPr>
        <w:t>Self-Perception</w:t>
      </w:r>
      <w:r w:rsidR="00203025" w:rsidRPr="00424BD3">
        <w:rPr>
          <w:rFonts w:ascii="Arial" w:hAnsi="Arial" w:cs="Arial"/>
          <w:b/>
          <w:bCs/>
          <w:color w:val="auto"/>
          <w:sz w:val="24"/>
          <w:szCs w:val="24"/>
        </w:rPr>
        <w:t>: T</w:t>
      </w:r>
      <w:r w:rsidRPr="00424BD3">
        <w:rPr>
          <w:rFonts w:ascii="Arial" w:hAnsi="Arial" w:cs="Arial"/>
          <w:b/>
          <w:bCs/>
          <w:color w:val="auto"/>
          <w:sz w:val="24"/>
          <w:szCs w:val="24"/>
        </w:rPr>
        <w:t>elling About Themselves</w:t>
      </w:r>
      <w:bookmarkEnd w:id="79"/>
    </w:p>
    <w:p w14:paraId="6FEF591F" w14:textId="1505144C" w:rsidR="0032431B" w:rsidRPr="00424BD3" w:rsidRDefault="0032431B" w:rsidP="00FC799B">
      <w:pPr>
        <w:spacing w:after="0" w:line="480" w:lineRule="auto"/>
        <w:ind w:firstLine="720"/>
        <w:rPr>
          <w:rFonts w:cs="Arial"/>
          <w:szCs w:val="24"/>
        </w:rPr>
      </w:pPr>
      <w:r w:rsidRPr="00424BD3">
        <w:rPr>
          <w:rFonts w:cs="Arial"/>
          <w:szCs w:val="24"/>
        </w:rPr>
        <w:t xml:space="preserve">As detailed in Chapter Three (Methods), </w:t>
      </w:r>
      <w:r w:rsidR="00917C6A">
        <w:rPr>
          <w:rFonts w:cs="Arial"/>
          <w:szCs w:val="24"/>
        </w:rPr>
        <w:t xml:space="preserve">I asked </w:t>
      </w:r>
      <w:r w:rsidR="00FD6991" w:rsidRPr="00424BD3">
        <w:rPr>
          <w:rFonts w:cs="Arial"/>
          <w:szCs w:val="24"/>
        </w:rPr>
        <w:t>the</w:t>
      </w:r>
      <w:r w:rsidRPr="00424BD3">
        <w:rPr>
          <w:rFonts w:cs="Arial"/>
          <w:szCs w:val="24"/>
        </w:rPr>
        <w:t xml:space="preserve"> participants to tell: about themselves; young self, familial, and young peer beliefs and views about the causes of ill or good health or mortality both within the family and in general; and thoughts about </w:t>
      </w:r>
      <w:r w:rsidRPr="00424BD3">
        <w:rPr>
          <w:rFonts w:cs="Arial"/>
          <w:szCs w:val="24"/>
        </w:rPr>
        <w:lastRenderedPageBreak/>
        <w:t xml:space="preserve">the health impact of their life experiences on their health. </w:t>
      </w:r>
      <w:r w:rsidR="0042050B" w:rsidRPr="00424BD3">
        <w:rPr>
          <w:rFonts w:cs="Arial"/>
          <w:szCs w:val="24"/>
        </w:rPr>
        <w:t>These questions were</w:t>
      </w:r>
      <w:r w:rsidRPr="00424BD3">
        <w:rPr>
          <w:rFonts w:cs="Arial"/>
          <w:szCs w:val="24"/>
        </w:rPr>
        <w:t xml:space="preserve"> designed to capture their experiences growing up in these circumstances. This allows </w:t>
      </w:r>
      <w:r w:rsidR="0042050B" w:rsidRPr="00424BD3">
        <w:rPr>
          <w:rFonts w:cs="Arial"/>
          <w:szCs w:val="24"/>
        </w:rPr>
        <w:t xml:space="preserve">for an </w:t>
      </w:r>
      <w:r w:rsidRPr="00424BD3">
        <w:rPr>
          <w:rFonts w:cs="Arial"/>
          <w:szCs w:val="24"/>
        </w:rPr>
        <w:t>examin</w:t>
      </w:r>
      <w:r w:rsidR="0042050B" w:rsidRPr="00424BD3">
        <w:rPr>
          <w:rFonts w:cs="Arial"/>
          <w:szCs w:val="24"/>
        </w:rPr>
        <w:t>ation of</w:t>
      </w:r>
      <w:r w:rsidRPr="00424BD3">
        <w:rPr>
          <w:rFonts w:cs="Arial"/>
          <w:szCs w:val="24"/>
        </w:rPr>
        <w:t xml:space="preserve"> any sub (or un) conscious beliefs, attitudes, non-answers, and silences that may not be apparent to them and that may support or contrast with their answers to direct questions about their understandings of health, mortality, and health inequities. </w:t>
      </w:r>
    </w:p>
    <w:p w14:paraId="4C3AF299" w14:textId="48CECDE3" w:rsidR="0032431B" w:rsidRPr="00424BD3" w:rsidRDefault="0032431B" w:rsidP="000126EE">
      <w:pPr>
        <w:spacing w:after="0" w:line="480" w:lineRule="auto"/>
        <w:ind w:firstLine="720"/>
        <w:rPr>
          <w:rFonts w:cs="Arial"/>
          <w:szCs w:val="24"/>
        </w:rPr>
      </w:pPr>
      <w:r w:rsidRPr="00424BD3">
        <w:rPr>
          <w:rFonts w:cs="Arial"/>
          <w:szCs w:val="24"/>
        </w:rPr>
        <w:t>While the participants had a range of views about themselves, they most often described themselves via an external focus - in terms of their marital</w:t>
      </w:r>
      <w:r w:rsidR="001D0642">
        <w:rPr>
          <w:rFonts w:cs="Arial"/>
          <w:szCs w:val="24"/>
        </w:rPr>
        <w:t xml:space="preserve"> </w:t>
      </w:r>
      <w:r w:rsidRPr="00424BD3">
        <w:rPr>
          <w:rFonts w:cs="Arial"/>
          <w:szCs w:val="24"/>
        </w:rPr>
        <w:t>/</w:t>
      </w:r>
      <w:r w:rsidR="001D0642">
        <w:rPr>
          <w:rFonts w:cs="Arial"/>
          <w:szCs w:val="24"/>
        </w:rPr>
        <w:t xml:space="preserve"> </w:t>
      </w:r>
      <w:r w:rsidRPr="00424BD3">
        <w:rPr>
          <w:rFonts w:cs="Arial"/>
          <w:szCs w:val="24"/>
        </w:rPr>
        <w:t xml:space="preserve">partnership and children status, their jobs and retirement status, their current and childhood socioeconomic status, their educational status, and their hobbies and interests. This was particularly interesting because </w:t>
      </w:r>
      <w:r w:rsidR="00CE7722">
        <w:rPr>
          <w:rFonts w:cs="Arial"/>
          <w:szCs w:val="24"/>
        </w:rPr>
        <w:t xml:space="preserve">I </w:t>
      </w:r>
      <w:r w:rsidRPr="00424BD3">
        <w:rPr>
          <w:rFonts w:cs="Arial"/>
          <w:szCs w:val="24"/>
        </w:rPr>
        <w:t xml:space="preserve">purposefully </w:t>
      </w:r>
      <w:r w:rsidR="00CE7722">
        <w:rPr>
          <w:rFonts w:cs="Arial"/>
          <w:szCs w:val="24"/>
        </w:rPr>
        <w:t xml:space="preserve">did </w:t>
      </w:r>
      <w:r w:rsidRPr="00424BD3">
        <w:rPr>
          <w:rFonts w:cs="Arial"/>
          <w:szCs w:val="24"/>
        </w:rPr>
        <w:t>not ask</w:t>
      </w:r>
      <w:r w:rsidR="00734CD5" w:rsidRPr="00424BD3">
        <w:rPr>
          <w:rFonts w:cs="Arial"/>
          <w:szCs w:val="24"/>
        </w:rPr>
        <w:t xml:space="preserve"> about </w:t>
      </w:r>
      <w:r w:rsidRPr="00424BD3">
        <w:rPr>
          <w:rFonts w:cs="Arial"/>
          <w:szCs w:val="24"/>
        </w:rPr>
        <w:t xml:space="preserve">their social status in order to not influence their describing themselves with an external or internal focus. Instead, </w:t>
      </w:r>
      <w:r w:rsidR="00CE7722">
        <w:rPr>
          <w:rFonts w:cs="Arial"/>
          <w:szCs w:val="24"/>
        </w:rPr>
        <w:t xml:space="preserve">I </w:t>
      </w:r>
      <w:r w:rsidR="00734CD5" w:rsidRPr="00424BD3">
        <w:rPr>
          <w:rFonts w:cs="Arial"/>
          <w:szCs w:val="24"/>
        </w:rPr>
        <w:t>asked</w:t>
      </w:r>
      <w:r w:rsidRPr="00424BD3">
        <w:rPr>
          <w:rFonts w:cs="Arial"/>
          <w:szCs w:val="24"/>
        </w:rPr>
        <w:t xml:space="preserve"> </w:t>
      </w:r>
      <w:r w:rsidR="00CE7722">
        <w:rPr>
          <w:rFonts w:cs="Arial"/>
          <w:szCs w:val="24"/>
        </w:rPr>
        <w:t xml:space="preserve">them </w:t>
      </w:r>
      <w:r w:rsidRPr="00424BD3">
        <w:rPr>
          <w:rFonts w:cs="Arial"/>
          <w:szCs w:val="24"/>
        </w:rPr>
        <w:t xml:space="preserve">to tell </w:t>
      </w:r>
      <w:r w:rsidR="00CE7722">
        <w:rPr>
          <w:rFonts w:cs="Arial"/>
          <w:szCs w:val="24"/>
        </w:rPr>
        <w:t xml:space="preserve">me </w:t>
      </w:r>
      <w:r w:rsidRPr="00424BD3">
        <w:rPr>
          <w:rFonts w:cs="Arial"/>
          <w:szCs w:val="24"/>
        </w:rPr>
        <w:t>a little bit about themselves and what they liked to do (hobbies</w:t>
      </w:r>
      <w:r w:rsidR="001D0642">
        <w:rPr>
          <w:rFonts w:cs="Arial"/>
          <w:szCs w:val="24"/>
        </w:rPr>
        <w:t xml:space="preserve"> </w:t>
      </w:r>
      <w:r w:rsidRPr="00424BD3">
        <w:rPr>
          <w:rFonts w:cs="Arial"/>
          <w:szCs w:val="24"/>
        </w:rPr>
        <w:t>/</w:t>
      </w:r>
      <w:r w:rsidR="001D0642">
        <w:rPr>
          <w:rFonts w:cs="Arial"/>
          <w:szCs w:val="24"/>
        </w:rPr>
        <w:t xml:space="preserve"> </w:t>
      </w:r>
      <w:r w:rsidRPr="00424BD3">
        <w:rPr>
          <w:rFonts w:cs="Arial"/>
          <w:szCs w:val="24"/>
        </w:rPr>
        <w:t>interests).</w:t>
      </w:r>
      <w:r w:rsidR="00C10D6A" w:rsidRPr="00424BD3">
        <w:rPr>
          <w:rFonts w:cs="Arial"/>
          <w:szCs w:val="24"/>
        </w:rPr>
        <w:t xml:space="preserve"> S</w:t>
      </w:r>
      <w:r w:rsidRPr="00424BD3">
        <w:rPr>
          <w:rFonts w:cs="Arial"/>
          <w:szCs w:val="24"/>
        </w:rPr>
        <w:t xml:space="preserve">ome of the women reflected on their personal traits, allowing an inside view of how they perceive their internalized selves, and how this may interact with their views on gendered and genealogical health, health inequities, and mortality. Two described themselves as introverts, three as activists for social justice (one of who said she ‘speaks truth to power’ and one who said, as the carer for her husband, father-in-law and mother-in-law, that she is the health advocate for the family), some as spiritual people, some as religious people, and two as having had a good or great lives growing up. Still, a review of the women’s external experiences provides a strong context (in relation to social determinants of health) to understand their health’. Family relationships are integral to this study, since </w:t>
      </w:r>
      <w:r w:rsidR="00814B9A" w:rsidRPr="00424BD3">
        <w:rPr>
          <w:rFonts w:cs="Arial"/>
          <w:szCs w:val="24"/>
        </w:rPr>
        <w:t>this</w:t>
      </w:r>
      <w:r w:rsidRPr="00424BD3">
        <w:rPr>
          <w:rFonts w:cs="Arial"/>
          <w:szCs w:val="24"/>
        </w:rPr>
        <w:t xml:space="preserve"> study examines the role of families in </w:t>
      </w:r>
      <w:r w:rsidRPr="00424BD3">
        <w:rPr>
          <w:rFonts w:cs="Arial"/>
          <w:szCs w:val="24"/>
        </w:rPr>
        <w:lastRenderedPageBreak/>
        <w:t xml:space="preserve">the passing on of family attitudes, perceptions and beliefs about health, death, and health inequities. </w:t>
      </w:r>
    </w:p>
    <w:p w14:paraId="0C79A6A3" w14:textId="0E7B647C" w:rsidR="0032431B" w:rsidRPr="00424BD3" w:rsidRDefault="0032431B" w:rsidP="000126EE">
      <w:pPr>
        <w:spacing w:after="0" w:line="480" w:lineRule="auto"/>
        <w:ind w:firstLine="720"/>
        <w:rPr>
          <w:rFonts w:cs="Arial"/>
          <w:szCs w:val="24"/>
        </w:rPr>
      </w:pPr>
      <w:r w:rsidRPr="00424BD3">
        <w:rPr>
          <w:rFonts w:cs="Arial"/>
          <w:szCs w:val="24"/>
        </w:rPr>
        <w:t>For example, Mary described herself in relation to her family status and how her family plays board games together now</w:t>
      </w:r>
      <w:r w:rsidR="00953255">
        <w:rPr>
          <w:rFonts w:cs="Arial"/>
          <w:szCs w:val="24"/>
        </w:rPr>
        <w:t>,</w:t>
      </w:r>
      <w:r w:rsidRPr="00424BD3">
        <w:rPr>
          <w:rFonts w:cs="Arial"/>
          <w:szCs w:val="24"/>
        </w:rPr>
        <w:t xml:space="preserve"> rather than eating together, and her pride around the 100-pound weight loss of both her daughter and grandson. This was one of her opening comments to me, which became a theme throughout her interview. In fact, in one of </w:t>
      </w:r>
      <w:r w:rsidR="001E6EC0" w:rsidRPr="00424BD3">
        <w:rPr>
          <w:rFonts w:cs="Arial"/>
          <w:szCs w:val="24"/>
        </w:rPr>
        <w:t xml:space="preserve">the </w:t>
      </w:r>
      <w:r w:rsidRPr="00424BD3">
        <w:rPr>
          <w:rFonts w:cs="Arial"/>
          <w:szCs w:val="24"/>
        </w:rPr>
        <w:t xml:space="preserve">field notes about this interview, </w:t>
      </w:r>
      <w:r w:rsidR="007A5088" w:rsidRPr="00424BD3">
        <w:rPr>
          <w:rFonts w:cs="Arial"/>
          <w:szCs w:val="24"/>
        </w:rPr>
        <w:t xml:space="preserve">it was noted </w:t>
      </w:r>
      <w:r w:rsidRPr="00424BD3">
        <w:rPr>
          <w:rFonts w:cs="Arial"/>
          <w:szCs w:val="24"/>
        </w:rPr>
        <w:t>that her interview answers were so heavily peppered with references to weight as a health indicator, that</w:t>
      </w:r>
      <w:r w:rsidR="007A5088" w:rsidRPr="00424BD3">
        <w:rPr>
          <w:rFonts w:cs="Arial"/>
          <w:szCs w:val="24"/>
        </w:rPr>
        <w:t xml:space="preserve">, </w:t>
      </w:r>
      <w:r w:rsidR="00E425EB" w:rsidRPr="00424BD3">
        <w:rPr>
          <w:rFonts w:cs="Arial"/>
          <w:szCs w:val="24"/>
        </w:rPr>
        <w:t xml:space="preserve">for </w:t>
      </w:r>
      <w:r w:rsidR="00F87713">
        <w:rPr>
          <w:rFonts w:cs="Arial"/>
          <w:szCs w:val="24"/>
        </w:rPr>
        <w:t>me</w:t>
      </w:r>
      <w:r w:rsidR="007A5088" w:rsidRPr="00424BD3">
        <w:rPr>
          <w:rFonts w:cs="Arial"/>
          <w:szCs w:val="24"/>
        </w:rPr>
        <w:t xml:space="preserve">, it </w:t>
      </w:r>
      <w:r w:rsidRPr="00424BD3">
        <w:rPr>
          <w:rFonts w:cs="Arial"/>
          <w:szCs w:val="24"/>
        </w:rPr>
        <w:t xml:space="preserve">became uncomfortable in the interview. Many of the women referred to weight and their weight which was not surprising given the large evidence-body of women’s weight as a major clinical and social stigmatizing issue in all things women’s health </w:t>
      </w:r>
      <w:r w:rsidRPr="00424BD3">
        <w:rPr>
          <w:rFonts w:cs="Arial"/>
          <w:szCs w:val="24"/>
        </w:rPr>
        <w:fldChar w:fldCharType="begin"/>
      </w:r>
      <w:r w:rsidR="00990F3A">
        <w:rPr>
          <w:rFonts w:cs="Arial"/>
          <w:szCs w:val="24"/>
        </w:rPr>
        <w:instrText xml:space="preserve"> ADDIN ZOTERO_ITEM CSL_CITATION {"citationID":"q75fqLif","properties":{"formattedCitation":"(Ciciurkaite &amp; Perry, 2018; Forbes &amp; Donovan, 2019; Mensinger et al., 2018; Puhl et al., 2020)","plainCitation":"(Ciciurkaite &amp; Perry, 2018; Forbes &amp; Donovan, 2019; Mensinger et al., 2018; Puhl et al., 2020)","noteIndex":0},"citationItems":[{"id":1070,"uris":["http://zotero.org/users/4946941/items/Y4FKGHSM"],"itemData":{"id":1070,"type":"article-journal","abstract":"With increasing rates of obesity in the United States, attention to life chances and psychological consequences associated with weight stigma and weight-based discrimination has also intensified. While research has demonstrated the negative effects of weight-based discrimination on mental health, little is known about whether different social groups are disproportionately vulnerable to these experiences. Drawing on the modified labelling theory, the focus of this paper is to investigate the psychological correlates of body weight and self-perceived weight-based discrimination among American women at the intersection of race/ethnicity and socioeconomic status (SES). Analyses use data from the National Health Measurement Study (NHMS), a national multi-stage probability sample of non-institutional, English-speaking adults, ages 35 to 89 in 2005–2006. Our findings demonstrate that the effect of weight-based discrimination on psychological well-being is highly contingent on social status. Specifically, the psychological consequences of discrimination on Hispanic women and women in the lowest household income group is significantly greater relative to White women and women with higher household income, controlling for obesity status and self-rated health. These results suggest that higher social status has a buffering effect of weight stigma on psychological well-being.","container-title":"Sociology of Health &amp; Illness","DOI":"10.1111/1467-9566.12619","ISSN":"1467-9566","issue":"1","language":"en","note":"_eprint: https://onlinelibrary.wiley.com/doi/pdf/10.1111/1467-9566.12619","page":"18-37","source":"Wiley Online Library","title":"Body weight, perceived weight stigma and mental health among women at the intersection of race/ethnicity and socioeconomic status: insights from the modified labelling approach","title-short":"Body weight, perceived weight stigma and mental health among women at the intersection of race/ethnicity and socioeconomic status","volume":"40","author":[{"family":"Ciciurkaite","given":"Gabriele"},{"family":"Perry","given":"Brea L."}],"issued":{"date-parts":[["2018"]]}}},{"id":1066,"uris":["http://zotero.org/users/4946941/items/97GL3CR6"],"itemData":{"id":1066,"type":"article-journal","abstract":"ObjectivesWeight</w:instrText>
      </w:r>
      <w:r w:rsidR="00990F3A">
        <w:rPr>
          <w:rFonts w:ascii="Cambria Math" w:hAnsi="Cambria Math" w:cs="Cambria Math"/>
          <w:szCs w:val="24"/>
        </w:rPr>
        <w:instrText>‐</w:instrText>
      </w:r>
      <w:r w:rsidR="00990F3A">
        <w:rPr>
          <w:rFonts w:cs="Arial"/>
          <w:szCs w:val="24"/>
        </w:rPr>
        <w:instrText>based stigma is often experienced by individuals who are overweight and obese, and is associated with a range of deleterious physical and mental health outcomes. Research is lacking on the mechanisms through which these relationships occur. This paper examines two potential mechanisms: internalised weight stigma and self</w:instrText>
      </w:r>
      <w:r w:rsidR="00990F3A">
        <w:rPr>
          <w:rFonts w:ascii="Cambria Math" w:hAnsi="Cambria Math" w:cs="Cambria Math"/>
          <w:szCs w:val="24"/>
        </w:rPr>
        <w:instrText>‐</w:instrText>
      </w:r>
      <w:r w:rsidR="00990F3A">
        <w:rPr>
          <w:rFonts w:cs="Arial"/>
          <w:szCs w:val="24"/>
        </w:rPr>
        <w:instrText>compassion.MethodA sample of 147 overweight and obese Australian females aged between 18 and 45-years completed a series of self</w:instrText>
      </w:r>
      <w:r w:rsidR="00990F3A">
        <w:rPr>
          <w:rFonts w:ascii="Cambria Math" w:hAnsi="Cambria Math" w:cs="Cambria Math"/>
          <w:szCs w:val="24"/>
        </w:rPr>
        <w:instrText>‐</w:instrText>
      </w:r>
      <w:r w:rsidR="00990F3A">
        <w:rPr>
          <w:rFonts w:cs="Arial"/>
          <w:szCs w:val="24"/>
        </w:rPr>
        <w:instrText>report questionnaires measuring: experienced weight stigma, internalised weight stigma, self</w:instrText>
      </w:r>
      <w:r w:rsidR="00990F3A">
        <w:rPr>
          <w:rFonts w:ascii="Cambria Math" w:hAnsi="Cambria Math" w:cs="Cambria Math"/>
          <w:szCs w:val="24"/>
        </w:rPr>
        <w:instrText>‐</w:instrText>
      </w:r>
      <w:r w:rsidR="00990F3A">
        <w:rPr>
          <w:rFonts w:cs="Arial"/>
          <w:szCs w:val="24"/>
        </w:rPr>
        <w:instrText>compassion, psychological distress, body shame, loneliness, and life satisfaction.ResultsInternalised weight stigma mediated the relationship between experienced weight stigma and body shame such that greater experienced weight stigma led to greater internalised weight stigma, which in turn led to greater body shame. Additionally, self</w:instrText>
      </w:r>
      <w:r w:rsidR="00990F3A">
        <w:rPr>
          <w:rFonts w:ascii="Cambria Math" w:hAnsi="Cambria Math" w:cs="Cambria Math"/>
          <w:szCs w:val="24"/>
        </w:rPr>
        <w:instrText>‐</w:instrText>
      </w:r>
      <w:r w:rsidR="00990F3A">
        <w:rPr>
          <w:rFonts w:cs="Arial"/>
          <w:szCs w:val="24"/>
        </w:rPr>
        <w:instrText>compassion mediated the relationship between experienced weight stigma and several psychosocial factors such that greater experienced weight stigma led to lower self</w:instrText>
      </w:r>
      <w:r w:rsidR="00990F3A">
        <w:rPr>
          <w:rFonts w:ascii="Cambria Math" w:hAnsi="Cambria Math" w:cs="Cambria Math"/>
          <w:szCs w:val="24"/>
        </w:rPr>
        <w:instrText>‐</w:instrText>
      </w:r>
      <w:r w:rsidR="00990F3A">
        <w:rPr>
          <w:rFonts w:cs="Arial"/>
          <w:szCs w:val="24"/>
        </w:rPr>
        <w:instrText>compassion, which led to greater psychological distress, higher perceived loneliness, and lower satisfaction with life.ConclusionsFindings support previous research indicating that internalised weight stigma plays a mediating role in the relationship between experienced weight stigma and adverse outcomes. This study extends upon prior research by investigating previously unexamined outcome variables and exploring the simultaneous mediating role of self</w:instrText>
      </w:r>
      <w:r w:rsidR="00990F3A">
        <w:rPr>
          <w:rFonts w:ascii="Cambria Math" w:hAnsi="Cambria Math" w:cs="Cambria Math"/>
          <w:szCs w:val="24"/>
        </w:rPr>
        <w:instrText>‐</w:instrText>
      </w:r>
      <w:r w:rsidR="00990F3A">
        <w:rPr>
          <w:rFonts w:cs="Arial"/>
          <w:szCs w:val="24"/>
        </w:rPr>
        <w:instrText>compassion. The findings suggest that both internalised weight stigma and self</w:instrText>
      </w:r>
      <w:r w:rsidR="00990F3A">
        <w:rPr>
          <w:rFonts w:ascii="Cambria Math" w:hAnsi="Cambria Math" w:cs="Cambria Math"/>
          <w:szCs w:val="24"/>
        </w:rPr>
        <w:instrText>‐</w:instrText>
      </w:r>
      <w:r w:rsidR="00990F3A">
        <w:rPr>
          <w:rFonts w:cs="Arial"/>
          <w:szCs w:val="24"/>
        </w:rPr>
        <w:instrText>compassion each play a different but important role in the way in which weight stigma impacts on overweight and obese women. Results from this study have implications in terms of psychological intervention for overweight and obese individuals in clinical practice.","container-title":"Australian Psychologist","DOI":"10.1111/ap.12407","ISSN":"0005-0067","issue":"6","note":"publisher: Routledge\n_eprint: https://doi.org/10.1111/ap.12407","page":"471-482","source":"Taylor and Francis+NEJM","title":"The role of internalised weight stigma and self</w:instrText>
      </w:r>
      <w:r w:rsidR="00990F3A">
        <w:rPr>
          <w:rFonts w:ascii="Cambria Math" w:hAnsi="Cambria Math" w:cs="Cambria Math"/>
          <w:szCs w:val="24"/>
        </w:rPr>
        <w:instrText>‐</w:instrText>
      </w:r>
      <w:r w:rsidR="00990F3A">
        <w:rPr>
          <w:rFonts w:cs="Arial"/>
          <w:szCs w:val="24"/>
        </w:rPr>
        <w:instrText>compassion in the psychological well</w:instrText>
      </w:r>
      <w:r w:rsidR="00990F3A">
        <w:rPr>
          <w:rFonts w:ascii="Cambria Math" w:hAnsi="Cambria Math" w:cs="Cambria Math"/>
          <w:szCs w:val="24"/>
        </w:rPr>
        <w:instrText>‐</w:instrText>
      </w:r>
      <w:r w:rsidR="00990F3A">
        <w:rPr>
          <w:rFonts w:cs="Arial"/>
          <w:szCs w:val="24"/>
        </w:rPr>
        <w:instrText xml:space="preserve">being of overweight and obese women","volume":"54","author":[{"family":"Forbes","given":"Yvette"},{"family":"Donovan","given":"Caroline"}],"issued":{"date-parts":[["2019",12,1]]}}},{"id":1064,"uris":["http://zotero.org/users/4946941/items/4HYXVACU"],"itemData":{"id":1064,"type":"article-journal","abstract":"Studies show that women with high BMI are less likely than thinner women to seek healthcare. We aimed to determine the mechanisms linking women’s weight status to their healthcare avoidance. Women (N = 313) were surveyed from a U.S. health-panel database. We tested a theory-driven model containing multiple stigma and body-related constructs linking BMI to healthcare avoidance. The model had a good fit to the data. Higher BMI was related to greater experienced and internalized weight stigma, which were linked to greater body-related shame. Internalized weight stigma was also related to greater body-related guilt, which was associated with higher body-related shame. Body-related shame was associated with healthcare stress which ultimately contributed to healthcare avoidance. We discuss recommendations for a Weight Inclusive Approach to healthcare and the importance of enhancing education for health professionals in weight bias in order to increase appropriate use of preventive healthcare in higher weight women.","container-title":"Body Image","DOI":"10.1016/j.bodyim.2018.03.001","ISSN":"1740-1445","journalAbbreviation":"Body Image","language":"en","page":"139-147","source":"ScienceDirect","title":"Mechanisms underlying weight status and healthcare avoidance in women: A study of weight stigma, body-related shame and guilt, and healthcare stress","title-short":"Mechanisms underlying weight status and healthcare avoidance in women","volume":"25","author":[{"family":"Mensinger","given":"Janell L."},{"family":"Tylka","given":"Tracy L."},{"family":"Calamari","given":"Margaret E."}],"issued":{"date-parts":[["2018",6,1]]}}},{"id":1068,"uris":["http://zotero.org/users/4946941/items/TLXRTPT7"],"itemData":{"id":1068,"type":"article-journal","abstract":"Weight stigma is a key aspect of the lived experience of individuals with obesity, and adversely affects health. This article provides an overview of recent evidence examining links between experiences of weight stigma and weight-related behaviors and health (e.g., maladaptive eating, physical activity, stress, obesity, weight loss), including health consequences for individuals with heightened vulnerability to weight stigma (e.g., youth and people seeking bariatric surgery) and implications for clinicians working with individuals who have obesity. This literature points to weight stigma as a psychosocial contributor to obesogenic behaviors, yet the role of weight stigma in weight loss among treatment-seeking individuals has received little attention. Research priorities are identified, including the need for future studies to (a) determine the potentially predictive value of specific characteristics of weight-stigmatizing experiences for weight loss (such as the time period, interpersonal sources, and coping responses for stigma experiences), (b) identify mechanisms through which weight stigma may undermine or facilitate weight-related treatment outcomes, and (c) test strategies that can be implemented in weight management programs to reduce the negative impact of weight stigma on health behaviors. Broadly, more attention should be directed to weight stigma in the obesity field as a relevant psychosocial factor in obesity-focused prevention and treatment. (PsycINFO Database Record (c) 2020 APA, all rights reserved)","container-title":"American Psychologist","DOI":"10.1037/amp0000538","ISSN":"1935-990X","issue":"2","note":"publisher-place: US\npublisher: American Psychological Association","page":"274-289","source":"APA PsycNet","title":"Weight stigma as a psychosocial contributor to obesity","volume":"75","author":[{"family":"Puhl","given":"Rebecca M."},{"family":"Himmelstein","given":"Mary S."},{"family":"Pearl","given":"Rebecca L."}],"issued":{"date-parts":[["2020"]]}}}],"schema":"https://github.com/citation-style-language/schema/raw/master/csl-citation.json"} </w:instrText>
      </w:r>
      <w:r w:rsidRPr="00424BD3">
        <w:rPr>
          <w:rFonts w:cs="Arial"/>
          <w:szCs w:val="24"/>
        </w:rPr>
        <w:fldChar w:fldCharType="separate"/>
      </w:r>
      <w:r w:rsidRPr="00424BD3">
        <w:rPr>
          <w:rFonts w:cs="Arial"/>
        </w:rPr>
        <w:t>(Ciciurkaite &amp; Perry, 2018; Forbes &amp; Donovan, 2019; Mensinger et al., 2018; Puhl et al., 2020)</w:t>
      </w:r>
      <w:r w:rsidRPr="00424BD3">
        <w:rPr>
          <w:rFonts w:cs="Arial"/>
          <w:szCs w:val="24"/>
        </w:rPr>
        <w:fldChar w:fldCharType="end"/>
      </w:r>
      <w:r w:rsidRPr="00424BD3">
        <w:rPr>
          <w:rFonts w:cs="Arial"/>
          <w:szCs w:val="24"/>
        </w:rPr>
        <w:t>.</w:t>
      </w:r>
    </w:p>
    <w:p w14:paraId="31FA6088" w14:textId="77B6320C" w:rsidR="0032431B" w:rsidRPr="00424BD3" w:rsidRDefault="0032431B" w:rsidP="000126EE">
      <w:pPr>
        <w:spacing w:after="0" w:line="480" w:lineRule="auto"/>
        <w:ind w:firstLine="720"/>
        <w:rPr>
          <w:rFonts w:cs="Arial"/>
          <w:szCs w:val="24"/>
        </w:rPr>
      </w:pPr>
      <w:r w:rsidRPr="00424BD3">
        <w:rPr>
          <w:rFonts w:cs="Arial"/>
          <w:szCs w:val="24"/>
        </w:rPr>
        <w:t>While</w:t>
      </w:r>
      <w:r w:rsidR="0003131C" w:rsidRPr="00424BD3">
        <w:rPr>
          <w:rFonts w:cs="Arial"/>
          <w:szCs w:val="24"/>
        </w:rPr>
        <w:t xml:space="preserve"> </w:t>
      </w:r>
      <w:r w:rsidR="00917C6A">
        <w:rPr>
          <w:rFonts w:cs="Arial"/>
          <w:szCs w:val="24"/>
        </w:rPr>
        <w:t xml:space="preserve">I did </w:t>
      </w:r>
      <w:r w:rsidR="0003131C" w:rsidRPr="00424BD3">
        <w:rPr>
          <w:rFonts w:cs="Arial"/>
          <w:szCs w:val="24"/>
        </w:rPr>
        <w:t>not ask</w:t>
      </w:r>
      <w:r w:rsidR="00917C6A">
        <w:rPr>
          <w:rFonts w:cs="Arial"/>
          <w:szCs w:val="24"/>
        </w:rPr>
        <w:t xml:space="preserve"> them</w:t>
      </w:r>
      <w:r w:rsidR="0003131C" w:rsidRPr="00424BD3">
        <w:rPr>
          <w:rFonts w:cs="Arial"/>
          <w:szCs w:val="24"/>
        </w:rPr>
        <w:t xml:space="preserve"> </w:t>
      </w:r>
      <w:r w:rsidRPr="00424BD3">
        <w:rPr>
          <w:rFonts w:cs="Arial"/>
          <w:szCs w:val="24"/>
        </w:rPr>
        <w:t>to name their race or ethnicity, Anita, who</w:t>
      </w:r>
      <w:r w:rsidR="0003131C" w:rsidRPr="00424BD3">
        <w:rPr>
          <w:rFonts w:cs="Arial"/>
          <w:szCs w:val="24"/>
        </w:rPr>
        <w:t>se interview was conducted</w:t>
      </w:r>
      <w:r w:rsidRPr="00424BD3">
        <w:rPr>
          <w:rFonts w:cs="Arial"/>
          <w:szCs w:val="24"/>
        </w:rPr>
        <w:t xml:space="preserve"> over the phone, stated that she was </w:t>
      </w:r>
      <w:r w:rsidR="000B0F8C" w:rsidRPr="00424BD3">
        <w:rPr>
          <w:rFonts w:cs="Arial"/>
          <w:szCs w:val="24"/>
        </w:rPr>
        <w:t>Black</w:t>
      </w:r>
      <w:r w:rsidRPr="00424BD3">
        <w:rPr>
          <w:rFonts w:cs="Arial"/>
          <w:szCs w:val="24"/>
        </w:rPr>
        <w:t>, and discussed her experiences growing up in the Jim Crow South. The other participants did not disclose their race or ethnicity. For those women who chose to tell me their marital or partnership status, Cynthia and Kathryn are currently married; Peggy, widowed twice, is currently and “happily” single; Deborah and Carolyn are widowed; Barbara is divorced, hav</w:t>
      </w:r>
      <w:r w:rsidR="00953255">
        <w:rPr>
          <w:rFonts w:cs="Arial"/>
          <w:szCs w:val="24"/>
        </w:rPr>
        <w:t>ing</w:t>
      </w:r>
      <w:r w:rsidRPr="00424BD3">
        <w:rPr>
          <w:rFonts w:cs="Arial"/>
          <w:szCs w:val="24"/>
        </w:rPr>
        <w:t xml:space="preserve"> married at 18; Ruth never married. Peggy disclosed that she is LGBTQ, identifying as lesbian. No other woman disclosed their sexual </w:t>
      </w:r>
      <w:r w:rsidR="003266FD" w:rsidRPr="00424BD3">
        <w:rPr>
          <w:rFonts w:cs="Arial"/>
          <w:szCs w:val="24"/>
        </w:rPr>
        <w:t>orientation</w:t>
      </w:r>
      <w:r w:rsidRPr="00424BD3">
        <w:rPr>
          <w:rFonts w:cs="Arial"/>
          <w:szCs w:val="24"/>
        </w:rPr>
        <w:t xml:space="preserve"> </w:t>
      </w:r>
      <w:r w:rsidR="00953255">
        <w:rPr>
          <w:rFonts w:cs="Arial"/>
          <w:szCs w:val="24"/>
        </w:rPr>
        <w:t>n</w:t>
      </w:r>
      <w:r w:rsidRPr="00424BD3">
        <w:rPr>
          <w:rFonts w:cs="Arial"/>
          <w:szCs w:val="24"/>
        </w:rPr>
        <w:t>or their gender identity. For those who spoke of their parenthood status, Mary, Peggy, Barbara, Cynthia, and Ruth have children; Carolyn ha</w:t>
      </w:r>
      <w:r w:rsidR="00370900" w:rsidRPr="00424BD3">
        <w:rPr>
          <w:rFonts w:cs="Arial"/>
          <w:szCs w:val="24"/>
        </w:rPr>
        <w:t>s</w:t>
      </w:r>
      <w:r w:rsidRPr="00424BD3">
        <w:rPr>
          <w:rFonts w:cs="Arial"/>
          <w:szCs w:val="24"/>
        </w:rPr>
        <w:t xml:space="preserve"> </w:t>
      </w:r>
      <w:r w:rsidR="001E723D" w:rsidRPr="00424BD3">
        <w:rPr>
          <w:rFonts w:cs="Arial"/>
          <w:szCs w:val="24"/>
        </w:rPr>
        <w:t>stepchildren</w:t>
      </w:r>
      <w:r w:rsidRPr="00424BD3">
        <w:rPr>
          <w:rFonts w:cs="Arial"/>
          <w:szCs w:val="24"/>
        </w:rPr>
        <w:t xml:space="preserve">; Peggy, Deborah, and Barbara have grandchildren; and Mary had been a single mother early in her life, while Peggy </w:t>
      </w:r>
      <w:r w:rsidRPr="00424BD3">
        <w:rPr>
          <w:rFonts w:cs="Arial"/>
          <w:szCs w:val="24"/>
        </w:rPr>
        <w:lastRenderedPageBreak/>
        <w:t xml:space="preserve">currently is. Of those who provided their educational status, Margaret and Kathryn received </w:t>
      </w:r>
      <w:r w:rsidR="00602FF4" w:rsidRPr="00424BD3">
        <w:rPr>
          <w:rFonts w:cs="Arial"/>
          <w:szCs w:val="24"/>
        </w:rPr>
        <w:t xml:space="preserve">a </w:t>
      </w:r>
      <w:r w:rsidRPr="00424BD3">
        <w:rPr>
          <w:rFonts w:cs="Arial"/>
          <w:szCs w:val="24"/>
        </w:rPr>
        <w:t>high school education; Mary, Peggy, Barbara, Anita, Sharon, Ruth, Sylvia had received their bachelor’s degrees; Anita and Sharon had received their master’s degrees; and Peggy, Janet, Ruth, and Sylvia had received their Ph</w:t>
      </w:r>
      <w:r w:rsidR="00A869A3">
        <w:rPr>
          <w:rFonts w:cs="Arial"/>
          <w:szCs w:val="24"/>
        </w:rPr>
        <w:t>.</w:t>
      </w:r>
      <w:r w:rsidRPr="00424BD3">
        <w:rPr>
          <w:rFonts w:cs="Arial"/>
          <w:szCs w:val="24"/>
        </w:rPr>
        <w:t>D</w:t>
      </w:r>
      <w:r w:rsidR="00A869A3">
        <w:rPr>
          <w:rFonts w:cs="Arial"/>
          <w:szCs w:val="24"/>
        </w:rPr>
        <w:t>.</w:t>
      </w:r>
      <w:r w:rsidRPr="00424BD3">
        <w:rPr>
          <w:rFonts w:cs="Arial"/>
          <w:szCs w:val="24"/>
        </w:rPr>
        <w:t>, Ed</w:t>
      </w:r>
      <w:r w:rsidR="00A869A3">
        <w:rPr>
          <w:rFonts w:cs="Arial"/>
          <w:szCs w:val="24"/>
        </w:rPr>
        <w:t>.</w:t>
      </w:r>
      <w:r w:rsidRPr="00424BD3">
        <w:rPr>
          <w:rFonts w:cs="Arial"/>
          <w:szCs w:val="24"/>
        </w:rPr>
        <w:t>S</w:t>
      </w:r>
      <w:r w:rsidR="00A869A3">
        <w:rPr>
          <w:rFonts w:cs="Arial"/>
          <w:szCs w:val="24"/>
        </w:rPr>
        <w:t>.</w:t>
      </w:r>
      <w:r w:rsidR="0002397A">
        <w:rPr>
          <w:rFonts w:cs="Arial"/>
          <w:szCs w:val="24"/>
        </w:rPr>
        <w:t>,</w:t>
      </w:r>
      <w:r w:rsidRPr="00424BD3">
        <w:rPr>
          <w:rFonts w:cs="Arial"/>
          <w:szCs w:val="24"/>
        </w:rPr>
        <w:t xml:space="preserve"> or other professional degree. </w:t>
      </w:r>
      <w:r w:rsidR="00C816DE" w:rsidRPr="00424BD3">
        <w:rPr>
          <w:rFonts w:cs="Arial"/>
          <w:szCs w:val="24"/>
        </w:rPr>
        <w:t xml:space="preserve">Margaret and Anita went to public primary schools and Peggy, Carolyn, Kathryn went to private, religious or professional performance schools. </w:t>
      </w:r>
      <w:r w:rsidRPr="00424BD3">
        <w:rPr>
          <w:rFonts w:cs="Arial"/>
          <w:szCs w:val="24"/>
        </w:rPr>
        <w:t>At least one worked full-time while at university to help pay for her degree.</w:t>
      </w:r>
    </w:p>
    <w:p w14:paraId="6D56066A" w14:textId="6F06EEB1" w:rsidR="0032431B" w:rsidRPr="00424BD3" w:rsidRDefault="0032431B" w:rsidP="000126EE">
      <w:pPr>
        <w:spacing w:after="0" w:line="480" w:lineRule="auto"/>
        <w:ind w:firstLine="720"/>
        <w:rPr>
          <w:rFonts w:cs="Arial"/>
          <w:szCs w:val="24"/>
        </w:rPr>
      </w:pPr>
      <w:r w:rsidRPr="00424BD3">
        <w:rPr>
          <w:rFonts w:cs="Arial"/>
          <w:szCs w:val="24"/>
        </w:rPr>
        <w:t xml:space="preserve">Barbara mentioned that, as a child, she grew up in poverty, while Cynthia stated that she had grown up middle-class and ‘had never wanted for anything’. All of the women had worked in their middle and later lives. Barbara </w:t>
      </w:r>
      <w:r w:rsidR="00984E93" w:rsidRPr="00424BD3">
        <w:rPr>
          <w:rFonts w:cs="Arial"/>
          <w:szCs w:val="24"/>
        </w:rPr>
        <w:t>mentioned that she was</w:t>
      </w:r>
      <w:r w:rsidRPr="00424BD3">
        <w:rPr>
          <w:rFonts w:cs="Arial"/>
          <w:szCs w:val="24"/>
        </w:rPr>
        <w:t xml:space="preserve"> </w:t>
      </w:r>
      <w:r w:rsidR="00984E93" w:rsidRPr="00424BD3">
        <w:rPr>
          <w:rFonts w:cs="Arial"/>
          <w:szCs w:val="24"/>
        </w:rPr>
        <w:t>“</w:t>
      </w:r>
      <w:r w:rsidRPr="00424BD3">
        <w:rPr>
          <w:rFonts w:cs="Arial"/>
          <w:szCs w:val="24"/>
        </w:rPr>
        <w:t>forced by her husband to be a stay-at-home mother</w:t>
      </w:r>
      <w:r w:rsidR="00984E93" w:rsidRPr="00424BD3">
        <w:rPr>
          <w:rFonts w:cs="Arial"/>
          <w:szCs w:val="24"/>
        </w:rPr>
        <w:t>”</w:t>
      </w:r>
      <w:r w:rsidRPr="00424BD3">
        <w:rPr>
          <w:rFonts w:cs="Arial"/>
          <w:szCs w:val="24"/>
        </w:rPr>
        <w:t xml:space="preserve"> when she was younger, but after she divorced him, broke and homeless, she moved to another state</w:t>
      </w:r>
      <w:r w:rsidR="00EC2ED1" w:rsidRPr="00424BD3">
        <w:rPr>
          <w:rFonts w:cs="Arial"/>
          <w:szCs w:val="24"/>
        </w:rPr>
        <w:t>. She</w:t>
      </w:r>
      <w:r w:rsidRPr="00424BD3">
        <w:rPr>
          <w:rFonts w:cs="Arial"/>
          <w:szCs w:val="24"/>
        </w:rPr>
        <w:t xml:space="preserve"> found work, </w:t>
      </w:r>
      <w:r w:rsidR="00EC2ED1" w:rsidRPr="00424BD3">
        <w:rPr>
          <w:rFonts w:cs="Arial"/>
          <w:szCs w:val="24"/>
        </w:rPr>
        <w:t>and</w:t>
      </w:r>
      <w:r w:rsidR="00756882" w:rsidRPr="00424BD3">
        <w:rPr>
          <w:rFonts w:cs="Arial"/>
          <w:szCs w:val="24"/>
        </w:rPr>
        <w:t xml:space="preserve"> eventually became self-employed for many years before retiring. </w:t>
      </w:r>
      <w:r w:rsidRPr="00424BD3">
        <w:rPr>
          <w:rFonts w:cs="Arial"/>
          <w:szCs w:val="24"/>
        </w:rPr>
        <w:t xml:space="preserve">Mary had also been unemployed after a divorce at a young age, a situation which caused her a lot of stress because she was also single parent and unable to find a job even though she has a bachelor’s degree. Peggy continues to work </w:t>
      </w:r>
      <w:r w:rsidR="003B1807" w:rsidRPr="00424BD3">
        <w:rPr>
          <w:rFonts w:cs="Arial"/>
          <w:szCs w:val="24"/>
        </w:rPr>
        <w:t>full-time,</w:t>
      </w:r>
      <w:r w:rsidRPr="00424BD3">
        <w:rPr>
          <w:rFonts w:cs="Arial"/>
          <w:szCs w:val="24"/>
        </w:rPr>
        <w:t xml:space="preserve"> and Sylvia is semi-retired, still working part-time. Both of those women are self-employed, running their own businesses.</w:t>
      </w:r>
      <w:r w:rsidR="00046BE7" w:rsidRPr="00424BD3">
        <w:rPr>
          <w:rFonts w:cs="Arial"/>
          <w:szCs w:val="24"/>
        </w:rPr>
        <w:t xml:space="preserve"> In addition to Barbara, </w:t>
      </w:r>
      <w:r w:rsidRPr="00424BD3">
        <w:rPr>
          <w:rFonts w:cs="Arial"/>
          <w:szCs w:val="24"/>
        </w:rPr>
        <w:t xml:space="preserve">Deborah, Anita, Sharon, Carolyn, and Kathryn, mentioned that they are retired, and Cynthia disclosed that she had been retired, went back to work, then retired again because she initially found it difficult to not work. The remaining women did not mention whether they are retired. The women work(ed) in a variety of industries, including education, manufacturing, corporate, printing / editing / publishing, government, and as professional artists / musicians / dancers / performers. </w:t>
      </w:r>
    </w:p>
    <w:p w14:paraId="1840F584" w14:textId="3A5B438F" w:rsidR="0032431B" w:rsidRPr="00424BD3" w:rsidRDefault="0032431B" w:rsidP="000126EE">
      <w:pPr>
        <w:spacing w:after="0" w:line="480" w:lineRule="auto"/>
        <w:ind w:firstLine="720"/>
        <w:rPr>
          <w:rFonts w:cs="Arial"/>
          <w:szCs w:val="24"/>
        </w:rPr>
      </w:pPr>
      <w:r w:rsidRPr="00424BD3">
        <w:rPr>
          <w:rFonts w:cs="Arial"/>
          <w:szCs w:val="24"/>
        </w:rPr>
        <w:lastRenderedPageBreak/>
        <w:t xml:space="preserve">While most of the women did not disclose specifics about their spiritual or religious preferences, Peggy, Sharon, and Sylvia stated that they were raised Catholic. Sylvia recalls how her community and her Catholic church helped people with caretaking and finances if people were in need due to health issues. Deborah said that church is very important to her, that she likes going to church and participating in church activities. Anita said she was greatly influenced by church. </w:t>
      </w:r>
      <w:r w:rsidR="000B7618" w:rsidRPr="00424BD3">
        <w:rPr>
          <w:rFonts w:cs="Arial"/>
          <w:szCs w:val="24"/>
        </w:rPr>
        <w:t xml:space="preserve">Peggy stated that her spirituality now was nature. </w:t>
      </w:r>
      <w:r w:rsidRPr="00424BD3">
        <w:rPr>
          <w:rFonts w:cs="Arial"/>
          <w:szCs w:val="24"/>
        </w:rPr>
        <w:t>Margaret and Cynthia stressed the positive impact in their lives of the good friendships they have.</w:t>
      </w:r>
    </w:p>
    <w:p w14:paraId="0F1776BD" w14:textId="77777777" w:rsidR="0032431B" w:rsidRPr="00424BD3" w:rsidRDefault="0032431B" w:rsidP="001238E9">
      <w:pPr>
        <w:spacing w:after="0" w:line="480" w:lineRule="auto"/>
        <w:ind w:firstLine="720"/>
        <w:rPr>
          <w:rFonts w:cs="Arial"/>
          <w:szCs w:val="24"/>
        </w:rPr>
      </w:pPr>
      <w:r w:rsidRPr="00424BD3">
        <w:rPr>
          <w:rFonts w:cs="Arial"/>
          <w:szCs w:val="24"/>
        </w:rPr>
        <w:t>Hobbies included exercise, writing, watching movies, dancing, science, nature, gardening, medicine, travel, scrapbooking, sewing, quilting, crochet, games, going to church, swimming &amp; other water activities, reading, walking, all things Christmas, animals, computers / internet / phones, social justice activism, volunteering, bicycling / road bicycling, hiking, and being outdoors.</w:t>
      </w:r>
    </w:p>
    <w:p w14:paraId="3B20B9B6" w14:textId="77777777" w:rsidR="002E2D7F" w:rsidRPr="00424BD3" w:rsidRDefault="002E2D7F" w:rsidP="001238E9">
      <w:pPr>
        <w:pStyle w:val="Heading2"/>
        <w:spacing w:before="0" w:line="480" w:lineRule="auto"/>
        <w:jc w:val="center"/>
        <w:rPr>
          <w:rFonts w:ascii="Arial" w:hAnsi="Arial" w:cs="Arial"/>
          <w:b/>
          <w:bCs/>
          <w:color w:val="auto"/>
          <w:sz w:val="24"/>
          <w:szCs w:val="24"/>
        </w:rPr>
      </w:pPr>
      <w:bookmarkStart w:id="80" w:name="_Toc118232346"/>
      <w:r w:rsidRPr="00424BD3">
        <w:rPr>
          <w:rFonts w:ascii="Arial" w:hAnsi="Arial" w:cs="Arial"/>
          <w:b/>
          <w:bCs/>
          <w:color w:val="auto"/>
          <w:sz w:val="24"/>
          <w:szCs w:val="24"/>
        </w:rPr>
        <w:t>Childhood Peer and Familial Perceptions of Health, Illness, and Death</w:t>
      </w:r>
      <w:bookmarkEnd w:id="80"/>
    </w:p>
    <w:p w14:paraId="71814392" w14:textId="42E32EF4" w:rsidR="002E2D7F" w:rsidRPr="00424BD3" w:rsidRDefault="002E2D7F" w:rsidP="001238E9">
      <w:pPr>
        <w:spacing w:after="0" w:line="480" w:lineRule="auto"/>
        <w:ind w:firstLine="720"/>
        <w:rPr>
          <w:rFonts w:cs="Arial"/>
          <w:szCs w:val="24"/>
        </w:rPr>
      </w:pPr>
      <w:r w:rsidRPr="00424BD3">
        <w:rPr>
          <w:rFonts w:cs="Arial"/>
          <w:szCs w:val="24"/>
        </w:rPr>
        <w:t>To ascertain the women’s thoughts of the impact familial and peer perceptions had on their own perceptions of health and mortality,</w:t>
      </w:r>
      <w:r w:rsidR="009D04B9" w:rsidRPr="00424BD3">
        <w:rPr>
          <w:rFonts w:cs="Arial"/>
          <w:szCs w:val="24"/>
        </w:rPr>
        <w:t xml:space="preserve"> </w:t>
      </w:r>
      <w:r w:rsidR="00434F9C">
        <w:rPr>
          <w:rFonts w:cs="Arial"/>
          <w:szCs w:val="24"/>
        </w:rPr>
        <w:t xml:space="preserve">I asked </w:t>
      </w:r>
      <w:r w:rsidR="009D04B9" w:rsidRPr="00424BD3">
        <w:rPr>
          <w:rFonts w:cs="Arial"/>
          <w:szCs w:val="24"/>
        </w:rPr>
        <w:t xml:space="preserve">the women </w:t>
      </w:r>
      <w:r w:rsidRPr="00424BD3">
        <w:rPr>
          <w:rFonts w:cs="Arial"/>
          <w:szCs w:val="24"/>
        </w:rPr>
        <w:t xml:space="preserve">to recall what their family members’ and peers’ perceptions of ‘health’ and ‘mortality (death)’ when the women were young. </w:t>
      </w:r>
    </w:p>
    <w:p w14:paraId="070A2AAF" w14:textId="4836F364" w:rsidR="002E2D7F" w:rsidRPr="00424BD3" w:rsidRDefault="002E2D7F" w:rsidP="000126EE">
      <w:pPr>
        <w:spacing w:after="0" w:line="480" w:lineRule="auto"/>
        <w:ind w:firstLine="720"/>
        <w:rPr>
          <w:rFonts w:cs="Arial"/>
          <w:szCs w:val="24"/>
        </w:rPr>
      </w:pPr>
      <w:r w:rsidRPr="00424BD3">
        <w:rPr>
          <w:rFonts w:cs="Arial"/>
          <w:szCs w:val="24"/>
        </w:rPr>
        <w:t xml:space="preserve">Several spoke about their families having silence norms or “do not discuss” rules regarding familial illness or death, which meant they were left, as young people, growing up without guidance or understanding or an outlet for discussion of what was happening to their parents or relatives who were ill or had died. This did not mean that they were not aware of illness or death in their family, and certainly not regarding their parents - </w:t>
      </w:r>
      <w:r w:rsidRPr="00424BD3">
        <w:rPr>
          <w:rFonts w:cs="Arial"/>
          <w:szCs w:val="24"/>
        </w:rPr>
        <w:lastRenderedPageBreak/>
        <w:t>they were very aware of familial illness and death. It meant, in some of the women’s cases, that they filled in the blanks of their perceptions with familial norms, including fatalism, pragmatism, and stoicism. This was the case for Margaret, Carolyn, Cynthia, Anita, and Kathryn. Others, like Sylvia</w:t>
      </w:r>
      <w:r w:rsidR="00BF4574">
        <w:rPr>
          <w:rFonts w:cs="Arial"/>
          <w:szCs w:val="24"/>
        </w:rPr>
        <w:t>,</w:t>
      </w:r>
      <w:r w:rsidRPr="00424BD3">
        <w:rPr>
          <w:rFonts w:cs="Arial"/>
          <w:szCs w:val="24"/>
        </w:rPr>
        <w:t xml:space="preserve"> cited </w:t>
      </w:r>
      <w:r w:rsidR="00BF4574">
        <w:rPr>
          <w:rFonts w:cs="Arial"/>
          <w:szCs w:val="24"/>
        </w:rPr>
        <w:t>t</w:t>
      </w:r>
      <w:r w:rsidRPr="00424BD3">
        <w:rPr>
          <w:rFonts w:cs="Arial"/>
          <w:szCs w:val="24"/>
        </w:rPr>
        <w:t>he</w:t>
      </w:r>
      <w:r w:rsidR="00BF4574">
        <w:rPr>
          <w:rFonts w:cs="Arial"/>
          <w:szCs w:val="24"/>
        </w:rPr>
        <w:t>i</w:t>
      </w:r>
      <w:r w:rsidRPr="00424BD3">
        <w:rPr>
          <w:rFonts w:cs="Arial"/>
          <w:szCs w:val="24"/>
        </w:rPr>
        <w:t xml:space="preserve">r familial </w:t>
      </w:r>
      <w:r w:rsidR="00561F03" w:rsidRPr="00424BD3">
        <w:rPr>
          <w:rFonts w:cs="Arial"/>
          <w:szCs w:val="24"/>
        </w:rPr>
        <w:t>sto</w:t>
      </w:r>
      <w:r w:rsidR="00561F03">
        <w:rPr>
          <w:rFonts w:cs="Arial"/>
          <w:szCs w:val="24"/>
        </w:rPr>
        <w:t>i</w:t>
      </w:r>
      <w:r w:rsidR="00561F03" w:rsidRPr="00424BD3">
        <w:rPr>
          <w:rFonts w:cs="Arial"/>
          <w:szCs w:val="24"/>
        </w:rPr>
        <w:t>cism</w:t>
      </w:r>
      <w:r w:rsidRPr="00424BD3">
        <w:rPr>
          <w:rFonts w:cs="Arial"/>
          <w:szCs w:val="24"/>
        </w:rPr>
        <w:t xml:space="preserve"> as stemming from the placed-based regional, cultural norm</w:t>
      </w:r>
      <w:r w:rsidR="00953255">
        <w:rPr>
          <w:rFonts w:cs="Arial"/>
          <w:szCs w:val="24"/>
        </w:rPr>
        <w:t>s</w:t>
      </w:r>
      <w:r w:rsidRPr="00424BD3">
        <w:rPr>
          <w:rFonts w:cs="Arial"/>
          <w:szCs w:val="24"/>
        </w:rPr>
        <w:t xml:space="preserve"> </w:t>
      </w:r>
      <w:r w:rsidR="00953255">
        <w:rPr>
          <w:rFonts w:cs="Arial"/>
          <w:szCs w:val="24"/>
        </w:rPr>
        <w:t>that come from the Midwest</w:t>
      </w:r>
      <w:r w:rsidRPr="00424BD3">
        <w:rPr>
          <w:rFonts w:cs="Arial"/>
          <w:szCs w:val="24"/>
        </w:rPr>
        <w:t xml:space="preserve">. </w:t>
      </w:r>
    </w:p>
    <w:p w14:paraId="2C142BC1" w14:textId="722BFCE4" w:rsidR="002E2D7F" w:rsidRPr="00424BD3" w:rsidRDefault="002E2D7F" w:rsidP="000126EE">
      <w:pPr>
        <w:spacing w:after="0" w:line="480" w:lineRule="auto"/>
        <w:ind w:firstLine="720"/>
        <w:rPr>
          <w:rFonts w:cs="Arial"/>
          <w:szCs w:val="24"/>
        </w:rPr>
      </w:pPr>
      <w:r w:rsidRPr="00424BD3">
        <w:rPr>
          <w:rFonts w:cs="Arial"/>
          <w:szCs w:val="24"/>
        </w:rPr>
        <w:t xml:space="preserve">Carolyn said, "If you live long enough, you're going to get some form of cancer." This was perhaps the most fatalistic response to any question asked during the entire study. The belief that older age brings with it an unescapable disease matches Ruth and Barbara’s beliefs that family members died of “old age.” This belief can be seen as stigmatizing aging </w:t>
      </w:r>
      <w:r w:rsidR="008164B8" w:rsidRPr="00424BD3">
        <w:rPr>
          <w:rFonts w:cs="Arial"/>
          <w:szCs w:val="24"/>
        </w:rPr>
        <w:fldChar w:fldCharType="begin"/>
      </w:r>
      <w:r w:rsidR="00990F3A">
        <w:rPr>
          <w:rFonts w:cs="Arial"/>
          <w:szCs w:val="24"/>
        </w:rPr>
        <w:instrText xml:space="preserve"> ADDIN ZOTERO_ITEM CSL_CITATION {"citationID":"6NrAevpX","properties":{"formattedCitation":"(Bodner et al., 2015)","plainCitation":"(Bodner et al., 2015)","noteIndex":0},"citationItems":[{"id":1314,"uris":["http://zotero.org/users/4946941/items/LC5AXWNM"],"itemData":{"id":1314,"type":"article-journal","abstract":"While aging anxiety is associated with the threat of deterioration that leads to death, death anxiety is related to the threat of non-existence and to fears from an unknown afterlife, and both anxieties can lead to ageism. The current study examined the unexplored relationship between these two existential anxieties and ageism. Measures of aging and death anxieties, ageism (in the form of ageist attitudes), and various measures of physical health were collected from 1073 older adults at the age range of 50–86. When death anxiety was low, aging anxiety was positively related to ageism, but when aging anxiety was low, death anxiety was positively related to ageism. The interaction between both anxieties and ageism remained significant after controlling for a myriad of background characteristics and physical health measures. These findings, which point at the distinctive and complementary roles that both anxieties have in connecting between one another and ageist attitudes, are discussed in light of theories on ageism.","container-title":"Personality and Individual Differences","DOI":"10.1016/j.paid.2015.05.022","ISSN":"0191-8869","journalAbbreviation":"Personality and Individual Differences","language":"en","page":"15-19","source":"ScienceDirect","title":"The interaction between aging and death anxieties predicts ageism","volume":"86","author":[{"family":"Bodner","given":"Ehud"},{"family":"Shrira","given":"Amit"},{"family":"Bergman","given":"Yoav S."},{"family":"Cohen-Fridel","given":"Sara"},{"family":"Grossman","given":"Ephraim S."}],"issued":{"date-parts":[["2015",11,1]]}}}],"schema":"https://github.com/citation-style-language/schema/raw/master/csl-citation.json"} </w:instrText>
      </w:r>
      <w:r w:rsidR="008164B8" w:rsidRPr="00424BD3">
        <w:rPr>
          <w:rFonts w:cs="Arial"/>
          <w:szCs w:val="24"/>
        </w:rPr>
        <w:fldChar w:fldCharType="separate"/>
      </w:r>
      <w:r w:rsidR="008164B8" w:rsidRPr="00424BD3">
        <w:rPr>
          <w:rFonts w:cs="Arial"/>
        </w:rPr>
        <w:t>(Bodner et al., 2015)</w:t>
      </w:r>
      <w:r w:rsidR="008164B8" w:rsidRPr="00424BD3">
        <w:rPr>
          <w:rFonts w:cs="Arial"/>
          <w:szCs w:val="24"/>
        </w:rPr>
        <w:fldChar w:fldCharType="end"/>
      </w:r>
      <w:r w:rsidRPr="00424BD3">
        <w:rPr>
          <w:rFonts w:cs="Arial"/>
          <w:szCs w:val="24"/>
        </w:rPr>
        <w:t xml:space="preserve">, though by no means </w:t>
      </w:r>
      <w:r w:rsidR="007E5FD2" w:rsidRPr="00424BD3">
        <w:rPr>
          <w:rFonts w:cs="Arial"/>
          <w:szCs w:val="24"/>
        </w:rPr>
        <w:t xml:space="preserve">was the impression made </w:t>
      </w:r>
      <w:r w:rsidRPr="00424BD3">
        <w:rPr>
          <w:rFonts w:cs="Arial"/>
          <w:szCs w:val="24"/>
        </w:rPr>
        <w:t xml:space="preserve">that Carolyn, Ruth or Barbara were intentionally disparaging </w:t>
      </w:r>
      <w:r w:rsidR="000368C7" w:rsidRPr="00424BD3">
        <w:rPr>
          <w:rFonts w:cs="Arial"/>
          <w:szCs w:val="24"/>
        </w:rPr>
        <w:t xml:space="preserve">of </w:t>
      </w:r>
      <w:r w:rsidRPr="00424BD3">
        <w:rPr>
          <w:rFonts w:cs="Arial"/>
          <w:szCs w:val="24"/>
        </w:rPr>
        <w:t xml:space="preserve">old age. Instead, these comments spoke more to the fatalism norm encountered through the U.S. when speaking of old age, illness and mortality </w:t>
      </w:r>
      <w:r w:rsidRPr="00424BD3">
        <w:rPr>
          <w:rFonts w:cs="Arial"/>
          <w:szCs w:val="24"/>
        </w:rPr>
        <w:fldChar w:fldCharType="begin"/>
      </w:r>
      <w:r w:rsidR="00990F3A">
        <w:rPr>
          <w:rFonts w:cs="Arial"/>
          <w:szCs w:val="24"/>
        </w:rPr>
        <w:instrText xml:space="preserve"> ADDIN ZOTERO_ITEM CSL_CITATION {"citationID":"gfhDDcbT","properties":{"formattedCitation":"(Davison et al., 1992)","plainCitation":"(Davison et al., 1992)","noteIndex":0},"citationItems":[{"id":971,"uris":["http://zotero.org/users/4946941/items/I3EQKJNR"],"itemData":{"id":971,"type":"article-journal","abstract":"This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Davey"}],"issued":{"date-parts":[["1992",3,1]]}}}],"schema":"https://github.com/citation-style-language/schema/raw/master/csl-citation.json"} </w:instrText>
      </w:r>
      <w:r w:rsidRPr="00424BD3">
        <w:rPr>
          <w:rFonts w:cs="Arial"/>
          <w:szCs w:val="24"/>
        </w:rPr>
        <w:fldChar w:fldCharType="separate"/>
      </w:r>
      <w:r w:rsidRPr="00424BD3">
        <w:rPr>
          <w:rFonts w:cs="Arial"/>
        </w:rPr>
        <w:t>(Davison et al., 1992)</w:t>
      </w:r>
      <w:r w:rsidRPr="00424BD3">
        <w:rPr>
          <w:rFonts w:cs="Arial"/>
          <w:szCs w:val="24"/>
        </w:rPr>
        <w:fldChar w:fldCharType="end"/>
      </w:r>
      <w:r w:rsidRPr="00424BD3">
        <w:rPr>
          <w:rFonts w:cs="Arial"/>
          <w:szCs w:val="24"/>
        </w:rPr>
        <w:t xml:space="preserve">. </w:t>
      </w:r>
    </w:p>
    <w:p w14:paraId="1CDF5D16" w14:textId="77777777" w:rsidR="002E2D7F" w:rsidRPr="00424BD3" w:rsidRDefault="002E2D7F" w:rsidP="000126EE">
      <w:pPr>
        <w:spacing w:after="0" w:line="480" w:lineRule="auto"/>
        <w:ind w:firstLine="720"/>
        <w:rPr>
          <w:rFonts w:cs="Arial"/>
          <w:szCs w:val="24"/>
        </w:rPr>
      </w:pPr>
      <w:r w:rsidRPr="00424BD3">
        <w:rPr>
          <w:rFonts w:cs="Arial"/>
          <w:szCs w:val="24"/>
        </w:rPr>
        <w:t>Ruth and her siblings combined beliefs of familial inheritance of illness with fatalism and fear, which have profoundly impacted the decisions family members have made about their lives:</w:t>
      </w:r>
    </w:p>
    <w:p w14:paraId="4002E3E4" w14:textId="49318624" w:rsidR="002E2D7F" w:rsidRPr="00424BD3" w:rsidRDefault="002E2D7F" w:rsidP="000126EE">
      <w:pPr>
        <w:spacing w:after="0" w:line="480" w:lineRule="auto"/>
        <w:ind w:left="720"/>
        <w:rPr>
          <w:rFonts w:cs="Arial"/>
          <w:szCs w:val="24"/>
        </w:rPr>
      </w:pPr>
      <w:r w:rsidRPr="00424BD3">
        <w:rPr>
          <w:rFonts w:cs="Arial"/>
          <w:szCs w:val="24"/>
        </w:rPr>
        <w:t>"Well, my brother was concerned, if we could, if there's a way to figure out if the type of stroke that mom had, the bleeding stroke...did run in the family because he was concerned about his three sons...but there's nothing we can do about it. When you have a weak blood vessel, you have a weak blood vessel, and at this point, science hasn't...gone past that thing, but</w:t>
      </w:r>
      <w:r w:rsidR="002C7077">
        <w:rPr>
          <w:rFonts w:cs="Arial"/>
          <w:szCs w:val="24"/>
        </w:rPr>
        <w:t xml:space="preserve"> </w:t>
      </w:r>
      <w:r w:rsidRPr="00424BD3">
        <w:rPr>
          <w:rFonts w:cs="Arial"/>
          <w:szCs w:val="24"/>
        </w:rPr>
        <w:t>he was concerned about his three kids obviously. Other than that, we're just waiting and seeing</w:t>
      </w:r>
      <w:r w:rsidR="00E46695">
        <w:rPr>
          <w:rFonts w:cs="Arial"/>
          <w:szCs w:val="24"/>
        </w:rPr>
        <w:t>. T</w:t>
      </w:r>
      <w:r w:rsidRPr="00424BD3">
        <w:rPr>
          <w:rFonts w:cs="Arial"/>
          <w:szCs w:val="24"/>
        </w:rPr>
        <w:t xml:space="preserve">hen...the adult-onset diabetes, we knew about because...my father's sister had it also, as well as </w:t>
      </w:r>
      <w:r w:rsidRPr="00424BD3">
        <w:rPr>
          <w:rFonts w:cs="Arial"/>
          <w:szCs w:val="24"/>
        </w:rPr>
        <w:lastRenderedPageBreak/>
        <w:t xml:space="preserve">his mother, and then...my dad, so we've all been watching that. </w:t>
      </w:r>
      <w:r w:rsidR="00E46695">
        <w:rPr>
          <w:rFonts w:cs="Arial"/>
          <w:szCs w:val="24"/>
        </w:rPr>
        <w:t>M</w:t>
      </w:r>
      <w:r w:rsidRPr="00424BD3">
        <w:rPr>
          <w:rFonts w:cs="Arial"/>
          <w:szCs w:val="24"/>
        </w:rPr>
        <w:t>y sister has some mental health problems, but she has that well under control, and we think that she inherited that from my father's mother...because my father's mother did have some mood swings and things like that, but</w:t>
      </w:r>
      <w:r w:rsidR="007C5DED">
        <w:rPr>
          <w:rFonts w:cs="Arial"/>
          <w:szCs w:val="24"/>
        </w:rPr>
        <w:t xml:space="preserve"> </w:t>
      </w:r>
      <w:r w:rsidRPr="00424BD3">
        <w:rPr>
          <w:rFonts w:cs="Arial"/>
          <w:szCs w:val="24"/>
        </w:rPr>
        <w:t>it's hard because things like that weren't diagnosed back then. She was born in 1894, and lived...to 92 in the 1980's</w:t>
      </w:r>
      <w:r w:rsidR="006D211E">
        <w:rPr>
          <w:rFonts w:cs="Arial"/>
          <w:szCs w:val="24"/>
        </w:rPr>
        <w:t>.</w:t>
      </w:r>
      <w:r w:rsidR="007C5DED">
        <w:rPr>
          <w:rFonts w:cs="Arial"/>
          <w:szCs w:val="24"/>
        </w:rPr>
        <w:t xml:space="preserve"> </w:t>
      </w:r>
      <w:r w:rsidR="006D211E">
        <w:rPr>
          <w:rFonts w:cs="Arial"/>
          <w:szCs w:val="24"/>
        </w:rPr>
        <w:t>M</w:t>
      </w:r>
      <w:r w:rsidRPr="00424BD3">
        <w:rPr>
          <w:rFonts w:cs="Arial"/>
          <w:szCs w:val="24"/>
        </w:rPr>
        <w:t xml:space="preserve">y sister doesn't have any children, so it'll end there type of thing." </w:t>
      </w:r>
    </w:p>
    <w:p w14:paraId="49ED85EF" w14:textId="79ACA5D8" w:rsidR="002E2D7F" w:rsidRPr="00424BD3" w:rsidRDefault="002E2D7F" w:rsidP="000126EE">
      <w:pPr>
        <w:spacing w:after="0" w:line="480" w:lineRule="auto"/>
        <w:ind w:firstLine="720"/>
        <w:rPr>
          <w:rFonts w:cs="Arial"/>
          <w:szCs w:val="24"/>
        </w:rPr>
      </w:pPr>
      <w:r w:rsidRPr="00424BD3">
        <w:rPr>
          <w:rFonts w:cs="Arial"/>
          <w:szCs w:val="24"/>
        </w:rPr>
        <w:t>It is striking that Ruth has come to believe and feel</w:t>
      </w:r>
      <w:r w:rsidR="008003A1">
        <w:rPr>
          <w:rFonts w:cs="Arial"/>
          <w:szCs w:val="24"/>
        </w:rPr>
        <w:t>s</w:t>
      </w:r>
      <w:r w:rsidRPr="00424BD3">
        <w:rPr>
          <w:rFonts w:cs="Arial"/>
          <w:szCs w:val="24"/>
        </w:rPr>
        <w:t xml:space="preserve"> relieved that mental ill health will not be passed on through her sister because her sister does not have children.</w:t>
      </w:r>
    </w:p>
    <w:p w14:paraId="3837EF13" w14:textId="77777777" w:rsidR="002E2D7F" w:rsidRPr="00424BD3" w:rsidRDefault="002E2D7F" w:rsidP="000126EE">
      <w:pPr>
        <w:spacing w:after="0" w:line="480" w:lineRule="auto"/>
        <w:ind w:firstLine="720"/>
        <w:rPr>
          <w:rFonts w:cs="Arial"/>
          <w:szCs w:val="24"/>
        </w:rPr>
      </w:pPr>
      <w:r w:rsidRPr="00424BD3">
        <w:rPr>
          <w:rFonts w:cs="Arial"/>
          <w:szCs w:val="24"/>
        </w:rPr>
        <w:t>For those with parents who shamed, neglected, or abused them, some perpetuated their parental norms of stigmatizing illness and death, referring to other family members as hypochondriacs or as suffering psychosomatic illnesses.</w:t>
      </w:r>
    </w:p>
    <w:p w14:paraId="54DB9028" w14:textId="4A492314" w:rsidR="002E2D7F" w:rsidRPr="00424BD3" w:rsidRDefault="002E2D7F" w:rsidP="000126EE">
      <w:pPr>
        <w:spacing w:after="0" w:line="480" w:lineRule="auto"/>
        <w:ind w:firstLine="720"/>
        <w:rPr>
          <w:rFonts w:cs="Arial"/>
          <w:szCs w:val="24"/>
        </w:rPr>
      </w:pPr>
      <w:r w:rsidRPr="00424BD3">
        <w:rPr>
          <w:rFonts w:cs="Arial"/>
          <w:szCs w:val="24"/>
        </w:rPr>
        <w:t xml:space="preserve">Peggy’s mother’s </w:t>
      </w:r>
      <w:r w:rsidR="00FF3BBE" w:rsidRPr="00424BD3">
        <w:rPr>
          <w:rFonts w:cs="Arial"/>
          <w:szCs w:val="24"/>
        </w:rPr>
        <w:t>illness</w:t>
      </w:r>
      <w:r w:rsidRPr="00424BD3">
        <w:rPr>
          <w:rFonts w:cs="Arial"/>
          <w:szCs w:val="24"/>
        </w:rPr>
        <w:t xml:space="preserve"> profoundly impacted Peggy and her siblings. She recalls, "I wanted to be a doctor, I was gonna cure my mom,” and, indeed, she did grow up and went to work in a health field. That may be why, as an adult, she vacillated into concern that she, her siblings and family members, and peers (who also grew up with a parent who had </w:t>
      </w:r>
      <w:r w:rsidR="00FF3BBE" w:rsidRPr="00424BD3">
        <w:rPr>
          <w:rFonts w:cs="Arial"/>
          <w:szCs w:val="24"/>
        </w:rPr>
        <w:t>illness</w:t>
      </w:r>
      <w:r w:rsidRPr="00424BD3">
        <w:rPr>
          <w:rFonts w:cs="Arial"/>
          <w:szCs w:val="24"/>
        </w:rPr>
        <w:t xml:space="preserve">) became overly concerned with their health. Still, it was shocking to me to hear Peggy say: </w:t>
      </w:r>
    </w:p>
    <w:p w14:paraId="063629B9" w14:textId="79C94533" w:rsidR="002E2D7F" w:rsidRPr="00424BD3" w:rsidRDefault="002E2D7F" w:rsidP="000126EE">
      <w:pPr>
        <w:spacing w:after="0" w:line="480" w:lineRule="auto"/>
        <w:ind w:left="720"/>
        <w:rPr>
          <w:rFonts w:cs="Arial"/>
          <w:szCs w:val="24"/>
        </w:rPr>
      </w:pPr>
      <w:r w:rsidRPr="00424BD3">
        <w:rPr>
          <w:rFonts w:cs="Arial"/>
          <w:szCs w:val="24"/>
        </w:rPr>
        <w:t>"</w:t>
      </w:r>
      <w:r w:rsidR="00EC05F3">
        <w:rPr>
          <w:rFonts w:cs="Arial"/>
          <w:szCs w:val="24"/>
        </w:rPr>
        <w:t>I</w:t>
      </w:r>
      <w:r w:rsidRPr="00424BD3">
        <w:rPr>
          <w:rFonts w:cs="Arial"/>
          <w:szCs w:val="24"/>
        </w:rPr>
        <w:t xml:space="preserve">n some ways we [peers and family] were too conscious about our health…my brother became just a </w:t>
      </w:r>
      <w:r w:rsidRPr="000A6D34">
        <w:rPr>
          <w:rFonts w:cs="Arial"/>
          <w:szCs w:val="24"/>
        </w:rPr>
        <w:t>hypochondriac</w:t>
      </w:r>
      <w:r w:rsidRPr="00424BD3">
        <w:rPr>
          <w:rFonts w:cs="Arial"/>
          <w:szCs w:val="24"/>
        </w:rPr>
        <w:t xml:space="preserve">. He's still a </w:t>
      </w:r>
      <w:r w:rsidRPr="000A6D34">
        <w:rPr>
          <w:rFonts w:cs="Arial"/>
          <w:szCs w:val="24"/>
        </w:rPr>
        <w:t>hypochondriac</w:t>
      </w:r>
      <w:r w:rsidRPr="00424BD3">
        <w:rPr>
          <w:rFonts w:cs="Arial"/>
          <w:szCs w:val="24"/>
        </w:rPr>
        <w:t xml:space="preserve">." </w:t>
      </w:r>
    </w:p>
    <w:p w14:paraId="66EB53DB" w14:textId="7ED65C71" w:rsidR="002E2D7F" w:rsidRPr="00424BD3" w:rsidRDefault="002E2D7F" w:rsidP="000126EE">
      <w:pPr>
        <w:spacing w:after="0" w:line="480" w:lineRule="auto"/>
        <w:ind w:firstLine="720"/>
        <w:rPr>
          <w:rFonts w:cs="Arial"/>
          <w:szCs w:val="24"/>
        </w:rPr>
      </w:pPr>
      <w:r w:rsidRPr="00424BD3">
        <w:rPr>
          <w:rFonts w:cs="Arial"/>
          <w:szCs w:val="24"/>
        </w:rPr>
        <w:t xml:space="preserve">Peggy is not the only participant to use a stigmatizing word – hypochondriac – when referring to family members. Carolyn also did this. It is synonymous today with another stigmatizing word – psychosomatic. </w:t>
      </w:r>
      <w:r w:rsidR="008E195C" w:rsidRPr="00424BD3">
        <w:rPr>
          <w:rFonts w:cs="Arial"/>
          <w:szCs w:val="24"/>
        </w:rPr>
        <w:t xml:space="preserve">It may be </w:t>
      </w:r>
      <w:r w:rsidRPr="00424BD3">
        <w:rPr>
          <w:rFonts w:cs="Arial"/>
          <w:szCs w:val="24"/>
        </w:rPr>
        <w:t xml:space="preserve">that this shows a familial or social norming of expected silences and individual ‘toughness’ (i.e., responsibility) around </w:t>
      </w:r>
      <w:r w:rsidRPr="00424BD3">
        <w:rPr>
          <w:rFonts w:cs="Arial"/>
          <w:szCs w:val="24"/>
        </w:rPr>
        <w:lastRenderedPageBreak/>
        <w:t xml:space="preserve">health. </w:t>
      </w:r>
      <w:r w:rsidR="00967B6E" w:rsidRPr="00424BD3">
        <w:rPr>
          <w:rFonts w:cs="Arial"/>
          <w:szCs w:val="24"/>
        </w:rPr>
        <w:t xml:space="preserve">Peggy, who is trained in healthcare and indicated during the </w:t>
      </w:r>
      <w:r w:rsidR="008068E8" w:rsidRPr="00424BD3">
        <w:rPr>
          <w:rFonts w:cs="Arial"/>
          <w:szCs w:val="24"/>
        </w:rPr>
        <w:t>interview</w:t>
      </w:r>
      <w:r w:rsidR="00967B6E" w:rsidRPr="00424BD3">
        <w:rPr>
          <w:rFonts w:cs="Arial"/>
          <w:szCs w:val="24"/>
        </w:rPr>
        <w:t xml:space="preserve"> that she is versed in mental ill health and trauma responses. However, instead</w:t>
      </w:r>
      <w:r w:rsidR="008068E8" w:rsidRPr="00424BD3">
        <w:rPr>
          <w:rFonts w:cs="Arial"/>
          <w:szCs w:val="24"/>
        </w:rPr>
        <w:t xml:space="preserve"> </w:t>
      </w:r>
      <w:r w:rsidRPr="00424BD3">
        <w:rPr>
          <w:rFonts w:cs="Arial"/>
          <w:szCs w:val="24"/>
        </w:rPr>
        <w:t xml:space="preserve">of expressing her brother’s response to health seeking as possibly hypervigilance from being traumatized at their mother’s illness and death and the abuse by their father in the home, </w:t>
      </w:r>
      <w:r w:rsidR="00903DED" w:rsidRPr="00424BD3">
        <w:rPr>
          <w:rFonts w:cs="Arial"/>
          <w:szCs w:val="24"/>
        </w:rPr>
        <w:t xml:space="preserve">Peggy </w:t>
      </w:r>
      <w:r w:rsidRPr="00424BD3">
        <w:rPr>
          <w:rFonts w:cs="Arial"/>
          <w:szCs w:val="24"/>
        </w:rPr>
        <w:t>respond</w:t>
      </w:r>
      <w:r w:rsidR="00903DED" w:rsidRPr="00424BD3">
        <w:rPr>
          <w:rFonts w:cs="Arial"/>
          <w:szCs w:val="24"/>
        </w:rPr>
        <w:t>s</w:t>
      </w:r>
      <w:r w:rsidRPr="00424BD3">
        <w:rPr>
          <w:rFonts w:cs="Arial"/>
          <w:szCs w:val="24"/>
        </w:rPr>
        <w:t xml:space="preserve"> with </w:t>
      </w:r>
      <w:r w:rsidR="00097AEF" w:rsidRPr="00424BD3">
        <w:rPr>
          <w:rFonts w:cs="Arial"/>
          <w:szCs w:val="24"/>
        </w:rPr>
        <w:t xml:space="preserve">what </w:t>
      </w:r>
      <w:r w:rsidR="00003E02" w:rsidRPr="00424BD3">
        <w:rPr>
          <w:rFonts w:cs="Arial"/>
          <w:szCs w:val="24"/>
        </w:rPr>
        <w:t xml:space="preserve">is sometimes referred to </w:t>
      </w:r>
      <w:r w:rsidR="0054326F" w:rsidRPr="00424BD3">
        <w:rPr>
          <w:rFonts w:cs="Arial"/>
          <w:szCs w:val="24"/>
        </w:rPr>
        <w:t xml:space="preserve">as </w:t>
      </w:r>
      <w:r w:rsidRPr="00424BD3">
        <w:rPr>
          <w:rFonts w:cs="Arial"/>
          <w:szCs w:val="24"/>
        </w:rPr>
        <w:t>a normed</w:t>
      </w:r>
      <w:r w:rsidR="00003E02" w:rsidRPr="00424BD3">
        <w:rPr>
          <w:rFonts w:cs="Arial"/>
          <w:szCs w:val="24"/>
        </w:rPr>
        <w:t>, stigmatizing,</w:t>
      </w:r>
      <w:r w:rsidRPr="00424BD3">
        <w:rPr>
          <w:rFonts w:cs="Arial"/>
          <w:szCs w:val="24"/>
        </w:rPr>
        <w:t xml:space="preserve"> and inequity-perpetuating answer</w:t>
      </w:r>
      <w:r w:rsidR="005D759D" w:rsidRPr="00424BD3">
        <w:rPr>
          <w:rFonts w:cs="Arial"/>
          <w:szCs w:val="24"/>
        </w:rPr>
        <w:t xml:space="preserve"> </w:t>
      </w:r>
      <w:r w:rsidR="00BA15BB" w:rsidRPr="00424BD3">
        <w:rPr>
          <w:rFonts w:cs="Arial"/>
          <w:szCs w:val="24"/>
        </w:rPr>
        <w:fldChar w:fldCharType="begin"/>
      </w:r>
      <w:r w:rsidR="00990F3A">
        <w:rPr>
          <w:rFonts w:cs="Arial"/>
          <w:szCs w:val="24"/>
        </w:rPr>
        <w:instrText xml:space="preserve"> ADDIN ZOTERO_ITEM CSL_CITATION {"citationID":"e6JYKkxk","properties":{"formattedCitation":"(O\\uc0\\u8217{}Sullivan, 2021; Willis &amp; Malcolmm, 2015)","plainCitation":"(O’Sullivan, 2021; Willis &amp; Malcolmm, 2015)","noteIndex":0},"citationItems":[{"id":1318,"uris":["http://zotero.org/users/4946941/items/THUYYQBR"],"itemData":{"id":1318,"type":"book","abstract":"\"A riveting exploration of the phenomenon of psychosomatic disorders, mass hysteria, and other culture-bound syndromes occurring around the world.\"--Publisher's description.","ISBN":"978-1-5247-4837-1","language":"en","note":"Google-Books-ID: SAk_EAAAQBAJ","number-of-pages":"337","publisher":"Pantheon Books","source":"Google Books","title":"The Sleeping Beauties: And Other Stories of Mystery Illness","title-short":"The Sleeping Beauties","author":[{"family":"O'Sullivan","given":"Suzanne"}],"issued":{"date-parts":[["2021"]]}}},{"id":1316,"uris":["http://zotero.org/users/4946941/items/BZWUIGBG"],"itemData":{"id":1316,"type":"webpage","abstract":"We've all wondered whether an ache or pain could be the sign of something more sinister. For most of us it's a fleeting worry, quickly forgotten when the symptom disappears. For hypochondriacs, however, that sense of anxiety never goes away. Then there's psychosomatic illness: when people unconsciously think themselves ill. Olivia Willis and Lynne Malcolm report.","container-title":"ABC Radio National","language":"en-AU","title":"Hypochondria and psychosomatic illness: explaining a very real imaginary problem","title-short":"Hypochondria and psychosomatic illness","URL":"https://www.abc.net.au/radionational/programs/allinthemind/hypochondria-and-psychosomatic-illness/6866448","author":[{"family":"Willis","given":"Olivia"},{"family":"Malcolmm","given":"Lynne"}],"accessed":{"date-parts":[["2022",9,4]]},"issued":{"date-parts":[["2015",10,20]]}}}],"schema":"https://github.com/citation-style-language/schema/raw/master/csl-citation.json"} </w:instrText>
      </w:r>
      <w:r w:rsidR="00BA15BB" w:rsidRPr="00424BD3">
        <w:rPr>
          <w:rFonts w:cs="Arial"/>
          <w:szCs w:val="24"/>
        </w:rPr>
        <w:fldChar w:fldCharType="separate"/>
      </w:r>
      <w:r w:rsidR="00BA15BB" w:rsidRPr="00424BD3">
        <w:rPr>
          <w:rFonts w:cs="Arial"/>
          <w:szCs w:val="24"/>
        </w:rPr>
        <w:t>(O’Sullivan, 2021; Willis &amp; Malcolmm, 2015)</w:t>
      </w:r>
      <w:r w:rsidR="00BA15BB" w:rsidRPr="00424BD3">
        <w:rPr>
          <w:rFonts w:cs="Arial"/>
          <w:szCs w:val="24"/>
        </w:rPr>
        <w:fldChar w:fldCharType="end"/>
      </w:r>
      <w:r w:rsidRPr="00424BD3">
        <w:rPr>
          <w:rFonts w:cs="Arial"/>
          <w:szCs w:val="24"/>
        </w:rPr>
        <w:t xml:space="preserve">. This is not a judgement of Peggy or of Carolyn, but rather an example of how people can, despite their best intentions, consciously or unconsciously, express discriminatory health beliefs and language. It is an example of how ingrained norms can be, and how people may be working hard to mitigate the inequities they face, while, at the same time, still working from an internalized emancipation barrier. </w:t>
      </w:r>
    </w:p>
    <w:p w14:paraId="6CFCD47E" w14:textId="1D2787DF" w:rsidR="002E2D7F" w:rsidRPr="00424BD3" w:rsidRDefault="002E2D7F" w:rsidP="000126EE">
      <w:pPr>
        <w:spacing w:after="0" w:line="480" w:lineRule="auto"/>
        <w:ind w:firstLine="720"/>
        <w:rPr>
          <w:rFonts w:cs="Arial"/>
          <w:szCs w:val="24"/>
        </w:rPr>
      </w:pPr>
      <w:r w:rsidRPr="00424BD3">
        <w:rPr>
          <w:rFonts w:cs="Arial"/>
          <w:szCs w:val="24"/>
        </w:rPr>
        <w:t xml:space="preserve">Carolyn, like Peggy, seemed to echo her perceptions of her family’s attitude toward ill health. While Carolyn was not a healthcare professional, she exhibited extreme compassion for certain members of society, particularly the poor. In fact, she cried at one point during the interview (as you will read further in this chapter) when discussing wellbeing and those in the Global North. But when relaying her frustration at her stepson for his hypervigilance about her health and other family members’ health, she stated that she does not tell him when she has health issues or is going to the doctor because his over-concern has "affected my life to the point where I don't tell him anything because I don't want it blown out of proportion as to what it is." It must be noted that his father, Carolyn’s husband, died just seven years ago, and may have impacted her </w:t>
      </w:r>
      <w:r w:rsidR="00626111" w:rsidRPr="00424BD3">
        <w:rPr>
          <w:rFonts w:cs="Arial"/>
          <w:szCs w:val="24"/>
        </w:rPr>
        <w:t>stepson</w:t>
      </w:r>
      <w:r w:rsidRPr="00424BD3">
        <w:rPr>
          <w:rFonts w:cs="Arial"/>
          <w:szCs w:val="24"/>
        </w:rPr>
        <w:t xml:space="preserve"> (her husband’s son) deeply.</w:t>
      </w:r>
    </w:p>
    <w:p w14:paraId="3A70E11B" w14:textId="77777777" w:rsidR="002E2D7F" w:rsidRPr="00424BD3" w:rsidRDefault="002E2D7F" w:rsidP="000126EE">
      <w:pPr>
        <w:spacing w:after="0" w:line="480" w:lineRule="auto"/>
        <w:ind w:firstLine="720"/>
        <w:rPr>
          <w:rFonts w:cs="Arial"/>
          <w:szCs w:val="24"/>
        </w:rPr>
      </w:pPr>
      <w:r w:rsidRPr="00424BD3">
        <w:rPr>
          <w:rFonts w:cs="Arial"/>
          <w:szCs w:val="24"/>
        </w:rPr>
        <w:lastRenderedPageBreak/>
        <w:t>Some of the women explained how their families had fears based on false beliefs about causes of illness or death or about how illness developed, and this fear prevented their family members from seeking care. These women most often referred to cancer when discussing this fear.</w:t>
      </w:r>
    </w:p>
    <w:p w14:paraId="1778A20D" w14:textId="57878487" w:rsidR="002E2D7F" w:rsidRPr="00424BD3" w:rsidRDefault="002E2D7F" w:rsidP="000126EE">
      <w:pPr>
        <w:spacing w:after="0" w:line="480" w:lineRule="auto"/>
        <w:ind w:firstLine="720"/>
        <w:rPr>
          <w:rFonts w:cs="Arial"/>
          <w:szCs w:val="24"/>
        </w:rPr>
      </w:pPr>
      <w:r w:rsidRPr="00424BD3">
        <w:rPr>
          <w:rFonts w:cs="Arial"/>
          <w:szCs w:val="24"/>
        </w:rPr>
        <w:t xml:space="preserve">Cynthia, talking about her </w:t>
      </w:r>
      <w:r w:rsidR="00E513AC">
        <w:rPr>
          <w:rFonts w:cs="Arial"/>
          <w:szCs w:val="24"/>
        </w:rPr>
        <w:t xml:space="preserve">family </w:t>
      </w:r>
      <w:r w:rsidRPr="00424BD3">
        <w:rPr>
          <w:rFonts w:cs="Arial"/>
          <w:szCs w:val="24"/>
        </w:rPr>
        <w:t xml:space="preserve">said: </w:t>
      </w:r>
    </w:p>
    <w:p w14:paraId="09ED8D04" w14:textId="0D24B655" w:rsidR="002E2D7F" w:rsidRPr="00424BD3" w:rsidRDefault="002E2D7F" w:rsidP="000126EE">
      <w:pPr>
        <w:spacing w:after="0" w:line="480" w:lineRule="auto"/>
        <w:ind w:left="720"/>
        <w:rPr>
          <w:rFonts w:cs="Arial"/>
          <w:szCs w:val="24"/>
        </w:rPr>
      </w:pPr>
      <w:r w:rsidRPr="00424BD3">
        <w:rPr>
          <w:rFonts w:cs="Arial"/>
          <w:szCs w:val="24"/>
        </w:rPr>
        <w:t>"As far as cancer goes, they don't even want to hear the word. Some of my family members had used [sic] to say that once…they operate, the air gets in there, and the cancer spreads. I'm like "Mom, I don't think that's true." But</w:t>
      </w:r>
      <w:r w:rsidR="007C5DED">
        <w:rPr>
          <w:rFonts w:cs="Arial"/>
          <w:szCs w:val="24"/>
        </w:rPr>
        <w:t xml:space="preserve"> </w:t>
      </w:r>
      <w:r w:rsidRPr="00424BD3">
        <w:rPr>
          <w:rFonts w:cs="Arial"/>
          <w:szCs w:val="24"/>
        </w:rPr>
        <w:t>that's the way they thought. I don't necessarily think that, but it's almost a given</w:t>
      </w:r>
      <w:r w:rsidR="007C5DED">
        <w:rPr>
          <w:rFonts w:cs="Arial"/>
          <w:szCs w:val="24"/>
        </w:rPr>
        <w:t xml:space="preserve"> </w:t>
      </w:r>
      <w:r w:rsidRPr="00424BD3">
        <w:rPr>
          <w:rFonts w:cs="Arial"/>
          <w:szCs w:val="24"/>
        </w:rPr>
        <w:t xml:space="preserve">that once it's in your family, you just feel like, okay, which am I getting? I do my mammograms every...year. I do my colonoscopies. I try to keep on top of things. But when you feel like there's something wrong in your body, and several of my aunts were </w:t>
      </w:r>
      <w:r w:rsidR="002E0E61">
        <w:rPr>
          <w:rFonts w:cs="Arial"/>
          <w:szCs w:val="24"/>
        </w:rPr>
        <w:t>[like],</w:t>
      </w:r>
      <w:r w:rsidRPr="00424BD3">
        <w:rPr>
          <w:rFonts w:cs="Arial"/>
          <w:szCs w:val="24"/>
        </w:rPr>
        <w:t>"</w:t>
      </w:r>
      <w:r w:rsidR="002E0E61">
        <w:rPr>
          <w:rFonts w:cs="Arial"/>
          <w:szCs w:val="24"/>
        </w:rPr>
        <w:t>Y</w:t>
      </w:r>
      <w:r w:rsidRPr="00424BD3">
        <w:rPr>
          <w:rFonts w:cs="Arial"/>
          <w:szCs w:val="24"/>
        </w:rPr>
        <w:t>ou don't want to go there [to the doctor] because you feel like they're going to tell you something you don't want to hear which is so true for</w:t>
      </w:r>
      <w:r w:rsidR="007C5DED">
        <w:rPr>
          <w:rFonts w:cs="Arial"/>
          <w:szCs w:val="24"/>
        </w:rPr>
        <w:t xml:space="preserve"> </w:t>
      </w:r>
      <w:r w:rsidRPr="00424BD3">
        <w:rPr>
          <w:rFonts w:cs="Arial"/>
          <w:szCs w:val="24"/>
        </w:rPr>
        <w:t>many people."</w:t>
      </w:r>
    </w:p>
    <w:p w14:paraId="3BAB7939" w14:textId="0D71751D" w:rsidR="00B327E3" w:rsidRDefault="002E2D7F" w:rsidP="008003A1">
      <w:pPr>
        <w:spacing w:after="0" w:line="480" w:lineRule="auto"/>
        <w:ind w:firstLine="720"/>
        <w:rPr>
          <w:rFonts w:cs="Arial"/>
          <w:szCs w:val="24"/>
        </w:rPr>
      </w:pPr>
      <w:r w:rsidRPr="00424BD3">
        <w:rPr>
          <w:rFonts w:cs="Arial"/>
          <w:szCs w:val="24"/>
        </w:rPr>
        <w:t>Some mentioned that</w:t>
      </w:r>
      <w:r w:rsidR="00B327E3">
        <w:rPr>
          <w:rFonts w:cs="Arial"/>
          <w:szCs w:val="24"/>
        </w:rPr>
        <w:t>,</w:t>
      </w:r>
      <w:r w:rsidRPr="00424BD3">
        <w:rPr>
          <w:rFonts w:cs="Arial"/>
          <w:szCs w:val="24"/>
        </w:rPr>
        <w:t xml:space="preserve"> as young people</w:t>
      </w:r>
      <w:r w:rsidR="00B327E3">
        <w:rPr>
          <w:rFonts w:cs="Arial"/>
          <w:szCs w:val="24"/>
        </w:rPr>
        <w:t>,</w:t>
      </w:r>
      <w:r w:rsidRPr="00424BD3">
        <w:rPr>
          <w:rFonts w:cs="Arial"/>
          <w:szCs w:val="24"/>
        </w:rPr>
        <w:t xml:space="preserve"> they saw the parental “non-discussion” norm play out among their peers as well</w:t>
      </w:r>
      <w:r w:rsidR="008003A1">
        <w:rPr>
          <w:rFonts w:cs="Arial"/>
          <w:szCs w:val="24"/>
        </w:rPr>
        <w:t xml:space="preserve">. </w:t>
      </w:r>
    </w:p>
    <w:p w14:paraId="47099738" w14:textId="702E4F77" w:rsidR="002E2D7F" w:rsidRPr="00424BD3" w:rsidRDefault="002E2D7F" w:rsidP="008003A1">
      <w:pPr>
        <w:spacing w:after="0" w:line="480" w:lineRule="auto"/>
        <w:ind w:firstLine="720"/>
        <w:rPr>
          <w:rFonts w:cs="Arial"/>
          <w:szCs w:val="24"/>
        </w:rPr>
      </w:pPr>
      <w:r w:rsidRPr="00424BD3">
        <w:rPr>
          <w:rFonts w:cs="Arial"/>
          <w:szCs w:val="24"/>
        </w:rPr>
        <w:t xml:space="preserve">Ruth said: </w:t>
      </w:r>
    </w:p>
    <w:p w14:paraId="55FB2745" w14:textId="547381B1" w:rsidR="002E2D7F" w:rsidRPr="00424BD3" w:rsidRDefault="002E2D7F" w:rsidP="000126EE">
      <w:pPr>
        <w:spacing w:after="0" w:line="480" w:lineRule="auto"/>
        <w:ind w:firstLine="720"/>
        <w:rPr>
          <w:rFonts w:cs="Arial"/>
          <w:szCs w:val="24"/>
        </w:rPr>
      </w:pPr>
      <w:r w:rsidRPr="00424BD3">
        <w:rPr>
          <w:rFonts w:cs="Arial"/>
          <w:szCs w:val="24"/>
        </w:rPr>
        <w:t xml:space="preserve">"I don't think we even thought about it, as we were growing up to tell you the truth because I can't remember any discussions, particularly about health. I think at that point in your life, you're not really thinking about it. </w:t>
      </w:r>
      <w:r w:rsidR="006964B9">
        <w:rPr>
          <w:rFonts w:cs="Arial"/>
          <w:szCs w:val="24"/>
        </w:rPr>
        <w:t>Y</w:t>
      </w:r>
      <w:r w:rsidRPr="00424BD3">
        <w:rPr>
          <w:rFonts w:cs="Arial"/>
          <w:szCs w:val="24"/>
        </w:rPr>
        <w:t>ou notice the examples of what...your parents said.”</w:t>
      </w:r>
    </w:p>
    <w:p w14:paraId="1F1E596F" w14:textId="77777777" w:rsidR="002E2D7F" w:rsidRPr="00424BD3" w:rsidRDefault="002E2D7F" w:rsidP="000126EE">
      <w:pPr>
        <w:spacing w:after="0" w:line="480" w:lineRule="auto"/>
        <w:ind w:firstLine="720"/>
        <w:rPr>
          <w:rFonts w:cs="Arial"/>
          <w:szCs w:val="24"/>
        </w:rPr>
      </w:pPr>
      <w:r w:rsidRPr="00424BD3">
        <w:rPr>
          <w:rFonts w:cs="Arial"/>
          <w:szCs w:val="24"/>
        </w:rPr>
        <w:lastRenderedPageBreak/>
        <w:t xml:space="preserve">Some like Sylvia, however, said that their parental attitude towards health – and the community involvement in supporting other members of the community in need – helped to make her and her peers grow up unafraid of illness and death. </w:t>
      </w:r>
    </w:p>
    <w:p w14:paraId="6A59C938" w14:textId="52C4AA18" w:rsidR="002E2D7F" w:rsidRPr="00424BD3" w:rsidRDefault="002E2D7F" w:rsidP="000126EE">
      <w:pPr>
        <w:spacing w:after="0" w:line="480" w:lineRule="auto"/>
        <w:ind w:firstLine="720"/>
        <w:rPr>
          <w:rFonts w:cs="Arial"/>
          <w:szCs w:val="24"/>
        </w:rPr>
      </w:pPr>
      <w:r w:rsidRPr="00424BD3">
        <w:rPr>
          <w:rFonts w:cs="Arial"/>
          <w:szCs w:val="24"/>
        </w:rPr>
        <w:t>It is important to keep in mind, that these peers were children, and that the purpose of examining whether or not the participant felt that their peers (children) were discussing familial health or death was to see if there was a pattern amongst the children in what they were being told and were repeating from their own families, parents, or other social authority figures. It was not expected that children would necessarily discuss health and death with one another, but it is important to get the women’s perceptions of how health was viewed outside of their family amongst peers.</w:t>
      </w:r>
    </w:p>
    <w:p w14:paraId="118957A4" w14:textId="0F2300BC" w:rsidR="002E2D7F" w:rsidRPr="00424BD3" w:rsidRDefault="002E2D7F" w:rsidP="000126EE">
      <w:pPr>
        <w:spacing w:after="0" w:line="480" w:lineRule="auto"/>
        <w:ind w:firstLine="720"/>
        <w:rPr>
          <w:rFonts w:cs="Arial"/>
          <w:szCs w:val="24"/>
        </w:rPr>
      </w:pPr>
      <w:r w:rsidRPr="00424BD3">
        <w:rPr>
          <w:rFonts w:cs="Arial"/>
          <w:szCs w:val="24"/>
        </w:rPr>
        <w:t xml:space="preserve">Many also spoke about the profound effect parental or other family member’s illness or death had on their perceptions of health, illness, and death. Many believed their parents and family members suffered and died due to individual responsibility (e.g., choosing not to adhere to a proscribed health behavior), and, as a result, they themselves adjusted their own health behavior in order to mitigate the chances of them getting ill with or dying of the same illnesses or causes of death their parents or family members had. This was the case for Anita and her siblings who are all non-smokers after watching both of their parents, who were smokers, die of lung cancer, as well as for Cynthia, Peggy, and Ruth. </w:t>
      </w:r>
    </w:p>
    <w:p w14:paraId="5CF3F070" w14:textId="77777777" w:rsidR="002E2D7F" w:rsidRPr="00424BD3" w:rsidRDefault="002E2D7F" w:rsidP="000126EE">
      <w:pPr>
        <w:spacing w:after="0" w:line="480" w:lineRule="auto"/>
        <w:ind w:firstLine="720"/>
        <w:rPr>
          <w:rFonts w:cs="Arial"/>
          <w:szCs w:val="24"/>
        </w:rPr>
      </w:pPr>
      <w:r w:rsidRPr="00424BD3">
        <w:rPr>
          <w:rFonts w:cs="Arial"/>
          <w:szCs w:val="24"/>
        </w:rPr>
        <w:t>Cynthia, however, did not shy away from expressing the fear and anxiety that the illnesses and causes of death that their parents and family members suffered would also happen to her:</w:t>
      </w:r>
    </w:p>
    <w:p w14:paraId="155BEBEE" w14:textId="5DFA284B" w:rsidR="002E2D7F" w:rsidRPr="00424BD3" w:rsidRDefault="002E2D7F" w:rsidP="000126EE">
      <w:pPr>
        <w:spacing w:after="0" w:line="480" w:lineRule="auto"/>
        <w:ind w:firstLine="720"/>
        <w:rPr>
          <w:rFonts w:cs="Arial"/>
          <w:szCs w:val="24"/>
        </w:rPr>
      </w:pPr>
      <w:r w:rsidRPr="00424BD3">
        <w:rPr>
          <w:rFonts w:cs="Arial"/>
          <w:szCs w:val="24"/>
        </w:rPr>
        <w:lastRenderedPageBreak/>
        <w:t>"It's…scary.</w:t>
      </w:r>
      <w:r w:rsidR="007C5DED">
        <w:rPr>
          <w:rFonts w:cs="Arial"/>
          <w:szCs w:val="24"/>
        </w:rPr>
        <w:t xml:space="preserve"> </w:t>
      </w:r>
      <w:r w:rsidR="007E6069">
        <w:rPr>
          <w:rFonts w:cs="Arial"/>
          <w:szCs w:val="24"/>
        </w:rPr>
        <w:t>Y</w:t>
      </w:r>
      <w:r w:rsidRPr="00424BD3">
        <w:rPr>
          <w:rFonts w:cs="Arial"/>
          <w:szCs w:val="24"/>
        </w:rPr>
        <w:t>ou get a little anxious</w:t>
      </w:r>
      <w:r w:rsidR="008003A1">
        <w:rPr>
          <w:rFonts w:cs="Arial"/>
          <w:szCs w:val="24"/>
        </w:rPr>
        <w:t xml:space="preserve"> </w:t>
      </w:r>
      <w:r w:rsidRPr="00424BD3">
        <w:rPr>
          <w:rFonts w:cs="Arial"/>
          <w:szCs w:val="24"/>
        </w:rPr>
        <w:t>thinking about it. Like I said, my dad being 66 and I'm coming up on that age. You know, it's like, uhhhhh [anxious sounds], okay...trying...to make sure that I</w:t>
      </w:r>
      <w:r w:rsidR="007C5DED">
        <w:rPr>
          <w:rFonts w:cs="Arial"/>
          <w:szCs w:val="24"/>
        </w:rPr>
        <w:t xml:space="preserve"> </w:t>
      </w:r>
      <w:r w:rsidRPr="00424BD3">
        <w:rPr>
          <w:rFonts w:cs="Arial"/>
          <w:szCs w:val="24"/>
        </w:rPr>
        <w:t>don't do any wrong things to push the bucket, so to speak."</w:t>
      </w:r>
    </w:p>
    <w:p w14:paraId="0276CAE1" w14:textId="0804DA8A" w:rsidR="002E2D7F" w:rsidRPr="00424BD3" w:rsidRDefault="002E2D7F" w:rsidP="000126EE">
      <w:pPr>
        <w:spacing w:after="0" w:line="480" w:lineRule="auto"/>
        <w:ind w:firstLine="720"/>
        <w:rPr>
          <w:rFonts w:cs="Arial"/>
          <w:szCs w:val="24"/>
        </w:rPr>
      </w:pPr>
      <w:r w:rsidRPr="00424BD3">
        <w:rPr>
          <w:rFonts w:cs="Arial"/>
          <w:szCs w:val="24"/>
        </w:rPr>
        <w:t>Cynthia’s solution, at least in part, then has been to rely on individual behavior modification to attempt to avoid her genealogies of illness and death. She did not speak about any systemic things that may have led her father to alcoholism or for the family to have ill health. She saw her father as having made choices individually that profoundly affected her and her family – particularly when she referred to her father as having “decided to take himself off of his medicine and…drink himself to death.” The fear that Cynthia has resonated with me, the way that death resonates with people when they feel an illness or death was ‘preventable’, and when parents make choices that change their children’s lives. Her comment about her father has also stayed with me well beyond the interview process. Perhaps Cynthia saw her father’s death and her familial illnesses in the way that she was taught and normed to think. Of course, her silence around social determinants does not mean she did not think of them or know of them, rather than their silences about them were noticeable and worth examining, though there may have been many reasons she chose not to mention any determinants.</w:t>
      </w:r>
    </w:p>
    <w:p w14:paraId="2251BCCF" w14:textId="5D0FEE8D" w:rsidR="002E2D7F" w:rsidRDefault="002E2D7F" w:rsidP="000126EE">
      <w:pPr>
        <w:spacing w:after="0" w:line="480" w:lineRule="auto"/>
        <w:ind w:firstLine="720"/>
        <w:rPr>
          <w:rFonts w:cs="Arial"/>
          <w:szCs w:val="24"/>
        </w:rPr>
      </w:pPr>
      <w:r w:rsidRPr="00424BD3">
        <w:rPr>
          <w:rFonts w:cs="Arial"/>
          <w:szCs w:val="24"/>
        </w:rPr>
        <w:t>Some felt that having parents or other family members who worked in healthcare helped to make the family more aware of health, healthcare, illness</w:t>
      </w:r>
      <w:r w:rsidR="000140C1">
        <w:rPr>
          <w:rFonts w:cs="Arial"/>
          <w:szCs w:val="24"/>
        </w:rPr>
        <w:t>,</w:t>
      </w:r>
      <w:r w:rsidRPr="00424BD3">
        <w:rPr>
          <w:rFonts w:cs="Arial"/>
          <w:szCs w:val="24"/>
        </w:rPr>
        <w:t xml:space="preserve"> and death. In these cases, these women felt there was a difference in the openness about these topics in their families compared to their peers.</w:t>
      </w:r>
    </w:p>
    <w:p w14:paraId="0FE475BB" w14:textId="77777777" w:rsidR="003629A5" w:rsidRPr="00424BD3" w:rsidRDefault="003629A5" w:rsidP="000126EE">
      <w:pPr>
        <w:spacing w:after="0" w:line="480" w:lineRule="auto"/>
        <w:ind w:firstLine="720"/>
        <w:rPr>
          <w:rFonts w:cs="Arial"/>
          <w:szCs w:val="24"/>
        </w:rPr>
      </w:pPr>
    </w:p>
    <w:p w14:paraId="34C504FA" w14:textId="77777777" w:rsidR="002E2D7F" w:rsidRPr="00424BD3" w:rsidRDefault="002E2D7F" w:rsidP="000126EE">
      <w:pPr>
        <w:spacing w:after="0" w:line="480" w:lineRule="auto"/>
        <w:ind w:firstLine="720"/>
        <w:rPr>
          <w:rFonts w:cs="Arial"/>
          <w:szCs w:val="24"/>
        </w:rPr>
      </w:pPr>
      <w:r w:rsidRPr="00424BD3">
        <w:rPr>
          <w:rFonts w:cs="Arial"/>
          <w:szCs w:val="24"/>
        </w:rPr>
        <w:lastRenderedPageBreak/>
        <w:t xml:space="preserve">Anita said: </w:t>
      </w:r>
    </w:p>
    <w:p w14:paraId="055CC902" w14:textId="32A7ABB5" w:rsidR="002E2D7F" w:rsidRPr="00424BD3" w:rsidRDefault="002E2D7F" w:rsidP="000126EE">
      <w:pPr>
        <w:spacing w:after="0" w:line="480" w:lineRule="auto"/>
        <w:ind w:left="720"/>
        <w:rPr>
          <w:rFonts w:cs="Arial"/>
          <w:szCs w:val="24"/>
        </w:rPr>
      </w:pPr>
      <w:r w:rsidRPr="00424BD3">
        <w:rPr>
          <w:rFonts w:cs="Arial"/>
          <w:szCs w:val="24"/>
        </w:rPr>
        <w:t>"[they viewed it] differently because…I know some of the things that mother would insist that we do…some of [the things] my peers didn't do because it was just…knowledge-based. You know, if you were around an environment where health is discussed, health is important. She knew about exams or tests or whatever that other folks were getting...that white folks were getting. She'd say "Hey, [laughs] if they gettin' it</w:t>
      </w:r>
      <w:r w:rsidR="00626111">
        <w:rPr>
          <w:rFonts w:cs="Arial"/>
          <w:szCs w:val="24"/>
        </w:rPr>
        <w:t xml:space="preserve"> [sic]</w:t>
      </w:r>
      <w:r w:rsidRPr="00424BD3">
        <w:rPr>
          <w:rFonts w:cs="Arial"/>
          <w:szCs w:val="24"/>
        </w:rPr>
        <w:t xml:space="preserve">, must be pretty good" [laughs], so she would make sure that we...would undergo </w:t>
      </w:r>
      <w:r w:rsidR="00DC7B1B">
        <w:rPr>
          <w:rFonts w:cs="Arial"/>
          <w:szCs w:val="24"/>
        </w:rPr>
        <w:t xml:space="preserve">the </w:t>
      </w:r>
      <w:r w:rsidRPr="00424BD3">
        <w:rPr>
          <w:rFonts w:cs="Arial"/>
          <w:szCs w:val="24"/>
        </w:rPr>
        <w:t>same kinds of examinations and things like that…”</w:t>
      </w:r>
    </w:p>
    <w:p w14:paraId="53981191" w14:textId="4A8550F6" w:rsidR="002E2D7F" w:rsidRDefault="002E2D7F" w:rsidP="00AE365B">
      <w:pPr>
        <w:spacing w:after="0" w:line="480" w:lineRule="auto"/>
        <w:ind w:firstLine="720"/>
        <w:rPr>
          <w:rFonts w:cs="Arial"/>
          <w:szCs w:val="24"/>
        </w:rPr>
      </w:pPr>
      <w:r w:rsidRPr="00424BD3">
        <w:rPr>
          <w:rFonts w:cs="Arial"/>
          <w:szCs w:val="24"/>
        </w:rPr>
        <w:t xml:space="preserve">The answers given by the women affirm the need for investment in education at early ages about the drivers of our health and mortality. Their answers help to clarify the idea that norms seemed to be </w:t>
      </w:r>
      <w:r w:rsidR="008B5EC5" w:rsidRPr="00424BD3">
        <w:rPr>
          <w:rFonts w:cs="Arial"/>
          <w:szCs w:val="24"/>
        </w:rPr>
        <w:t xml:space="preserve">for some families </w:t>
      </w:r>
      <w:r w:rsidRPr="00424BD3">
        <w:rPr>
          <w:rFonts w:cs="Arial"/>
          <w:szCs w:val="24"/>
        </w:rPr>
        <w:t xml:space="preserve">to not discuss health or mortality matters with children </w:t>
      </w:r>
      <w:r w:rsidR="008B5EC5" w:rsidRPr="00424BD3">
        <w:rPr>
          <w:rFonts w:cs="Arial"/>
          <w:szCs w:val="24"/>
        </w:rPr>
        <w:t xml:space="preserve">or young adults </w:t>
      </w:r>
      <w:r w:rsidRPr="00424BD3">
        <w:rPr>
          <w:rFonts w:cs="Arial"/>
          <w:szCs w:val="24"/>
        </w:rPr>
        <w:t xml:space="preserve">so that </w:t>
      </w:r>
      <w:r w:rsidR="008B5EC5" w:rsidRPr="00424BD3">
        <w:rPr>
          <w:rFonts w:cs="Arial"/>
          <w:szCs w:val="24"/>
        </w:rPr>
        <w:t xml:space="preserve">some </w:t>
      </w:r>
      <w:r w:rsidRPr="00424BD3">
        <w:rPr>
          <w:rFonts w:cs="Arial"/>
          <w:szCs w:val="24"/>
        </w:rPr>
        <w:t xml:space="preserve">children </w:t>
      </w:r>
      <w:r w:rsidR="008B5EC5" w:rsidRPr="00424BD3">
        <w:rPr>
          <w:rFonts w:cs="Arial"/>
          <w:szCs w:val="24"/>
        </w:rPr>
        <w:t xml:space="preserve">and young adults </w:t>
      </w:r>
      <w:r w:rsidRPr="00424BD3">
        <w:rPr>
          <w:rFonts w:cs="Arial"/>
          <w:szCs w:val="24"/>
        </w:rPr>
        <w:t>did not learn or think about health or death</w:t>
      </w:r>
      <w:r w:rsidR="00DC42D1" w:rsidRPr="00424BD3">
        <w:rPr>
          <w:rFonts w:cs="Arial"/>
          <w:szCs w:val="24"/>
        </w:rPr>
        <w:t xml:space="preserve">. Their answers also </w:t>
      </w:r>
      <w:r w:rsidR="00C507A1" w:rsidRPr="00424BD3">
        <w:rPr>
          <w:rFonts w:cs="Arial"/>
          <w:szCs w:val="24"/>
        </w:rPr>
        <w:t xml:space="preserve">confirm the need to </w:t>
      </w:r>
      <w:r w:rsidR="00DC42D1" w:rsidRPr="00424BD3">
        <w:rPr>
          <w:rFonts w:cs="Arial"/>
          <w:szCs w:val="24"/>
        </w:rPr>
        <w:t xml:space="preserve">balance </w:t>
      </w:r>
      <w:r w:rsidR="00FC2F26" w:rsidRPr="00424BD3">
        <w:rPr>
          <w:rFonts w:cs="Arial"/>
          <w:szCs w:val="24"/>
        </w:rPr>
        <w:t xml:space="preserve">some adult perspectives of not </w:t>
      </w:r>
      <w:r w:rsidR="008B5EC5" w:rsidRPr="00424BD3">
        <w:rPr>
          <w:rFonts w:cs="Arial"/>
          <w:szCs w:val="24"/>
        </w:rPr>
        <w:t>introduc</w:t>
      </w:r>
      <w:r w:rsidR="00FC2F26" w:rsidRPr="00424BD3">
        <w:rPr>
          <w:rFonts w:cs="Arial"/>
          <w:szCs w:val="24"/>
        </w:rPr>
        <w:t>ing</w:t>
      </w:r>
      <w:r w:rsidR="008B5EC5" w:rsidRPr="00424BD3">
        <w:rPr>
          <w:rFonts w:cs="Arial"/>
          <w:szCs w:val="24"/>
        </w:rPr>
        <w:t xml:space="preserve"> young people to these concepts, </w:t>
      </w:r>
      <w:r w:rsidR="00FC2F26" w:rsidRPr="00424BD3">
        <w:rPr>
          <w:rFonts w:cs="Arial"/>
          <w:szCs w:val="24"/>
        </w:rPr>
        <w:t xml:space="preserve">with those who have designed and delivered age-appropriate </w:t>
      </w:r>
      <w:r w:rsidR="00E03ED1" w:rsidRPr="00424BD3">
        <w:rPr>
          <w:rFonts w:cs="Arial"/>
          <w:szCs w:val="24"/>
        </w:rPr>
        <w:t xml:space="preserve">learning tools on how to make young people aware of health, death, health inequities and </w:t>
      </w:r>
      <w:r w:rsidR="00F95F08" w:rsidRPr="00424BD3">
        <w:rPr>
          <w:rFonts w:cs="Arial"/>
          <w:szCs w:val="24"/>
        </w:rPr>
        <w:t xml:space="preserve">similar subjects </w:t>
      </w:r>
      <w:r w:rsidR="00C004DA" w:rsidRPr="00424BD3">
        <w:rPr>
          <w:rFonts w:cs="Arial"/>
          <w:szCs w:val="24"/>
        </w:rPr>
        <w:fldChar w:fldCharType="begin"/>
      </w:r>
      <w:r w:rsidR="00A62929">
        <w:rPr>
          <w:rFonts w:cs="Arial"/>
          <w:szCs w:val="24"/>
        </w:rPr>
        <w:instrText xml:space="preserve"> ADDIN ZOTERO_ITEM CSL_CITATION {"citationID":"4SZagIWz","properties":{"formattedCitation":"(Health Equity Initiative (HEI), 2021)","plainCitation":"(Health Equity Initiative (HEI), 2021)","noteIndex":0},"citationItems":[{"id":1575,"uris":["http://zotero.org/users/4946941/items/3IEBT2LR"],"itemData":{"id":1575,"type":"webpage","abstract":"Various health equity tools and resources to teach young adults / children about health equity","container-title":"Health Equity Initiative","language":"en","title":"Miscellaneous Resources","URL":"https://www.healthequityinitiative.org/miscellaneous.html","author":[{"family":"Health Equity Initiative (HEI)","given":""}],"accessed":{"date-parts":[["2022",9,10]]},"issued":{"date-parts":[["2021"]]}}}],"schema":"https://github.com/citation-style-language/schema/raw/master/csl-citation.json"} </w:instrText>
      </w:r>
      <w:r w:rsidR="00C004DA" w:rsidRPr="00424BD3">
        <w:rPr>
          <w:rFonts w:cs="Arial"/>
          <w:szCs w:val="24"/>
        </w:rPr>
        <w:fldChar w:fldCharType="separate"/>
      </w:r>
      <w:r w:rsidR="00A62929" w:rsidRPr="00A62929">
        <w:rPr>
          <w:rFonts w:cs="Arial"/>
        </w:rPr>
        <w:t>(Health Equity Initiative (HEI), 2021)</w:t>
      </w:r>
      <w:r w:rsidR="00C004DA" w:rsidRPr="00424BD3">
        <w:rPr>
          <w:rFonts w:cs="Arial"/>
          <w:szCs w:val="24"/>
        </w:rPr>
        <w:fldChar w:fldCharType="end"/>
      </w:r>
      <w:r w:rsidR="008003A1">
        <w:rPr>
          <w:rFonts w:cs="Arial"/>
          <w:szCs w:val="24"/>
        </w:rPr>
        <w:t>.</w:t>
      </w:r>
    </w:p>
    <w:p w14:paraId="746E396A" w14:textId="05F1024D" w:rsidR="008844E4" w:rsidRPr="00424BD3" w:rsidRDefault="008844E4" w:rsidP="00AE365B">
      <w:pPr>
        <w:pStyle w:val="Heading2"/>
        <w:spacing w:before="0" w:line="480" w:lineRule="auto"/>
        <w:jc w:val="center"/>
        <w:rPr>
          <w:rFonts w:ascii="Arial" w:hAnsi="Arial" w:cs="Arial"/>
          <w:b/>
          <w:bCs/>
          <w:color w:val="auto"/>
          <w:sz w:val="24"/>
          <w:szCs w:val="24"/>
        </w:rPr>
      </w:pPr>
      <w:bookmarkStart w:id="81" w:name="_Toc118232347"/>
      <w:r w:rsidRPr="00424BD3">
        <w:rPr>
          <w:rFonts w:ascii="Arial" w:hAnsi="Arial" w:cs="Arial"/>
          <w:b/>
          <w:bCs/>
          <w:color w:val="auto"/>
          <w:sz w:val="24"/>
          <w:szCs w:val="24"/>
        </w:rPr>
        <w:t xml:space="preserve">Participant Perceptions of </w:t>
      </w:r>
      <w:r w:rsidR="002E2D7F" w:rsidRPr="00424BD3">
        <w:rPr>
          <w:rFonts w:ascii="Arial" w:hAnsi="Arial" w:cs="Arial"/>
          <w:b/>
          <w:bCs/>
          <w:color w:val="auto"/>
          <w:sz w:val="24"/>
          <w:szCs w:val="24"/>
        </w:rPr>
        <w:t xml:space="preserve">the Causes of </w:t>
      </w:r>
      <w:r w:rsidRPr="00424BD3">
        <w:rPr>
          <w:rFonts w:ascii="Arial" w:hAnsi="Arial" w:cs="Arial"/>
          <w:b/>
          <w:bCs/>
          <w:color w:val="auto"/>
          <w:sz w:val="24"/>
          <w:szCs w:val="24"/>
        </w:rPr>
        <w:t xml:space="preserve">Childhood Self-Health and of Family </w:t>
      </w:r>
      <w:r w:rsidR="002E2D7F" w:rsidRPr="00424BD3">
        <w:rPr>
          <w:rFonts w:ascii="Arial" w:hAnsi="Arial" w:cs="Arial"/>
          <w:b/>
          <w:bCs/>
          <w:color w:val="auto"/>
          <w:sz w:val="24"/>
          <w:szCs w:val="24"/>
        </w:rPr>
        <w:t>Members’ Health, Illness, and Deaths</w:t>
      </w:r>
      <w:bookmarkEnd w:id="81"/>
    </w:p>
    <w:p w14:paraId="0FC9532E" w14:textId="4865196A" w:rsidR="008844E4" w:rsidRPr="00424BD3" w:rsidRDefault="008844E4" w:rsidP="000126EE">
      <w:pPr>
        <w:spacing w:after="0" w:line="480" w:lineRule="auto"/>
        <w:ind w:firstLine="720"/>
        <w:rPr>
          <w:rFonts w:cs="Arial"/>
          <w:szCs w:val="24"/>
          <w:u w:val="single"/>
        </w:rPr>
      </w:pPr>
      <w:r w:rsidRPr="00424BD3">
        <w:rPr>
          <w:rFonts w:cs="Arial"/>
          <w:szCs w:val="24"/>
        </w:rPr>
        <w:t>Having some understanding of the geopolitical, cultural, social, familial</w:t>
      </w:r>
      <w:r w:rsidR="00476224">
        <w:rPr>
          <w:rFonts w:cs="Arial"/>
          <w:szCs w:val="24"/>
        </w:rPr>
        <w:t>,</w:t>
      </w:r>
      <w:r w:rsidRPr="00424BD3">
        <w:rPr>
          <w:rFonts w:cs="Arial"/>
          <w:szCs w:val="24"/>
        </w:rPr>
        <w:t xml:space="preserve"> and peer health milieu and of participant’s familial and peer health and mortality perceptions, helps build the base of understanding and examining the health and familial illnesses / </w:t>
      </w:r>
      <w:r w:rsidRPr="00424BD3">
        <w:rPr>
          <w:rFonts w:cs="Arial"/>
          <w:szCs w:val="24"/>
        </w:rPr>
        <w:lastRenderedPageBreak/>
        <w:t>mortality perceptions of the participants themselves. Here patterns among the women that emerged from their thoughts, as children, about health and about what impacted them (or didn’t) about illness and death in their family</w:t>
      </w:r>
      <w:r w:rsidR="008267D4" w:rsidRPr="00424BD3">
        <w:rPr>
          <w:rFonts w:cs="Arial"/>
          <w:szCs w:val="24"/>
        </w:rPr>
        <w:t xml:space="preserve"> are examined</w:t>
      </w:r>
      <w:r w:rsidRPr="00424BD3">
        <w:rPr>
          <w:rFonts w:cs="Arial"/>
          <w:szCs w:val="24"/>
        </w:rPr>
        <w:t xml:space="preserve">. </w:t>
      </w:r>
    </w:p>
    <w:p w14:paraId="4757249D" w14:textId="3BF54E95" w:rsidR="000E4FD2" w:rsidRPr="00424BD3" w:rsidRDefault="000E4FD2" w:rsidP="000126EE">
      <w:pPr>
        <w:spacing w:after="0" w:line="480" w:lineRule="auto"/>
        <w:ind w:firstLine="720"/>
        <w:rPr>
          <w:rFonts w:cs="Arial"/>
          <w:szCs w:val="24"/>
        </w:rPr>
      </w:pPr>
      <w:r w:rsidRPr="00424BD3">
        <w:rPr>
          <w:rFonts w:cs="Arial"/>
          <w:szCs w:val="24"/>
        </w:rPr>
        <w:t xml:space="preserve">By far, individual responsibility, in </w:t>
      </w:r>
      <w:r w:rsidR="00DF6052" w:rsidRPr="00424BD3">
        <w:rPr>
          <w:rFonts w:cs="Arial"/>
          <w:szCs w:val="24"/>
        </w:rPr>
        <w:t xml:space="preserve">one </w:t>
      </w:r>
      <w:r w:rsidRPr="00424BD3">
        <w:rPr>
          <w:rFonts w:cs="Arial"/>
          <w:szCs w:val="24"/>
        </w:rPr>
        <w:t>form or another, was the main response regarding the participants’ perceptions as to the causes of family illnesses and deaths.</w:t>
      </w:r>
    </w:p>
    <w:p w14:paraId="752479BE" w14:textId="77777777" w:rsidR="000E4FD2" w:rsidRPr="00424BD3" w:rsidRDefault="000E4FD2" w:rsidP="000126EE">
      <w:pPr>
        <w:spacing w:after="0" w:line="480" w:lineRule="auto"/>
        <w:ind w:firstLine="720"/>
        <w:rPr>
          <w:rFonts w:cs="Arial"/>
          <w:szCs w:val="24"/>
        </w:rPr>
      </w:pPr>
      <w:r w:rsidRPr="00424BD3">
        <w:rPr>
          <w:rFonts w:cs="Arial"/>
          <w:szCs w:val="24"/>
        </w:rPr>
        <w:t xml:space="preserve">As noted above, many of the women were profoundly affected by the illnesses and deaths of their parents and other family members and expressed concern for their own health as a result, even expressing fear of certain types of diseases, even if there was no history in the family of those diseases. </w:t>
      </w:r>
    </w:p>
    <w:p w14:paraId="135F5EA5" w14:textId="36C01C2A" w:rsidR="000E4FD2" w:rsidRPr="00424BD3" w:rsidRDefault="000E4FD2" w:rsidP="000126EE">
      <w:pPr>
        <w:spacing w:after="0" w:line="480" w:lineRule="auto"/>
        <w:ind w:firstLine="720"/>
        <w:rPr>
          <w:rFonts w:cs="Arial"/>
          <w:szCs w:val="24"/>
        </w:rPr>
      </w:pPr>
      <w:r w:rsidRPr="00424BD3">
        <w:rPr>
          <w:rFonts w:cs="Arial"/>
          <w:szCs w:val="24"/>
        </w:rPr>
        <w:t>When speaking about her perception of her family’s illnesses, Deborah stated that she felt so many of the illnesses were unexpected. Deborah’s statements about the unexpected nature of her family’s illnesses were poignant - particularly because her husband’s death was so unexpected and traumatic. Deborah stated that much of the unexpectedness she experienced was because she and her family were uneducated in health matters</w:t>
      </w:r>
      <w:r w:rsidR="004F3F77">
        <w:rPr>
          <w:rFonts w:cs="Arial"/>
          <w:szCs w:val="24"/>
        </w:rPr>
        <w:t>:</w:t>
      </w:r>
      <w:r w:rsidRPr="00424BD3">
        <w:rPr>
          <w:rFonts w:cs="Arial"/>
          <w:szCs w:val="24"/>
        </w:rPr>
        <w:t xml:space="preserve"> </w:t>
      </w:r>
    </w:p>
    <w:p w14:paraId="4CBE93B7" w14:textId="69D6E6D4" w:rsidR="000E4FD2" w:rsidRPr="00424BD3" w:rsidRDefault="000E4FD2" w:rsidP="000126EE">
      <w:pPr>
        <w:spacing w:after="0" w:line="480" w:lineRule="auto"/>
        <w:ind w:left="720"/>
        <w:rPr>
          <w:rFonts w:cs="Arial"/>
          <w:szCs w:val="24"/>
        </w:rPr>
      </w:pPr>
      <w:r w:rsidRPr="00424BD3">
        <w:rPr>
          <w:rFonts w:cs="Arial"/>
          <w:szCs w:val="24"/>
        </w:rPr>
        <w:t>"</w:t>
      </w:r>
      <w:r w:rsidR="004F3F77">
        <w:rPr>
          <w:rFonts w:cs="Arial"/>
          <w:szCs w:val="24"/>
        </w:rPr>
        <w:t>M</w:t>
      </w:r>
      <w:r w:rsidRPr="00424BD3">
        <w:rPr>
          <w:rFonts w:cs="Arial"/>
          <w:szCs w:val="24"/>
        </w:rPr>
        <w:t>ost of the other stuff [referring to family illnesses not mentioned by Deborah]</w:t>
      </w:r>
      <w:r w:rsidR="0002397A">
        <w:rPr>
          <w:rFonts w:cs="Arial"/>
          <w:szCs w:val="24"/>
        </w:rPr>
        <w:t xml:space="preserve"> </w:t>
      </w:r>
      <w:r w:rsidRPr="00424BD3">
        <w:rPr>
          <w:rFonts w:cs="Arial"/>
          <w:szCs w:val="24"/>
        </w:rPr>
        <w:t>just kind of came on more suddenly I guess because it was not something they could just necessarily…do some things to prevent. They…didn't know that kind of thing, a lot of it. And</w:t>
      </w:r>
      <w:r w:rsidR="002978DD">
        <w:rPr>
          <w:rFonts w:cs="Arial"/>
          <w:szCs w:val="24"/>
        </w:rPr>
        <w:t xml:space="preserve"> </w:t>
      </w:r>
      <w:r w:rsidRPr="00424BD3">
        <w:rPr>
          <w:rFonts w:cs="Arial"/>
          <w:szCs w:val="24"/>
        </w:rPr>
        <w:t>I think</w:t>
      </w:r>
      <w:r w:rsidR="004F3F77">
        <w:rPr>
          <w:rFonts w:cs="Arial"/>
          <w:szCs w:val="24"/>
        </w:rPr>
        <w:t>,</w:t>
      </w:r>
      <w:r w:rsidRPr="00424BD3">
        <w:rPr>
          <w:rFonts w:cs="Arial"/>
          <w:szCs w:val="24"/>
        </w:rPr>
        <w:t xml:space="preserve"> again, healthcare's improved so much that we catch things a lot easier than we did...a long time ago…</w:t>
      </w:r>
      <w:r w:rsidRPr="00424BD3">
        <w:t xml:space="preserve"> </w:t>
      </w:r>
      <w:r w:rsidRPr="00424BD3">
        <w:rPr>
          <w:rFonts w:cs="Arial"/>
          <w:szCs w:val="24"/>
        </w:rPr>
        <w:t xml:space="preserve">It's hard to know what caused </w:t>
      </w:r>
      <w:r w:rsidR="00B170D0">
        <w:rPr>
          <w:rFonts w:cs="Arial"/>
          <w:szCs w:val="24"/>
        </w:rPr>
        <w:t xml:space="preserve">[illnesses] </w:t>
      </w:r>
      <w:r w:rsidRPr="00424BD3">
        <w:rPr>
          <w:rFonts w:cs="Arial"/>
          <w:szCs w:val="24"/>
        </w:rPr>
        <w:t>other than the diabetes, you kinda got that coming on</w:t>
      </w:r>
      <w:r w:rsidR="00B170D0">
        <w:rPr>
          <w:rFonts w:cs="Arial"/>
          <w:szCs w:val="24"/>
        </w:rPr>
        <w:t>.</w:t>
      </w:r>
      <w:r w:rsidR="00B40D89">
        <w:rPr>
          <w:rFonts w:cs="Arial"/>
          <w:szCs w:val="24"/>
        </w:rPr>
        <w:t xml:space="preserve"> </w:t>
      </w:r>
      <w:r w:rsidRPr="00424BD3">
        <w:rPr>
          <w:rFonts w:cs="Arial"/>
          <w:szCs w:val="24"/>
        </w:rPr>
        <w:t>But looking back, you see the things that I didn't know to watch [in reference to husband's diabetes]...that I do now. Watch for</w:t>
      </w:r>
      <w:r w:rsidR="002D4D59">
        <w:rPr>
          <w:rFonts w:cs="Arial"/>
          <w:szCs w:val="24"/>
        </w:rPr>
        <w:t xml:space="preserve"> </w:t>
      </w:r>
      <w:r w:rsidRPr="00424BD3">
        <w:rPr>
          <w:rFonts w:cs="Arial"/>
          <w:szCs w:val="24"/>
        </w:rPr>
        <w:t xml:space="preserve">going to the bathroom more, drinking a lot </w:t>
      </w:r>
      <w:r w:rsidRPr="00424BD3">
        <w:rPr>
          <w:rFonts w:cs="Arial"/>
          <w:szCs w:val="24"/>
        </w:rPr>
        <w:lastRenderedPageBreak/>
        <w:t>more, those kinds of things. That I'm a lot more conscious of stuff now. I wish I'd paid close[r attention]."</w:t>
      </w:r>
    </w:p>
    <w:p w14:paraId="4635C107" w14:textId="77777777" w:rsidR="000E4FD2" w:rsidRPr="00424BD3" w:rsidRDefault="000E4FD2" w:rsidP="000126EE">
      <w:pPr>
        <w:spacing w:after="0" w:line="480" w:lineRule="auto"/>
        <w:ind w:firstLine="720"/>
        <w:rPr>
          <w:rFonts w:cs="Arial"/>
          <w:szCs w:val="24"/>
        </w:rPr>
      </w:pPr>
      <w:r w:rsidRPr="00424BD3">
        <w:rPr>
          <w:rFonts w:cs="Arial"/>
          <w:szCs w:val="24"/>
        </w:rPr>
        <w:t xml:space="preserve">Not only were they profoundly affected by their illnesses and deaths, but they saw their parents’ and family members’ individual health behavior choices as the culprit in not preventing or mitigating their illnesses and causes of death. </w:t>
      </w:r>
    </w:p>
    <w:p w14:paraId="173AF273" w14:textId="33239EBD" w:rsidR="000E4FD2" w:rsidRPr="00424BD3" w:rsidRDefault="000E4FD2" w:rsidP="000126EE">
      <w:pPr>
        <w:spacing w:after="0" w:line="480" w:lineRule="auto"/>
        <w:ind w:firstLine="720"/>
        <w:rPr>
          <w:rFonts w:cs="Arial"/>
          <w:szCs w:val="24"/>
        </w:rPr>
      </w:pPr>
      <w:r w:rsidRPr="00424BD3">
        <w:rPr>
          <w:rFonts w:cs="Arial"/>
          <w:szCs w:val="24"/>
        </w:rPr>
        <w:t xml:space="preserve">Anita’s responses to </w:t>
      </w:r>
      <w:r w:rsidR="00E11D88" w:rsidRPr="00424BD3">
        <w:rPr>
          <w:rFonts w:cs="Arial"/>
          <w:szCs w:val="24"/>
        </w:rPr>
        <w:t>the</w:t>
      </w:r>
      <w:r w:rsidRPr="00424BD3">
        <w:rPr>
          <w:rFonts w:cs="Arial"/>
          <w:szCs w:val="24"/>
        </w:rPr>
        <w:t xml:space="preserve"> questions about her perceptions of health as a child and of her family’s health and deaths, was surprising in that she, too, focused on individual responsibility, unlike many of her other answers which incorporated social determinants and systemic discriminatory practices. She said:</w:t>
      </w:r>
    </w:p>
    <w:p w14:paraId="4B73F580" w14:textId="251199CE" w:rsidR="000E4FD2" w:rsidRPr="00424BD3" w:rsidRDefault="000E4FD2" w:rsidP="000126EE">
      <w:pPr>
        <w:spacing w:after="0" w:line="480" w:lineRule="auto"/>
        <w:ind w:left="720"/>
        <w:rPr>
          <w:rFonts w:cs="Arial"/>
          <w:szCs w:val="24"/>
        </w:rPr>
      </w:pPr>
      <w:r w:rsidRPr="00424BD3">
        <w:rPr>
          <w:rFonts w:cs="Arial"/>
          <w:szCs w:val="24"/>
        </w:rPr>
        <w:t>"Well, I don't smoke, okay [laughs]. I try and get regular check-ups...and I try to do the things that [</w:t>
      </w:r>
      <w:r w:rsidR="00D529B5">
        <w:rPr>
          <w:rFonts w:cs="Arial"/>
          <w:szCs w:val="24"/>
        </w:rPr>
        <w:t>are healthy</w:t>
      </w:r>
      <w:r w:rsidRPr="00424BD3">
        <w:rPr>
          <w:rFonts w:cs="Arial"/>
          <w:szCs w:val="24"/>
        </w:rPr>
        <w:t>]...except I know sugar is an issue [laughs]...I drink too many sodas, and I'm trying to cut back on sweets. It's hard, but I know what I should be doing, not necessarily what I'm doing, but I know what…I should be doing.”</w:t>
      </w:r>
    </w:p>
    <w:p w14:paraId="3A9E1388" w14:textId="45C6D0CE" w:rsidR="000E4FD2" w:rsidRPr="00424BD3" w:rsidRDefault="000E4FD2" w:rsidP="000126EE">
      <w:pPr>
        <w:spacing w:after="0" w:line="480" w:lineRule="auto"/>
        <w:ind w:firstLine="720"/>
        <w:rPr>
          <w:rFonts w:cs="Arial"/>
          <w:szCs w:val="24"/>
        </w:rPr>
      </w:pPr>
      <w:r w:rsidRPr="00424BD3">
        <w:rPr>
          <w:rFonts w:cs="Arial"/>
          <w:szCs w:val="24"/>
        </w:rPr>
        <w:t>It was as if by asking her about her view of her own health, she felt the need to self-blame, to take on the mantle of individual responsibility / behavior as the means of her family’s health outcomes and her own. Anita’s responses show the complicated nature of health inequities and how the social dominance of one of the drivers of the determinants of health (health behaviors) can drown out all of the others in moments when people feel pressured or react in ways they’ve been taught or shamed to act about their health. I</w:t>
      </w:r>
      <w:r w:rsidR="00AB4E32" w:rsidRPr="00424BD3">
        <w:rPr>
          <w:rFonts w:cs="Arial"/>
          <w:szCs w:val="24"/>
        </w:rPr>
        <w:t>t</w:t>
      </w:r>
      <w:r w:rsidRPr="00424BD3">
        <w:rPr>
          <w:rFonts w:cs="Arial"/>
          <w:szCs w:val="24"/>
        </w:rPr>
        <w:t xml:space="preserve"> cannot </w:t>
      </w:r>
      <w:r w:rsidR="00AB4E32" w:rsidRPr="00424BD3">
        <w:rPr>
          <w:rFonts w:cs="Arial"/>
          <w:szCs w:val="24"/>
        </w:rPr>
        <w:t xml:space="preserve">be </w:t>
      </w:r>
      <w:r w:rsidRPr="00424BD3">
        <w:rPr>
          <w:rFonts w:cs="Arial"/>
          <w:szCs w:val="24"/>
        </w:rPr>
        <w:t>know</w:t>
      </w:r>
      <w:r w:rsidR="00AB4E32" w:rsidRPr="00424BD3">
        <w:rPr>
          <w:rFonts w:cs="Arial"/>
          <w:szCs w:val="24"/>
        </w:rPr>
        <w:t>n</w:t>
      </w:r>
      <w:r w:rsidRPr="00424BD3">
        <w:rPr>
          <w:rFonts w:cs="Arial"/>
          <w:szCs w:val="24"/>
        </w:rPr>
        <w:t xml:space="preserve"> for sure why Anita answered the way she did, but it is important to critically examine responses which are incongruent with other answers provided by a participant, especially if they may indicate a normed response or a power-</w:t>
      </w:r>
      <w:r w:rsidRPr="00424BD3">
        <w:rPr>
          <w:rFonts w:cs="Arial"/>
          <w:szCs w:val="24"/>
        </w:rPr>
        <w:lastRenderedPageBreak/>
        <w:t>induced response (such as a participant thinking this is what the researcher wants to hear).</w:t>
      </w:r>
    </w:p>
    <w:p w14:paraId="5D600EB0" w14:textId="252689CA" w:rsidR="000E4FD2" w:rsidRPr="00424BD3" w:rsidRDefault="000E4FD2" w:rsidP="000126EE">
      <w:pPr>
        <w:spacing w:after="0" w:line="480" w:lineRule="auto"/>
        <w:ind w:firstLine="720"/>
        <w:rPr>
          <w:rFonts w:cs="Arial"/>
          <w:szCs w:val="24"/>
        </w:rPr>
      </w:pPr>
      <w:r w:rsidRPr="00424BD3">
        <w:rPr>
          <w:rFonts w:cs="Arial"/>
          <w:szCs w:val="24"/>
        </w:rPr>
        <w:t>Only Carolyn and Sylvia perceived any systemic or social determinants of health at play in their family’s illnesses or deaths.</w:t>
      </w:r>
    </w:p>
    <w:p w14:paraId="49205E50" w14:textId="77777777" w:rsidR="000E4FD2" w:rsidRPr="00424BD3" w:rsidRDefault="000E4FD2" w:rsidP="000126EE">
      <w:pPr>
        <w:spacing w:after="0" w:line="480" w:lineRule="auto"/>
        <w:ind w:firstLine="720"/>
        <w:rPr>
          <w:rFonts w:cs="Arial"/>
          <w:szCs w:val="24"/>
        </w:rPr>
      </w:pPr>
      <w:r w:rsidRPr="00424BD3">
        <w:rPr>
          <w:rFonts w:cs="Arial"/>
          <w:szCs w:val="24"/>
        </w:rPr>
        <w:t xml:space="preserve">Carolyn, whose family are Russian Ashkenazi Jews, also spoke at length about the role she perceives </w:t>
      </w:r>
      <w:r w:rsidRPr="009F33C9">
        <w:rPr>
          <w:rFonts w:cs="Arial"/>
          <w:szCs w:val="24"/>
        </w:rPr>
        <w:t xml:space="preserve">genetics </w:t>
      </w:r>
      <w:r w:rsidRPr="00424BD3">
        <w:rPr>
          <w:rFonts w:cs="Arial"/>
          <w:szCs w:val="24"/>
        </w:rPr>
        <w:t xml:space="preserve">has formed in her family’s health: </w:t>
      </w:r>
    </w:p>
    <w:p w14:paraId="79CEFDDF" w14:textId="03E14581" w:rsidR="000E4FD2" w:rsidRPr="00424BD3" w:rsidRDefault="000E4FD2" w:rsidP="000126EE">
      <w:pPr>
        <w:spacing w:after="0" w:line="480" w:lineRule="auto"/>
        <w:ind w:left="720"/>
        <w:rPr>
          <w:rFonts w:cs="Arial"/>
          <w:szCs w:val="24"/>
        </w:rPr>
      </w:pPr>
      <w:r w:rsidRPr="00424BD3">
        <w:rPr>
          <w:rFonts w:cs="Arial"/>
          <w:szCs w:val="24"/>
        </w:rPr>
        <w:t>"First of all, I’m sure it's genetic. I know that Ashkenazi Jews carry a lot of genetic</w:t>
      </w:r>
      <w:r w:rsidR="00A82474">
        <w:rPr>
          <w:rFonts w:cs="Arial"/>
          <w:szCs w:val="24"/>
        </w:rPr>
        <w:t>s</w:t>
      </w:r>
      <w:r w:rsidRPr="00424BD3">
        <w:rPr>
          <w:rFonts w:cs="Arial"/>
          <w:szCs w:val="24"/>
        </w:rPr>
        <w:t>...and it's probably because it wasn't a huge pool of people, and they didn't tend to marry outside of</w:t>
      </w:r>
      <w:r w:rsidR="00437C5C">
        <w:rPr>
          <w:rFonts w:cs="Arial"/>
          <w:szCs w:val="24"/>
        </w:rPr>
        <w:t xml:space="preserve"> </w:t>
      </w:r>
      <w:r w:rsidR="000D1189">
        <w:rPr>
          <w:rFonts w:cs="Arial"/>
          <w:szCs w:val="24"/>
        </w:rPr>
        <w:t>[one another]</w:t>
      </w:r>
      <w:r w:rsidRPr="00424BD3">
        <w:rPr>
          <w:rFonts w:cs="Arial"/>
          <w:szCs w:val="24"/>
        </w:rPr>
        <w:t>...and, in fact, genetically if you have even a small percentage of Ashkenazi Jew in your genetics, you're related to everyone else that has it. So, I'm satisfied that...that's part of it because my parents were Russian. My father and his family, the man who raised me and his family were Russian Jews and came over from Russia</w:t>
      </w:r>
      <w:r w:rsidR="000D1189">
        <w:rPr>
          <w:rFonts w:cs="Arial"/>
          <w:szCs w:val="24"/>
        </w:rPr>
        <w:t>. D</w:t>
      </w:r>
      <w:r w:rsidRPr="00424BD3">
        <w:rPr>
          <w:rFonts w:cs="Arial"/>
          <w:szCs w:val="24"/>
        </w:rPr>
        <w:t>epending upon what year they came, it had been Poland [laughs], so I...think that cancer is a genetic...you do have a genetic tendency towards it. I'm sure that I feel...cancer's a combination of two things: you have a genetic tendency or leaning tendency, lean that way</w:t>
      </w:r>
      <w:r w:rsidR="006373FD">
        <w:rPr>
          <w:rFonts w:cs="Arial"/>
          <w:szCs w:val="24"/>
        </w:rPr>
        <w:t>. T</w:t>
      </w:r>
      <w:r w:rsidRPr="00424BD3">
        <w:rPr>
          <w:rFonts w:cs="Arial"/>
          <w:szCs w:val="24"/>
        </w:rPr>
        <w:t>hen there's an external environmental thing that triggers it, and if a whole family remains in the same area of the country or in the same profession as everyone else, it may be they're there with a trigger, so that's why each one of them is then getting the cancer or a form of cancer. That's my theory. No medical background for what it's worth [laughs]</w:t>
      </w:r>
      <w:r w:rsidR="004720B5">
        <w:rPr>
          <w:rFonts w:cs="Arial"/>
          <w:szCs w:val="24"/>
        </w:rPr>
        <w:t>”</w:t>
      </w:r>
      <w:r w:rsidRPr="00424BD3">
        <w:rPr>
          <w:rFonts w:cs="Arial"/>
          <w:szCs w:val="24"/>
        </w:rPr>
        <w:t xml:space="preserve">. </w:t>
      </w:r>
    </w:p>
    <w:p w14:paraId="14EE59E9" w14:textId="3DD5E84A" w:rsidR="000E4FD2" w:rsidRPr="00424BD3" w:rsidRDefault="000E4FD2" w:rsidP="000126EE">
      <w:pPr>
        <w:spacing w:after="0" w:line="480" w:lineRule="auto"/>
        <w:ind w:firstLine="720"/>
        <w:rPr>
          <w:rFonts w:cs="Arial"/>
          <w:szCs w:val="24"/>
        </w:rPr>
      </w:pPr>
      <w:r w:rsidRPr="00424BD3">
        <w:rPr>
          <w:rFonts w:cs="Arial"/>
          <w:szCs w:val="24"/>
        </w:rPr>
        <w:t xml:space="preserve">Hearing Carolyn’s thoughts about the role genetics has played in cancer in her family, helps to widen the understanding of why she thinks cancer and old age go hand </w:t>
      </w:r>
      <w:r w:rsidRPr="00424BD3">
        <w:rPr>
          <w:rFonts w:cs="Arial"/>
          <w:szCs w:val="24"/>
        </w:rPr>
        <w:lastRenderedPageBreak/>
        <w:t xml:space="preserve">in hand. She also references environmental triggers – place-based and job-based. She refers to her explanations as to why her family members have suffered from cancer as her theory. This could indicate that Carolyn understood the social determinants of health and the role genetics played in her family without understanding that she understood them. As conflicting as Carolyn’s responses are, they go to show what much of this study shows about older women (and people in general) - that people can hold several beliefs and attitudes about health, health inequities and mortality at the same time. They can know what they think they don’t know about health inequities. </w:t>
      </w:r>
      <w:r w:rsidR="00AB0B88" w:rsidRPr="00424BD3">
        <w:rPr>
          <w:rFonts w:cs="Arial"/>
          <w:szCs w:val="24"/>
        </w:rPr>
        <w:t>It may be said that t</w:t>
      </w:r>
      <w:r w:rsidRPr="00424BD3">
        <w:rPr>
          <w:rFonts w:cs="Arial"/>
          <w:szCs w:val="24"/>
        </w:rPr>
        <w:t xml:space="preserve">his is why researchers must take the time to do in-depth qualitative health research – to get deeper, “thicker” information from the very people </w:t>
      </w:r>
      <w:r w:rsidR="00F97B17">
        <w:rPr>
          <w:rFonts w:cs="Arial"/>
          <w:szCs w:val="24"/>
        </w:rPr>
        <w:t xml:space="preserve">they </w:t>
      </w:r>
      <w:r w:rsidRPr="00424BD3">
        <w:rPr>
          <w:rFonts w:cs="Arial"/>
          <w:szCs w:val="24"/>
        </w:rPr>
        <w:t xml:space="preserve">are trying to build policies and interventions </w:t>
      </w:r>
      <w:r w:rsidR="00F97B17">
        <w:rPr>
          <w:rFonts w:cs="Arial"/>
          <w:szCs w:val="24"/>
        </w:rPr>
        <w:t>for</w:t>
      </w:r>
      <w:r w:rsidRPr="00424BD3">
        <w:rPr>
          <w:rFonts w:cs="Arial"/>
          <w:szCs w:val="24"/>
        </w:rPr>
        <w:t>, and to build more inclusive policies and interventions with their seemingly incongruent perceptions in mind.</w:t>
      </w:r>
    </w:p>
    <w:p w14:paraId="16FC09E7" w14:textId="77777777" w:rsidR="000E4FD2" w:rsidRPr="00424BD3" w:rsidRDefault="000E4FD2" w:rsidP="000126EE">
      <w:pPr>
        <w:spacing w:after="0" w:line="480" w:lineRule="auto"/>
        <w:ind w:firstLine="720"/>
        <w:rPr>
          <w:rFonts w:cs="Arial"/>
          <w:szCs w:val="24"/>
        </w:rPr>
      </w:pPr>
      <w:r w:rsidRPr="00424BD3">
        <w:rPr>
          <w:rFonts w:cs="Arial"/>
          <w:szCs w:val="24"/>
        </w:rPr>
        <w:t xml:space="preserve">Sylvia, who worked in healthcare for many years, viewed her family illnesses as mostly </w:t>
      </w:r>
      <w:r w:rsidRPr="008A3113">
        <w:rPr>
          <w:rFonts w:cs="Arial"/>
          <w:szCs w:val="24"/>
        </w:rPr>
        <w:t>genetic</w:t>
      </w:r>
      <w:r w:rsidRPr="00424BD3">
        <w:rPr>
          <w:rFonts w:cs="Arial"/>
          <w:szCs w:val="24"/>
        </w:rPr>
        <w:t>. She also examined her thoughts about her uncle’s death from a brain tumor and what environmental factors, such as job stress, may have been involved:</w:t>
      </w:r>
    </w:p>
    <w:p w14:paraId="5E14969E" w14:textId="4BE8BDD0" w:rsidR="000E4FD2" w:rsidRPr="00424BD3" w:rsidRDefault="000E4FD2" w:rsidP="000126EE">
      <w:pPr>
        <w:spacing w:after="0" w:line="480" w:lineRule="auto"/>
        <w:ind w:left="720"/>
        <w:rPr>
          <w:rFonts w:cs="Arial"/>
          <w:szCs w:val="24"/>
        </w:rPr>
      </w:pPr>
      <w:r w:rsidRPr="00424BD3">
        <w:rPr>
          <w:rFonts w:cs="Arial"/>
          <w:szCs w:val="24"/>
        </w:rPr>
        <w:t>"We've not really had a problem, like obesity. In our family...the cause of my grandfather's diabetes, and since his father also had diabetes, I suspect that was genetically driven. I think the heart disease</w:t>
      </w:r>
      <w:r w:rsidR="00C3163A">
        <w:rPr>
          <w:rFonts w:cs="Arial"/>
          <w:szCs w:val="24"/>
        </w:rPr>
        <w:t xml:space="preserve"> and</w:t>
      </w:r>
      <w:r w:rsidR="0002397A">
        <w:rPr>
          <w:rFonts w:cs="Arial"/>
          <w:szCs w:val="24"/>
        </w:rPr>
        <w:t xml:space="preserve"> </w:t>
      </w:r>
      <w:r w:rsidRPr="00424BD3">
        <w:rPr>
          <w:rFonts w:cs="Arial"/>
          <w:szCs w:val="24"/>
        </w:rPr>
        <w:t>the Alzheimer's is</w:t>
      </w:r>
      <w:r w:rsidR="0002397A">
        <w:rPr>
          <w:rFonts w:cs="Arial"/>
          <w:szCs w:val="24"/>
        </w:rPr>
        <w:t xml:space="preserve">. </w:t>
      </w:r>
      <w:r w:rsidR="00AC77B3">
        <w:rPr>
          <w:rFonts w:cs="Arial"/>
          <w:szCs w:val="24"/>
        </w:rPr>
        <w:t>T</w:t>
      </w:r>
      <w:r w:rsidRPr="00424BD3">
        <w:rPr>
          <w:rFonts w:cs="Arial"/>
          <w:szCs w:val="24"/>
        </w:rPr>
        <w:t xml:space="preserve">he one uncle who died of a brain tumor, we often worried that he was an air traffic controller during some of the most stressful times for that profession, and we worried about whether or not his health in general, you know, was affected, and the stress of that...perhaps didn't necessarily cause the tumor, but maybe didn't allow him to fight it as well as he should. We didn’t experience any of the exposures...to toxins </w:t>
      </w:r>
      <w:r w:rsidRPr="00424BD3">
        <w:rPr>
          <w:rFonts w:cs="Arial"/>
          <w:szCs w:val="24"/>
        </w:rPr>
        <w:lastRenderedPageBreak/>
        <w:t>that...some industries...would have or to respiratory...inhalant...irritants that some industries would</w:t>
      </w:r>
      <w:r w:rsidR="001961B5">
        <w:rPr>
          <w:rFonts w:cs="Arial"/>
          <w:szCs w:val="24"/>
        </w:rPr>
        <w:t>. N</w:t>
      </w:r>
      <w:r w:rsidRPr="00424BD3">
        <w:rPr>
          <w:rFonts w:cs="Arial"/>
          <w:szCs w:val="24"/>
        </w:rPr>
        <w:t>ot like the friends, I know who got sarcoma on their…arm because they were exposed to Agent Orange in Vietnam, or anything like that, so I don't really know of any real environmental triggers to the health problems."</w:t>
      </w:r>
    </w:p>
    <w:p w14:paraId="56E311F9" w14:textId="70696CF6" w:rsidR="000E4FD2" w:rsidRPr="00424BD3" w:rsidRDefault="000E4FD2" w:rsidP="000126EE">
      <w:pPr>
        <w:spacing w:after="0" w:line="480" w:lineRule="auto"/>
        <w:ind w:firstLine="720"/>
        <w:rPr>
          <w:rFonts w:cs="Arial"/>
          <w:szCs w:val="24"/>
        </w:rPr>
      </w:pPr>
      <w:r w:rsidRPr="00424BD3">
        <w:rPr>
          <w:rFonts w:cs="Arial"/>
          <w:szCs w:val="24"/>
        </w:rPr>
        <w:t xml:space="preserve">Prior to hearing the participant’s answers to these particular sets of questions, I would </w:t>
      </w:r>
      <w:r w:rsidR="00A32B53" w:rsidRPr="00424BD3">
        <w:rPr>
          <w:rFonts w:cs="Arial"/>
          <w:szCs w:val="24"/>
        </w:rPr>
        <w:t xml:space="preserve">have </w:t>
      </w:r>
      <w:r w:rsidR="00230498" w:rsidRPr="00424BD3">
        <w:rPr>
          <w:rFonts w:cs="Arial"/>
          <w:szCs w:val="24"/>
        </w:rPr>
        <w:t>attributed</w:t>
      </w:r>
      <w:r w:rsidRPr="00424BD3">
        <w:rPr>
          <w:rFonts w:cs="Arial"/>
          <w:szCs w:val="24"/>
        </w:rPr>
        <w:t xml:space="preserve"> Sylvia’s answer up to her healthcare professional experiences. But the other healthcare professionals in this study have proven that theory of mine wrong. It was encouraging to hear Sylvia refer to possible genetic and environmental factors as well as the impact stress can have on the body. Having diseases in her family such as diabetes and Alzheimer’s which have strong genetic propensities, it makes sense that she refers to genetics as a consideration for her. Having friends who developed cancer due to Agent Orange has given her a familiarity with environmental factors that other people may not have. Sylvia is also highly active in community groups which tackle various ‘social </w:t>
      </w:r>
      <w:r w:rsidR="006614CA" w:rsidRPr="00424BD3">
        <w:rPr>
          <w:rFonts w:cs="Arial"/>
          <w:szCs w:val="24"/>
        </w:rPr>
        <w:t>ills’ and</w:t>
      </w:r>
      <w:r w:rsidRPr="00424BD3">
        <w:rPr>
          <w:rFonts w:cs="Arial"/>
          <w:szCs w:val="24"/>
        </w:rPr>
        <w:t xml:space="preserve"> may also have much to do with her knowledge and referral to environmental factors.</w:t>
      </w:r>
    </w:p>
    <w:p w14:paraId="603570D8" w14:textId="77777777" w:rsidR="000E4FD2" w:rsidRPr="00424BD3" w:rsidRDefault="000E4FD2" w:rsidP="000126EE">
      <w:pPr>
        <w:spacing w:after="0" w:line="480" w:lineRule="auto"/>
        <w:ind w:firstLine="720"/>
        <w:rPr>
          <w:rFonts w:cs="Arial"/>
          <w:szCs w:val="24"/>
        </w:rPr>
      </w:pPr>
      <w:r w:rsidRPr="00424BD3">
        <w:rPr>
          <w:rFonts w:cs="Arial"/>
          <w:szCs w:val="24"/>
        </w:rPr>
        <w:t xml:space="preserve">Some also perceived the ‘silence about health’ norm in their families as leading to replication of normed behavior in their lives and in their passing on of these norms to their own children. For some, like Margaret, who had replicated the silence norm, this led to anger with their parents and other older family members for the health risks that she and her children may have unnecessarily endured. Importantly, Margaret is an immigrant and was raised with this norm in another country, not in the U.S. This is important because this research shows that certain norms may be spatially, temporally and generationally significant. </w:t>
      </w:r>
    </w:p>
    <w:p w14:paraId="7D37042D" w14:textId="77777777" w:rsidR="000E4FD2" w:rsidRPr="00424BD3" w:rsidRDefault="000E4FD2" w:rsidP="000126EE">
      <w:pPr>
        <w:spacing w:after="0" w:line="480" w:lineRule="auto"/>
        <w:ind w:firstLine="720"/>
        <w:rPr>
          <w:rFonts w:cs="Arial"/>
          <w:szCs w:val="24"/>
        </w:rPr>
      </w:pPr>
      <w:r w:rsidRPr="00424BD3">
        <w:rPr>
          <w:rFonts w:cs="Arial"/>
          <w:szCs w:val="24"/>
        </w:rPr>
        <w:lastRenderedPageBreak/>
        <w:t xml:space="preserve">Others, like Ruth, felt her family’s “silence about health” norm led to ignorance about healthcare access and provision overall. She did not fully understand what healthcare services were available to her or others in general until much later in life: </w:t>
      </w:r>
    </w:p>
    <w:p w14:paraId="42A84043" w14:textId="6ABE245D" w:rsidR="000E4FD2" w:rsidRPr="00424BD3" w:rsidRDefault="000E4FD2" w:rsidP="000126EE">
      <w:pPr>
        <w:spacing w:after="0" w:line="480" w:lineRule="auto"/>
        <w:ind w:firstLine="720"/>
        <w:rPr>
          <w:rFonts w:cs="Arial"/>
          <w:szCs w:val="24"/>
        </w:rPr>
      </w:pPr>
      <w:r w:rsidRPr="00424BD3">
        <w:rPr>
          <w:rFonts w:cs="Arial"/>
          <w:szCs w:val="24"/>
        </w:rPr>
        <w:t>"....at each place [she lived], was I aware of what they had for others? No. But I was able to find what I needed. I mean, until I...served on [organization’s board in East Tennessee], I really didn't have an understanding of...all of the healthcare things that are available."</w:t>
      </w:r>
    </w:p>
    <w:p w14:paraId="4BB62561" w14:textId="77777777" w:rsidR="000E4FD2" w:rsidRPr="00424BD3" w:rsidRDefault="000E4FD2" w:rsidP="000126EE">
      <w:pPr>
        <w:spacing w:after="0" w:line="480" w:lineRule="auto"/>
        <w:ind w:firstLine="720"/>
        <w:rPr>
          <w:rFonts w:cs="Arial"/>
          <w:szCs w:val="24"/>
        </w:rPr>
      </w:pPr>
      <w:r w:rsidRPr="00424BD3">
        <w:rPr>
          <w:rFonts w:cs="Arial"/>
          <w:szCs w:val="24"/>
        </w:rPr>
        <w:t xml:space="preserve">Those who suffered abuse, neglect, incarceration, or other forms of violent adverse childhood experiences, most often expressed the perception of health, illness, and death in terms of individual responsibility. This makes sense for young people who have not been able to rely on caretakers and, therefore, may have developed views of mitigating ill-health as relying solely on self. </w:t>
      </w:r>
    </w:p>
    <w:p w14:paraId="25C4C851" w14:textId="145E62F4" w:rsidR="000E4FD2" w:rsidRPr="00424BD3" w:rsidRDefault="000E4FD2" w:rsidP="000126EE">
      <w:pPr>
        <w:spacing w:after="0" w:line="480" w:lineRule="auto"/>
        <w:ind w:firstLine="720"/>
        <w:rPr>
          <w:rFonts w:cs="Arial"/>
          <w:szCs w:val="24"/>
        </w:rPr>
      </w:pPr>
      <w:r w:rsidRPr="00424BD3">
        <w:rPr>
          <w:rFonts w:cs="Arial"/>
          <w:szCs w:val="24"/>
        </w:rPr>
        <w:t>Barbara’s incredible experiences of abuse, neglect, and time spent in jail as a teenager, profoundly impacted her view of health. As a result, she subscribed to the individual responsibility view - working to keep her health was as well as she could make it and being vigilant to the environment around her as one means to the end of ensuring she could change her life:</w:t>
      </w:r>
    </w:p>
    <w:p w14:paraId="0945893F" w14:textId="17DF546C" w:rsidR="000E4FD2" w:rsidRPr="00424BD3" w:rsidRDefault="000E4FD2" w:rsidP="000126EE">
      <w:pPr>
        <w:spacing w:after="0" w:line="480" w:lineRule="auto"/>
        <w:ind w:left="720"/>
        <w:rPr>
          <w:rFonts w:cs="Arial"/>
          <w:szCs w:val="24"/>
        </w:rPr>
      </w:pPr>
      <w:r w:rsidRPr="00424BD3">
        <w:rPr>
          <w:rFonts w:cs="Arial"/>
          <w:szCs w:val="24"/>
        </w:rPr>
        <w:t xml:space="preserve">"I had been in jail, and it was a pretty scary place, so I pretty much put my nose to the grindstone and thought...I better keep my nose </w:t>
      </w:r>
      <w:r w:rsidR="00D65C30" w:rsidRPr="00424BD3">
        <w:rPr>
          <w:rFonts w:cs="Arial"/>
          <w:szCs w:val="24"/>
        </w:rPr>
        <w:t>clean and</w:t>
      </w:r>
      <w:r w:rsidRPr="00424BD3">
        <w:rPr>
          <w:rFonts w:cs="Arial"/>
          <w:szCs w:val="24"/>
        </w:rPr>
        <w:t xml:space="preserve"> do the best I can so that I don't have to live like this anymore…. Just taking care of my health and paying attention to what's around me" </w:t>
      </w:r>
    </w:p>
    <w:p w14:paraId="4BAEE3BE" w14:textId="77777777" w:rsidR="000E4FD2" w:rsidRPr="00424BD3" w:rsidRDefault="000E4FD2" w:rsidP="000126EE">
      <w:pPr>
        <w:spacing w:after="0" w:line="480" w:lineRule="auto"/>
        <w:ind w:firstLine="720"/>
        <w:rPr>
          <w:rFonts w:cs="Arial"/>
          <w:szCs w:val="24"/>
        </w:rPr>
      </w:pPr>
      <w:r w:rsidRPr="00424BD3">
        <w:rPr>
          <w:rFonts w:cs="Arial"/>
          <w:szCs w:val="24"/>
        </w:rPr>
        <w:lastRenderedPageBreak/>
        <w:t>When speaking about her family conditions and illnesses, she spoke of her father’s intentional unwillingness to provide access to healthcare for her and her brother, and his abusive behavior around illness or accidents:</w:t>
      </w:r>
    </w:p>
    <w:p w14:paraId="0F63D029" w14:textId="7523CA10" w:rsidR="000E4FD2" w:rsidRDefault="000E4FD2" w:rsidP="000126EE">
      <w:pPr>
        <w:spacing w:after="0" w:line="480" w:lineRule="auto"/>
        <w:ind w:left="720"/>
        <w:rPr>
          <w:rFonts w:cs="Arial"/>
          <w:szCs w:val="24"/>
        </w:rPr>
      </w:pPr>
      <w:r w:rsidRPr="00424BD3">
        <w:rPr>
          <w:rFonts w:cs="Arial"/>
          <w:szCs w:val="24"/>
        </w:rPr>
        <w:t>"Even as a kid, it concerned me. I told you I had a pretty severe injury. I wrenched my leg open through the bone, and I was in a wagon, one of those little radio flyer wagons</w:t>
      </w:r>
      <w:r w:rsidR="00F920AF">
        <w:rPr>
          <w:rFonts w:cs="Arial"/>
          <w:szCs w:val="24"/>
        </w:rPr>
        <w:t>,</w:t>
      </w:r>
      <w:r w:rsidRPr="00424BD3">
        <w:rPr>
          <w:rFonts w:cs="Arial"/>
          <w:szCs w:val="24"/>
        </w:rPr>
        <w:t xml:space="preserve"> and the whole bottom of that wagon was full of blood, and...I can remember thinking...</w:t>
      </w:r>
      <w:r w:rsidR="00F920AF">
        <w:rPr>
          <w:rFonts w:cs="Arial"/>
          <w:szCs w:val="24"/>
        </w:rPr>
        <w:t>”</w:t>
      </w:r>
      <w:r w:rsidRPr="00424BD3">
        <w:rPr>
          <w:rFonts w:cs="Arial"/>
          <w:szCs w:val="24"/>
        </w:rPr>
        <w:t>I need to go to get this sewn up</w:t>
      </w:r>
      <w:r w:rsidR="003F2936">
        <w:rPr>
          <w:rFonts w:cs="Arial"/>
          <w:szCs w:val="24"/>
        </w:rPr>
        <w:t xml:space="preserve">.” </w:t>
      </w:r>
      <w:r w:rsidRPr="00424BD3">
        <w:rPr>
          <w:rFonts w:cs="Arial"/>
          <w:szCs w:val="24"/>
        </w:rPr>
        <w:t>I knew what that was all about. I knew there was that such</w:t>
      </w:r>
      <w:r w:rsidR="00777CE3">
        <w:rPr>
          <w:rFonts w:cs="Arial"/>
          <w:szCs w:val="24"/>
        </w:rPr>
        <w:t xml:space="preserve"> [sic]</w:t>
      </w:r>
      <w:r w:rsidRPr="00424BD3">
        <w:rPr>
          <w:rFonts w:cs="Arial"/>
          <w:szCs w:val="24"/>
        </w:rPr>
        <w:t xml:space="preserve"> procedure, but I can remember not understanding why my dad would not let my mother take me to the hospital...I probably was five years old, but</w:t>
      </w:r>
      <w:r w:rsidR="007C5DED">
        <w:rPr>
          <w:rFonts w:cs="Arial"/>
          <w:szCs w:val="24"/>
        </w:rPr>
        <w:t xml:space="preserve"> </w:t>
      </w:r>
      <w:r w:rsidRPr="00424BD3">
        <w:rPr>
          <w:rFonts w:cs="Arial"/>
          <w:szCs w:val="24"/>
        </w:rPr>
        <w:t>it still looked to me like a lot of blood. The same thing happened when...my brother had a pretty severe incident. My dad drug him behind a car on a dirt road for about half a mile, and ...he was bleeding all over, he was all scratched up</w:t>
      </w:r>
      <w:r w:rsidR="00F75A3A">
        <w:rPr>
          <w:rFonts w:cs="Arial"/>
          <w:szCs w:val="24"/>
        </w:rPr>
        <w:t>.</w:t>
      </w:r>
      <w:r w:rsidR="007C5DED">
        <w:rPr>
          <w:rFonts w:cs="Arial"/>
          <w:szCs w:val="24"/>
        </w:rPr>
        <w:t xml:space="preserve"> </w:t>
      </w:r>
      <w:r w:rsidRPr="00424BD3">
        <w:rPr>
          <w:rFonts w:cs="Arial"/>
          <w:szCs w:val="24"/>
        </w:rPr>
        <w:t xml:space="preserve">I thought </w:t>
      </w:r>
      <w:r w:rsidR="00EB03D4">
        <w:rPr>
          <w:rFonts w:cs="Arial"/>
          <w:szCs w:val="24"/>
        </w:rPr>
        <w:t>“</w:t>
      </w:r>
      <w:r w:rsidRPr="00424BD3">
        <w:rPr>
          <w:rFonts w:cs="Arial"/>
          <w:szCs w:val="24"/>
        </w:rPr>
        <w:t>he needs to go to the hospital</w:t>
      </w:r>
      <w:r w:rsidR="00EB03D4">
        <w:rPr>
          <w:rFonts w:cs="Arial"/>
          <w:szCs w:val="24"/>
        </w:rPr>
        <w:t>”</w:t>
      </w:r>
      <w:r w:rsidRPr="00424BD3">
        <w:rPr>
          <w:rFonts w:cs="Arial"/>
          <w:szCs w:val="24"/>
        </w:rPr>
        <w:t>. Instead of taking him to the hospital, he wanted to spank him or beat him for falling off the car and</w:t>
      </w:r>
      <w:r w:rsidR="008A3113">
        <w:rPr>
          <w:rFonts w:cs="Arial"/>
          <w:szCs w:val="24"/>
        </w:rPr>
        <w:t xml:space="preserve"> </w:t>
      </w:r>
      <w:r w:rsidRPr="00424BD3">
        <w:rPr>
          <w:rFonts w:cs="Arial"/>
          <w:szCs w:val="24"/>
        </w:rPr>
        <w:t>that was very confusing for me as a child. I remember that very well."</w:t>
      </w:r>
    </w:p>
    <w:p w14:paraId="64D82844" w14:textId="70F73CB6" w:rsidR="00BA230D" w:rsidRPr="008D48DD" w:rsidRDefault="00133F07" w:rsidP="000E0C8E">
      <w:pPr>
        <w:spacing w:after="0" w:line="480" w:lineRule="auto"/>
        <w:ind w:firstLine="720"/>
        <w:rPr>
          <w:rFonts w:cs="Arial"/>
          <w:szCs w:val="24"/>
        </w:rPr>
      </w:pPr>
      <w:r w:rsidRPr="0033686E">
        <w:rPr>
          <w:rFonts w:cs="Arial"/>
          <w:szCs w:val="24"/>
        </w:rPr>
        <w:t xml:space="preserve">Not only did </w:t>
      </w:r>
      <w:r w:rsidR="00C007C4" w:rsidRPr="0033686E">
        <w:rPr>
          <w:rFonts w:cs="Arial"/>
          <w:szCs w:val="24"/>
        </w:rPr>
        <w:t>Barbara</w:t>
      </w:r>
      <w:r w:rsidRPr="0033686E">
        <w:rPr>
          <w:rFonts w:cs="Arial"/>
          <w:szCs w:val="24"/>
        </w:rPr>
        <w:t xml:space="preserve"> develop</w:t>
      </w:r>
      <w:r w:rsidR="00872AF6" w:rsidRPr="0033686E">
        <w:rPr>
          <w:rFonts w:cs="Arial"/>
          <w:szCs w:val="24"/>
        </w:rPr>
        <w:t xml:space="preserve"> a perception of health and healthcare as one of individual responsibility</w:t>
      </w:r>
      <w:r w:rsidR="00C007C4" w:rsidRPr="0033686E">
        <w:rPr>
          <w:rFonts w:cs="Arial"/>
          <w:szCs w:val="24"/>
        </w:rPr>
        <w:t xml:space="preserve"> in part because of the ACE</w:t>
      </w:r>
      <w:r w:rsidR="00B5104F" w:rsidRPr="0033686E">
        <w:rPr>
          <w:rFonts w:cs="Arial"/>
          <w:szCs w:val="24"/>
        </w:rPr>
        <w:t>s she experienced in the home</w:t>
      </w:r>
      <w:r w:rsidR="00872AF6" w:rsidRPr="0033686E">
        <w:rPr>
          <w:rFonts w:cs="Arial"/>
          <w:szCs w:val="24"/>
        </w:rPr>
        <w:t>,</w:t>
      </w:r>
      <w:r w:rsidR="00071750" w:rsidRPr="0033686E">
        <w:rPr>
          <w:rFonts w:cs="Arial"/>
          <w:szCs w:val="24"/>
        </w:rPr>
        <w:t xml:space="preserve"> her</w:t>
      </w:r>
      <w:r w:rsidR="00872AF6" w:rsidRPr="0033686E">
        <w:rPr>
          <w:rFonts w:cs="Arial"/>
          <w:szCs w:val="24"/>
        </w:rPr>
        <w:t xml:space="preserve"> </w:t>
      </w:r>
      <w:r w:rsidR="00B5104F" w:rsidRPr="0033686E">
        <w:rPr>
          <w:rFonts w:cs="Arial"/>
          <w:szCs w:val="24"/>
        </w:rPr>
        <w:t xml:space="preserve">first experiences of lack of access to healthcare began in her home as well, with </w:t>
      </w:r>
      <w:r w:rsidR="00F77F62" w:rsidRPr="0033686E">
        <w:rPr>
          <w:rFonts w:cs="Arial"/>
          <w:szCs w:val="24"/>
        </w:rPr>
        <w:t>her</w:t>
      </w:r>
      <w:r w:rsidR="00B5104F" w:rsidRPr="0033686E">
        <w:rPr>
          <w:rFonts w:cs="Arial"/>
          <w:szCs w:val="24"/>
        </w:rPr>
        <w:t xml:space="preserve"> parent.</w:t>
      </w:r>
      <w:r w:rsidR="00F77F62" w:rsidRPr="0033686E">
        <w:rPr>
          <w:rFonts w:cs="Arial"/>
          <w:szCs w:val="24"/>
        </w:rPr>
        <w:t xml:space="preserve"> When Krieger speaks of the </w:t>
      </w:r>
      <w:r w:rsidR="00FB5497" w:rsidRPr="0033686E">
        <w:rPr>
          <w:rFonts w:cs="Arial"/>
          <w:szCs w:val="24"/>
        </w:rPr>
        <w:t xml:space="preserve">pathways of </w:t>
      </w:r>
      <w:r w:rsidR="00F77F62" w:rsidRPr="0033686E">
        <w:rPr>
          <w:rFonts w:cs="Arial"/>
          <w:szCs w:val="24"/>
        </w:rPr>
        <w:t xml:space="preserve">embodiment </w:t>
      </w:r>
      <w:r w:rsidR="00453C2D" w:rsidRPr="0033686E">
        <w:rPr>
          <w:rFonts w:cs="Arial"/>
          <w:szCs w:val="24"/>
        </w:rPr>
        <w:t>regarding health as being the literal incorporation of the social and environmental world into individuals</w:t>
      </w:r>
      <w:r w:rsidR="00C1171C" w:rsidRPr="0033686E">
        <w:rPr>
          <w:rFonts w:cs="Arial"/>
          <w:szCs w:val="24"/>
        </w:rPr>
        <w:t xml:space="preserve">’ bodies, this is a clear example of which she speaks. </w:t>
      </w:r>
      <w:r w:rsidR="00FA0AA4" w:rsidRPr="0033686E">
        <w:rPr>
          <w:rFonts w:cs="Arial"/>
          <w:szCs w:val="24"/>
        </w:rPr>
        <w:t>Barbara and her brother experienced p</w:t>
      </w:r>
      <w:r w:rsidR="00C1171C" w:rsidRPr="0033686E">
        <w:rPr>
          <w:rFonts w:cs="Arial"/>
          <w:szCs w:val="24"/>
        </w:rPr>
        <w:t xml:space="preserve">hysical </w:t>
      </w:r>
      <w:r w:rsidR="00FA0AA4" w:rsidRPr="0033686E">
        <w:rPr>
          <w:rFonts w:cs="Arial"/>
          <w:szCs w:val="24"/>
        </w:rPr>
        <w:t>injury to the body</w:t>
      </w:r>
      <w:r w:rsidR="00804245" w:rsidRPr="0033686E">
        <w:rPr>
          <w:rFonts w:cs="Arial"/>
          <w:szCs w:val="24"/>
        </w:rPr>
        <w:t xml:space="preserve"> – and in the case of her brother, </w:t>
      </w:r>
      <w:r w:rsidR="003B76A1" w:rsidRPr="0033686E">
        <w:rPr>
          <w:rFonts w:cs="Arial"/>
          <w:szCs w:val="24"/>
        </w:rPr>
        <w:t xml:space="preserve">injured by their father – in the social and environmental world of </w:t>
      </w:r>
      <w:r w:rsidR="008F5327" w:rsidRPr="0033686E">
        <w:rPr>
          <w:rFonts w:cs="Arial"/>
          <w:szCs w:val="24"/>
        </w:rPr>
        <w:t>their home where healthcare was denied to them</w:t>
      </w:r>
      <w:r w:rsidR="005C16D0" w:rsidRPr="0033686E">
        <w:rPr>
          <w:rFonts w:cs="Arial"/>
          <w:szCs w:val="24"/>
        </w:rPr>
        <w:t xml:space="preserve">. </w:t>
      </w:r>
      <w:r w:rsidR="005C16D0" w:rsidRPr="0033686E">
        <w:rPr>
          <w:rFonts w:cs="Arial"/>
          <w:szCs w:val="24"/>
        </w:rPr>
        <w:lastRenderedPageBreak/>
        <w:t>They incorporated</w:t>
      </w:r>
      <w:r w:rsidR="00744FE8" w:rsidRPr="0033686E">
        <w:rPr>
          <w:rFonts w:cs="Arial"/>
          <w:szCs w:val="24"/>
        </w:rPr>
        <w:t>, bodily,</w:t>
      </w:r>
      <w:r w:rsidR="005C16D0" w:rsidRPr="0033686E">
        <w:rPr>
          <w:rFonts w:cs="Arial"/>
          <w:szCs w:val="24"/>
        </w:rPr>
        <w:t xml:space="preserve"> the norms of their father’s attitudes toward healthcare within </w:t>
      </w:r>
      <w:r w:rsidR="005B206F" w:rsidRPr="0033686E">
        <w:rPr>
          <w:rFonts w:cs="Arial"/>
          <w:szCs w:val="24"/>
        </w:rPr>
        <w:t>the systemic and structural factors that impacted their father</w:t>
      </w:r>
      <w:r w:rsidR="00744FE8" w:rsidRPr="0033686E">
        <w:rPr>
          <w:rFonts w:cs="Arial"/>
          <w:szCs w:val="24"/>
        </w:rPr>
        <w:t xml:space="preserve"> and subsequently impacted them and their health outcomes.</w:t>
      </w:r>
    </w:p>
    <w:p w14:paraId="2E6BE03B" w14:textId="7061C5F2" w:rsidR="00A42CAA" w:rsidRPr="008D48DD" w:rsidRDefault="008D48DD" w:rsidP="008D48DD">
      <w:pPr>
        <w:pStyle w:val="Heading2"/>
        <w:spacing w:before="0" w:line="480" w:lineRule="auto"/>
        <w:jc w:val="center"/>
        <w:rPr>
          <w:rFonts w:cs="Arial"/>
        </w:rPr>
      </w:pPr>
      <w:bookmarkStart w:id="82" w:name="_Toc118232348"/>
      <w:r w:rsidRPr="008D48DD">
        <w:rPr>
          <w:rFonts w:ascii="Arial" w:hAnsi="Arial" w:cs="Arial"/>
          <w:b/>
          <w:bCs/>
          <w:color w:val="auto"/>
        </w:rPr>
        <w:t>Conclusion</w:t>
      </w:r>
      <w:bookmarkEnd w:id="82"/>
    </w:p>
    <w:p w14:paraId="35B783B7" w14:textId="33975EB3" w:rsidR="008A7B85" w:rsidRPr="008D48DD" w:rsidRDefault="008A7B85" w:rsidP="008D48DD">
      <w:pPr>
        <w:spacing w:after="0" w:line="480" w:lineRule="auto"/>
        <w:ind w:firstLine="720"/>
        <w:rPr>
          <w:rFonts w:cs="Arial"/>
          <w:szCs w:val="24"/>
        </w:rPr>
      </w:pPr>
      <w:r w:rsidRPr="008D48DD">
        <w:rPr>
          <w:rFonts w:cs="Arial"/>
          <w:szCs w:val="24"/>
        </w:rPr>
        <w:t>This chapter examine</w:t>
      </w:r>
      <w:r w:rsidR="00853D41" w:rsidRPr="008D48DD">
        <w:rPr>
          <w:rFonts w:cs="Arial"/>
          <w:szCs w:val="24"/>
        </w:rPr>
        <w:t>d</w:t>
      </w:r>
      <w:r w:rsidRPr="008D48DD">
        <w:rPr>
          <w:rFonts w:cs="Arial"/>
          <w:szCs w:val="24"/>
        </w:rPr>
        <w:t xml:space="preserve"> the role and impact of familial and peer influence on the women’s attitudes, beliefs and perceptions of health, ill health, and mortality. </w:t>
      </w:r>
    </w:p>
    <w:p w14:paraId="5C44C1BF" w14:textId="1233E1A8" w:rsidR="008A7B85" w:rsidRPr="008D48DD" w:rsidRDefault="008A7B85" w:rsidP="008A7B85">
      <w:pPr>
        <w:spacing w:after="0" w:line="480" w:lineRule="auto"/>
        <w:ind w:firstLine="720"/>
        <w:rPr>
          <w:rFonts w:cs="Arial"/>
          <w:szCs w:val="24"/>
        </w:rPr>
      </w:pPr>
      <w:r w:rsidRPr="008D48DD">
        <w:rPr>
          <w:rFonts w:cs="Arial"/>
          <w:szCs w:val="24"/>
        </w:rPr>
        <w:t>Most of the participants grew up in an environment of silences around health, healthcare</w:t>
      </w:r>
      <w:r w:rsidR="00DA474B" w:rsidRPr="008D48DD">
        <w:rPr>
          <w:rFonts w:cs="Arial"/>
          <w:szCs w:val="24"/>
        </w:rPr>
        <w:t>,</w:t>
      </w:r>
      <w:r w:rsidR="008D48DD">
        <w:rPr>
          <w:rFonts w:cs="Arial"/>
          <w:szCs w:val="24"/>
        </w:rPr>
        <w:t xml:space="preserve"> </w:t>
      </w:r>
      <w:r w:rsidRPr="008D48DD">
        <w:rPr>
          <w:rFonts w:cs="Arial"/>
          <w:szCs w:val="24"/>
        </w:rPr>
        <w:t>illness</w:t>
      </w:r>
      <w:r w:rsidR="00DA474B" w:rsidRPr="008D48DD">
        <w:rPr>
          <w:rFonts w:cs="Arial"/>
          <w:szCs w:val="24"/>
        </w:rPr>
        <w:t>,</w:t>
      </w:r>
      <w:r w:rsidRPr="008D48DD">
        <w:rPr>
          <w:rFonts w:cs="Arial"/>
          <w:szCs w:val="24"/>
        </w:rPr>
        <w:t xml:space="preserve"> and death. These silences were familial, socially, and cultural</w:t>
      </w:r>
      <w:r w:rsidR="00DA474B" w:rsidRPr="008D48DD">
        <w:rPr>
          <w:rFonts w:cs="Arial"/>
          <w:szCs w:val="24"/>
        </w:rPr>
        <w:t>ly</w:t>
      </w:r>
      <w:r w:rsidRPr="008D48DD">
        <w:rPr>
          <w:rFonts w:cs="Arial"/>
          <w:szCs w:val="24"/>
        </w:rPr>
        <w:t xml:space="preserve"> constructed, most often resulting in the reinforcement of not learning or speaking about health or death as young people. The absence of open discussion or challenges to normed health messages may have helped to ‘open the door’ for the perception that individual responsibility and health behavior choices were causal factors in their</w:t>
      </w:r>
      <w:r w:rsidR="006614CA">
        <w:rPr>
          <w:rFonts w:cs="Arial"/>
          <w:szCs w:val="24"/>
        </w:rPr>
        <w:t>s</w:t>
      </w:r>
      <w:r w:rsidRPr="008D48DD">
        <w:rPr>
          <w:rFonts w:cs="Arial"/>
          <w:szCs w:val="24"/>
        </w:rPr>
        <w:t xml:space="preserve"> and their familial health and mortality outcomes. Certainly, many expressed developing fear and anxiety in the home which they felt impacted their health. Their perceptions of their own childhood illnesses and the family illnesses and deaths they witnessed as children support this argument. </w:t>
      </w:r>
    </w:p>
    <w:p w14:paraId="23F8F5EB" w14:textId="0EE0C2F7" w:rsidR="000362B5" w:rsidRDefault="008A7B85" w:rsidP="000216CE">
      <w:pPr>
        <w:spacing w:after="0" w:line="480" w:lineRule="auto"/>
        <w:ind w:firstLine="720"/>
        <w:rPr>
          <w:rFonts w:cs="Arial"/>
          <w:szCs w:val="24"/>
        </w:rPr>
      </w:pPr>
      <w:r w:rsidRPr="008D48DD">
        <w:rPr>
          <w:rFonts w:cs="Arial"/>
          <w:szCs w:val="24"/>
        </w:rPr>
        <w:t xml:space="preserve">Some seem to have internalized their familial health norms, some understood the genealogical (and genetic) factors involved, and some understood certain environmental factors were involved, most commonly noted as place-based and job-based. Parental choices profoundly impacted their health outcomes and </w:t>
      </w:r>
      <w:r w:rsidR="000216CE" w:rsidRPr="008D48DD">
        <w:rPr>
          <w:rFonts w:cs="Arial"/>
          <w:szCs w:val="24"/>
        </w:rPr>
        <w:t>perceptions</w:t>
      </w:r>
      <w:r w:rsidRPr="008D48DD">
        <w:rPr>
          <w:rFonts w:cs="Arial"/>
          <w:szCs w:val="24"/>
        </w:rPr>
        <w:t xml:space="preserve">. As a result, several </w:t>
      </w:r>
      <w:r w:rsidR="00DE1D5B" w:rsidRPr="008D48DD">
        <w:rPr>
          <w:rFonts w:cs="Arial"/>
          <w:szCs w:val="24"/>
        </w:rPr>
        <w:t>reported tha</w:t>
      </w:r>
      <w:r w:rsidR="00E14609" w:rsidRPr="008D48DD">
        <w:rPr>
          <w:rFonts w:cs="Arial"/>
          <w:szCs w:val="24"/>
        </w:rPr>
        <w:t xml:space="preserve">t they </w:t>
      </w:r>
      <w:r w:rsidRPr="008D48DD">
        <w:rPr>
          <w:rFonts w:cs="Arial"/>
          <w:szCs w:val="24"/>
        </w:rPr>
        <w:t>change</w:t>
      </w:r>
      <w:r w:rsidR="00327D48">
        <w:rPr>
          <w:rFonts w:cs="Arial"/>
          <w:szCs w:val="24"/>
        </w:rPr>
        <w:t>d</w:t>
      </w:r>
      <w:r w:rsidRPr="008D48DD">
        <w:rPr>
          <w:rFonts w:cs="Arial"/>
          <w:szCs w:val="24"/>
        </w:rPr>
        <w:t xml:space="preserve"> their attitudes and beliefs toward health</w:t>
      </w:r>
      <w:r w:rsidR="00E14609" w:rsidRPr="008D48DD">
        <w:rPr>
          <w:rFonts w:cs="Arial"/>
          <w:szCs w:val="24"/>
        </w:rPr>
        <w:t xml:space="preserve"> when they grew up</w:t>
      </w:r>
      <w:r w:rsidRPr="008D48DD">
        <w:rPr>
          <w:rFonts w:cs="Arial"/>
          <w:szCs w:val="24"/>
        </w:rPr>
        <w:t xml:space="preserve">. Some replicated their parental and familial stigmatized perceptions regarding individual health-seeking. Others adopted parental and social norms of </w:t>
      </w:r>
      <w:r w:rsidRPr="008D48DD">
        <w:rPr>
          <w:rFonts w:cs="Arial"/>
          <w:szCs w:val="24"/>
        </w:rPr>
        <w:lastRenderedPageBreak/>
        <w:t xml:space="preserve">fatalism. But all were focused on what their or other individual responsibility factors were involved in their perceptions of health, illness, and death, and on what changes they could make themselves, as ‘responsible individuals’, to mitigate health and mortality outcomes. </w:t>
      </w:r>
      <w:r w:rsidRPr="000216CE">
        <w:rPr>
          <w:rFonts w:cs="Arial"/>
          <w:szCs w:val="24"/>
        </w:rPr>
        <w:t>The norming of individual responsibility for these outcomes, rather than the social norming of an awareness of and assigning some responsibility to the social determinants of health helps to create a perfect storm of misplaced perceptions contributing to health inequities.</w:t>
      </w:r>
    </w:p>
    <w:p w14:paraId="544755FC" w14:textId="3120116A" w:rsidR="00FA1595" w:rsidRDefault="00FA1595">
      <w:pPr>
        <w:rPr>
          <w:rFonts w:cs="Arial"/>
          <w:szCs w:val="24"/>
        </w:rPr>
      </w:pPr>
      <w:r>
        <w:rPr>
          <w:rFonts w:cs="Arial"/>
          <w:szCs w:val="24"/>
        </w:rPr>
        <w:br w:type="page"/>
      </w:r>
    </w:p>
    <w:p w14:paraId="7DF4C861" w14:textId="77777777" w:rsidR="00A60388" w:rsidRPr="00424BD3" w:rsidRDefault="00F36CD6" w:rsidP="00A60388">
      <w:pPr>
        <w:pStyle w:val="Heading1"/>
        <w:spacing w:before="0" w:line="480" w:lineRule="auto"/>
        <w:jc w:val="center"/>
        <w:rPr>
          <w:rFonts w:ascii="Arial" w:hAnsi="Arial" w:cs="Arial"/>
          <w:b/>
          <w:bCs/>
          <w:color w:val="auto"/>
          <w:sz w:val="24"/>
          <w:szCs w:val="24"/>
        </w:rPr>
      </w:pPr>
      <w:bookmarkStart w:id="83" w:name="_Toc118232349"/>
      <w:r w:rsidRPr="00424BD3">
        <w:rPr>
          <w:rFonts w:ascii="Arial" w:hAnsi="Arial" w:cs="Arial"/>
          <w:b/>
          <w:bCs/>
          <w:color w:val="auto"/>
          <w:sz w:val="24"/>
          <w:szCs w:val="24"/>
        </w:rPr>
        <w:lastRenderedPageBreak/>
        <w:t>CHAPTER SEVEN</w:t>
      </w:r>
      <w:bookmarkEnd w:id="83"/>
      <w:r w:rsidR="00A60388" w:rsidRPr="00424BD3">
        <w:rPr>
          <w:rFonts w:ascii="Arial" w:hAnsi="Arial" w:cs="Arial"/>
          <w:b/>
          <w:bCs/>
          <w:color w:val="auto"/>
          <w:sz w:val="24"/>
          <w:szCs w:val="24"/>
        </w:rPr>
        <w:t xml:space="preserve"> </w:t>
      </w:r>
    </w:p>
    <w:p w14:paraId="747D64F5" w14:textId="4F22608A" w:rsidR="00CD2106" w:rsidRDefault="002E4F3A" w:rsidP="000216CE">
      <w:pPr>
        <w:pStyle w:val="Heading1"/>
        <w:spacing w:before="0" w:line="240" w:lineRule="auto"/>
        <w:jc w:val="center"/>
        <w:rPr>
          <w:rFonts w:ascii="Arial" w:eastAsia="Arial" w:hAnsi="Arial" w:cs="Arial"/>
          <w:b/>
          <w:bCs/>
          <w:color w:val="auto"/>
          <w:sz w:val="24"/>
          <w:szCs w:val="24"/>
        </w:rPr>
      </w:pPr>
      <w:bookmarkStart w:id="84" w:name="_Toc118232350"/>
      <w:r>
        <w:rPr>
          <w:rFonts w:ascii="Arial" w:eastAsia="Arial" w:hAnsi="Arial" w:cs="Arial"/>
          <w:b/>
          <w:bCs/>
          <w:color w:val="auto"/>
          <w:sz w:val="24"/>
          <w:szCs w:val="24"/>
        </w:rPr>
        <w:t xml:space="preserve">PARTICIPANT CONTEXT: </w:t>
      </w:r>
      <w:r w:rsidR="00FA70F6">
        <w:rPr>
          <w:rFonts w:ascii="Arial" w:eastAsia="Arial" w:hAnsi="Arial" w:cs="Arial"/>
          <w:b/>
          <w:bCs/>
          <w:color w:val="auto"/>
          <w:sz w:val="24"/>
          <w:szCs w:val="24"/>
        </w:rPr>
        <w:t>INSIGHTS INTO AND EXCEPTIONS OF UNDERSTANDING OF HEALTH INEQUITIES AND THE SOCIAL DETERMINANTS OF HEALTH</w:t>
      </w:r>
      <w:bookmarkEnd w:id="84"/>
    </w:p>
    <w:p w14:paraId="74DE7202" w14:textId="77777777" w:rsidR="000216CE" w:rsidRPr="000216CE" w:rsidRDefault="000216CE" w:rsidP="000216CE">
      <w:pPr>
        <w:spacing w:after="0" w:line="480" w:lineRule="auto"/>
      </w:pPr>
    </w:p>
    <w:p w14:paraId="4F794D3A" w14:textId="202FEB93" w:rsidR="00CD2106" w:rsidRPr="00424BD3" w:rsidRDefault="00CD2106" w:rsidP="0051146C">
      <w:pPr>
        <w:spacing w:after="0" w:line="480" w:lineRule="auto"/>
        <w:ind w:firstLine="720"/>
        <w:rPr>
          <w:rFonts w:eastAsia="Arial" w:cs="Arial"/>
          <w:szCs w:val="24"/>
        </w:rPr>
      </w:pPr>
      <w:r w:rsidRPr="00424BD3">
        <w:rPr>
          <w:rFonts w:eastAsia="Arial" w:cs="Arial"/>
          <w:szCs w:val="24"/>
        </w:rPr>
        <w:t xml:space="preserve">This chapter discusses the women’s answers to the </w:t>
      </w:r>
      <w:r w:rsidR="00114A0E">
        <w:rPr>
          <w:rFonts w:eastAsia="Arial" w:cs="Arial"/>
          <w:szCs w:val="24"/>
        </w:rPr>
        <w:t>interview</w:t>
      </w:r>
      <w:r w:rsidR="00114A0E" w:rsidRPr="00424BD3">
        <w:rPr>
          <w:rFonts w:eastAsia="Arial" w:cs="Arial"/>
          <w:szCs w:val="24"/>
        </w:rPr>
        <w:t xml:space="preserve"> </w:t>
      </w:r>
      <w:r w:rsidRPr="00424BD3">
        <w:rPr>
          <w:rFonts w:eastAsia="Arial" w:cs="Arial"/>
          <w:szCs w:val="24"/>
        </w:rPr>
        <w:t>questions. Their responses help shape an understanding of the time and places which developed their health story, the knowing of which centers them in the solution to the health inequities that affect them.</w:t>
      </w:r>
      <w:r w:rsidR="005B68C1">
        <w:rPr>
          <w:rFonts w:eastAsia="Arial" w:cs="Arial"/>
          <w:szCs w:val="24"/>
        </w:rPr>
        <w:t xml:space="preserve"> </w:t>
      </w:r>
      <w:r w:rsidR="008A638A" w:rsidRPr="00424BD3">
        <w:rPr>
          <w:rFonts w:eastAsia="Arial" w:cs="Arial"/>
          <w:szCs w:val="24"/>
        </w:rPr>
        <w:t>Ecosocial</w:t>
      </w:r>
      <w:r w:rsidR="00907500" w:rsidRPr="00424BD3">
        <w:rPr>
          <w:rFonts w:eastAsia="Arial" w:cs="Arial"/>
          <w:szCs w:val="24"/>
        </w:rPr>
        <w:t xml:space="preserve"> theory is the framework </w:t>
      </w:r>
      <w:r w:rsidR="00A45D93" w:rsidRPr="00424BD3">
        <w:rPr>
          <w:rFonts w:eastAsia="Arial" w:cs="Arial"/>
          <w:szCs w:val="24"/>
        </w:rPr>
        <w:t xml:space="preserve">for </w:t>
      </w:r>
      <w:r w:rsidR="004E2B6D" w:rsidRPr="00424BD3">
        <w:rPr>
          <w:rFonts w:eastAsia="Arial" w:cs="Arial"/>
          <w:szCs w:val="24"/>
        </w:rPr>
        <w:t>the</w:t>
      </w:r>
      <w:r w:rsidR="00A45D93" w:rsidRPr="00424BD3">
        <w:rPr>
          <w:rFonts w:eastAsia="Arial" w:cs="Arial"/>
          <w:szCs w:val="24"/>
        </w:rPr>
        <w:t xml:space="preserve"> analysis of the findings of the study. </w:t>
      </w:r>
      <w:r w:rsidR="00A02C0D" w:rsidRPr="00424BD3">
        <w:rPr>
          <w:rFonts w:eastAsia="Arial" w:cs="Arial"/>
          <w:szCs w:val="24"/>
        </w:rPr>
        <w:t xml:space="preserve">These findings are grouped </w:t>
      </w:r>
      <w:r w:rsidR="00CF5F68" w:rsidRPr="00424BD3">
        <w:rPr>
          <w:rFonts w:eastAsia="Arial" w:cs="Arial"/>
          <w:szCs w:val="24"/>
        </w:rPr>
        <w:t xml:space="preserve">in sections indicating </w:t>
      </w:r>
      <w:r w:rsidR="006561F9" w:rsidRPr="00424BD3">
        <w:rPr>
          <w:rFonts w:eastAsia="Arial" w:cs="Arial"/>
          <w:szCs w:val="24"/>
        </w:rPr>
        <w:t xml:space="preserve">a category of the social </w:t>
      </w:r>
      <w:r w:rsidR="00A02C0D" w:rsidRPr="00424BD3">
        <w:rPr>
          <w:rFonts w:eastAsia="Arial" w:cs="Arial"/>
          <w:szCs w:val="24"/>
        </w:rPr>
        <w:t>determinants of health. E</w:t>
      </w:r>
      <w:r w:rsidR="00A45D93" w:rsidRPr="00424BD3">
        <w:rPr>
          <w:rFonts w:eastAsia="Arial" w:cs="Arial"/>
          <w:szCs w:val="24"/>
        </w:rPr>
        <w:t>ach of the findings</w:t>
      </w:r>
      <w:r w:rsidR="00CA07EE" w:rsidRPr="00424BD3">
        <w:rPr>
          <w:rFonts w:eastAsia="Arial" w:cs="Arial"/>
          <w:szCs w:val="24"/>
        </w:rPr>
        <w:t xml:space="preserve"> confirms </w:t>
      </w:r>
      <w:r w:rsidR="00770174" w:rsidRPr="00424BD3">
        <w:rPr>
          <w:rFonts w:eastAsia="Arial" w:cs="Arial"/>
          <w:szCs w:val="24"/>
        </w:rPr>
        <w:t xml:space="preserve">the systemic </w:t>
      </w:r>
      <w:r w:rsidR="00CA07EE" w:rsidRPr="00424BD3">
        <w:rPr>
          <w:rFonts w:eastAsia="Arial" w:cs="Arial"/>
          <w:szCs w:val="24"/>
        </w:rPr>
        <w:t>socio-ecological context in which they</w:t>
      </w:r>
      <w:r w:rsidR="00770174" w:rsidRPr="00424BD3">
        <w:rPr>
          <w:rFonts w:eastAsia="Arial" w:cs="Arial"/>
          <w:szCs w:val="24"/>
        </w:rPr>
        <w:t xml:space="preserve"> occur and shows the interrelationships of </w:t>
      </w:r>
      <w:r w:rsidR="008A0486" w:rsidRPr="00424BD3">
        <w:rPr>
          <w:rFonts w:eastAsia="Arial" w:cs="Arial"/>
          <w:szCs w:val="24"/>
        </w:rPr>
        <w:t>the findings at</w:t>
      </w:r>
      <w:r w:rsidR="00181DDF">
        <w:rPr>
          <w:rFonts w:eastAsia="Arial" w:cs="Arial"/>
          <w:szCs w:val="24"/>
        </w:rPr>
        <w:t xml:space="preserve"> the</w:t>
      </w:r>
      <w:r w:rsidR="008A0486" w:rsidRPr="00424BD3">
        <w:rPr>
          <w:rFonts w:eastAsia="Arial" w:cs="Arial"/>
          <w:szCs w:val="24"/>
        </w:rPr>
        <w:t xml:space="preserve"> macro, meso, and micro spatial levels. </w:t>
      </w:r>
    </w:p>
    <w:p w14:paraId="7B94863B" w14:textId="1FEE1AC9" w:rsidR="00CD2106" w:rsidRPr="004E73CD" w:rsidRDefault="00100CFF" w:rsidP="004E73CD">
      <w:pPr>
        <w:pStyle w:val="Heading2"/>
        <w:spacing w:before="0" w:line="480" w:lineRule="auto"/>
        <w:jc w:val="center"/>
        <w:rPr>
          <w:rFonts w:ascii="Arial" w:eastAsia="Arial" w:hAnsi="Arial" w:cs="Arial"/>
          <w:b/>
          <w:bCs/>
          <w:sz w:val="24"/>
          <w:szCs w:val="24"/>
        </w:rPr>
      </w:pPr>
      <w:bookmarkStart w:id="85" w:name="_Toc118232351"/>
      <w:r w:rsidRPr="004E73CD">
        <w:rPr>
          <w:rFonts w:ascii="Arial" w:eastAsia="Arial" w:hAnsi="Arial" w:cs="Arial"/>
          <w:b/>
          <w:bCs/>
          <w:color w:val="auto"/>
          <w:sz w:val="24"/>
          <w:szCs w:val="24"/>
        </w:rPr>
        <w:t>H</w:t>
      </w:r>
      <w:r w:rsidR="00AA3804" w:rsidRPr="004E73CD">
        <w:rPr>
          <w:rFonts w:ascii="Arial" w:eastAsia="Arial" w:hAnsi="Arial" w:cs="Arial"/>
          <w:b/>
          <w:bCs/>
          <w:color w:val="auto"/>
          <w:sz w:val="24"/>
          <w:szCs w:val="24"/>
        </w:rPr>
        <w:t xml:space="preserve">ealth </w:t>
      </w:r>
      <w:r w:rsidRPr="004E73CD">
        <w:rPr>
          <w:rFonts w:ascii="Arial" w:eastAsia="Arial" w:hAnsi="Arial" w:cs="Arial"/>
          <w:b/>
          <w:bCs/>
          <w:color w:val="auto"/>
          <w:sz w:val="24"/>
          <w:szCs w:val="24"/>
        </w:rPr>
        <w:t>D</w:t>
      </w:r>
      <w:r w:rsidR="00AA3804" w:rsidRPr="004E73CD">
        <w:rPr>
          <w:rFonts w:ascii="Arial" w:eastAsia="Arial" w:hAnsi="Arial" w:cs="Arial"/>
          <w:b/>
          <w:bCs/>
          <w:color w:val="auto"/>
          <w:sz w:val="24"/>
          <w:szCs w:val="24"/>
        </w:rPr>
        <w:t>efinitions</w:t>
      </w:r>
      <w:bookmarkEnd w:id="85"/>
    </w:p>
    <w:p w14:paraId="0BEE6F50" w14:textId="7993555E" w:rsidR="00CD2106" w:rsidRPr="00424BD3" w:rsidRDefault="00181DDF" w:rsidP="0051146C">
      <w:pPr>
        <w:spacing w:after="0" w:line="480" w:lineRule="auto"/>
        <w:ind w:firstLine="720"/>
      </w:pPr>
      <w:r>
        <w:t xml:space="preserve">By gathering participants’ perceptions and experiences with </w:t>
      </w:r>
      <w:r w:rsidR="00AA3804" w:rsidRPr="00424BD3">
        <w:t>health inequities / inequalities / disparities</w:t>
      </w:r>
      <w:r w:rsidR="00DE72E3" w:rsidRPr="00424BD3">
        <w:t xml:space="preserve">, </w:t>
      </w:r>
      <w:r w:rsidR="00AA3804" w:rsidRPr="00424BD3">
        <w:t>healthy life expectancy</w:t>
      </w:r>
      <w:r w:rsidR="00DE72E3" w:rsidRPr="00424BD3">
        <w:t xml:space="preserve">, </w:t>
      </w:r>
      <w:r w:rsidR="00AA3804" w:rsidRPr="00424BD3">
        <w:t>mortality</w:t>
      </w:r>
      <w:r w:rsidR="00DE72E3" w:rsidRPr="00424BD3">
        <w:t xml:space="preserve">, </w:t>
      </w:r>
      <w:r w:rsidR="00CD2106" w:rsidRPr="00424BD3">
        <w:t>good health</w:t>
      </w:r>
      <w:r w:rsidR="00DE72E3" w:rsidRPr="00424BD3">
        <w:t xml:space="preserve">, </w:t>
      </w:r>
      <w:r w:rsidR="00CD2106" w:rsidRPr="00424BD3">
        <w:t>poor health</w:t>
      </w:r>
      <w:r w:rsidR="00DE72E3" w:rsidRPr="00424BD3">
        <w:t xml:space="preserve">, </w:t>
      </w:r>
      <w:r w:rsidR="00AA3804" w:rsidRPr="00424BD3">
        <w:t>and</w:t>
      </w:r>
      <w:r w:rsidR="00CD2106" w:rsidRPr="00424BD3">
        <w:t xml:space="preserve">, wellbeing, </w:t>
      </w:r>
      <w:r>
        <w:t xml:space="preserve">the objective </w:t>
      </w:r>
      <w:r w:rsidR="00CD2106" w:rsidRPr="00424BD3">
        <w:t>was to</w:t>
      </w:r>
      <w:r>
        <w:t xml:space="preserve"> both understand and</w:t>
      </w:r>
      <w:r w:rsidR="00CD2106" w:rsidRPr="00424BD3">
        <w:t xml:space="preserve"> bridge the gap between what </w:t>
      </w:r>
      <w:r w:rsidR="004E265D">
        <w:t>their upbringing and their experiences as younger people growing up in a particular moment and place</w:t>
      </w:r>
      <w:r w:rsidR="00CD2106" w:rsidRPr="00424BD3">
        <w:t xml:space="preserve"> and </w:t>
      </w:r>
      <w:r w:rsidR="004E265D">
        <w:t>their current perceptions and understanding</w:t>
      </w:r>
      <w:r w:rsidR="00CD2106" w:rsidRPr="00424BD3">
        <w:t xml:space="preserve"> about health, illness, mortality, etc</w:t>
      </w:r>
      <w:r w:rsidR="001558E4">
        <w:t>.</w:t>
      </w:r>
      <w:r w:rsidR="00CD2106" w:rsidRPr="00424BD3">
        <w:t xml:space="preserve">, </w:t>
      </w:r>
      <w:r w:rsidR="00627E8E" w:rsidRPr="00424BD3">
        <w:t>at the time of the interviews</w:t>
      </w:r>
      <w:r w:rsidR="00CD2106" w:rsidRPr="00424BD3">
        <w:t>. In effect</w:t>
      </w:r>
      <w:r w:rsidR="0003493D">
        <w:t>,</w:t>
      </w:r>
      <w:r w:rsidR="00CD2106" w:rsidRPr="00424BD3">
        <w:t xml:space="preserve"> it was to determine if they kn</w:t>
      </w:r>
      <w:r w:rsidR="004E265D">
        <w:t>o</w:t>
      </w:r>
      <w:r w:rsidR="00CD2106" w:rsidRPr="00424BD3">
        <w:t xml:space="preserve">w what health inequities are; if their understanding of health and mortality grew or changed from when they were younger; if their understandings of component parts of health inequities constitute their de facto understanding of the social determinants of health; and what, if any, silences may appear in their discussions of these terms. </w:t>
      </w:r>
      <w:r w:rsidR="009B60DC" w:rsidRPr="00424BD3">
        <w:t xml:space="preserve">As </w:t>
      </w:r>
      <w:r w:rsidR="009B60DC" w:rsidRPr="00424BD3">
        <w:lastRenderedPageBreak/>
        <w:t>expected</w:t>
      </w:r>
      <w:r w:rsidR="00CD2106" w:rsidRPr="00424BD3">
        <w:t xml:space="preserve">, the women were varied in their understandings of each </w:t>
      </w:r>
      <w:r w:rsidR="009B60DC" w:rsidRPr="00424BD3">
        <w:t>definition</w:t>
      </w:r>
      <w:r w:rsidR="004E265D">
        <w:t xml:space="preserve"> and how their own conditions are reflected in these definitions</w:t>
      </w:r>
      <w:r w:rsidR="00CD2106" w:rsidRPr="00424BD3">
        <w:t xml:space="preserve">. </w:t>
      </w:r>
    </w:p>
    <w:p w14:paraId="45724FAA" w14:textId="5AA84D3D" w:rsidR="00376BA7" w:rsidRPr="00424BD3" w:rsidRDefault="0042045D" w:rsidP="0092330D">
      <w:pPr>
        <w:pStyle w:val="NormalWeb"/>
        <w:spacing w:before="0" w:beforeAutospacing="0" w:after="0" w:afterAutospacing="0" w:line="480" w:lineRule="auto"/>
        <w:ind w:firstLine="720"/>
        <w:rPr>
          <w:rFonts w:ascii="Arial" w:hAnsi="Arial" w:cs="Arial"/>
          <w:color w:val="000000"/>
        </w:rPr>
      </w:pPr>
      <w:r w:rsidRPr="00424BD3">
        <w:rPr>
          <w:rFonts w:ascii="Arial" w:hAnsi="Arial" w:cs="Arial"/>
          <w:color w:val="000000"/>
        </w:rPr>
        <w:t>In Chapter</w:t>
      </w:r>
      <w:r w:rsidR="002B257C" w:rsidRPr="00424BD3">
        <w:rPr>
          <w:rFonts w:ascii="Arial" w:hAnsi="Arial" w:cs="Arial"/>
          <w:color w:val="000000"/>
        </w:rPr>
        <w:t>s Five and Six, the</w:t>
      </w:r>
      <w:r w:rsidR="00895297" w:rsidRPr="00424BD3">
        <w:rPr>
          <w:rFonts w:ascii="Arial" w:hAnsi="Arial" w:cs="Arial"/>
          <w:color w:val="000000"/>
        </w:rPr>
        <w:t xml:space="preserve"> participant’s</w:t>
      </w:r>
      <w:r w:rsidR="002B257C" w:rsidRPr="00424BD3">
        <w:rPr>
          <w:rFonts w:ascii="Arial" w:hAnsi="Arial" w:cs="Arial"/>
          <w:color w:val="000000"/>
        </w:rPr>
        <w:t xml:space="preserve"> lived experiences </w:t>
      </w:r>
      <w:r w:rsidR="00895297" w:rsidRPr="00424BD3">
        <w:rPr>
          <w:rFonts w:ascii="Arial" w:hAnsi="Arial" w:cs="Arial"/>
          <w:color w:val="000000"/>
        </w:rPr>
        <w:t>in relation to select social determinants of health</w:t>
      </w:r>
      <w:r w:rsidR="00AE58B7" w:rsidRPr="00424BD3">
        <w:rPr>
          <w:rFonts w:ascii="Arial" w:hAnsi="Arial" w:cs="Arial"/>
          <w:color w:val="000000"/>
        </w:rPr>
        <w:t xml:space="preserve"> and health inequities</w:t>
      </w:r>
      <w:r w:rsidR="004558C0" w:rsidRPr="00424BD3">
        <w:rPr>
          <w:rFonts w:ascii="Arial" w:hAnsi="Arial" w:cs="Arial"/>
          <w:color w:val="000000"/>
        </w:rPr>
        <w:t xml:space="preserve">, </w:t>
      </w:r>
      <w:r w:rsidR="00AE58B7" w:rsidRPr="00424BD3">
        <w:rPr>
          <w:rFonts w:ascii="Arial" w:hAnsi="Arial" w:cs="Arial"/>
          <w:color w:val="000000"/>
        </w:rPr>
        <w:t>theirs and their family’s illnesses and deaths, their adverse and positive childhood experiences, and who they considered to have the greatest influence on them</w:t>
      </w:r>
      <w:r w:rsidR="004558C0" w:rsidRPr="00424BD3">
        <w:rPr>
          <w:rFonts w:ascii="Arial" w:hAnsi="Arial" w:cs="Arial"/>
          <w:color w:val="000000"/>
        </w:rPr>
        <w:t xml:space="preserve"> were examined</w:t>
      </w:r>
      <w:r w:rsidR="00AE58B7" w:rsidRPr="00424BD3">
        <w:rPr>
          <w:rFonts w:ascii="Arial" w:hAnsi="Arial" w:cs="Arial"/>
          <w:color w:val="000000"/>
        </w:rPr>
        <w:t xml:space="preserve">. </w:t>
      </w:r>
      <w:r w:rsidR="004558C0" w:rsidRPr="00424BD3">
        <w:rPr>
          <w:rFonts w:ascii="Arial" w:hAnsi="Arial" w:cs="Arial"/>
          <w:color w:val="000000"/>
        </w:rPr>
        <w:t>T</w:t>
      </w:r>
      <w:r w:rsidR="002B257C" w:rsidRPr="00424BD3">
        <w:rPr>
          <w:rFonts w:ascii="Arial" w:hAnsi="Arial" w:cs="Arial"/>
          <w:color w:val="000000"/>
        </w:rPr>
        <w:t>he</w:t>
      </w:r>
      <w:r w:rsidR="004D688A" w:rsidRPr="00424BD3">
        <w:rPr>
          <w:rFonts w:ascii="Arial" w:hAnsi="Arial" w:cs="Arial"/>
          <w:color w:val="000000"/>
        </w:rPr>
        <w:t xml:space="preserve">ir </w:t>
      </w:r>
      <w:r w:rsidR="0043137A" w:rsidRPr="00424BD3">
        <w:rPr>
          <w:rFonts w:ascii="Arial" w:hAnsi="Arial" w:cs="Arial"/>
          <w:color w:val="000000"/>
        </w:rPr>
        <w:t xml:space="preserve">perceptions </w:t>
      </w:r>
      <w:r w:rsidR="0046142E" w:rsidRPr="00424BD3">
        <w:rPr>
          <w:rFonts w:ascii="Arial" w:hAnsi="Arial" w:cs="Arial"/>
          <w:color w:val="000000"/>
        </w:rPr>
        <w:t xml:space="preserve">of </w:t>
      </w:r>
      <w:r w:rsidR="004D688A" w:rsidRPr="00424BD3">
        <w:rPr>
          <w:rFonts w:ascii="Arial" w:hAnsi="Arial" w:cs="Arial"/>
          <w:color w:val="000000"/>
        </w:rPr>
        <w:t>their family members</w:t>
      </w:r>
      <w:r w:rsidR="000033A7" w:rsidRPr="00424BD3">
        <w:rPr>
          <w:rFonts w:ascii="Arial" w:hAnsi="Arial" w:cs="Arial"/>
          <w:color w:val="000000"/>
        </w:rPr>
        <w:t>’</w:t>
      </w:r>
      <w:r w:rsidR="004D688A" w:rsidRPr="00424BD3">
        <w:rPr>
          <w:rFonts w:ascii="Arial" w:hAnsi="Arial" w:cs="Arial"/>
          <w:color w:val="000000"/>
        </w:rPr>
        <w:t xml:space="preserve"> and peers</w:t>
      </w:r>
      <w:r w:rsidR="000033A7" w:rsidRPr="00424BD3">
        <w:rPr>
          <w:rFonts w:ascii="Arial" w:hAnsi="Arial" w:cs="Arial"/>
          <w:color w:val="000000"/>
        </w:rPr>
        <w:t>’</w:t>
      </w:r>
      <w:r w:rsidR="004D688A" w:rsidRPr="00424BD3">
        <w:rPr>
          <w:rFonts w:ascii="Arial" w:hAnsi="Arial" w:cs="Arial"/>
          <w:color w:val="000000"/>
        </w:rPr>
        <w:t xml:space="preserve"> </w:t>
      </w:r>
      <w:r w:rsidR="00AE58B7" w:rsidRPr="00424BD3">
        <w:rPr>
          <w:rFonts w:ascii="Arial" w:hAnsi="Arial" w:cs="Arial"/>
          <w:color w:val="000000"/>
        </w:rPr>
        <w:t xml:space="preserve">perceptions about </w:t>
      </w:r>
      <w:r w:rsidR="004D688A" w:rsidRPr="00424BD3">
        <w:rPr>
          <w:rFonts w:ascii="Arial" w:hAnsi="Arial" w:cs="Arial"/>
          <w:color w:val="000000"/>
        </w:rPr>
        <w:t>health, illness</w:t>
      </w:r>
      <w:r w:rsidR="00F40495" w:rsidRPr="00424BD3">
        <w:rPr>
          <w:rFonts w:ascii="Arial" w:hAnsi="Arial" w:cs="Arial"/>
          <w:color w:val="000000"/>
        </w:rPr>
        <w:t>, and death</w:t>
      </w:r>
      <w:r w:rsidR="004558C0" w:rsidRPr="00424BD3">
        <w:rPr>
          <w:rFonts w:ascii="Arial" w:hAnsi="Arial" w:cs="Arial"/>
          <w:color w:val="000000"/>
        </w:rPr>
        <w:t xml:space="preserve"> were also examined</w:t>
      </w:r>
      <w:r w:rsidR="00F40495" w:rsidRPr="00424BD3">
        <w:rPr>
          <w:rFonts w:ascii="Arial" w:hAnsi="Arial" w:cs="Arial"/>
          <w:color w:val="000000"/>
        </w:rPr>
        <w:t>. This was in order to gather context about</w:t>
      </w:r>
      <w:r w:rsidR="004E265D">
        <w:rPr>
          <w:rFonts w:ascii="Arial" w:hAnsi="Arial" w:cs="Arial"/>
          <w:color w:val="000000"/>
        </w:rPr>
        <w:t xml:space="preserve"> which factors</w:t>
      </w:r>
      <w:r w:rsidR="00F40495" w:rsidRPr="00424BD3">
        <w:rPr>
          <w:rFonts w:ascii="Arial" w:hAnsi="Arial" w:cs="Arial"/>
          <w:color w:val="000000"/>
        </w:rPr>
        <w:t>, in addition to geopolitical cultur</w:t>
      </w:r>
      <w:r w:rsidR="006B469F" w:rsidRPr="00424BD3">
        <w:rPr>
          <w:rFonts w:ascii="Arial" w:hAnsi="Arial" w:cs="Arial"/>
          <w:color w:val="000000"/>
        </w:rPr>
        <w:t>e</w:t>
      </w:r>
      <w:r w:rsidR="00F40495" w:rsidRPr="00424BD3">
        <w:rPr>
          <w:rFonts w:ascii="Arial" w:hAnsi="Arial" w:cs="Arial"/>
          <w:color w:val="000000"/>
        </w:rPr>
        <w:t xml:space="preserve">, may have shaped their perceptions about </w:t>
      </w:r>
      <w:r w:rsidR="008D1BFC" w:rsidRPr="00424BD3">
        <w:rPr>
          <w:rFonts w:ascii="Arial" w:hAnsi="Arial" w:cs="Arial"/>
          <w:color w:val="000000"/>
        </w:rPr>
        <w:t xml:space="preserve">health inequities. </w:t>
      </w:r>
      <w:r w:rsidR="00376BA7" w:rsidRPr="00424BD3">
        <w:rPr>
          <w:rFonts w:ascii="Arial" w:hAnsi="Arial" w:cs="Arial"/>
          <w:color w:val="000000"/>
        </w:rPr>
        <w:t>People’s understanding of common components that make up ‘health’ is one part of the societal drivers of health</w:t>
      </w:r>
      <w:r w:rsidR="00CF326F" w:rsidRPr="00424BD3">
        <w:rPr>
          <w:rFonts w:ascii="Arial" w:hAnsi="Arial" w:cs="Arial"/>
          <w:color w:val="000000"/>
        </w:rPr>
        <w:t xml:space="preserve"> within an </w:t>
      </w:r>
      <w:r w:rsidR="008A638A" w:rsidRPr="00424BD3">
        <w:rPr>
          <w:rFonts w:ascii="Arial" w:hAnsi="Arial" w:cs="Arial"/>
          <w:color w:val="000000"/>
        </w:rPr>
        <w:t>ecosocial</w:t>
      </w:r>
      <w:r w:rsidR="00CF326F" w:rsidRPr="00424BD3">
        <w:rPr>
          <w:rFonts w:ascii="Arial" w:hAnsi="Arial" w:cs="Arial"/>
          <w:color w:val="000000"/>
        </w:rPr>
        <w:t xml:space="preserve"> framework</w:t>
      </w:r>
      <w:r w:rsidR="00376BA7" w:rsidRPr="00424BD3">
        <w:rPr>
          <w:rFonts w:ascii="Arial" w:hAnsi="Arial" w:cs="Arial"/>
          <w:color w:val="000000"/>
        </w:rPr>
        <w:t xml:space="preserve"> </w:t>
      </w:r>
      <w:r w:rsidR="00835794" w:rsidRPr="00424BD3">
        <w:rPr>
          <w:rFonts w:ascii="Arial" w:hAnsi="Arial" w:cs="Arial"/>
          <w:color w:val="000000"/>
        </w:rPr>
        <w:fldChar w:fldCharType="begin"/>
      </w:r>
      <w:r w:rsidR="00990F3A">
        <w:rPr>
          <w:rFonts w:ascii="Arial" w:hAnsi="Arial" w:cs="Arial"/>
          <w:color w:val="000000"/>
        </w:rPr>
        <w:instrText xml:space="preserve"> ADDIN ZOTERO_ITEM CSL_CITATION {"citationID":"r7YDtXwU","properties":{"formattedCitation":"(Svalastog et al., 2017)","plainCitation":"(Svalastog et al., 2017)","noteIndex":0},"citationItems":[{"id":1271,"uris":["http://zotero.org/users/4946941/items/KZWXWDV5"],"itemData":{"id":1271,"type":"article-journal","container-title":"Croatian Medical Journal","DOI":"10.3325/cmj.2017.58.431","ISSN":"0353-9504","issue":"6","journalAbbreviation":"Croat Med J","note":"PMID: 29308835\nPMCID: PMC5778676","page":"431-435","source":"PubMed Central","title":"Concepts and definitions of health and health-related values in the knowledge landscapes of the digital society","volume":"58","author":[{"family":"Svalastog","given":"Anna Lydia"},{"family":"Donev","given":"Doncho"},{"family":"Jahren Kristoffersen","given":"Nina"},{"family":"Gajović","given":"Srećko"}],"issued":{"date-parts":[["2017",12]]}}}],"schema":"https://github.com/citation-style-language/schema/raw/master/csl-citation.json"} </w:instrText>
      </w:r>
      <w:r w:rsidR="00835794" w:rsidRPr="00424BD3">
        <w:rPr>
          <w:rFonts w:ascii="Arial" w:hAnsi="Arial" w:cs="Arial"/>
          <w:color w:val="000000"/>
        </w:rPr>
        <w:fldChar w:fldCharType="separate"/>
      </w:r>
      <w:r w:rsidR="00835794" w:rsidRPr="00424BD3">
        <w:rPr>
          <w:rFonts w:ascii="Arial" w:hAnsi="Arial" w:cs="Arial"/>
        </w:rPr>
        <w:t>(Svalastog et al., 2017)</w:t>
      </w:r>
      <w:r w:rsidR="00835794" w:rsidRPr="00424BD3">
        <w:rPr>
          <w:rFonts w:ascii="Arial" w:hAnsi="Arial" w:cs="Arial"/>
          <w:color w:val="000000"/>
        </w:rPr>
        <w:fldChar w:fldCharType="end"/>
      </w:r>
      <w:r w:rsidR="00376BA7" w:rsidRPr="00424BD3">
        <w:rPr>
          <w:rFonts w:ascii="Arial" w:hAnsi="Arial" w:cs="Arial"/>
          <w:color w:val="000000"/>
        </w:rPr>
        <w:t>. In this study, it has been an invaluable approach to understanding the women’s perceptions of some of the health literacy elements of health inequities, given that none of them mentioned the phrase “social determinants of health” and only</w:t>
      </w:r>
      <w:r w:rsidR="00CD7CA3">
        <w:rPr>
          <w:rFonts w:ascii="Arial" w:hAnsi="Arial" w:cs="Arial"/>
          <w:color w:val="000000"/>
        </w:rPr>
        <w:t xml:space="preserve"> Ruth and Sylvia</w:t>
      </w:r>
      <w:r w:rsidR="00376BA7" w:rsidRPr="00424BD3">
        <w:rPr>
          <w:rFonts w:ascii="Arial" w:hAnsi="Arial" w:cs="Arial"/>
          <w:color w:val="000000"/>
        </w:rPr>
        <w:t xml:space="preserve"> mentioned “system” or “system</w:t>
      </w:r>
      <w:r w:rsidR="004B78EF" w:rsidRPr="00424BD3">
        <w:rPr>
          <w:rFonts w:ascii="Arial" w:hAnsi="Arial" w:cs="Arial"/>
          <w:color w:val="000000"/>
        </w:rPr>
        <w:t>ic</w:t>
      </w:r>
      <w:r w:rsidR="00376BA7" w:rsidRPr="00424BD3">
        <w:rPr>
          <w:rFonts w:ascii="Arial" w:hAnsi="Arial" w:cs="Arial"/>
          <w:color w:val="000000"/>
        </w:rPr>
        <w:t xml:space="preserve">” in their definitions. By seeing how they define those component parts - how they have become embodied in the women </w:t>
      </w:r>
      <w:r w:rsidR="00E449AD" w:rsidRPr="00424BD3">
        <w:rPr>
          <w:rFonts w:ascii="Arial" w:hAnsi="Arial" w:cs="Arial"/>
          <w:color w:val="000000"/>
        </w:rPr>
        <w:t xml:space="preserve">– researchers </w:t>
      </w:r>
      <w:r w:rsidR="00376BA7" w:rsidRPr="00424BD3">
        <w:rPr>
          <w:rFonts w:ascii="Arial" w:hAnsi="Arial" w:cs="Arial"/>
          <w:color w:val="000000"/>
        </w:rPr>
        <w:t xml:space="preserve">may gain a better understanding of how they perceive health, healthcare and health inequities as well as what has influenced their perceptions </w:t>
      </w:r>
      <w:r w:rsidR="00376BA7" w:rsidRPr="00424BD3">
        <w:rPr>
          <w:rFonts w:ascii="Arial" w:hAnsi="Arial" w:cs="Arial"/>
          <w:color w:val="000000"/>
        </w:rPr>
        <w:fldChar w:fldCharType="begin"/>
      </w:r>
      <w:r w:rsidR="00990F3A">
        <w:rPr>
          <w:rFonts w:ascii="Arial" w:hAnsi="Arial" w:cs="Arial"/>
          <w:color w:val="000000"/>
        </w:rPr>
        <w:instrText xml:space="preserve"> ADDIN ZOTERO_ITEM CSL_CITATION {"citationID":"v2JVDF6y","properties":{"formattedCitation":"(Pallai &amp; Tran, 2019)","plainCitation":"(Pallai &amp; Tran, 2019)","noteIndex":0},"citationItems":[{"id":1224,"uris":["http://zotero.org/users/4946941/items/NQ3SZYBK"],"itemData":{"id":1224,"type":"article-journal","abstract":"When defining health and illness, we often look to governing bodies such as the Centers for Disease Control and Prevention and the World Health Organization rather than our communities. With health disparities prominent throughout the US, it is important to look at the structures we have set forth in health care and find new ways to address health as well as new definitions. Storytelling is a valuable tool to help understand how our communities address health and the place of the hospital or clinic in their health. Narrative Health focuses not just on storytelling but also story listening. At the Community-University Health Care Center in Minneapolis, MN, we have implemented narrative health programs with patients and learners from various health professions. Using creative writing pedagogy and techniques to decentralize the practitioner-patient binary of illness, we learn about our patients’ stories of health and experiences with health care. It is important to move past the definitions of health to the complexities of story that allow for the human aspects of illness to be absorbed and understood.","container-title":"The Permanente Journal","DOI":"10.7812/TPP/18-052","ISSN":"1552-5767","journalAbbreviation":"Perm J","note":"PMID: 30939266\nPMCID: PMC6380479","page":"18-052","source":"PubMed Central","title":"Narrative Health: Using Story to Explore Definitions of Health and Address Bias in Health Care","title-short":"Narrative Health","volume":"23","author":[{"family":"Pallai","given":"EmmaLee"},{"family":"Tran","given":"Kim"}],"issued":{"date-parts":[["2019",1,24]]}}}],"schema":"https://github.com/citation-style-language/schema/raw/master/csl-citation.json"} </w:instrText>
      </w:r>
      <w:r w:rsidR="00376BA7" w:rsidRPr="00424BD3">
        <w:rPr>
          <w:rFonts w:ascii="Arial" w:hAnsi="Arial" w:cs="Arial"/>
          <w:color w:val="000000"/>
        </w:rPr>
        <w:fldChar w:fldCharType="separate"/>
      </w:r>
      <w:r w:rsidR="00376BA7" w:rsidRPr="00424BD3">
        <w:rPr>
          <w:rFonts w:ascii="Arial" w:hAnsi="Arial" w:cs="Arial"/>
        </w:rPr>
        <w:t>(Pallai &amp; Tran, 2019)</w:t>
      </w:r>
      <w:r w:rsidR="00376BA7" w:rsidRPr="00424BD3">
        <w:rPr>
          <w:rFonts w:ascii="Arial" w:hAnsi="Arial" w:cs="Arial"/>
          <w:color w:val="000000"/>
        </w:rPr>
        <w:fldChar w:fldCharType="end"/>
      </w:r>
      <w:r w:rsidR="00376BA7" w:rsidRPr="00424BD3">
        <w:rPr>
          <w:rFonts w:ascii="Arial" w:hAnsi="Arial" w:cs="Arial"/>
          <w:color w:val="000000"/>
        </w:rPr>
        <w:t xml:space="preserve">. </w:t>
      </w:r>
      <w:r w:rsidR="00241FD2">
        <w:rPr>
          <w:rFonts w:ascii="Arial" w:hAnsi="Arial" w:cs="Arial"/>
          <w:color w:val="000000"/>
        </w:rPr>
        <w:t>Furthermore, b</w:t>
      </w:r>
      <w:r w:rsidR="00141F66" w:rsidRPr="00424BD3">
        <w:rPr>
          <w:rFonts w:ascii="Arial" w:hAnsi="Arial" w:cs="Arial"/>
          <w:color w:val="000000"/>
        </w:rPr>
        <w:t>y understanding how older women perceive health inequities and define these elements of the social determinants of health</w:t>
      </w:r>
      <w:r w:rsidR="00376BA7" w:rsidRPr="00424BD3">
        <w:rPr>
          <w:rFonts w:ascii="Arial" w:hAnsi="Arial" w:cs="Arial"/>
          <w:color w:val="000000"/>
        </w:rPr>
        <w:t xml:space="preserve">, </w:t>
      </w:r>
      <w:r w:rsidR="00A801D7" w:rsidRPr="00424BD3">
        <w:rPr>
          <w:rFonts w:ascii="Arial" w:hAnsi="Arial" w:cs="Arial"/>
          <w:color w:val="000000"/>
        </w:rPr>
        <w:t>researchers</w:t>
      </w:r>
      <w:r w:rsidR="00616209" w:rsidRPr="00424BD3">
        <w:rPr>
          <w:rFonts w:ascii="Arial" w:hAnsi="Arial" w:cs="Arial"/>
          <w:color w:val="000000"/>
        </w:rPr>
        <w:t xml:space="preserve">, those who provide support to older women, and </w:t>
      </w:r>
      <w:r w:rsidR="009D3C48" w:rsidRPr="00424BD3">
        <w:rPr>
          <w:rFonts w:ascii="Arial" w:hAnsi="Arial" w:cs="Arial"/>
          <w:color w:val="000000"/>
        </w:rPr>
        <w:t xml:space="preserve">others who work in areas related to older women’s health, </w:t>
      </w:r>
      <w:r w:rsidR="00376BA7" w:rsidRPr="00424BD3">
        <w:rPr>
          <w:rFonts w:ascii="Arial" w:hAnsi="Arial" w:cs="Arial"/>
          <w:color w:val="000000"/>
        </w:rPr>
        <w:t xml:space="preserve">may continue to shape health inequities awareness-raising efforts for older women and mitigate the impact of social determinants on their health </w:t>
      </w:r>
      <w:r w:rsidR="00376BA7" w:rsidRPr="00424BD3">
        <w:rPr>
          <w:rFonts w:ascii="Arial" w:hAnsi="Arial" w:cs="Arial"/>
          <w:color w:val="000000"/>
        </w:rPr>
        <w:fldChar w:fldCharType="begin"/>
      </w:r>
      <w:r w:rsidR="00990F3A">
        <w:rPr>
          <w:rFonts w:ascii="Arial" w:hAnsi="Arial" w:cs="Arial"/>
          <w:color w:val="000000"/>
        </w:rPr>
        <w:instrText xml:space="preserve"> ADDIN ZOTERO_ITEM CSL_CITATION {"citationID":"0ju4xqaP","properties":{"formattedCitation":"(Fletcher, 2022)","plainCitation":"(Fletcher, 2022)","noteIndex":0},"citationItems":[{"id":1227,"uris":["http://zotero.org/users/4946941/items/IHP48K7B"],"itemData":{"id":1227,"type":"thesis","abstract":"This qualitative exploratory case study explored why African Americans with multiple chronic diseases decided to access or not to access preventive health services and to understand how their perceptions contribute to health disparities. Eight African Americans with multiple chronic diseases and five health care professionals that treat individuals with chronic diseases participated in virtual interviews consisting of eight semi-structured questions. The study involved interviewing a focus group panel of five health care professionals, individual interviews with the eight participants, and a database review to reach data saturation. Based on the analysis of the data, five themes emerged.\nTheme 1: Beliefs in genetics versus accountability for behaviors. Theme 2: Lack of health literacy can result in poor health decisions. Theme 3: Issues with trust and side effects result in a lack of medication adherence. Theme 4: Support systems can be an advantage and disadvantage. Theme 5: Mistrust and lack of convenience when assessing health care services result in self-treatment. The results indicated that African Americans with multiple chronic diseases rely on family and social networks for health literacy, impacting their treatment outcomes.\nThe results also indicated that medication management and self-treatment were recognized by the health care professionals and the individuals who participated in the study as social determinants of health factors that contributed to poor health outcomes. This study advanced the current literature on the perceptions and experiences of minorities with chronic diseases and could support ways to reduce healthcare disparities and improve healthcare outcomes","event-place":"United States -- Arizona","genre":"D.H.A.","language":"English","license":"Database copyright ProQuest LLC; ProQuest does not claim copyright in the individual underlying works.","note":"ISBN: 9798834007494","number-of-pages":"136","publisher":"University of Phoenix","publisher-place":"United States -- Arizona","source":"ProQuest","title":"African Americans’ Perceptions of Health Disparities: A Qualitative Exploratory Case Study","title-short":"African Americans’ Perceptions of Health Disparities","URL":"https://www.proquest.com/docview/2682734954/abstract/A05B9AD1F7D341C5PQ/1","author":[{"family":"Fletcher","given":"Michele"}],"accessed":{"date-parts":[["2022",8,27]]},"issued":{"date-parts":[["2022"]]}}}],"schema":"https://github.com/citation-style-language/schema/raw/master/csl-citation.json"} </w:instrText>
      </w:r>
      <w:r w:rsidR="00376BA7" w:rsidRPr="00424BD3">
        <w:rPr>
          <w:rFonts w:ascii="Arial" w:hAnsi="Arial" w:cs="Arial"/>
          <w:color w:val="000000"/>
        </w:rPr>
        <w:fldChar w:fldCharType="separate"/>
      </w:r>
      <w:r w:rsidR="00376BA7" w:rsidRPr="00424BD3">
        <w:rPr>
          <w:rFonts w:ascii="Arial" w:hAnsi="Arial" w:cs="Arial"/>
        </w:rPr>
        <w:t>(Fletcher, 2022)</w:t>
      </w:r>
      <w:r w:rsidR="00376BA7" w:rsidRPr="00424BD3">
        <w:rPr>
          <w:rFonts w:ascii="Arial" w:hAnsi="Arial" w:cs="Arial"/>
          <w:color w:val="000000"/>
        </w:rPr>
        <w:fldChar w:fldCharType="end"/>
      </w:r>
      <w:r w:rsidR="00376BA7" w:rsidRPr="00424BD3">
        <w:rPr>
          <w:rFonts w:ascii="Arial" w:hAnsi="Arial" w:cs="Arial"/>
          <w:color w:val="000000"/>
        </w:rPr>
        <w:t>.</w:t>
      </w:r>
    </w:p>
    <w:p w14:paraId="526D6D4E" w14:textId="1B11928F" w:rsidR="00CD2106" w:rsidRPr="004E73CD" w:rsidRDefault="00CD2106" w:rsidP="004E73CD">
      <w:pPr>
        <w:pStyle w:val="Heading3"/>
        <w:spacing w:before="0" w:line="480" w:lineRule="auto"/>
        <w:rPr>
          <w:rFonts w:ascii="Arial" w:hAnsi="Arial" w:cs="Arial"/>
          <w:b/>
          <w:bCs/>
          <w:i/>
          <w:iCs/>
          <w:color w:val="auto"/>
        </w:rPr>
      </w:pPr>
      <w:bookmarkStart w:id="86" w:name="_Toc118232352"/>
      <w:r w:rsidRPr="004E73CD">
        <w:rPr>
          <w:rFonts w:ascii="Arial" w:hAnsi="Arial" w:cs="Arial"/>
          <w:b/>
          <w:bCs/>
          <w:i/>
          <w:iCs/>
          <w:color w:val="auto"/>
        </w:rPr>
        <w:lastRenderedPageBreak/>
        <w:t xml:space="preserve">Health </w:t>
      </w:r>
      <w:r w:rsidR="009038F9">
        <w:rPr>
          <w:rFonts w:ascii="Arial" w:hAnsi="Arial" w:cs="Arial"/>
          <w:b/>
          <w:bCs/>
          <w:i/>
          <w:iCs/>
          <w:color w:val="auto"/>
        </w:rPr>
        <w:t>I</w:t>
      </w:r>
      <w:r w:rsidRPr="004E73CD">
        <w:rPr>
          <w:rFonts w:ascii="Arial" w:hAnsi="Arial" w:cs="Arial"/>
          <w:b/>
          <w:bCs/>
          <w:i/>
          <w:iCs/>
          <w:color w:val="auto"/>
        </w:rPr>
        <w:t>nequities</w:t>
      </w:r>
      <w:r w:rsidR="009038F9">
        <w:rPr>
          <w:rFonts w:ascii="Arial" w:hAnsi="Arial" w:cs="Arial"/>
          <w:b/>
          <w:bCs/>
          <w:i/>
          <w:iCs/>
          <w:color w:val="auto"/>
        </w:rPr>
        <w:t xml:space="preserve"> </w:t>
      </w:r>
      <w:r w:rsidRPr="004E73CD">
        <w:rPr>
          <w:rFonts w:ascii="Arial" w:hAnsi="Arial" w:cs="Arial"/>
          <w:b/>
          <w:bCs/>
          <w:i/>
          <w:iCs/>
          <w:color w:val="auto"/>
        </w:rPr>
        <w:t>/</w:t>
      </w:r>
      <w:r w:rsidR="009038F9">
        <w:rPr>
          <w:rFonts w:ascii="Arial" w:hAnsi="Arial" w:cs="Arial"/>
          <w:b/>
          <w:bCs/>
          <w:i/>
          <w:iCs/>
          <w:color w:val="auto"/>
        </w:rPr>
        <w:t xml:space="preserve"> I</w:t>
      </w:r>
      <w:r w:rsidRPr="004E73CD">
        <w:rPr>
          <w:rFonts w:ascii="Arial" w:hAnsi="Arial" w:cs="Arial"/>
          <w:b/>
          <w:bCs/>
          <w:i/>
          <w:iCs/>
          <w:color w:val="auto"/>
        </w:rPr>
        <w:t>nequalities</w:t>
      </w:r>
      <w:r w:rsidR="009038F9">
        <w:rPr>
          <w:rFonts w:ascii="Arial" w:hAnsi="Arial" w:cs="Arial"/>
          <w:b/>
          <w:bCs/>
          <w:i/>
          <w:iCs/>
          <w:color w:val="auto"/>
        </w:rPr>
        <w:t xml:space="preserve"> </w:t>
      </w:r>
      <w:r w:rsidRPr="004E73CD">
        <w:rPr>
          <w:rFonts w:ascii="Arial" w:hAnsi="Arial" w:cs="Arial"/>
          <w:b/>
          <w:bCs/>
          <w:i/>
          <w:iCs/>
          <w:color w:val="auto"/>
        </w:rPr>
        <w:t>/</w:t>
      </w:r>
      <w:r w:rsidR="009038F9">
        <w:rPr>
          <w:rFonts w:ascii="Arial" w:hAnsi="Arial" w:cs="Arial"/>
          <w:b/>
          <w:bCs/>
          <w:i/>
          <w:iCs/>
          <w:color w:val="auto"/>
        </w:rPr>
        <w:t xml:space="preserve"> D</w:t>
      </w:r>
      <w:r w:rsidRPr="004E73CD">
        <w:rPr>
          <w:rFonts w:ascii="Arial" w:hAnsi="Arial" w:cs="Arial"/>
          <w:b/>
          <w:bCs/>
          <w:i/>
          <w:iCs/>
          <w:color w:val="auto"/>
        </w:rPr>
        <w:t>isparities</w:t>
      </w:r>
      <w:bookmarkEnd w:id="86"/>
    </w:p>
    <w:p w14:paraId="1BA0C764" w14:textId="3515DED8" w:rsidR="00975BDB" w:rsidRPr="00424BD3" w:rsidRDefault="00CD2106" w:rsidP="0092330D">
      <w:pPr>
        <w:spacing w:after="0" w:line="480" w:lineRule="auto"/>
        <w:ind w:firstLine="720"/>
      </w:pPr>
      <w:r w:rsidRPr="00424BD3">
        <w:t xml:space="preserve">Because the terms health inequities, health inequalities, and health disparities are often (erroneously) used interchangeably (Meyer, Yoon, &amp; Kaufmann, 2013), all three terms </w:t>
      </w:r>
      <w:r w:rsidR="00651632" w:rsidRPr="00424BD3">
        <w:t xml:space="preserve">were used </w:t>
      </w:r>
      <w:r w:rsidRPr="00424BD3">
        <w:t>simultaneously when asking the participants their definition of health inequities</w:t>
      </w:r>
      <w:r w:rsidR="001D5FFC">
        <w:t xml:space="preserve"> </w:t>
      </w:r>
      <w:r w:rsidRPr="00424BD3">
        <w:t>/</w:t>
      </w:r>
      <w:r w:rsidR="001D5FFC">
        <w:t xml:space="preserve"> </w:t>
      </w:r>
      <w:r w:rsidRPr="00424BD3">
        <w:t>health inequalities</w:t>
      </w:r>
      <w:r w:rsidR="001D5FFC">
        <w:t xml:space="preserve"> </w:t>
      </w:r>
      <w:r w:rsidRPr="00424BD3">
        <w:t>/</w:t>
      </w:r>
      <w:r w:rsidR="001D5FFC">
        <w:t xml:space="preserve"> </w:t>
      </w:r>
      <w:r w:rsidRPr="00424BD3">
        <w:t>health disparities. While a few stated they were unsure</w:t>
      </w:r>
      <w:r w:rsidR="00570B5E" w:rsidRPr="00424BD3">
        <w:t xml:space="preserve"> of what health inequities is</w:t>
      </w:r>
      <w:r w:rsidRPr="00424BD3">
        <w:t xml:space="preserve">, all but one provided their thoughts on what definitions of health inequalities might be. </w:t>
      </w:r>
    </w:p>
    <w:p w14:paraId="7AA2EDBD" w14:textId="0248D699" w:rsidR="00A76625" w:rsidRPr="00424BD3" w:rsidRDefault="00A76625" w:rsidP="000126EE">
      <w:pPr>
        <w:spacing w:after="0" w:line="480" w:lineRule="auto"/>
        <w:ind w:firstLine="720"/>
        <w:rPr>
          <w:rFonts w:ascii="Times New Roman" w:eastAsia="Times New Roman" w:hAnsi="Times New Roman" w:cs="Times New Roman"/>
          <w:szCs w:val="24"/>
        </w:rPr>
      </w:pPr>
      <w:r w:rsidRPr="00424BD3">
        <w:rPr>
          <w:rFonts w:eastAsia="Times New Roman" w:cs="Arial"/>
          <w:color w:val="000000"/>
          <w:szCs w:val="24"/>
        </w:rPr>
        <w:t xml:space="preserve">Several of the women referred to health behavior in the form of lack of self-control as health disparity. Cynthia, for example, used weight as proof of her lack of </w:t>
      </w:r>
      <w:r w:rsidR="001558E4" w:rsidRPr="00424BD3">
        <w:rPr>
          <w:rFonts w:eastAsia="Times New Roman" w:cs="Arial"/>
          <w:color w:val="000000"/>
          <w:szCs w:val="24"/>
        </w:rPr>
        <w:t>self-care</w:t>
      </w:r>
      <w:r w:rsidRPr="00424BD3">
        <w:rPr>
          <w:rFonts w:eastAsia="Times New Roman" w:cs="Arial"/>
          <w:color w:val="000000"/>
          <w:szCs w:val="24"/>
        </w:rPr>
        <w:t xml:space="preserve"> (and, therefore, her individual responsibility), referring to it as a disparity, then followed her comments about this by stating she did not know what “equality” (i.e., health inequities / disparities) is:</w:t>
      </w:r>
    </w:p>
    <w:p w14:paraId="2B7F43AF" w14:textId="748DAC5E" w:rsidR="00570B5E" w:rsidRPr="00424BD3" w:rsidRDefault="00570B5E" w:rsidP="000126EE">
      <w:pPr>
        <w:spacing w:after="0" w:line="480" w:lineRule="auto"/>
        <w:ind w:left="720"/>
        <w:rPr>
          <w:rFonts w:cs="Arial"/>
          <w:szCs w:val="24"/>
        </w:rPr>
      </w:pPr>
      <w:r w:rsidRPr="00424BD3">
        <w:rPr>
          <w:rFonts w:cs="Arial"/>
          <w:szCs w:val="24"/>
        </w:rPr>
        <w:t>“When you look back on life, and…I am a good</w:t>
      </w:r>
      <w:r w:rsidR="007C5DED">
        <w:rPr>
          <w:rFonts w:cs="Arial"/>
          <w:szCs w:val="24"/>
        </w:rPr>
        <w:t xml:space="preserve"> </w:t>
      </w:r>
      <w:r w:rsidRPr="00424BD3">
        <w:rPr>
          <w:rFonts w:cs="Arial"/>
          <w:szCs w:val="24"/>
        </w:rPr>
        <w:t>representation of, I was a chubby child, I've never been a thin person, and, unfortunately, after two babies, and menopause, it's…taken, it's disparity because I didn't take care of myself earlier in life. I don't really know how to define equality</w:t>
      </w:r>
      <w:r w:rsidR="00975BDB" w:rsidRPr="00424BD3">
        <w:rPr>
          <w:rFonts w:cs="Arial"/>
          <w:szCs w:val="24"/>
        </w:rPr>
        <w:t xml:space="preserve"> [sic]</w:t>
      </w:r>
      <w:r w:rsidRPr="00424BD3">
        <w:rPr>
          <w:rFonts w:cs="Arial"/>
          <w:szCs w:val="24"/>
        </w:rPr>
        <w:t>."</w:t>
      </w:r>
    </w:p>
    <w:p w14:paraId="64219AA6" w14:textId="703124F6" w:rsidR="00241FD2" w:rsidRDefault="003441B4" w:rsidP="000126EE">
      <w:pPr>
        <w:spacing w:after="0" w:line="480" w:lineRule="auto"/>
        <w:ind w:firstLine="720"/>
      </w:pPr>
      <w:r w:rsidRPr="00424BD3">
        <w:t xml:space="preserve">Cynthia’s answer </w:t>
      </w:r>
      <w:r w:rsidR="00670EB3" w:rsidRPr="00424BD3">
        <w:t xml:space="preserve">confirms this study’s finding that though the women may not provide a textbook definition of health inequities – and there may be many reasons they do not provide this - they do know different component parts that make up the social determinants of health. </w:t>
      </w:r>
      <w:r w:rsidR="00577004">
        <w:t>Through an analysis of the data presented in earlier chapters, t</w:t>
      </w:r>
      <w:r w:rsidR="00241FD2">
        <w:t>his chapter addresses the</w:t>
      </w:r>
      <w:r w:rsidR="00577004">
        <w:t xml:space="preserve"> broader</w:t>
      </w:r>
      <w:r w:rsidR="00241FD2">
        <w:t xml:space="preserve"> research findings and responds to the three main research questions</w:t>
      </w:r>
      <w:r w:rsidR="00577004">
        <w:t xml:space="preserve"> of this dissertation</w:t>
      </w:r>
      <w:r w:rsidR="00241FD2">
        <w:t>:</w:t>
      </w:r>
    </w:p>
    <w:p w14:paraId="60BA4842" w14:textId="0E46DB60" w:rsidR="00577004" w:rsidRDefault="00577004" w:rsidP="000126EE">
      <w:pPr>
        <w:spacing w:after="0" w:line="480" w:lineRule="auto"/>
        <w:ind w:firstLine="720"/>
        <w:rPr>
          <w:rFonts w:eastAsia="Arial" w:cs="Arial"/>
          <w:szCs w:val="24"/>
        </w:rPr>
      </w:pPr>
      <w:r>
        <w:rPr>
          <w:rFonts w:eastAsia="Arial" w:cs="Arial"/>
          <w:szCs w:val="24"/>
        </w:rPr>
        <w:lastRenderedPageBreak/>
        <w:t>What are the women’s perceptions and lived experiences with gender health inequities?</w:t>
      </w:r>
    </w:p>
    <w:p w14:paraId="776134C0" w14:textId="77777777" w:rsidR="00577004" w:rsidRDefault="00577004" w:rsidP="00577004">
      <w:pPr>
        <w:spacing w:after="0" w:line="480" w:lineRule="auto"/>
        <w:ind w:firstLine="720"/>
        <w:rPr>
          <w:rFonts w:eastAsia="Arial" w:cs="Arial"/>
          <w:szCs w:val="24"/>
        </w:rPr>
      </w:pPr>
      <w:r>
        <w:rPr>
          <w:rFonts w:eastAsia="Arial" w:cs="Arial"/>
          <w:szCs w:val="24"/>
        </w:rPr>
        <w:t xml:space="preserve">How do the older women perceive social determinants as situated in their </w:t>
      </w:r>
      <w:r w:rsidR="00241FD2" w:rsidRPr="00424BD3">
        <w:rPr>
          <w:rFonts w:eastAsia="Arial" w:cs="Arial"/>
          <w:szCs w:val="24"/>
        </w:rPr>
        <w:t>genealogical (familial), geographical, and mortality outcome histories</w:t>
      </w:r>
      <w:r>
        <w:rPr>
          <w:rFonts w:eastAsia="Arial" w:cs="Arial"/>
          <w:szCs w:val="24"/>
        </w:rPr>
        <w:t>?</w:t>
      </w:r>
    </w:p>
    <w:p w14:paraId="687B1684" w14:textId="2F49927D" w:rsidR="00241FD2" w:rsidRPr="004F2042" w:rsidRDefault="00577004" w:rsidP="0092330D">
      <w:pPr>
        <w:spacing w:after="0" w:line="480" w:lineRule="auto"/>
        <w:ind w:firstLine="720"/>
        <w:rPr>
          <w:rFonts w:eastAsia="Arial" w:cs="Arial"/>
          <w:szCs w:val="24"/>
        </w:rPr>
      </w:pPr>
      <w:r>
        <w:rPr>
          <w:rFonts w:eastAsia="Arial" w:cs="Arial"/>
          <w:szCs w:val="24"/>
        </w:rPr>
        <w:t>How do the geopolitical and social norms in which the women live impact how they</w:t>
      </w:r>
      <w:r w:rsidR="00241FD2" w:rsidRPr="00424BD3">
        <w:rPr>
          <w:rFonts w:eastAsia="Arial" w:cs="Arial"/>
          <w:szCs w:val="24"/>
        </w:rPr>
        <w:t xml:space="preserve"> perceive their experiences </w:t>
      </w:r>
      <w:r w:rsidR="00E06DD0">
        <w:rPr>
          <w:rFonts w:eastAsia="Arial" w:cs="Arial"/>
          <w:szCs w:val="24"/>
        </w:rPr>
        <w:t xml:space="preserve">with </w:t>
      </w:r>
      <w:r w:rsidR="00241FD2" w:rsidRPr="00424BD3">
        <w:rPr>
          <w:rFonts w:eastAsia="Arial" w:cs="Arial"/>
          <w:szCs w:val="24"/>
        </w:rPr>
        <w:t>outcome histories and health inequities</w:t>
      </w:r>
      <w:r w:rsidR="00E06DD0">
        <w:rPr>
          <w:rFonts w:eastAsia="Arial" w:cs="Arial"/>
          <w:szCs w:val="24"/>
        </w:rPr>
        <w:t>?</w:t>
      </w:r>
    </w:p>
    <w:p w14:paraId="7C5D60EF" w14:textId="4586EA85" w:rsidR="00241FD2" w:rsidRPr="004E73CD" w:rsidRDefault="00C87771" w:rsidP="004E73CD">
      <w:pPr>
        <w:pStyle w:val="Heading4"/>
        <w:spacing w:before="0" w:line="480" w:lineRule="auto"/>
        <w:rPr>
          <w:rFonts w:ascii="Arial" w:hAnsi="Arial" w:cs="Arial"/>
          <w:color w:val="auto"/>
        </w:rPr>
      </w:pPr>
      <w:r w:rsidRPr="004E73CD">
        <w:rPr>
          <w:rFonts w:ascii="Arial" w:hAnsi="Arial" w:cs="Arial"/>
          <w:color w:val="auto"/>
        </w:rPr>
        <w:t xml:space="preserve">Health inequities: </w:t>
      </w:r>
      <w:r w:rsidR="004F2042" w:rsidRPr="004E73CD">
        <w:rPr>
          <w:rFonts w:ascii="Arial" w:hAnsi="Arial" w:cs="Arial"/>
          <w:color w:val="auto"/>
        </w:rPr>
        <w:t>l</w:t>
      </w:r>
      <w:r w:rsidR="00E06DD0" w:rsidRPr="004E73CD">
        <w:rPr>
          <w:rFonts w:ascii="Arial" w:hAnsi="Arial" w:cs="Arial"/>
          <w:color w:val="auto"/>
        </w:rPr>
        <w:t>ack of access</w:t>
      </w:r>
      <w:r w:rsidR="009C6D3A" w:rsidRPr="004E73CD">
        <w:rPr>
          <w:rFonts w:ascii="Arial" w:hAnsi="Arial" w:cs="Arial"/>
          <w:color w:val="auto"/>
        </w:rPr>
        <w:t>, bias</w:t>
      </w:r>
      <w:r w:rsidR="00395F1E" w:rsidRPr="004E73CD">
        <w:rPr>
          <w:rFonts w:ascii="Arial" w:hAnsi="Arial" w:cs="Arial"/>
          <w:color w:val="auto"/>
        </w:rPr>
        <w:t>,</w:t>
      </w:r>
      <w:r w:rsidR="009C6D3A" w:rsidRPr="004E73CD">
        <w:rPr>
          <w:rFonts w:ascii="Arial" w:hAnsi="Arial" w:cs="Arial"/>
          <w:color w:val="auto"/>
        </w:rPr>
        <w:t xml:space="preserve"> and discrimination</w:t>
      </w:r>
    </w:p>
    <w:p w14:paraId="3B4FBE05" w14:textId="4946429B" w:rsidR="00D81843" w:rsidRPr="00424BD3" w:rsidRDefault="00CD2106" w:rsidP="0092330D">
      <w:pPr>
        <w:spacing w:after="0" w:line="480" w:lineRule="auto"/>
        <w:ind w:firstLine="720"/>
      </w:pPr>
      <w:r w:rsidRPr="00424BD3">
        <w:t>Almost all</w:t>
      </w:r>
      <w:r w:rsidR="00E06DD0">
        <w:t xml:space="preserve"> of the women</w:t>
      </w:r>
      <w:r w:rsidRPr="00424BD3">
        <w:t xml:space="preserve"> mentioned </w:t>
      </w:r>
      <w:r w:rsidR="00B0116D" w:rsidRPr="00424BD3">
        <w:t xml:space="preserve">lack of </w:t>
      </w:r>
      <w:r w:rsidRPr="00424BD3">
        <w:t>access</w:t>
      </w:r>
      <w:r w:rsidR="00E06DD0">
        <w:t xml:space="preserve"> to healthcare and</w:t>
      </w:r>
      <w:r w:rsidR="00745FA1">
        <w:t xml:space="preserve"> particular </w:t>
      </w:r>
      <w:r w:rsidR="00FA524E">
        <w:t>component parts</w:t>
      </w:r>
      <w:r w:rsidR="00EA7EF6">
        <w:t xml:space="preserve"> of healthcare</w:t>
      </w:r>
      <w:r w:rsidR="00E06DD0">
        <w:t xml:space="preserve">, </w:t>
      </w:r>
      <w:r w:rsidR="00670EB3" w:rsidRPr="00424BD3">
        <w:t>as</w:t>
      </w:r>
      <w:r w:rsidR="00B0116D" w:rsidRPr="00424BD3">
        <w:t xml:space="preserve"> part of their definition of health inequities</w:t>
      </w:r>
      <w:r w:rsidR="00E65052">
        <w:t xml:space="preserve"> </w:t>
      </w:r>
      <w:r w:rsidR="003449EE">
        <w:t>including</w:t>
      </w:r>
      <w:r w:rsidR="00B0116D" w:rsidRPr="00424BD3">
        <w:t xml:space="preserve"> lack of access </w:t>
      </w:r>
      <w:r w:rsidRPr="00424BD3">
        <w:t>to healthy food</w:t>
      </w:r>
      <w:r w:rsidR="000B505B">
        <w:t xml:space="preserve"> </w:t>
      </w:r>
      <w:r w:rsidRPr="00424BD3">
        <w:t>/</w:t>
      </w:r>
      <w:r w:rsidR="000B505B">
        <w:t xml:space="preserve"> </w:t>
      </w:r>
      <w:r w:rsidRPr="00424BD3">
        <w:t>diet</w:t>
      </w:r>
      <w:r w:rsidR="000B505B">
        <w:t xml:space="preserve"> </w:t>
      </w:r>
      <w:r w:rsidRPr="00424BD3">
        <w:t>/</w:t>
      </w:r>
      <w:r w:rsidR="000B505B">
        <w:t xml:space="preserve"> </w:t>
      </w:r>
      <w:r w:rsidRPr="00424BD3">
        <w:t xml:space="preserve">nutrition; to clinical care; to affordable and equal </w:t>
      </w:r>
      <w:r w:rsidR="004B78EF" w:rsidRPr="00424BD3">
        <w:t xml:space="preserve">healthcare </w:t>
      </w:r>
      <w:r w:rsidRPr="00424BD3">
        <w:t xml:space="preserve">costs; to sufficient </w:t>
      </w:r>
      <w:r w:rsidR="00956974" w:rsidRPr="00424BD3">
        <w:t xml:space="preserve">Medicare ‘gap’ </w:t>
      </w:r>
      <w:r w:rsidRPr="00424BD3">
        <w:t xml:space="preserve">provision for health insurance; to representative clinicians (race, gender); </w:t>
      </w:r>
      <w:r w:rsidR="00E53CFF">
        <w:t xml:space="preserve">and </w:t>
      </w:r>
      <w:r w:rsidRPr="00424BD3">
        <w:t>to place-based care (particularly rural care)</w:t>
      </w:r>
      <w:r w:rsidR="00FA524E">
        <w:t>.</w:t>
      </w:r>
      <w:r w:rsidR="00E65052">
        <w:t xml:space="preserve"> They also mentioned lack of access to health education. </w:t>
      </w:r>
      <w:r w:rsidR="001E577B" w:rsidRPr="00424BD3">
        <w:t xml:space="preserve">This confirms </w:t>
      </w:r>
      <w:r w:rsidR="009F0118" w:rsidRPr="00424BD3">
        <w:t>the literature</w:t>
      </w:r>
      <w:r w:rsidR="00FE04DF" w:rsidRPr="00424BD3">
        <w:t xml:space="preserve"> on access as a </w:t>
      </w:r>
      <w:r w:rsidR="001E2D3C" w:rsidRPr="00424BD3">
        <w:t xml:space="preserve">primary component </w:t>
      </w:r>
      <w:r w:rsidR="00600DC8" w:rsidRPr="00424BD3">
        <w:t xml:space="preserve">of the social determinants of health </w:t>
      </w:r>
      <w:r w:rsidR="001E2D3C" w:rsidRPr="00424BD3">
        <w:t>which people identify as health inequities.</w:t>
      </w:r>
      <w:r w:rsidR="00F10DE4" w:rsidRPr="00424BD3">
        <w:t xml:space="preserve"> </w:t>
      </w:r>
      <w:r w:rsidR="00C40CC8" w:rsidRPr="00424BD3">
        <w:fldChar w:fldCharType="begin"/>
      </w:r>
      <w:r w:rsidR="009E4175">
        <w:instrText xml:space="preserve"> ADDIN ZOTERO_ITEM CSL_CITATION {"citationID":"8llHzlBa","properties":{"formattedCitation":"(AHRQ, 2016; AMA, 2022; Cyr et al., 2019; Douthit et al., 2015; Lavizzo-Mourey et al., 2021; McMaughan et al., 2020; Ndugga &amp; Artiga, 2021; ODPHP, 2022; Riley, 2012; Trinh et al., 2017)","plainCitation":"(AHRQ, 2016; AMA, 2022; Cyr et al., 2019; Douthit et al., 2015; Lavizzo-Mourey et al., 2021; McMaughan et al., 2020; Ndugga &amp; Artiga, 2021; ODPHP, 2022; Riley, 2012; Trinh et al., 2017)","noteIndex":0},"citationItems":[{"id":1381,"uris":["http://zotero.org/users/4946941/items/W99EKHHB"],"itemData":{"id":1381,"type":"webpage","abstract":"This Access to Health Care chartbook is part of a family of documents and tools that support the National Healthcare Quality and Disparities Report (QDR). The QDR includes annual reports to Congress mandated in the Healthcare Research and Quality Act of 1999 (P.L. 106-129). This chartbook includes a summary of disparities across measures of access to health care from the QDR and figures illustrating select measures of access to health care. A PowerPoint version is also available that users can download for presentations.","container-title":"Agency for Healthcare Research and Quality (AHRQ)","genre":"U.S. Government","language":"en-us","title":"Chartbook on Access to Health Care","URL":"https://www.ahrq.gov/research/findings/nhqrdr/chartbooks/access/index.html","author":[{"family":"AHRQ","given":""}],"accessed":{"date-parts":[["2022",9,5]]},"issued":{"date-parts":[["2016",5]]}}},{"id":1379,"uris":["http://zotero.org/users/4946941/items/KQZPH2R8"],"itemData":{"id":1379,"type":"webpage","abstract":"Read about the AMA's goal to ensure that all communities across the United States receive equal access to quality health care.","container-title":"American Medical Association (AMA)","language":"en","title":"Reducing disparities in health care","URL":"https://www.ama-assn.org/delivering-care/patient-support-advocacy/reducing-disparities-health-care","author":[{"family":"AMA","given":""}],"accessed":{"date-parts":[["2022",9,5]]},"issued":{"date-parts":[["2022"]]}}},{"id":1360,"uris":["http://zotero.org/users/4946941/items/S2FJXZD6"],"itemData":{"id":1360,"type":"article-journal","abstract":"Access to healthcare is a poorly defined construct, with insufficient understanding of differences in facilitators and barriers between US urban versus rural specialty care. We summarize recent literature and expand upon a prior conceptual access framework, adapted here specifically to urban and rural specialty care.","container-title":"BMC Health Services Research","DOI":"10.1186/s12913-019-4815-5","ISSN":"1472-6963","issue":"1","journalAbbreviation":"BMC Health Services Research","page":"974","source":"BioMed Central","title":"Access to specialty healthcare in urban versus rural US populations: a systematic literature review","title-short":"Access to specialty healthcare in urban versus rural US populations","volume":"19","author":[{"family":"Cyr","given":"Melissa E."},{"family":"Etchin","given":"Anna G."},{"family":"Guthrie","given":"Barbara J."},{"family":"Benneyan","given":"James C."}],"issued":{"date-parts":[["2019",12,18]]}}},{"id":1363,"uris":["http://zotero.org/users/4946941/items/S6VICGXG"],"itemData":{"id":1363,"type":"article-journal","abstract":"Objectives\nTo review research published before and after the passage of the Patient Protection and Affordable Care Act (2010) examining barriers in seeking or accessing health care in rural populations in the USA.\nStudy design\nThis literature review was based on a comprehensive search for all literature researching rural health care provision and access in the USA.\nMethods\nPubmed, Proquest Allied Nursing and Health Literature, National Rural Health Association (NRHA) Resource Center and Google Scholar databases were searched using the Medical Subject Headings (MeSH) ‘Rural Health Services’ and ‘Rural Health.’ MeSH subtitle headings used were ‘USA,’ ‘utilization,’ ‘trends’ and ‘supply and distribution.’ Keywords added to the search parameters were ‘access,’ ‘rural’ and ‘health care.’ Searches in Google Scholar employed the phrases ‘health care disparities in the USA,’ inequalities in ‘health care in the USA,’ ‘health care in rural USA’ and ‘access to health care in rural USA.’ After eliminating non-relevant articles, 34 articles were included.\nResults\nSignificant differences in health care access between rural and urban areas exist. Reluctance to seek health care in rural areas was based on cultural and financial constraints, often compounded by a scarcity of services, a lack of trained physicians, insufficient public transport, and poor availability of broadband internet services. Rural residents were found to have poorer health, with rural areas having difficulty in attracting and retaining physicians, and maintaining health services on a par with their urban counterparts.\nConclusions\nRural and urban health care disparities require an ongoing program of reform with the aim to improve the provision of services, promote recruitment, training and career development of rural health care professionals, increase comprehensive health insurance coverage and engage rural residents and healthcare providers in health promotion.","container-title":"Public Health","DOI":"10.1016/j.puhe.2015.04.001","ISSN":"0033-3506","issue":"6","journalAbbreviation":"Public Health","language":"en","page":"611-620","source":"ScienceDirect","title":"Exposing some important barriers to health care access in the rural USA","volume":"129","author":[{"family":"Douthit","given":"N."},{"family":"Kiv","given":"S."},{"family":"Dwolatzky","given":"T."},{"family":"Biswas","given":"S."}],"issued":{"date-parts":[["2015",6,1]]}}},{"id":1356,"uris":["http://zotero.org/users/4946941/items/FIIR2YSJ"],"itemData":{"id":1356,"type":"article-journal","container-title":"New England Journal of Medicine","DOI":"10.1056/NEJMp2008628","ISSN":"0028-4793","issue":"18","note":"publisher: Massachusetts Medical Society\n_eprint: https://doi.org/10.1056/NEJMp2008628\nPMID: 33951376","page":"1681-1684","source":"Taylor and Francis+NEJM","title":"Understanding and Mitigating Health Inequities — Past, Current, and Future Directions","volume":"384","author":[{"family":"Lavizzo-Mourey","given":"Risa J."},{"family":"Besser","given":"Richard E."},{"family":"Williams","given":"David R."}],"issued":{"date-parts":[["2021",5,6]]}}},{"id":1358,"uris":["http://zotero.org/users/4946941/items/3IKZWZWK"],"itemData":{"id":1358,"type":"article-journal","abstract":"The rapid growth of the global aging population has raised attention to the health and healthcare needs of older adults. The purpose of this mini-review is to: (1) elucidate the complex factors affecting the relationship between chronological age, socio-economic status (SES), access to care, and healthy aging using a SES-focused framework; (2) present examples of interventions from across the globe; and (3) offer recommendations for research-guided action to remediate the trend of older age being associated with lower SES, lack of access to care, and poorer health outcomes. Evidence supports a relationship between SES and healthcare access as well as healthcare access and health outcomes for older adults. Because financial resources are proportional to health status, efforts are needed to support older adults and the burdened healthcare system with financial resources. This can be most effective with grassroots approaches and interventions to improve SES among older adults and through data-driven policy and systems change.","container-title":"Frontiers in Public Health","ISSN":"2296-2565","source":"Frontiers","title":"Socioeconomic Status and Access to Healthcare: Interrelated Drivers for Healthy Aging","title-short":"Socioeconomic Status and Access to Healthcare","URL":"https://www.frontiersin.org/articles/10.3389/fpubh.2020.00231","volume":"8","author":[{"family":"McMaughan","given":"Darcy Jones"},{"family":"Oloruntoba","given":"Oluyomi"},{"family":"Smith","given":"Matthew Lee"}],"accessed":{"date-parts":[["2022",9,4]]},"issued":{"date-parts":[["2020"]]}}},{"id":1374,"uris":["http://zotero.org/users/4946941/items/7D39ZAQL"],"itemData":{"id":1374,"type":"post-weblog","abstract":"Disparities in health and health care for people of color and underserved groups are longstanding challenges. The COVID-19 pandemic has exacerbated these disparities and heightened the importance o…","container-title":"Kaiser Family Foundation","language":"en-US","title":"Disparities in Health and Health Care: 5 Key Questions and Answers","title-short":"Disparities in Health and Health Care","URL":"https://www.kff.org/racial-equity-and-health-policy/issue-brief/disparities-in-health-and-health-care-5-key-question-and-answers/","author":[{"family":"Ndugga","given":"Nambi"},{"family":"Artiga","given":"Samantha"}],"accessed":{"date-parts":[["2022",9,5]]},"issued":{"date-parts":[["2021",5,11]]}}},{"id":1378,"uris":["http://zotero.org/users/4946941/items/XY56ZP2S"],"itemData":{"id":1378,"type":"webpage","container-title":"Office of Disease Prevention and Health Promotion (ODPHP)","genre":"U.S. Government","title":"Access to Health Services.","title-short":"HealthyPeople.gov","URL":"https://www.healthypeople.gov/2020/topics-objectives/topic/social-determinants-health/interventions-resources/access-to-health","author":[{"family":"ODPHP","given":""}],"accessed":{"date-parts":[["2022",9,5]]},"issued":{"date-parts":[["2022",2,6]]}}},{"id":1365,"uris":["http://zotero.org/users/4946941/items/CU5HBC8T"],"itemData":{"id":1365,"type":"article-journal","abstract":"Health disparities, which are sometimes referred to as health inequities, have garnered an increasing amount of attention from physicians and health policy experts, as well as a renewed focus from federal health agencies. As a complex and multi-factorial construct, differential access to medical care, treatment modalities, and disparate outcomes among various racial and ethnic groups has been validated in numerous studies. The antecedents of such differences involve such “drivers” as cost and access to the healthcare system, primary care physicians, and preventive health services. In addition, the subtle role of bias in creating and/or exacerbating health disparities is well documented in the literature. This article highlights the dimensions and extent of health inequities and emphasizes the challenges facing physicians and others in addressing them.","container-title":"Transactions of the American Clinical and Climatological Association","ISSN":"0065-7778","journalAbbreviation":"Trans Am Clin Climatol Assoc","note":"PMID: 23303983\nPMCID: PMC3540621","page":"167-174","source":"PubMed Central","title":"Health Disparities: Gaps in Access, Quality and Affordability of Medical Care","title-short":"Health Disparities","volume":"123","author":[{"family":"Riley","given":"Wayne J."}],"issued":{"date-parts":[["2012"]]}}},{"id":1371,"uris":["http://zotero.org/users/4946941/items/BX9YUQRS"],"itemData":{"id":1371,"type":"article-journal","abstract":"Research has shown that sexual minorities (SMs) (e.g. lesbian, gay, and bisexual individuals), compared to their heterosexual counterparts, may engage in riskier health behaviors, are at higher risk of some adverse health outcomes, and are more likely to experience reduced health care access and utilization. However, few studies have examined how the interplay between race and sexual orientation impacts a range of health measures in a nationally representative sample of the U.S. population.","container-title":"BMC Public Health","DOI":"10.1186/s12889-017-4937-9","ISSN":"1471-2458","issue":"1","journalAbbreviation":"BMC Public Health","page":"964","source":"BioMed Central","title":"Health and healthcare disparities among U.S. women and men at the intersection of sexual orientation and race/ethnicity: a nationally representative cross-sectional study","title-short":"Health and healthcare disparities among U.S. women and men at the intersection of sexual orientation and race/ethnicity","volume":"17","author":[{"family":"Trinh","given":"Mai-Han"},{"family":"Agénor","given":"Madina"},{"family":"Austin","given":"S. Bryn"},{"family":"Jackson","given":"Chandra L."}],"issued":{"date-parts":[["2017",12,19]]}}}],"schema":"https://github.com/citation-style-language/schema/raw/master/csl-citation.json"} </w:instrText>
      </w:r>
      <w:r w:rsidR="00C40CC8" w:rsidRPr="00424BD3">
        <w:fldChar w:fldCharType="separate"/>
      </w:r>
      <w:r w:rsidR="00040D8E" w:rsidRPr="00424BD3">
        <w:rPr>
          <w:rFonts w:cs="Arial"/>
        </w:rPr>
        <w:t>(AHRQ, 2016; AMA, 2022; Cyr et al., 2019; Douthit et al., 2015; Lavizzo-Mourey et al., 2021; McMaughan et al., 2020; Ndugga &amp; Artiga, 2021; ODPHP, 2022; Riley, 2012; Trinh et al., 2017)</w:t>
      </w:r>
      <w:r w:rsidR="00C40CC8" w:rsidRPr="00424BD3">
        <w:fldChar w:fldCharType="end"/>
      </w:r>
      <w:r w:rsidR="002A5849">
        <w:t>.</w:t>
      </w:r>
    </w:p>
    <w:p w14:paraId="73A04390" w14:textId="77777777" w:rsidR="00EA74FC" w:rsidRDefault="00D81843" w:rsidP="004E73CD">
      <w:pPr>
        <w:spacing w:after="0" w:line="480" w:lineRule="auto"/>
        <w:ind w:firstLine="720"/>
        <w:rPr>
          <w:rFonts w:cs="Arial"/>
          <w:szCs w:val="24"/>
        </w:rPr>
      </w:pPr>
      <w:r w:rsidRPr="00424BD3">
        <w:rPr>
          <w:rFonts w:cs="Arial"/>
          <w:szCs w:val="24"/>
        </w:rPr>
        <w:t>Barbara</w:t>
      </w:r>
      <w:r w:rsidR="00E23E1D">
        <w:rPr>
          <w:rFonts w:cs="Arial"/>
          <w:szCs w:val="24"/>
        </w:rPr>
        <w:t xml:space="preserve"> discussed health disparities in relation to access, including job, income, and </w:t>
      </w:r>
      <w:r w:rsidR="00EA74FC">
        <w:rPr>
          <w:rFonts w:cs="Arial"/>
          <w:szCs w:val="24"/>
        </w:rPr>
        <w:t>parity, as well as the lack of health awareness and health education she sees around her:</w:t>
      </w:r>
    </w:p>
    <w:p w14:paraId="50887124" w14:textId="23FC9937" w:rsidR="00D81843" w:rsidRDefault="00D81843" w:rsidP="000126EE">
      <w:pPr>
        <w:spacing w:after="0" w:line="480" w:lineRule="auto"/>
        <w:ind w:left="720"/>
        <w:rPr>
          <w:rFonts w:cs="Arial"/>
          <w:szCs w:val="24"/>
        </w:rPr>
      </w:pPr>
      <w:r w:rsidRPr="00424BD3">
        <w:rPr>
          <w:rFonts w:cs="Arial"/>
          <w:szCs w:val="24"/>
        </w:rPr>
        <w:t>"Health disparities, I think it's…. You know, I thi</w:t>
      </w:r>
      <w:r w:rsidR="0002397A">
        <w:rPr>
          <w:rFonts w:cs="Arial"/>
          <w:szCs w:val="24"/>
        </w:rPr>
        <w:t>n</w:t>
      </w:r>
      <w:r w:rsidRPr="00424BD3">
        <w:rPr>
          <w:rFonts w:cs="Arial"/>
          <w:szCs w:val="24"/>
        </w:rPr>
        <w:t xml:space="preserve">k without a good job and good health care, people cannot take care of themselves because there's just too many...things influencing health nowadays and so...if you don't have access to </w:t>
      </w:r>
      <w:r w:rsidRPr="00424BD3">
        <w:rPr>
          <w:rFonts w:cs="Arial"/>
          <w:szCs w:val="24"/>
        </w:rPr>
        <w:lastRenderedPageBreak/>
        <w:t>healthcare…I just…think it's criminal...I live in Tennessee, so you know even people that receive TennCare, I'm not sure they get the same level of health care that...I got when I paid for my health. It's just the inequalities in access to health care.…</w:t>
      </w:r>
      <w:r w:rsidR="00025344" w:rsidRPr="00424BD3">
        <w:rPr>
          <w:rFonts w:cs="Arial"/>
          <w:szCs w:val="24"/>
        </w:rPr>
        <w:t xml:space="preserve"> It's just inequalities...understanding what is a healthy life</w:t>
      </w:r>
      <w:r w:rsidR="00A4091F">
        <w:rPr>
          <w:rFonts w:cs="Arial"/>
          <w:szCs w:val="24"/>
        </w:rPr>
        <w:t>,</w:t>
      </w:r>
      <w:r w:rsidR="00025344" w:rsidRPr="00424BD3">
        <w:rPr>
          <w:rFonts w:cs="Arial"/>
          <w:szCs w:val="24"/>
        </w:rPr>
        <w:t xml:space="preserve"> and what do we do, how do we maintain it. It bothers me a lot that everybody doesn't have that same level of knowledge.”</w:t>
      </w:r>
    </w:p>
    <w:p w14:paraId="1D693FEE" w14:textId="5CFD5F9B" w:rsidR="00D81843" w:rsidRDefault="00B83258" w:rsidP="004E73CD">
      <w:pPr>
        <w:spacing w:after="0" w:line="480" w:lineRule="auto"/>
        <w:ind w:firstLine="720"/>
        <w:rPr>
          <w:rFonts w:cs="Arial"/>
          <w:szCs w:val="24"/>
        </w:rPr>
      </w:pPr>
      <w:r>
        <w:rPr>
          <w:rFonts w:cs="Arial"/>
          <w:szCs w:val="24"/>
        </w:rPr>
        <w:t xml:space="preserve">For </w:t>
      </w:r>
      <w:r w:rsidR="00D81843" w:rsidRPr="00424BD3">
        <w:rPr>
          <w:rFonts w:cs="Arial"/>
          <w:szCs w:val="24"/>
        </w:rPr>
        <w:t>Sylvia</w:t>
      </w:r>
      <w:r w:rsidR="00160426">
        <w:rPr>
          <w:rFonts w:cs="Arial"/>
          <w:szCs w:val="24"/>
        </w:rPr>
        <w:t>,</w:t>
      </w:r>
      <w:r>
        <w:rPr>
          <w:rFonts w:cs="Arial"/>
          <w:szCs w:val="24"/>
        </w:rPr>
        <w:t xml:space="preserve"> access </w:t>
      </w:r>
      <w:r w:rsidR="00160426">
        <w:rPr>
          <w:rFonts w:cs="Arial"/>
          <w:szCs w:val="24"/>
        </w:rPr>
        <w:t>to healthcare incorporated the social determinants of income</w:t>
      </w:r>
      <w:r w:rsidR="00062A25">
        <w:rPr>
          <w:rFonts w:cs="Arial"/>
          <w:szCs w:val="24"/>
        </w:rPr>
        <w:t xml:space="preserve">, gender, and racial </w:t>
      </w:r>
      <w:r w:rsidR="00160426">
        <w:rPr>
          <w:rFonts w:cs="Arial"/>
          <w:szCs w:val="24"/>
        </w:rPr>
        <w:t>inequalities</w:t>
      </w:r>
      <w:r w:rsidR="00062A25">
        <w:rPr>
          <w:rFonts w:cs="Arial"/>
          <w:szCs w:val="24"/>
        </w:rPr>
        <w:t>. She</w:t>
      </w:r>
      <w:r w:rsidR="00D81843" w:rsidRPr="00424BD3">
        <w:rPr>
          <w:rFonts w:cs="Arial"/>
          <w:szCs w:val="24"/>
        </w:rPr>
        <w:t xml:space="preserve"> said: “I think when access to the same level of health care is not available to all…is a major inequality. I think when...certain groups are forced to pay more for health care and, historically, you know, that's been women versus men...at least in my experience. I think when coverage is…different for different parties…that's a problem. I think when you have…physicians that you cannot find of the same sex or the same race…is an inequity."</w:t>
      </w:r>
    </w:p>
    <w:p w14:paraId="301CFFC2" w14:textId="77777777" w:rsidR="008C3679" w:rsidRDefault="00062A25" w:rsidP="004E73CD">
      <w:pPr>
        <w:spacing w:after="0" w:line="480" w:lineRule="auto"/>
        <w:ind w:firstLine="720"/>
        <w:rPr>
          <w:rFonts w:cs="Arial"/>
          <w:szCs w:val="24"/>
        </w:rPr>
      </w:pPr>
      <w:r>
        <w:rPr>
          <w:rFonts w:cs="Arial"/>
          <w:szCs w:val="24"/>
        </w:rPr>
        <w:t xml:space="preserve">Kathryn spoke about the differences in access to healthcare for herself now that she was </w:t>
      </w:r>
      <w:r w:rsidR="00457672">
        <w:rPr>
          <w:rFonts w:cs="Arial"/>
          <w:szCs w:val="24"/>
        </w:rPr>
        <w:t xml:space="preserve">eligible for Medicare, and also discussed </w:t>
      </w:r>
      <w:r w:rsidR="00945A60">
        <w:rPr>
          <w:rFonts w:cs="Arial"/>
          <w:szCs w:val="24"/>
        </w:rPr>
        <w:t xml:space="preserve">placed-based (regional) inequities: </w:t>
      </w:r>
    </w:p>
    <w:p w14:paraId="69C65CBC" w14:textId="18A79BCD" w:rsidR="00D81843" w:rsidRDefault="00D81843" w:rsidP="004E73CD">
      <w:pPr>
        <w:spacing w:after="0" w:line="480" w:lineRule="auto"/>
        <w:ind w:left="720"/>
        <w:rPr>
          <w:rFonts w:cs="Arial"/>
          <w:szCs w:val="24"/>
        </w:rPr>
      </w:pPr>
      <w:r w:rsidRPr="00424BD3">
        <w:rPr>
          <w:rFonts w:cs="Arial"/>
          <w:szCs w:val="24"/>
        </w:rPr>
        <w:t>"Well, I think, I'm…lucky now because I'm on Medicare, and I have access to good…affordable health care, but I know there have been times when I didn't. There have been times when I didn't have the money. I think that's just the pathetic thing, that money is what means health. Access to healthcare, affordable health care is not available for everybody. That's just sad and pathetic. A lot of it is financial. I think, definitely, there's a racial inequality. There's also probably regional</w:t>
      </w:r>
      <w:r w:rsidR="00B32E1F">
        <w:rPr>
          <w:rFonts w:cs="Arial"/>
          <w:szCs w:val="24"/>
        </w:rPr>
        <w:t xml:space="preserve"> [sic]</w:t>
      </w:r>
      <w:r w:rsidRPr="00424BD3">
        <w:rPr>
          <w:rFonts w:cs="Arial"/>
          <w:szCs w:val="24"/>
        </w:rPr>
        <w:t>, and if you're rural, you know hospitals are closing…There's an economic inequality.”</w:t>
      </w:r>
    </w:p>
    <w:p w14:paraId="78DB0A90" w14:textId="6F578B98" w:rsidR="00457672" w:rsidRPr="00424BD3" w:rsidRDefault="00457672" w:rsidP="00457672">
      <w:pPr>
        <w:spacing w:after="0" w:line="480" w:lineRule="auto"/>
        <w:ind w:firstLine="720"/>
        <w:rPr>
          <w:rFonts w:cs="Arial"/>
          <w:szCs w:val="24"/>
        </w:rPr>
      </w:pPr>
      <w:r>
        <w:rPr>
          <w:rFonts w:cs="Arial"/>
          <w:szCs w:val="24"/>
        </w:rPr>
        <w:lastRenderedPageBreak/>
        <w:t xml:space="preserve">Barbara’s, Sylvia’s, and Kathryn’s explanations of what </w:t>
      </w:r>
      <w:r w:rsidR="0022112F">
        <w:rPr>
          <w:rFonts w:cs="Arial"/>
          <w:szCs w:val="24"/>
        </w:rPr>
        <w:t>their</w:t>
      </w:r>
      <w:r>
        <w:rPr>
          <w:rFonts w:cs="Arial"/>
          <w:szCs w:val="24"/>
        </w:rPr>
        <w:t xml:space="preserve"> definition of health inequities / inequalities / disparities is shows the complicated, contextualized, and overlapping nature of how people may describe health inequities. Their definitions </w:t>
      </w:r>
      <w:r w:rsidR="002E5616">
        <w:rPr>
          <w:rFonts w:cs="Arial"/>
          <w:szCs w:val="24"/>
        </w:rPr>
        <w:t>include</w:t>
      </w:r>
      <w:r>
        <w:rPr>
          <w:rFonts w:cs="Arial"/>
          <w:szCs w:val="24"/>
        </w:rPr>
        <w:t xml:space="preserve"> social determinants of health, from jobs to health literacy to access to </w:t>
      </w:r>
      <w:r w:rsidR="0022525D">
        <w:rPr>
          <w:rFonts w:cs="Arial"/>
          <w:szCs w:val="24"/>
        </w:rPr>
        <w:t xml:space="preserve">spatial (place-based), </w:t>
      </w:r>
      <w:r>
        <w:rPr>
          <w:rFonts w:cs="Arial"/>
          <w:szCs w:val="24"/>
        </w:rPr>
        <w:t>income, gender</w:t>
      </w:r>
      <w:r w:rsidR="00A249B5">
        <w:rPr>
          <w:rFonts w:cs="Arial"/>
          <w:szCs w:val="24"/>
        </w:rPr>
        <w:t>,</w:t>
      </w:r>
      <w:r>
        <w:rPr>
          <w:rFonts w:cs="Arial"/>
          <w:szCs w:val="24"/>
        </w:rPr>
        <w:t xml:space="preserve"> and racial inequalities, without ever </w:t>
      </w:r>
      <w:r w:rsidR="004937F1">
        <w:rPr>
          <w:rFonts w:cs="Arial"/>
          <w:szCs w:val="24"/>
        </w:rPr>
        <w:t xml:space="preserve">defining </w:t>
      </w:r>
      <w:r w:rsidR="00CE721A">
        <w:rPr>
          <w:rFonts w:cs="Arial"/>
          <w:szCs w:val="24"/>
        </w:rPr>
        <w:t>health inequities in the terms</w:t>
      </w:r>
      <w:r>
        <w:rPr>
          <w:rFonts w:cs="Arial"/>
          <w:szCs w:val="24"/>
        </w:rPr>
        <w:t xml:space="preserve"> the medical profession and researchers use. </w:t>
      </w:r>
      <w:r w:rsidR="002C03BF">
        <w:rPr>
          <w:rFonts w:cs="Arial"/>
          <w:szCs w:val="24"/>
        </w:rPr>
        <w:t xml:space="preserve">These are </w:t>
      </w:r>
      <w:r>
        <w:rPr>
          <w:rFonts w:cs="Arial"/>
          <w:szCs w:val="24"/>
        </w:rPr>
        <w:t>strong example</w:t>
      </w:r>
      <w:r w:rsidR="002C03BF">
        <w:rPr>
          <w:rFonts w:cs="Arial"/>
          <w:szCs w:val="24"/>
        </w:rPr>
        <w:t>s</w:t>
      </w:r>
      <w:r>
        <w:rPr>
          <w:rFonts w:cs="Arial"/>
          <w:szCs w:val="24"/>
        </w:rPr>
        <w:t xml:space="preserve">, as will be seen throughout these findings, of the both the gap and the common ground between the way medical professionals and researchers define and create policies and interventions around health inequities, and the way ‘laypeople’ – in this case older women – understand them and perceive them in their daily lives. </w:t>
      </w:r>
    </w:p>
    <w:p w14:paraId="07F707AB" w14:textId="5C21DBB4" w:rsidR="00B667FC" w:rsidRDefault="00CD2106" w:rsidP="00F6050E">
      <w:pPr>
        <w:spacing w:after="0" w:line="480" w:lineRule="auto"/>
        <w:ind w:firstLine="720"/>
        <w:rPr>
          <w:rFonts w:cs="Arial"/>
          <w:szCs w:val="24"/>
        </w:rPr>
      </w:pPr>
      <w:r w:rsidRPr="00424BD3">
        <w:t>Most</w:t>
      </w:r>
      <w:r w:rsidR="00E06DD0">
        <w:t xml:space="preserve"> of the women</w:t>
      </w:r>
      <w:r w:rsidRPr="00424BD3">
        <w:t xml:space="preserve"> also mentioned </w:t>
      </w:r>
      <w:r w:rsidR="00EE7DC2" w:rsidRPr="00424BD3">
        <w:t>inequitable</w:t>
      </w:r>
      <w:r w:rsidRPr="00424BD3">
        <w:t xml:space="preserve"> treatment </w:t>
      </w:r>
      <w:r w:rsidR="00EE7DC2" w:rsidRPr="00424BD3">
        <w:t xml:space="preserve">via </w:t>
      </w:r>
      <w:r w:rsidRPr="00424BD3">
        <w:t>systemic discrimination (sexism, racism, ageism, classism; ableism; economics) against women, especially poor and</w:t>
      </w:r>
      <w:r w:rsidR="001D0642">
        <w:t xml:space="preserve"> </w:t>
      </w:r>
      <w:r w:rsidRPr="00424BD3">
        <w:t>/</w:t>
      </w:r>
      <w:r w:rsidR="001D0642">
        <w:t xml:space="preserve"> </w:t>
      </w:r>
      <w:r w:rsidRPr="00424BD3">
        <w:t>or racialized women</w:t>
      </w:r>
      <w:r w:rsidR="00483F6A" w:rsidRPr="00424BD3">
        <w:t xml:space="preserve"> </w:t>
      </w:r>
      <w:r w:rsidR="00FF5191" w:rsidRPr="00424BD3">
        <w:t xml:space="preserve">which confirms Krieger’s </w:t>
      </w:r>
      <w:r w:rsidR="008A638A" w:rsidRPr="00424BD3">
        <w:t>ecosocial</w:t>
      </w:r>
      <w:r w:rsidR="00041ABD" w:rsidRPr="00424BD3">
        <w:t xml:space="preserve"> theory arguments </w:t>
      </w:r>
      <w:r w:rsidR="006D4A4D" w:rsidRPr="00424BD3">
        <w:t xml:space="preserve">on the nature of </w:t>
      </w:r>
      <w:r w:rsidR="00AE0AAF" w:rsidRPr="00424BD3">
        <w:t>health inequities</w:t>
      </w:r>
      <w:r w:rsidR="00DD0D57" w:rsidRPr="00424BD3">
        <w:t>, the causal factors thereof,</w:t>
      </w:r>
      <w:r w:rsidR="00AE0AAF" w:rsidRPr="00424BD3">
        <w:t xml:space="preserve"> and embodied injustice </w:t>
      </w:r>
      <w:r w:rsidR="00DD0D57" w:rsidRPr="00424BD3">
        <w:fldChar w:fldCharType="begin"/>
      </w:r>
      <w:r w:rsidR="00990F3A">
        <w:instrText xml:space="preserve"> ADDIN ZOTERO_ITEM CSL_CITATION {"citationID":"mTTFCppN","properties":{"formattedCitation":"(Krieger, 2021)","plainCitation":"(Krieger, 2021)","noteIndex":0},"citationItems":[{"id":1320,"uris":["http://zotero.org/users/4946941/items/9QDS3PCA"],"itemData":{"id":1320,"type":"book","abstract":"From public health luminary Nancy Krieger comes a revolutionary way of addressing health justice and the embodied truths of lived experience. Since the 1700s, fierce debates in medicine and public health have centered around whether sources of ill health can be attributed to either the individual or the surrounding body politic. But what if instead health researchers measure--and policies address--how people biologically embody theirsocietal and ecological context? Ecosocial Theory, Embodied Truths, and the People's Health represents a daring new foray into analyzing how population patterns of health reveal the intersections of lived experience and biology in historical context. Expanding on Nancy Krieger's original ecosocial theory of disease distribution, this volume lays new theoretical groundwork about embodiment and health justice through concrete and novel examples involving pathways such as workplace discrimination, relationship abuse, Jim Crow, police violence, pesticides, fracking, green space, and climate change. It offers a crucialcounterargument to dominant biomedical and public health narratives attributing causality to either innate biology or decontextualized health behaviors and provides a key step forward towards understanding and addressing the structural drivers of health inequities and health justice. Bridging insights from politics, history, sociology, ecology, biology, and public health, Ecosocial Theory, Embodied Truths, and the People's Health presents a bold new framework to transform biomedical and population health thinking, practice, and policies and to advance health equity across adeeply threatened planet.","ISBN":"978-0-19-751072-8","language":"en","note":"Google-Books-ID: 6n0_EAAAQBAJ","number-of-pages":"353","publisher":"Oxford University Press","source":"Google Books","title":"Ecosocial Theory, Embodied Truths, and the People's Health","author":[{"family":"Krieger","given":"Nancy"}],"issued":{"date-parts":[["2021"]]}}}],"schema":"https://github.com/citation-style-language/schema/raw/master/csl-citation.json"} </w:instrText>
      </w:r>
      <w:r w:rsidR="00DD0D57" w:rsidRPr="00424BD3">
        <w:fldChar w:fldCharType="separate"/>
      </w:r>
      <w:r w:rsidR="00DD0D57" w:rsidRPr="00424BD3">
        <w:rPr>
          <w:rFonts w:cs="Arial"/>
        </w:rPr>
        <w:t>(Krieger, 2021)</w:t>
      </w:r>
      <w:r w:rsidR="00DD0D57" w:rsidRPr="00424BD3">
        <w:fldChar w:fldCharType="end"/>
      </w:r>
      <w:r w:rsidR="00DD0D57" w:rsidRPr="00424BD3">
        <w:t>.</w:t>
      </w:r>
      <w:r w:rsidR="005D1495">
        <w:rPr>
          <w:rFonts w:cs="Arial"/>
          <w:szCs w:val="24"/>
        </w:rPr>
        <w:t xml:space="preserve"> </w:t>
      </w:r>
      <w:r w:rsidR="0010754B" w:rsidRPr="00424BD3">
        <w:rPr>
          <w:rFonts w:cs="Arial"/>
          <w:szCs w:val="24"/>
        </w:rPr>
        <w:t>Peggy said, "We're [women] all supposed to shut up and get back in the kitchen or back in the servant's quarters</w:t>
      </w:r>
      <w:r w:rsidR="00B667FC">
        <w:rPr>
          <w:rFonts w:cs="Arial"/>
          <w:szCs w:val="24"/>
        </w:rPr>
        <w:t>.”</w:t>
      </w:r>
    </w:p>
    <w:p w14:paraId="7589D1D9" w14:textId="31CED4D0" w:rsidR="0010754B" w:rsidRPr="00424BD3" w:rsidRDefault="008D3C6F" w:rsidP="00F6050E">
      <w:pPr>
        <w:spacing w:after="0" w:line="480" w:lineRule="auto"/>
        <w:ind w:firstLine="720"/>
      </w:pPr>
      <w:r w:rsidRPr="00424BD3">
        <w:t>Some spoke about clinician</w:t>
      </w:r>
      <w:r w:rsidR="001D0642">
        <w:t xml:space="preserve"> </w:t>
      </w:r>
      <w:r w:rsidRPr="00424BD3">
        <w:t>/</w:t>
      </w:r>
      <w:r w:rsidR="001D0642">
        <w:t xml:space="preserve"> </w:t>
      </w:r>
      <w:r w:rsidRPr="00424BD3">
        <w:t>medical professional profiling regarding one’s knowledge, capability and understanding</w:t>
      </w:r>
      <w:r w:rsidR="007316C2" w:rsidRPr="00424BD3">
        <w:t xml:space="preserve"> </w:t>
      </w:r>
      <w:r w:rsidR="000B0F8C" w:rsidRPr="00424BD3">
        <w:rPr>
          <w:rFonts w:cs="Arial"/>
          <w:color w:val="000000"/>
        </w:rPr>
        <w:t>of their own bodies and health or health issues in general</w:t>
      </w:r>
      <w:r w:rsidR="0038384F" w:rsidRPr="00424BD3">
        <w:rPr>
          <w:rFonts w:cs="Arial"/>
          <w:color w:val="000000"/>
        </w:rPr>
        <w:t xml:space="preserve">, an issue which has also been </w:t>
      </w:r>
      <w:r w:rsidR="008B613F" w:rsidRPr="00424BD3">
        <w:rPr>
          <w:rFonts w:cs="Arial"/>
          <w:color w:val="000000"/>
        </w:rPr>
        <w:t xml:space="preserve">discussed in recent literature regarding the need for more gender-focused medical education </w:t>
      </w:r>
      <w:r w:rsidR="008B613F" w:rsidRPr="00424BD3">
        <w:rPr>
          <w:rFonts w:cs="Arial"/>
          <w:color w:val="000000"/>
        </w:rPr>
        <w:fldChar w:fldCharType="begin"/>
      </w:r>
      <w:r w:rsidR="00990F3A">
        <w:rPr>
          <w:rFonts w:cs="Arial"/>
          <w:color w:val="000000"/>
        </w:rPr>
        <w:instrText xml:space="preserve"> ADDIN ZOTERO_ITEM CSL_CITATION {"citationID":"gDG8EIqt","properties":{"formattedCitation":"(Yang, 2020)","plainCitation":"(Yang, 2020)","noteIndex":0},"citationItems":[{"id":1322,"uris":["http://zotero.org/users/4946941/items/QQBPBB86"],"itemData":{"id":1322,"type":"article-journal","abstract":"This study focused on gender education for medical and nursing students, because gender competency is essential for them to provide effective and appropriate healthcare and to promote equal rights to health. A questionnaire was administered to 50 health care professionals to explore the gender concepts and gender knowledge that they deem imperative and often teach to medical and nursing undergraduate students in class. Sexism, gender awareness, sexual harassment, the topics of three acts related to gender equity, and patriarchy are the gender concepts participants deemed most crucial for students to learn and understand. However, disparities were noted between the gender concepts frequently taught by the participants and the gender knowledge they considered essential for students. The 50 experts emphasized teaching the concept of patriarchy and the cultivation of students’ structural competency in addition to identifying directions for gender, medical, and health care education. By highlighting the key gender-related concepts, the present research findings may benefit teachers who intend to integrate gender into the curriculum but are limited by time constraints. The results offer a professional development direction for teachers endeavoring to incorporate gender into the curriculum and their teaching.","container-title":"International Journal of Environmental Research and Public Health","DOI":"10.3390/ijerph17186555","ISSN":"1660-4601","issue":"18","language":"en","license":"http://creativecommons.org/licenses/by/3.0/","note":"number: 18\npublisher: Multidisciplinary Digital Publishing Institute","page":"6555","source":"www.mdpi.com","title":"What Should Be Taught and What Is Taught: Integrating Gender into Medical and Health Professions Education for Medical and Nursing Students","title-short":"What Should Be Taught and What Is Taught","volume":"17","author":[{"family":"Yang","given":"Hsing-Chen"}],"issued":{"date-parts":[["2020",1]]}}}],"schema":"https://github.com/citation-style-language/schema/raw/master/csl-citation.json"} </w:instrText>
      </w:r>
      <w:r w:rsidR="008B613F" w:rsidRPr="00424BD3">
        <w:rPr>
          <w:rFonts w:cs="Arial"/>
          <w:color w:val="000000"/>
        </w:rPr>
        <w:fldChar w:fldCharType="separate"/>
      </w:r>
      <w:r w:rsidR="008B613F" w:rsidRPr="00424BD3">
        <w:rPr>
          <w:rFonts w:cs="Arial"/>
        </w:rPr>
        <w:t>(Yang, 2020)</w:t>
      </w:r>
      <w:r w:rsidR="008B613F" w:rsidRPr="00424BD3">
        <w:rPr>
          <w:rFonts w:cs="Arial"/>
          <w:color w:val="000000"/>
        </w:rPr>
        <w:fldChar w:fldCharType="end"/>
      </w:r>
      <w:r w:rsidR="000B0F8C" w:rsidRPr="00424BD3">
        <w:t xml:space="preserve">. </w:t>
      </w:r>
      <w:r w:rsidRPr="00424BD3">
        <w:t>Anita spoke about</w:t>
      </w:r>
      <w:r w:rsidR="005D1495">
        <w:t xml:space="preserve"> this </w:t>
      </w:r>
      <w:r w:rsidRPr="00424BD3">
        <w:t>as</w:t>
      </w:r>
      <w:r w:rsidR="001D25E4">
        <w:t xml:space="preserve"> a Black woman who</w:t>
      </w:r>
      <w:r w:rsidRPr="00424BD3">
        <w:t xml:space="preserve"> experienc</w:t>
      </w:r>
      <w:r w:rsidR="001D25E4">
        <w:t>es</w:t>
      </w:r>
      <w:r w:rsidRPr="00424BD3">
        <w:t xml:space="preserve"> gender-and-race-based </w:t>
      </w:r>
      <w:r w:rsidR="003D6356" w:rsidRPr="00424BD3">
        <w:t>inequitable</w:t>
      </w:r>
      <w:r w:rsidRPr="00424BD3">
        <w:t xml:space="preserve"> clinical treatment</w:t>
      </w:r>
      <w:r w:rsidR="00774220" w:rsidRPr="00424BD3">
        <w:t xml:space="preserve">, </w:t>
      </w:r>
      <w:r w:rsidR="001D25E4">
        <w:t>highlighting what has been well-</w:t>
      </w:r>
      <w:r w:rsidR="009A4185" w:rsidRPr="00424BD3">
        <w:t xml:space="preserve">cited in </w:t>
      </w:r>
      <w:r w:rsidR="006B0DE2" w:rsidRPr="00424BD3">
        <w:t>the</w:t>
      </w:r>
      <w:r w:rsidR="009A4185" w:rsidRPr="00424BD3">
        <w:t xml:space="preserve"> literature </w:t>
      </w:r>
      <w:r w:rsidR="00FB3545" w:rsidRPr="00424BD3">
        <w:t xml:space="preserve">on </w:t>
      </w:r>
      <w:r w:rsidR="00DE7993" w:rsidRPr="00424BD3">
        <w:t xml:space="preserve">inequitable and </w:t>
      </w:r>
      <w:r w:rsidR="00FB3545" w:rsidRPr="00424BD3">
        <w:t xml:space="preserve">discriminatory barriers </w:t>
      </w:r>
      <w:r w:rsidR="00DE7993" w:rsidRPr="00424BD3">
        <w:t>to care for older women</w:t>
      </w:r>
      <w:r w:rsidR="00496B9D" w:rsidRPr="00424BD3">
        <w:t>, especially racialized women</w:t>
      </w:r>
      <w:r w:rsidR="009A4185" w:rsidRPr="00424BD3">
        <w:t xml:space="preserve"> </w:t>
      </w:r>
      <w:r w:rsidR="00D62951" w:rsidRPr="00424BD3">
        <w:fldChar w:fldCharType="begin"/>
      </w:r>
      <w:r w:rsidR="00D52B29">
        <w:instrText xml:space="preserve"> ADDIN ZOTERO_ITEM CSL_CITATION {"citationID":"SqVQKunG","properties":{"formattedCitation":"(Arber, 2006; Bierman &amp; Clancy, 2001; CAB, 2017; McGuire et al., 2008; Velez et al., 2019; WHO, 2007)","plainCitation":"(Arber, 2006; Bierman &amp; Clancy, 2001; CAB, 2017; McGuire et al., 2008; Velez et al., 2019; WHO, 2007)","noteIndex":0},"citationItems":[{"id":583,"uris":["http://zotero.org/users/4946941/items/65XXARN7"],"itemData":{"id":583,"type":"chapter","container-title":"Ageing and diversity: Multiple pathways and cultural migrations","event-place":"Britol","page":"61-76","publisher":"Policy Press","publisher-place":"Britol","title":"Gender trajectories: How age and marital status influence patterns of gender inequality in later life","author":[{"family":"Arber","given":"Sara"}],"issued":{"date-parts":[["2006"]]}}},{"id":605,"uris":["http://zotero.org/users/4946941/items/I97EFADJ"],"itemData":{"id":605,"type":"article-journal","abstract":"Older women experience a high burden of chronic illness, disability, and comorbidity, and this burden is highest among socioeconomically disadvantaged and minority women. The consequences of a mismatch between the organization, delivery, and financing of health care for older women and their actual needs fall disproportionately on low-income and minority women. New sources of data, such as the Medicare Health Outcomes Survey, a new quality measure for Medicare+Choice plans, will provide valuable information to practitioners about the health and functioning of older women in general and about socioeconomically disadvantaged and minority women in particular. This information can be used to develop and implement interventions to improve the quality and outcomes of care for vulnerable subgroups of older women. There is cause for optimism that by improving the quality of clinical preventive services and the management of common chronic conditions and geriatric syndromes it will be possible to improve functional health outcomes, prevent or postpone disability, and extend active life expectancy for all older women while making progress toward eliminating health disparities among the most disadvantaged.","container-title":"Journal of the American Medical Women's Association (1972)","ISSN":"1551-8221","issue":"4","journalAbbreviation":"J Am Med Womens Assoc (1972)","language":"eng","note":"PMID: 11759783","page":"155-9, 188","source":"Europe PMC","title":"Health disparities among older women: identifying opportunities to improve quality of care and functional health outcomes","title-short":"Health disparities among older women","volume":"56","author":[{"family":"Bierman","given":"A S"},{"family":"Clancy","given":"C M"}],"issued":{"date-parts":[["2001",1,1]]}}},{"id":930,"uris":["http://zotero.org/users/4946941/items/YP85Q6HX"],"itemData":{"id":930,"type":"document","language":"https://www.ageing-better.org.uk/sites/default/files/2017-12/Inequalities%20insight%20report.pdf","publisher":"Centre for Ageing Better (CAB)","title":"Inequalities in Later Life. The issue and the implications for policy and practice.","author":[{"family":"CAB","given":""}],"issued":{"date-parts":[["2017"]]}}},{"id":731,"uris":["http://zotero.org/users/4946941/items/N6KN4GF3"],"itemData":{"id":731,"type":"article-journal","container-title":"Nursing &amp; Health Sciences","DOI":"10.1111/j.1442-2018.2007.00336.x","issue":"1","language":"en","page":"11–16","title":"Ageism revisited: A study measuring ageism in East Tennessee, USA","volume":"10","author":[{"family":"McGuire","given":"S.L."},{"family":"Klein","given":"D.A."},{"family":"Chen","given":"S.L."}],"issued":{"date-parts":[["2008"]]}}},{"id":854,"uris":["http://zotero.org/users/4946941/items/9LK9FFXH"],"itemData":{"id":854,"type":"article-journal","container-title":"Data in brief","language":"en","page":"103811","title":"Data on the association between age at natural menopause and physical function in older women from the International Mobility in Aging Study (IMIAS","volume":"23","author":[{"family":"Velez","given":"M.P."},{"family":"Rosendaal","given":"N."},{"family":"Alvarado","given":"B."},{"family":"Câmara","given":"S."},{"family":"Belanger","given":"E."},{"family":"Pirkle","given":"C.M."}],"issued":{"date-parts":[["2019"]]}}},{"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00D62951" w:rsidRPr="00424BD3">
        <w:fldChar w:fldCharType="separate"/>
      </w:r>
      <w:r w:rsidR="00D62951" w:rsidRPr="00424BD3">
        <w:rPr>
          <w:rFonts w:cs="Arial"/>
        </w:rPr>
        <w:t xml:space="preserve">(Arber, </w:t>
      </w:r>
      <w:r w:rsidR="00D62951" w:rsidRPr="00424BD3">
        <w:rPr>
          <w:rFonts w:cs="Arial"/>
        </w:rPr>
        <w:lastRenderedPageBreak/>
        <w:t>2006; Bierman &amp; Clancy, 2001; CAB, 2017; McGuire et al., 2008; Velez et al., 2019; WHO, 2007)</w:t>
      </w:r>
      <w:r w:rsidR="00D62951" w:rsidRPr="00424BD3">
        <w:fldChar w:fldCharType="end"/>
      </w:r>
      <w:r w:rsidR="00826860" w:rsidRPr="00424BD3">
        <w:t>.</w:t>
      </w:r>
    </w:p>
    <w:p w14:paraId="35FCDB41" w14:textId="1E03B779" w:rsidR="008D3C6F" w:rsidRPr="00424BD3" w:rsidRDefault="008D3C6F" w:rsidP="000126EE">
      <w:pPr>
        <w:spacing w:after="0" w:line="480" w:lineRule="auto"/>
        <w:ind w:left="720"/>
        <w:rPr>
          <w:rFonts w:cs="Arial"/>
          <w:szCs w:val="24"/>
        </w:rPr>
      </w:pPr>
      <w:r w:rsidRPr="00424BD3">
        <w:rPr>
          <w:rFonts w:cs="Arial"/>
          <w:szCs w:val="24"/>
        </w:rPr>
        <w:t>"I tend to think …health inequities or disparities is when you go to…medical…professions. Sometimes they make assumptions about your knowledge or your capability or your understanding, and they don't give you, as your first choice, things that really would resolve the issue. They tend to assume that they know what's best, and on that best list is never the best technologies. That's just...my experience, based on...my encounters. I think</w:t>
      </w:r>
      <w:r w:rsidR="009703DF">
        <w:rPr>
          <w:rFonts w:cs="Arial"/>
          <w:szCs w:val="24"/>
        </w:rPr>
        <w:t xml:space="preserve"> </w:t>
      </w:r>
      <w:r w:rsidRPr="00424BD3">
        <w:rPr>
          <w:rFonts w:cs="Arial"/>
          <w:szCs w:val="24"/>
        </w:rPr>
        <w:t xml:space="preserve">too many...physicians…believe that... you don't really understand what's going on, with your own body. I think what has happened because </w:t>
      </w:r>
      <w:r w:rsidR="0090373B" w:rsidRPr="00424BD3">
        <w:rPr>
          <w:rFonts w:cs="Arial"/>
          <w:szCs w:val="24"/>
        </w:rPr>
        <w:t>Blacks</w:t>
      </w:r>
      <w:r w:rsidR="003B7ED4">
        <w:rPr>
          <w:rFonts w:cs="Arial"/>
          <w:szCs w:val="24"/>
        </w:rPr>
        <w:t xml:space="preserve"> </w:t>
      </w:r>
      <w:r w:rsidR="000B0F8C" w:rsidRPr="00424BD3">
        <w:rPr>
          <w:rFonts w:cs="Arial"/>
          <w:szCs w:val="24"/>
        </w:rPr>
        <w:t xml:space="preserve">[sic] </w:t>
      </w:r>
      <w:r w:rsidRPr="00424BD3">
        <w:rPr>
          <w:rFonts w:cs="Arial"/>
          <w:szCs w:val="24"/>
        </w:rPr>
        <w:t>additionally don't trust the physicians because</w:t>
      </w:r>
      <w:r w:rsidR="009703DF">
        <w:rPr>
          <w:rFonts w:cs="Arial"/>
          <w:szCs w:val="24"/>
        </w:rPr>
        <w:t>...</w:t>
      </w:r>
      <w:r w:rsidR="000E77EF">
        <w:rPr>
          <w:rFonts w:cs="Arial"/>
          <w:szCs w:val="24"/>
        </w:rPr>
        <w:t xml:space="preserve">[there are] </w:t>
      </w:r>
      <w:r w:rsidRPr="00424BD3">
        <w:rPr>
          <w:rFonts w:cs="Arial"/>
          <w:szCs w:val="24"/>
        </w:rPr>
        <w:t>too many stories are out there about encounters that have not gone well</w:t>
      </w:r>
      <w:r w:rsidR="000E77EF">
        <w:rPr>
          <w:rFonts w:cs="Arial"/>
          <w:szCs w:val="24"/>
        </w:rPr>
        <w:t xml:space="preserve">. </w:t>
      </w:r>
      <w:r w:rsidRPr="00424BD3">
        <w:rPr>
          <w:rFonts w:cs="Arial"/>
          <w:szCs w:val="24"/>
        </w:rPr>
        <w:t xml:space="preserve">I try and be straightforward, so when it comes to my health or anything, I'm going to do my homework, and then I'm going to, engage in a conversation until I understand what you're trying to...tell me, and that doesn't necessarily occur all the time in a relationship with </w:t>
      </w:r>
      <w:r w:rsidR="0090373B" w:rsidRPr="00424BD3">
        <w:rPr>
          <w:rFonts w:cs="Arial"/>
          <w:szCs w:val="24"/>
        </w:rPr>
        <w:t>Blacks</w:t>
      </w:r>
      <w:r w:rsidR="00BC7C2B" w:rsidRPr="00424BD3">
        <w:rPr>
          <w:rFonts w:cs="Arial"/>
          <w:szCs w:val="24"/>
        </w:rPr>
        <w:t xml:space="preserve"> </w:t>
      </w:r>
      <w:r w:rsidR="0090373B" w:rsidRPr="00424BD3">
        <w:rPr>
          <w:rFonts w:cs="Arial"/>
          <w:szCs w:val="24"/>
        </w:rPr>
        <w:t>[sic]</w:t>
      </w:r>
      <w:r w:rsidRPr="00424BD3">
        <w:rPr>
          <w:rFonts w:cs="Arial"/>
          <w:szCs w:val="24"/>
        </w:rPr>
        <w:t xml:space="preserve"> and other whites. I think there is a belief that...your best interests are not necessarily, you know, what's the agenda for them</w:t>
      </w:r>
      <w:r w:rsidR="006A6AC4" w:rsidRPr="006A6AC4">
        <w:rPr>
          <w:rFonts w:cs="Arial"/>
          <w:color w:val="000000" w:themeColor="text1"/>
          <w:szCs w:val="24"/>
        </w:rPr>
        <w:t xml:space="preserve"> </w:t>
      </w:r>
      <w:r w:rsidR="006A6AC4" w:rsidRPr="00424BD3">
        <w:rPr>
          <w:rFonts w:cs="Arial"/>
          <w:color w:val="000000" w:themeColor="text1"/>
          <w:szCs w:val="24"/>
        </w:rPr>
        <w:t>…where people have been taken advantage of because they are believed to [not] have any…influence</w:t>
      </w:r>
      <w:r w:rsidR="006A6AC4" w:rsidRPr="00424BD3">
        <w:rPr>
          <w:rFonts w:cs="Arial"/>
          <w:iCs/>
          <w:color w:val="000000" w:themeColor="text1"/>
          <w:szCs w:val="24"/>
        </w:rPr>
        <w:t>…</w:t>
      </w:r>
      <w:r w:rsidR="006A6AC4" w:rsidRPr="00424BD3">
        <w:rPr>
          <w:rFonts w:cs="Arial"/>
          <w:color w:val="000000" w:themeColor="text1"/>
          <w:szCs w:val="24"/>
        </w:rPr>
        <w:t>”</w:t>
      </w:r>
    </w:p>
    <w:p w14:paraId="72EA2560" w14:textId="3C400BA2" w:rsidR="007C54DB" w:rsidRDefault="00255847" w:rsidP="007C54DB">
      <w:pPr>
        <w:spacing w:after="0" w:line="480" w:lineRule="auto"/>
        <w:ind w:firstLine="720"/>
        <w:rPr>
          <w:rFonts w:cs="Arial"/>
          <w:color w:val="000000" w:themeColor="text1"/>
          <w:szCs w:val="24"/>
        </w:rPr>
      </w:pPr>
      <w:r>
        <w:rPr>
          <w:rFonts w:cs="Arial"/>
          <w:szCs w:val="24"/>
        </w:rPr>
        <w:t>Anita’s comments</w:t>
      </w:r>
      <w:r w:rsidR="00D81843" w:rsidRPr="00424BD3">
        <w:rPr>
          <w:rFonts w:cs="Arial"/>
          <w:szCs w:val="24"/>
        </w:rPr>
        <w:t xml:space="preserve"> </w:t>
      </w:r>
      <w:r>
        <w:rPr>
          <w:rFonts w:cs="Arial"/>
          <w:szCs w:val="24"/>
        </w:rPr>
        <w:t>illustrate how relationships of</w:t>
      </w:r>
      <w:r w:rsidR="006A6AC4">
        <w:rPr>
          <w:rFonts w:cs="Arial"/>
          <w:szCs w:val="24"/>
        </w:rPr>
        <w:t xml:space="preserve"> gendered, class and racialized</w:t>
      </w:r>
      <w:r>
        <w:rPr>
          <w:rFonts w:cs="Arial"/>
          <w:szCs w:val="24"/>
        </w:rPr>
        <w:t xml:space="preserve"> power, one of the </w:t>
      </w:r>
      <w:r w:rsidR="00D81843" w:rsidRPr="00424BD3">
        <w:rPr>
          <w:rFonts w:cs="Arial"/>
          <w:szCs w:val="24"/>
        </w:rPr>
        <w:t xml:space="preserve">three major components of the drivers of inequities, </w:t>
      </w:r>
      <w:r>
        <w:rPr>
          <w:rFonts w:cs="Arial"/>
          <w:szCs w:val="24"/>
        </w:rPr>
        <w:t>in which both patient and doctor assume specific roles and make particular assumptions from their positionality</w:t>
      </w:r>
      <w:r w:rsidR="00F6050E">
        <w:rPr>
          <w:rFonts w:cs="Arial"/>
          <w:szCs w:val="24"/>
        </w:rPr>
        <w:t>,</w:t>
      </w:r>
      <w:r>
        <w:rPr>
          <w:rFonts w:cs="Arial"/>
          <w:szCs w:val="24"/>
        </w:rPr>
        <w:t xml:space="preserve"> can create </w:t>
      </w:r>
      <w:r w:rsidR="006A6AC4">
        <w:rPr>
          <w:rFonts w:cs="Arial"/>
          <w:szCs w:val="24"/>
        </w:rPr>
        <w:t>a dynamic of distrust and the threat of potential abuse</w:t>
      </w:r>
      <w:r w:rsidR="007C54DB">
        <w:rPr>
          <w:rFonts w:cs="Arial"/>
          <w:szCs w:val="24"/>
        </w:rPr>
        <w:t xml:space="preserve"> </w:t>
      </w:r>
      <w:r w:rsidR="00082A7C" w:rsidRPr="00424BD3">
        <w:rPr>
          <w:rFonts w:cs="Arial"/>
          <w:color w:val="000000" w:themeColor="text1"/>
          <w:szCs w:val="24"/>
        </w:rPr>
        <w:lastRenderedPageBreak/>
        <w:fldChar w:fldCharType="begin"/>
      </w:r>
      <w:r w:rsidR="00990F3A">
        <w:rPr>
          <w:rFonts w:cs="Arial"/>
          <w:color w:val="000000" w:themeColor="text1"/>
          <w:szCs w:val="24"/>
        </w:rPr>
        <w:instrText xml:space="preserve"> ADDIN ZOTERO_ITEM CSL_CITATION {"citationID":"aagHBQ0F","properties":{"formattedCitation":"(Kentikelenis &amp; Rochford, 2019; Kim, 2021; McCartney et al., 2013; Moon, 2019; Plamondon et al., 2020)","plainCitation":"(Kentikelenis &amp; Rochford, 2019; Kim, 2021; McCartney et al., 2013; Moon, 2019; Plamondon et al., 2020)","noteIndex":0},"citationItems":[{"id":1325,"uris":["http://zotero.org/users/4946941/items/XZINHAIR"],"itemData":{"id":1325,"type":"article-journal","abstract":"Recent scholarship has increasingly identified global power asymmetries as the root cause of health inequities. This article examines how such asymmetries manifest in global governance for health, and how this impacts health outcomes.","container-title":"Globalization and Health","DOI":"10.1186/s12992-019-0516-4","ISSN":"1744-8603","issue":"1","journalAbbreviation":"Globalization and Health","page":"70","source":"BioMed Central","title":"Power asymmetries in global governance for health: a conceptual framework for analyzing the political-economic determinants of health inequities","title-short":"Power asymmetries in global governance for health","volume":"15","author":[{"family":"Kentikelenis","given":"Alexander"},{"family":"Rochford","given":"Connor"}],"issued":{"date-parts":[["2019",11,28]]}}},{"id":1332,"uris":["http://zotero.org/users/4946941/items/6ABS7GTP"],"itemData":{"id":1332,"type":"article-journal","abstract":"### Summary box\n\nOne formidable barrier to equity in the global health field is its implicit function of legitimising and reproducing the existing power structure in addition to its explicit goal of improving population health and health equity.\n\nIn October 2019, the Johns Hopkins Bloomberg School of Public Health, Nuclear Threat Initiative, and the Economist Intelligence Unit published the Global Health Security Index.1 An international advisory panel of ‘21 experts from 13 countries ranked 195 countries based on a comprehensive framework of 140 questions, organized across 6 categories, 34 indicators, and 85 subindicators to assess a country’s capability to prevent and mitigate epidemics and pandemics’.1 The USA, the UK and the Netherlands were ranked top 3 countries on the overall score, with the USA ranked first in four out of …","container-title":"BMJ Global Health","DOI":"10.1136/bmjgh-2021-005620","ISSN":"2059-7908","issue":"4","language":"en","license":"© Author(s) (or their employer(s)) 2021.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BMJ Specialist Journals\nsection: Commentary\nPMID: 33853846","page":"e005620","source":"gh.bmj.com","title":"The implicit ideological function of the global health field and its role in maintaining relations of power","volume":"6","author":[{"family":"Kim","given":"Hani"}],"issued":{"date-parts":[["2021",4,1]]}}},{"id":730,"uris":["http://zotero.org/users/4946941/items/EYLGZGKH"],"itemData":{"id":730,"type":"article-journal","container-title":"Health Policy","DOI":"10.1016/j.healthpol.2013.05.021","language":"en","page":"3","title":"What (or who) causes health inequities: Theories, evidence and implications?","volume":"113","author":[{"family":"McCartney","given":"G."},{"family":"Collins","given":"C."},{"family":"Mackenzie","given":"M."}],"issued":{"date-parts":[["2013"]]}}},{"id":1328,"uris":["http://zotero.org/users/4946941/items/EQ773E6A"],"itemData":{"id":1328,"type":"article-journal","abstract":"The exercise of power permeates global governance processes, making power a critical concept for understanding, explaining, and influencing the intersection of global governance and health. This article briefly presents and discusses three well-established conceptualizations of power—Dahl’s, Bourdieu’s, and Barnett and Duvall’s—from different disciplines, finding that each is important for understanding global governance but none is sufficient. The conceptualization of power itself needs to be expanded to include the multiple ways in which one actor can influence the thinking or actions of others. I further argue that global governance processes exhibit features of complex adaptive systems, the analysis of which requires taking into account multiple types of power. Building on established frameworks, the article then offers an expanded typology of eight kinds of power: physical, economic, structural, institutional, moral, discursive, expert, and network. The typology is derived from and illustrated by examples from global health, but may be applicable to global governance more broadly. Finally, one seemingly contradictory – and cautiously optimistic – conclusion emerges from this typology: multiple types of power can mutually reinforce tremendous power disparities in global health; but at the same time, such disparities are not necessarily absolute or immutable. Further research on the complex interaction of multiple types of power is needed for a better understanding of global governance and health.","container-title":"Globalization and Health","DOI":"10.1186/s12992-019-0515-5","ISSN":"1744-8603","issue":"1","journalAbbreviation":"Globalization and Health","page":"74","source":"BioMed Central","title":"Power in global governance: an expanded typology from global health","title-short":"Power in global governance","volume":"15","author":[{"family":"Moon","given":"Suerie"}],"issued":{"date-parts":[["2019",11,28]]}}},{"id":1331,"uris":["http://zotero.org/users/4946941/items/GMHVSBL2"],"itemData":{"id":1331,"type":"article-journal","abstract":"In 2008, the World Health Organization’s Commission on Social Determinants of Health (CSDH) presented an influential compilation of evidence establishing the relationship between health inequities and the unfair distribution of power, wealth, and resources. A decade later, individual and bio-behavioural responses to health inequities persist. The purpose of this scoping review was to explore the extent to which this evidence guided research, practice, and policy in global and public health. To do this, we assessed different ways the CSDH evidence and calls for action were integrated in scholarly publications (citation, portrayal of health inequities, alignment with calls for action, and orientation toward root causes). A systematic search of peer-reviewed articles (2000–2016) using search terms related to ‘knowledge-to-action’ and ‘health equity’ led to 330 included articles. Results suggest integration of CSDH evidence and calls for action in scholarly work is modest: 59% (n = 163) of authors (2009–2016) cited the report. A large portion of authors did not reference causes of health inequities (52% before and 51% after the CSDH) and few referred to issues of power. Among 110 post-CSDH empirical articles, half did not align with CSDH principles for action. This review illustrates that much scholarly work that purported to contribute to health equity did so in ways that conflicted with the CSDH’s characterization of the remediable nature and distribution of health inequities. These results provide a practical platform for assessing how global and public health efforts can move towards better alignment with the best available evidence about advancing health equity.","container-title":"Critical Public Health","DOI":"10.1080/09581596.2018.1551613","ISSN":"0958-1596","issue":"4","note":"publisher: Taylor &amp; Francis\n_eprint: https://doi.org/10.1080/09581596.2018.1551613","page":"415-428","source":"Taylor and Francis+NEJM","title":"The integration of evidence from the Commission on Social Determinants of Health in the field of health equity: a scoping review","title-short":"The integration of evidence from the Commission on Social Determinants of Health in the field of health equity","volume":"30","author":[{"family":"Plamondon","given":"Katrina M."},{"family":"Bottorff","given":"Joan L."},{"family":"Caxaj","given":"C. Susana"},{"family":"Graham","given":"Ian D."}],"issued":{"date-parts":[["2020",8,7]]}}}],"schema":"https://github.com/citation-style-language/schema/raw/master/csl-citation.json"} </w:instrText>
      </w:r>
      <w:r w:rsidR="00082A7C" w:rsidRPr="00424BD3">
        <w:rPr>
          <w:rFonts w:cs="Arial"/>
          <w:color w:val="000000" w:themeColor="text1"/>
          <w:szCs w:val="24"/>
        </w:rPr>
        <w:fldChar w:fldCharType="separate"/>
      </w:r>
      <w:r w:rsidR="00613C84" w:rsidRPr="00424BD3">
        <w:rPr>
          <w:rFonts w:cs="Arial"/>
        </w:rPr>
        <w:t>(Kentikelenis &amp; Rochford, 2019; Kim, 2021; McCartney et al., 2013; Moon, 2019; Plamondon et al., 2020)</w:t>
      </w:r>
      <w:r w:rsidR="00082A7C" w:rsidRPr="00424BD3">
        <w:rPr>
          <w:rFonts w:cs="Arial"/>
          <w:color w:val="000000" w:themeColor="text1"/>
          <w:szCs w:val="24"/>
        </w:rPr>
        <w:fldChar w:fldCharType="end"/>
      </w:r>
      <w:r w:rsidR="00295AC9" w:rsidRPr="00424BD3">
        <w:rPr>
          <w:rFonts w:cs="Arial"/>
          <w:color w:val="000000" w:themeColor="text1"/>
          <w:szCs w:val="24"/>
        </w:rPr>
        <w:t xml:space="preserve">. </w:t>
      </w:r>
    </w:p>
    <w:p w14:paraId="6960D4E6" w14:textId="0F12FED8" w:rsidR="00A270CB" w:rsidRPr="00424BD3" w:rsidRDefault="00F3398E" w:rsidP="007C54DB">
      <w:pPr>
        <w:spacing w:after="0" w:line="480" w:lineRule="auto"/>
        <w:ind w:firstLine="720"/>
        <w:rPr>
          <w:rFonts w:cs="Arial"/>
          <w:szCs w:val="24"/>
        </w:rPr>
      </w:pPr>
      <w:r w:rsidRPr="00424BD3">
        <w:t>Deborah</w:t>
      </w:r>
      <w:r w:rsidR="00BA4032" w:rsidRPr="00424BD3">
        <w:t xml:space="preserve"> </w:t>
      </w:r>
      <w:r w:rsidR="007F6CD8" w:rsidRPr="00424BD3">
        <w:t xml:space="preserve">also </w:t>
      </w:r>
      <w:r w:rsidR="007C54DB">
        <w:t>discussed her experience with</w:t>
      </w:r>
      <w:r w:rsidR="007C54DB" w:rsidRPr="00424BD3">
        <w:t xml:space="preserve"> </w:t>
      </w:r>
      <w:r w:rsidR="007F6CD8" w:rsidRPr="00424BD3">
        <w:t xml:space="preserve">the gender-bias </w:t>
      </w:r>
      <w:r w:rsidR="00FF7574" w:rsidRPr="00424BD3">
        <w:t xml:space="preserve">women receive </w:t>
      </w:r>
      <w:r w:rsidR="007C54DB">
        <w:t>from</w:t>
      </w:r>
      <w:r w:rsidR="00FF7574" w:rsidRPr="00424BD3">
        <w:t xml:space="preserve"> some clinicians when she said</w:t>
      </w:r>
      <w:r w:rsidRPr="00424BD3">
        <w:t xml:space="preserve">: </w:t>
      </w:r>
      <w:r w:rsidR="00A270CB" w:rsidRPr="00424BD3">
        <w:rPr>
          <w:rFonts w:cs="Arial"/>
          <w:szCs w:val="24"/>
        </w:rPr>
        <w:t xml:space="preserve">“women's heart examples </w:t>
      </w:r>
      <w:r w:rsidR="00BA4032" w:rsidRPr="00424BD3">
        <w:rPr>
          <w:rFonts w:cs="Arial"/>
          <w:szCs w:val="24"/>
        </w:rPr>
        <w:t xml:space="preserve">[sic] </w:t>
      </w:r>
      <w:r w:rsidR="00A270CB" w:rsidRPr="00424BD3">
        <w:rPr>
          <w:rFonts w:cs="Arial"/>
          <w:szCs w:val="24"/>
        </w:rPr>
        <w:t>are not the same as men's and sometimes I think…those issues might have been kind of just brushed off because we didn't have the same symptoms, but I think things...are beginning to turn around."</w:t>
      </w:r>
      <w:r w:rsidR="007C54DB">
        <w:rPr>
          <w:rFonts w:cs="Arial"/>
          <w:szCs w:val="24"/>
        </w:rPr>
        <w:t xml:space="preserve"> Deborah’s words illustrate how men’s symptoms are often used as the norm to determine a health condition and that when women describe </w:t>
      </w:r>
      <w:r w:rsidR="00AB3F2B">
        <w:rPr>
          <w:rFonts w:cs="Arial"/>
          <w:szCs w:val="24"/>
        </w:rPr>
        <w:t>their</w:t>
      </w:r>
      <w:r w:rsidR="007C54DB">
        <w:rPr>
          <w:rFonts w:cs="Arial"/>
          <w:szCs w:val="24"/>
        </w:rPr>
        <w:t xml:space="preserve"> symptoms</w:t>
      </w:r>
      <w:r w:rsidR="00AB3F2B">
        <w:rPr>
          <w:rFonts w:cs="Arial"/>
          <w:szCs w:val="24"/>
        </w:rPr>
        <w:t>, which might be different or experienced differently,</w:t>
      </w:r>
      <w:r w:rsidR="007C54DB">
        <w:rPr>
          <w:rFonts w:cs="Arial"/>
          <w:szCs w:val="24"/>
        </w:rPr>
        <w:t xml:space="preserve"> they are then not diagnosed or misdiagnosed. </w:t>
      </w:r>
    </w:p>
    <w:p w14:paraId="0D390B63" w14:textId="755640D8" w:rsidR="00D81843" w:rsidRPr="00424BD3" w:rsidRDefault="00AB3F2B" w:rsidP="000126EE">
      <w:pPr>
        <w:spacing w:after="0" w:line="480" w:lineRule="auto"/>
        <w:ind w:firstLine="720"/>
      </w:pPr>
      <w:r>
        <w:t>Similarly, o</w:t>
      </w:r>
      <w:r w:rsidR="00A270CB" w:rsidRPr="00424BD3">
        <w:t xml:space="preserve">thers spoke about the lack of </w:t>
      </w:r>
      <w:r w:rsidR="00CD2106" w:rsidRPr="00424BD3">
        <w:t>health research tailored specifically to older women’s bodies.</w:t>
      </w:r>
      <w:r w:rsidR="00A270CB" w:rsidRPr="00424BD3">
        <w:t xml:space="preserve"> Carolyn said:</w:t>
      </w:r>
    </w:p>
    <w:p w14:paraId="0D8188AD" w14:textId="3EA6472A" w:rsidR="00A270CB" w:rsidRPr="00424BD3" w:rsidRDefault="00A270CB" w:rsidP="000126EE">
      <w:pPr>
        <w:spacing w:after="0" w:line="480" w:lineRule="auto"/>
        <w:ind w:left="720"/>
        <w:rPr>
          <w:rFonts w:cs="Arial"/>
          <w:szCs w:val="24"/>
        </w:rPr>
      </w:pPr>
      <w:r w:rsidRPr="00424BD3">
        <w:rPr>
          <w:rFonts w:cs="Arial"/>
          <w:szCs w:val="24"/>
        </w:rPr>
        <w:t>"Well, I guess I could start by saying that almost all the research has been done on men when it comes to how heart attacks and everything else that happens to…people, health wise. Whenever they did studies, until recently, it was just always on men, assuming that it would be the same for women...not even caring how it affected women, so I call that a health inequity. That's the way I define it."</w:t>
      </w:r>
    </w:p>
    <w:p w14:paraId="18708C37" w14:textId="77A07495" w:rsidR="00AB3F2B" w:rsidRDefault="00CC0B8F" w:rsidP="008B0639">
      <w:pPr>
        <w:spacing w:after="0" w:line="480" w:lineRule="auto"/>
        <w:ind w:firstLine="720"/>
        <w:rPr>
          <w:rFonts w:cs="Arial"/>
          <w:szCs w:val="24"/>
        </w:rPr>
      </w:pPr>
      <w:r w:rsidRPr="00424BD3">
        <w:rPr>
          <w:rFonts w:cs="Arial"/>
          <w:szCs w:val="24"/>
        </w:rPr>
        <w:t xml:space="preserve">Carolyn’s response </w:t>
      </w:r>
      <w:r w:rsidR="00AB3F2B">
        <w:rPr>
          <w:rFonts w:cs="Arial"/>
          <w:szCs w:val="24"/>
        </w:rPr>
        <w:t xml:space="preserve">reflects what </w:t>
      </w:r>
      <w:r w:rsidR="00AB3F2B" w:rsidRPr="00424BD3">
        <w:rPr>
          <w:rFonts w:cs="Arial"/>
          <w:szCs w:val="24"/>
        </w:rPr>
        <w:t>ecosocial theory</w:t>
      </w:r>
      <w:r w:rsidR="00AB3F2B">
        <w:rPr>
          <w:rFonts w:cs="Arial"/>
          <w:szCs w:val="24"/>
        </w:rPr>
        <w:t xml:space="preserve"> identifies as</w:t>
      </w:r>
      <w:r w:rsidR="00AB3F2B" w:rsidRPr="00424BD3">
        <w:rPr>
          <w:rFonts w:cs="Arial"/>
          <w:szCs w:val="24"/>
        </w:rPr>
        <w:t xml:space="preserve"> ‘pathways of embodiment’</w:t>
      </w:r>
      <w:r w:rsidR="00AB3F2B">
        <w:rPr>
          <w:rFonts w:cs="Arial"/>
          <w:szCs w:val="24"/>
        </w:rPr>
        <w:t xml:space="preserve">. </w:t>
      </w:r>
      <w:r w:rsidR="00AB3F2B" w:rsidRPr="00424BD3">
        <w:rPr>
          <w:rFonts w:cs="Arial"/>
          <w:szCs w:val="24"/>
        </w:rPr>
        <w:t xml:space="preserve">Carolyn has developed an understanding of one or more of what Krieger calls “unjust isms” which she may have developed through her life course </w:t>
      </w:r>
      <w:r w:rsidR="00AB3F2B" w:rsidRPr="00424BD3">
        <w:rPr>
          <w:rFonts w:cs="Arial"/>
          <w:szCs w:val="24"/>
        </w:rPr>
        <w:fldChar w:fldCharType="begin"/>
      </w:r>
      <w:r w:rsidR="00990F3A">
        <w:rPr>
          <w:rFonts w:cs="Arial"/>
          <w:szCs w:val="24"/>
        </w:rPr>
        <w:instrText xml:space="preserve"> ADDIN ZOTERO_ITEM CSL_CITATION {"citationID":"NYX8zb8s","properties":{"formattedCitation":"(Krieger, 2020, p. 47)","plainCitation":"(Krieger, 2020, p. 47)","noteIndex":0},"citationItems":[{"id":1355,"uris":["http://zotero.org/users/4946941/items/L9ULTUNI"],"itemData":{"id":1355,"type":"article-journal","abstract":"Racism. Sexism. Heterosexism. Gender binarism. Together, they comprise intimately harmful, distinct, and entangled societal systems of self-serving domination and privilege that structure the embodiment of health inequities. Guided by the ecosocial theory of disease distribution, I synthesize key features of the specified \"isms\" and provide a measurement schema, informed by research from both the Global North and the Global South. Metrics discussed include (a) structural, including explicit rules and laws, nonexplicit rules and laws, and area-based or institutional nonrule measures; and (b) individual-level (exposures and internalized) measures, including explicit self-report, implicit, and experimental. Recommendations include (a) expanding the use of structural measures to extend beyond the current primary emphasis on psychosocial individual-level measures; (b) analyzing exposure in relation to both life course and historical generation; (c) developing measures of anti-isms; and (d) developing terrestrially grounded measures that can reveal links between the structural drivers of unjust isms and their toll on environmental degradation, climate change, and health inequities.","container-title":"Annual review of public health","DOI":"10.1146/annurev-publhealth-040119-094017","ISSN":"1545-2093","journalAbbreviation":"Annu Rev Public Health","language":"eng","note":"PMID: 31765272","page":"37-62","source":"Europe PMC","title":"Measures of Racism, Sexism, Heterosexism, and Gender Binarism for Health Equity Research: From Structural Injustice to Embodied Harm-An Ecosocial Analysis","title-short":"Measures of Racism, Sexism, Heterosexism, and Gender Binarism for Health Equity Research","volume":"41","author":[{"family":"Krieger","given":"Nancy"}],"issued":{"date-parts":[["2020",4,1]]}},"locator":"47","label":"page"}],"schema":"https://github.com/citation-style-language/schema/raw/master/csl-citation.json"} </w:instrText>
      </w:r>
      <w:r w:rsidR="00AB3F2B" w:rsidRPr="00424BD3">
        <w:rPr>
          <w:rFonts w:cs="Arial"/>
          <w:szCs w:val="24"/>
        </w:rPr>
        <w:fldChar w:fldCharType="separate"/>
      </w:r>
      <w:r w:rsidR="00AB3F2B" w:rsidRPr="00424BD3">
        <w:rPr>
          <w:rFonts w:cs="Arial"/>
        </w:rPr>
        <w:t>(Krieger, 2020, p. 47)</w:t>
      </w:r>
      <w:r w:rsidR="00AB3F2B" w:rsidRPr="00424BD3">
        <w:rPr>
          <w:rFonts w:cs="Arial"/>
          <w:szCs w:val="24"/>
        </w:rPr>
        <w:fldChar w:fldCharType="end"/>
      </w:r>
      <w:r w:rsidR="00AB3F2B" w:rsidRPr="00424BD3">
        <w:rPr>
          <w:rFonts w:cs="Arial"/>
          <w:szCs w:val="24"/>
        </w:rPr>
        <w:t xml:space="preserve">. </w:t>
      </w:r>
      <w:r w:rsidR="008B0639">
        <w:rPr>
          <w:rFonts w:cs="Arial"/>
          <w:szCs w:val="24"/>
        </w:rPr>
        <w:t xml:space="preserve">Carolyn is able to discuss </w:t>
      </w:r>
      <w:r w:rsidR="00676D53" w:rsidRPr="00424BD3">
        <w:rPr>
          <w:rFonts w:cs="Arial"/>
          <w:szCs w:val="24"/>
        </w:rPr>
        <w:t>areas or elements of the social determinants of health</w:t>
      </w:r>
      <w:r w:rsidR="00721D0F">
        <w:rPr>
          <w:rFonts w:cs="Arial"/>
          <w:szCs w:val="24"/>
        </w:rPr>
        <w:t>, in this case gender-based health research,</w:t>
      </w:r>
      <w:r w:rsidR="00676D53" w:rsidRPr="00424BD3">
        <w:rPr>
          <w:rFonts w:cs="Arial"/>
          <w:szCs w:val="24"/>
        </w:rPr>
        <w:t xml:space="preserve"> without </w:t>
      </w:r>
      <w:r w:rsidR="008B0639">
        <w:rPr>
          <w:rFonts w:cs="Arial"/>
          <w:szCs w:val="24"/>
        </w:rPr>
        <w:t xml:space="preserve">necessarily identifying </w:t>
      </w:r>
      <w:r w:rsidR="008B0639">
        <w:rPr>
          <w:rFonts w:cs="Arial"/>
          <w:szCs w:val="24"/>
        </w:rPr>
        <w:lastRenderedPageBreak/>
        <w:t>specific</w:t>
      </w:r>
      <w:r w:rsidR="00676D53" w:rsidRPr="00424BD3">
        <w:rPr>
          <w:rFonts w:cs="Arial"/>
          <w:szCs w:val="24"/>
        </w:rPr>
        <w:t xml:space="preserve"> “social determinants of health” </w:t>
      </w:r>
      <w:r w:rsidR="00D44A5E" w:rsidRPr="00424BD3">
        <w:rPr>
          <w:rFonts w:cs="Arial"/>
          <w:szCs w:val="24"/>
        </w:rPr>
        <w:t xml:space="preserve">and can therefore attribute </w:t>
      </w:r>
      <w:r w:rsidR="00F61B0A" w:rsidRPr="00424BD3">
        <w:rPr>
          <w:rFonts w:cs="Arial"/>
          <w:szCs w:val="24"/>
        </w:rPr>
        <w:t xml:space="preserve">discriminatory health research practices </w:t>
      </w:r>
      <w:r w:rsidR="00D44A5E" w:rsidRPr="00424BD3">
        <w:rPr>
          <w:rFonts w:cs="Arial"/>
          <w:szCs w:val="24"/>
        </w:rPr>
        <w:t>as health inequities</w:t>
      </w:r>
      <w:r w:rsidR="00B5033F" w:rsidRPr="00424BD3">
        <w:rPr>
          <w:rFonts w:cs="Arial"/>
          <w:szCs w:val="24"/>
        </w:rPr>
        <w:t xml:space="preserve">. </w:t>
      </w:r>
    </w:p>
    <w:p w14:paraId="5BF048FE" w14:textId="24916518" w:rsidR="00A270CB" w:rsidRPr="00424BD3" w:rsidRDefault="00A270CB" w:rsidP="000126EE">
      <w:pPr>
        <w:spacing w:after="0" w:line="480" w:lineRule="auto"/>
        <w:ind w:firstLine="720"/>
      </w:pPr>
      <w:r w:rsidRPr="00424BD3">
        <w:t>Barbara</w:t>
      </w:r>
      <w:r w:rsidR="00CD2106" w:rsidRPr="00424BD3">
        <w:t xml:space="preserve"> spoke of the working poor not receiving free or reduced care costs compared to those on Medicaid</w:t>
      </w:r>
      <w:r w:rsidR="003F1DC7" w:rsidRPr="00424BD3">
        <w:t xml:space="preserve"> </w:t>
      </w:r>
      <w:r w:rsidRPr="00424BD3">
        <w:t>and the shame she felt for being ‘bothered’ by her thoughts on disparities in eligibility for services:</w:t>
      </w:r>
    </w:p>
    <w:p w14:paraId="7EAB0C24" w14:textId="0E920703" w:rsidR="00A270CB" w:rsidRPr="00424BD3" w:rsidRDefault="00A270CB" w:rsidP="000126EE">
      <w:pPr>
        <w:spacing w:after="0" w:line="480" w:lineRule="auto"/>
        <w:ind w:left="720"/>
        <w:rPr>
          <w:rFonts w:cs="Arial"/>
          <w:szCs w:val="24"/>
        </w:rPr>
      </w:pPr>
      <w:r w:rsidRPr="00424BD3">
        <w:rPr>
          <w:rFonts w:cs="Arial"/>
          <w:szCs w:val="24"/>
        </w:rPr>
        <w:t>“My sister is…retired now, but she spent 43 years in orthodontics</w:t>
      </w:r>
      <w:r w:rsidR="00856854">
        <w:rPr>
          <w:rFonts w:cs="Arial"/>
          <w:szCs w:val="24"/>
        </w:rPr>
        <w:t>. T</w:t>
      </w:r>
      <w:r w:rsidRPr="00424BD3">
        <w:rPr>
          <w:rFonts w:cs="Arial"/>
          <w:szCs w:val="24"/>
        </w:rPr>
        <w:t>he…government would pay for children's braces if they were indigent or couldn't afford it, and that kind of bothered me the other way, sometimes. I thought, my [relative] needed braces, but I couldn't afford it, and they got it for free</w:t>
      </w:r>
      <w:r w:rsidR="00856854">
        <w:rPr>
          <w:rFonts w:cs="Arial"/>
          <w:szCs w:val="24"/>
        </w:rPr>
        <w:t>,</w:t>
      </w:r>
      <w:r w:rsidRPr="00424BD3">
        <w:rPr>
          <w:rFonts w:cs="Arial"/>
          <w:szCs w:val="24"/>
        </w:rPr>
        <w:t xml:space="preserve"> and I paid for it</w:t>
      </w:r>
      <w:r w:rsidR="00856854">
        <w:rPr>
          <w:rFonts w:cs="Arial"/>
          <w:szCs w:val="24"/>
        </w:rPr>
        <w:t>.</w:t>
      </w:r>
      <w:r w:rsidR="007C5DED">
        <w:rPr>
          <w:rFonts w:cs="Arial"/>
          <w:szCs w:val="24"/>
        </w:rPr>
        <w:t xml:space="preserve"> </w:t>
      </w:r>
      <w:r w:rsidRPr="00424BD3">
        <w:rPr>
          <w:rFonts w:cs="Arial"/>
          <w:szCs w:val="24"/>
        </w:rPr>
        <w:t xml:space="preserve">I hated that that bothered me. I'm a little embarrassed to tell you that, but it </w:t>
      </w:r>
      <w:r w:rsidR="002E5616" w:rsidRPr="00424BD3">
        <w:rPr>
          <w:rFonts w:cs="Arial"/>
          <w:szCs w:val="24"/>
        </w:rPr>
        <w:t>did.</w:t>
      </w:r>
      <w:r w:rsidRPr="00424BD3">
        <w:rPr>
          <w:rFonts w:cs="Arial"/>
          <w:szCs w:val="24"/>
        </w:rPr>
        <w:t>”</w:t>
      </w:r>
    </w:p>
    <w:p w14:paraId="7E7A362C" w14:textId="42EEA0E9" w:rsidR="003F1DC7" w:rsidRPr="00424BD3" w:rsidRDefault="003F1DC7" w:rsidP="00E81641">
      <w:pPr>
        <w:spacing w:after="0" w:line="480" w:lineRule="auto"/>
        <w:ind w:firstLine="720"/>
        <w:rPr>
          <w:rFonts w:cs="Arial"/>
          <w:szCs w:val="24"/>
        </w:rPr>
      </w:pPr>
      <w:r w:rsidRPr="00424BD3">
        <w:rPr>
          <w:rFonts w:cs="Arial"/>
          <w:szCs w:val="24"/>
        </w:rPr>
        <w:t xml:space="preserve">Barbara’s perception that the </w:t>
      </w:r>
      <w:r w:rsidR="009A6DDB" w:rsidRPr="00424BD3">
        <w:rPr>
          <w:rFonts w:cs="Arial"/>
          <w:szCs w:val="24"/>
        </w:rPr>
        <w:t xml:space="preserve">working poor are penalized </w:t>
      </w:r>
      <w:r w:rsidR="008B0639">
        <w:rPr>
          <w:rFonts w:cs="Arial"/>
          <w:szCs w:val="24"/>
        </w:rPr>
        <w:t>with regard to receiving</w:t>
      </w:r>
      <w:r w:rsidR="001E4861" w:rsidRPr="00424BD3">
        <w:rPr>
          <w:rFonts w:cs="Arial"/>
          <w:szCs w:val="24"/>
        </w:rPr>
        <w:t xml:space="preserve"> benefits</w:t>
      </w:r>
      <w:r w:rsidR="00E81641">
        <w:rPr>
          <w:rFonts w:cs="Arial"/>
          <w:szCs w:val="24"/>
        </w:rPr>
        <w:t>,</w:t>
      </w:r>
      <w:r w:rsidR="001E4861" w:rsidRPr="00424BD3">
        <w:rPr>
          <w:rFonts w:cs="Arial"/>
          <w:szCs w:val="24"/>
        </w:rPr>
        <w:t xml:space="preserve"> </w:t>
      </w:r>
      <w:r w:rsidR="008B0639">
        <w:rPr>
          <w:rFonts w:cs="Arial"/>
          <w:szCs w:val="24"/>
        </w:rPr>
        <w:t>while</w:t>
      </w:r>
      <w:r w:rsidR="001E4861" w:rsidRPr="00424BD3">
        <w:rPr>
          <w:rFonts w:cs="Arial"/>
          <w:szCs w:val="24"/>
        </w:rPr>
        <w:t xml:space="preserve"> </w:t>
      </w:r>
      <w:r w:rsidR="00634597" w:rsidRPr="00424BD3">
        <w:rPr>
          <w:rFonts w:cs="Arial"/>
          <w:szCs w:val="24"/>
        </w:rPr>
        <w:t xml:space="preserve">people who are </w:t>
      </w:r>
      <w:r w:rsidR="001E4861" w:rsidRPr="00424BD3">
        <w:rPr>
          <w:rFonts w:cs="Arial"/>
          <w:szCs w:val="24"/>
        </w:rPr>
        <w:t>indigent</w:t>
      </w:r>
      <w:r w:rsidR="008B0639">
        <w:rPr>
          <w:rFonts w:cs="Arial"/>
          <w:szCs w:val="24"/>
        </w:rPr>
        <w:t xml:space="preserve"> are able to receive government welfare</w:t>
      </w:r>
      <w:r w:rsidR="001E4861" w:rsidRPr="00424BD3">
        <w:rPr>
          <w:rFonts w:cs="Arial"/>
          <w:szCs w:val="24"/>
        </w:rPr>
        <w:t xml:space="preserve"> reflects a</w:t>
      </w:r>
      <w:r w:rsidR="00224DFA" w:rsidRPr="00424BD3">
        <w:rPr>
          <w:rFonts w:cs="Arial"/>
          <w:szCs w:val="24"/>
        </w:rPr>
        <w:t xml:space="preserve"> social norm or</w:t>
      </w:r>
      <w:r w:rsidR="001E4861" w:rsidRPr="00424BD3">
        <w:rPr>
          <w:rFonts w:cs="Arial"/>
          <w:szCs w:val="24"/>
        </w:rPr>
        <w:t xml:space="preserve"> common way of thinking </w:t>
      </w:r>
      <w:r w:rsidR="00E81641">
        <w:rPr>
          <w:rFonts w:cs="Arial"/>
          <w:szCs w:val="24"/>
        </w:rPr>
        <w:t>in the United States due to the lack of universal health care. It also highlights one of the main challenges to</w:t>
      </w:r>
      <w:r w:rsidR="0087580E" w:rsidRPr="00424BD3">
        <w:rPr>
          <w:rFonts w:cs="Arial"/>
          <w:szCs w:val="24"/>
        </w:rPr>
        <w:t xml:space="preserve"> alleviating health inequities</w:t>
      </w:r>
      <w:r w:rsidR="005677DF" w:rsidRPr="00424BD3">
        <w:rPr>
          <w:rFonts w:cs="Arial"/>
          <w:szCs w:val="24"/>
        </w:rPr>
        <w:t xml:space="preserve">, </w:t>
      </w:r>
      <w:r w:rsidR="00E81641">
        <w:rPr>
          <w:rFonts w:cs="Arial"/>
          <w:szCs w:val="24"/>
        </w:rPr>
        <w:t xml:space="preserve">and the struggle between ‘moral’ determinants and neoliberal structures and attitudes </w:t>
      </w:r>
      <w:r w:rsidR="00D67A10" w:rsidRPr="00424BD3">
        <w:rPr>
          <w:rFonts w:cs="Arial"/>
          <w:szCs w:val="24"/>
        </w:rPr>
        <w:fldChar w:fldCharType="begin"/>
      </w:r>
      <w:r w:rsidR="00990F3A">
        <w:rPr>
          <w:rFonts w:cs="Arial"/>
          <w:szCs w:val="24"/>
        </w:rPr>
        <w:instrText xml:space="preserve"> ADDIN ZOTERO_ITEM CSL_CITATION {"citationID":"5f7phb9X","properties":{"formattedCitation":"(Berwick, 2020)","plainCitation":"(Berwick, 2020)","noteIndex":0},"citationItems":[{"id":1352,"uris":["http://zotero.org/users/4946941/items/XU6MABXX"],"itemData":{"id":1352,"type":"article-journal","abstract":"The source of what the philosopher Immanuel Kant called “the moral law within” may be mysterious, but its role in the social order is not. In any nation short of dictatorship some form of moral compact, implicit or explicit, should be the basis of a just society. Without a common sense of what is “right,” groups fracture and the fragments wander. Science and knowledge can guide action; they do not cause action.No scientific doubt exists that, mostly, circumstances outside health care nurture or impair health. Except for a few clinical preventive services, most hospitals and physician offices are repair shops, trying to correct the damage of causes collectively denoted “social determinants of health.” Marmot has summarized these in 6 categories: conditions of birth and early childhood, education, work, the social circumstances of elders, a collection of elements of community resilience (such as transportation, housing, security, and a sense of community self-efficacy), and, cross-cutting all, what he calls “fairness,” which generally amounts to a sufficient redistribution of wealth and income to ensure social and economic security and basic equity. Galea has cataloged social determinants at a somewhat finer grain, calling out, for example, gun violence, loneliness, environmental toxins, and a dozen more causes.","container-title":"JAMA","DOI":"10.1001/jama.2020.11129","ISSN":"0098-7484","issue":"3","journalAbbreviation":"JAMA","page":"225-226","source":"Silverchair","title":"The Moral Determinants of Health","volume":"324","author":[{"family":"Berwick","given":"Donald M."}],"issued":{"date-parts":[["2020",7,21]]}}}],"schema":"https://github.com/citation-style-language/schema/raw/master/csl-citation.json"} </w:instrText>
      </w:r>
      <w:r w:rsidR="00D67A10" w:rsidRPr="00424BD3">
        <w:rPr>
          <w:rFonts w:cs="Arial"/>
          <w:szCs w:val="24"/>
        </w:rPr>
        <w:fldChar w:fldCharType="separate"/>
      </w:r>
      <w:r w:rsidR="00D67A10" w:rsidRPr="00424BD3">
        <w:rPr>
          <w:rFonts w:cs="Arial"/>
        </w:rPr>
        <w:t>(Berwick, 2020)</w:t>
      </w:r>
      <w:r w:rsidR="00D67A10" w:rsidRPr="00424BD3">
        <w:rPr>
          <w:rFonts w:cs="Arial"/>
          <w:szCs w:val="24"/>
        </w:rPr>
        <w:fldChar w:fldCharType="end"/>
      </w:r>
      <w:r w:rsidR="00567FE7" w:rsidRPr="00424BD3">
        <w:rPr>
          <w:rFonts w:cs="Arial"/>
          <w:szCs w:val="24"/>
        </w:rPr>
        <w:t>.</w:t>
      </w:r>
    </w:p>
    <w:p w14:paraId="24A61F0F" w14:textId="6DC9C95D" w:rsidR="009A4A03" w:rsidRDefault="005551D7" w:rsidP="009A4A03">
      <w:pPr>
        <w:spacing w:after="0" w:line="480" w:lineRule="auto"/>
        <w:ind w:firstLine="720"/>
        <w:rPr>
          <w:rFonts w:cs="Arial"/>
          <w:szCs w:val="24"/>
        </w:rPr>
      </w:pPr>
      <w:r>
        <w:rPr>
          <w:rFonts w:cs="Arial"/>
          <w:szCs w:val="24"/>
        </w:rPr>
        <w:t>While s</w:t>
      </w:r>
      <w:r w:rsidR="00E81641">
        <w:rPr>
          <w:rFonts w:cs="Arial"/>
          <w:szCs w:val="24"/>
        </w:rPr>
        <w:t xml:space="preserve">ome of the women’s responses, like those included here, show an understanding </w:t>
      </w:r>
      <w:r w:rsidR="00CF7603" w:rsidRPr="00424BD3">
        <w:rPr>
          <w:rFonts w:cs="Arial"/>
          <w:szCs w:val="24"/>
        </w:rPr>
        <w:t xml:space="preserve">of </w:t>
      </w:r>
      <w:r w:rsidR="00677AEF" w:rsidRPr="00424BD3">
        <w:rPr>
          <w:rFonts w:cs="Arial"/>
          <w:szCs w:val="24"/>
        </w:rPr>
        <w:t xml:space="preserve">component parts of the drivers of health inequities, </w:t>
      </w:r>
      <w:r w:rsidR="00F84D7B" w:rsidRPr="00424BD3">
        <w:rPr>
          <w:rFonts w:cs="Arial"/>
          <w:szCs w:val="24"/>
        </w:rPr>
        <w:t xml:space="preserve">with some of the women </w:t>
      </w:r>
      <w:r w:rsidR="00DC0268" w:rsidRPr="00424BD3">
        <w:rPr>
          <w:rFonts w:cs="Arial"/>
          <w:szCs w:val="24"/>
        </w:rPr>
        <w:t xml:space="preserve">sharing their </w:t>
      </w:r>
      <w:r w:rsidR="009A4A03">
        <w:rPr>
          <w:rFonts w:cs="Arial"/>
          <w:szCs w:val="24"/>
        </w:rPr>
        <w:t>comprehension</w:t>
      </w:r>
      <w:r w:rsidR="009A4A03" w:rsidRPr="00424BD3">
        <w:rPr>
          <w:rFonts w:cs="Arial"/>
          <w:szCs w:val="24"/>
        </w:rPr>
        <w:t xml:space="preserve"> </w:t>
      </w:r>
      <w:r w:rsidR="00DC0268" w:rsidRPr="00424BD3">
        <w:rPr>
          <w:rFonts w:cs="Arial"/>
          <w:szCs w:val="24"/>
        </w:rPr>
        <w:t xml:space="preserve">of </w:t>
      </w:r>
      <w:r w:rsidR="00D531A2" w:rsidRPr="00424BD3">
        <w:rPr>
          <w:rFonts w:cs="Arial"/>
          <w:szCs w:val="24"/>
        </w:rPr>
        <w:t xml:space="preserve">structural factors such as poverty, racism, </w:t>
      </w:r>
      <w:r w:rsidR="00B60C0C" w:rsidRPr="00424BD3">
        <w:rPr>
          <w:rFonts w:cs="Arial"/>
          <w:szCs w:val="24"/>
        </w:rPr>
        <w:t>and differences between members of in-population groups</w:t>
      </w:r>
      <w:r>
        <w:rPr>
          <w:rFonts w:cs="Arial"/>
          <w:szCs w:val="24"/>
        </w:rPr>
        <w:t>, s</w:t>
      </w:r>
      <w:r w:rsidR="009A4A03">
        <w:rPr>
          <w:rFonts w:cs="Arial"/>
          <w:szCs w:val="24"/>
        </w:rPr>
        <w:t xml:space="preserve">ome of the other women interviewed </w:t>
      </w:r>
      <w:r w:rsidR="00B60C0C" w:rsidRPr="00424BD3">
        <w:rPr>
          <w:rFonts w:cs="Arial"/>
          <w:szCs w:val="24"/>
        </w:rPr>
        <w:t xml:space="preserve">could not </w:t>
      </w:r>
      <w:r w:rsidR="000A6275" w:rsidRPr="00424BD3">
        <w:rPr>
          <w:rFonts w:cs="Arial"/>
          <w:szCs w:val="24"/>
        </w:rPr>
        <w:t xml:space="preserve">offer a definition. </w:t>
      </w:r>
      <w:r>
        <w:rPr>
          <w:rFonts w:cs="Arial"/>
          <w:szCs w:val="24"/>
        </w:rPr>
        <w:t xml:space="preserve">For example, </w:t>
      </w:r>
      <w:r w:rsidR="00A97129">
        <w:rPr>
          <w:rFonts w:cs="Arial"/>
          <w:szCs w:val="24"/>
        </w:rPr>
        <w:t>Cynthia said, “I</w:t>
      </w:r>
      <w:r w:rsidR="009B27B5">
        <w:rPr>
          <w:rFonts w:cs="Arial"/>
          <w:szCs w:val="24"/>
        </w:rPr>
        <w:t xml:space="preserve"> don’t really know how to define equality</w:t>
      </w:r>
      <w:r w:rsidR="00144370">
        <w:rPr>
          <w:rFonts w:cs="Arial"/>
          <w:szCs w:val="24"/>
        </w:rPr>
        <w:t>,” and Margaret simply said, “I don’t know.”</w:t>
      </w:r>
    </w:p>
    <w:p w14:paraId="06EE49C5" w14:textId="2901E324" w:rsidR="00CF7603" w:rsidRPr="00641E0A" w:rsidRDefault="000A6275" w:rsidP="00395F1E">
      <w:pPr>
        <w:spacing w:after="0" w:line="480" w:lineRule="auto"/>
        <w:ind w:firstLine="720"/>
        <w:rPr>
          <w:rFonts w:cs="Arial"/>
          <w:szCs w:val="24"/>
        </w:rPr>
      </w:pPr>
      <w:r w:rsidRPr="00424BD3">
        <w:rPr>
          <w:rFonts w:cs="Arial"/>
          <w:szCs w:val="24"/>
        </w:rPr>
        <w:lastRenderedPageBreak/>
        <w:t xml:space="preserve">Overall, </w:t>
      </w:r>
      <w:r w:rsidR="009A4A03">
        <w:rPr>
          <w:rFonts w:cs="Arial"/>
          <w:szCs w:val="24"/>
        </w:rPr>
        <w:t xml:space="preserve">while some of the women were able to communicate a vague understanding of the </w:t>
      </w:r>
      <w:r w:rsidR="005E31E7">
        <w:rPr>
          <w:rFonts w:cs="Arial"/>
          <w:szCs w:val="24"/>
        </w:rPr>
        <w:t xml:space="preserve">component parts of the </w:t>
      </w:r>
      <w:r w:rsidR="009A4A03">
        <w:rPr>
          <w:rFonts w:cs="Arial"/>
          <w:szCs w:val="24"/>
        </w:rPr>
        <w:t xml:space="preserve">social determinants of health, the majority </w:t>
      </w:r>
      <w:r w:rsidR="00B6613C">
        <w:rPr>
          <w:rFonts w:cs="Arial"/>
          <w:szCs w:val="24"/>
        </w:rPr>
        <w:t xml:space="preserve">revealed </w:t>
      </w:r>
      <w:r w:rsidR="00A219B8" w:rsidRPr="00424BD3">
        <w:rPr>
          <w:rFonts w:cs="Arial"/>
          <w:szCs w:val="24"/>
        </w:rPr>
        <w:t>a lack of awareness or understanding</w:t>
      </w:r>
      <w:r w:rsidR="005E31E7">
        <w:rPr>
          <w:rFonts w:cs="Arial"/>
          <w:szCs w:val="24"/>
        </w:rPr>
        <w:t xml:space="preserve"> of </w:t>
      </w:r>
      <w:r w:rsidR="00193B38">
        <w:rPr>
          <w:rFonts w:cs="Arial"/>
          <w:szCs w:val="24"/>
        </w:rPr>
        <w:t>the health literacy surrounding them</w:t>
      </w:r>
      <w:r w:rsidR="00B6613C">
        <w:rPr>
          <w:rFonts w:cs="Arial"/>
          <w:szCs w:val="24"/>
        </w:rPr>
        <w:t xml:space="preserve">. This next section identifies some of the ways that the women engaged in a conversation about </w:t>
      </w:r>
      <w:r w:rsidR="00B54D0E">
        <w:rPr>
          <w:rFonts w:cs="Arial"/>
          <w:szCs w:val="24"/>
        </w:rPr>
        <w:t xml:space="preserve">some of the </w:t>
      </w:r>
      <w:r w:rsidR="00B6613C">
        <w:rPr>
          <w:rFonts w:cs="Arial"/>
          <w:szCs w:val="24"/>
        </w:rPr>
        <w:t xml:space="preserve">social determinants of health. It should be kept in mind that the women may have </w:t>
      </w:r>
      <w:r w:rsidR="005E31E7">
        <w:rPr>
          <w:rFonts w:cs="Arial"/>
          <w:szCs w:val="24"/>
        </w:rPr>
        <w:t xml:space="preserve">felt </w:t>
      </w:r>
      <w:r w:rsidR="00B6613C">
        <w:rPr>
          <w:rFonts w:cs="Arial"/>
          <w:szCs w:val="24"/>
        </w:rPr>
        <w:t xml:space="preserve">pressure or </w:t>
      </w:r>
      <w:r w:rsidR="005E31E7">
        <w:rPr>
          <w:rFonts w:cs="Arial"/>
          <w:szCs w:val="24"/>
        </w:rPr>
        <w:t xml:space="preserve">felt </w:t>
      </w:r>
      <w:r w:rsidR="00B6613C">
        <w:rPr>
          <w:rFonts w:cs="Arial"/>
          <w:szCs w:val="24"/>
        </w:rPr>
        <w:t xml:space="preserve">intimidated to </w:t>
      </w:r>
      <w:r w:rsidR="002359FE" w:rsidRPr="00424BD3">
        <w:rPr>
          <w:rFonts w:cs="Arial"/>
          <w:szCs w:val="24"/>
        </w:rPr>
        <w:t>answer “correctly”</w:t>
      </w:r>
      <w:r w:rsidR="00B6613C">
        <w:rPr>
          <w:rFonts w:cs="Arial"/>
          <w:szCs w:val="24"/>
        </w:rPr>
        <w:t>,</w:t>
      </w:r>
      <w:r w:rsidR="002359FE" w:rsidRPr="00424BD3">
        <w:rPr>
          <w:rFonts w:cs="Arial"/>
          <w:szCs w:val="24"/>
        </w:rPr>
        <w:t xml:space="preserve"> which may have also prompted their silences or efforts to answer</w:t>
      </w:r>
      <w:r w:rsidR="00CF27D7" w:rsidRPr="00424BD3">
        <w:rPr>
          <w:rFonts w:cs="Arial"/>
          <w:szCs w:val="24"/>
        </w:rPr>
        <w:t>.</w:t>
      </w:r>
    </w:p>
    <w:p w14:paraId="34573F73" w14:textId="77777777" w:rsidR="00CD2106" w:rsidRPr="004E73CD" w:rsidRDefault="00CD2106" w:rsidP="004E73CD">
      <w:pPr>
        <w:pStyle w:val="Heading3"/>
        <w:spacing w:before="0" w:line="480" w:lineRule="auto"/>
        <w:rPr>
          <w:rFonts w:ascii="Arial" w:hAnsi="Arial" w:cs="Arial"/>
          <w:b/>
          <w:bCs/>
          <w:i/>
          <w:iCs/>
          <w:color w:val="auto"/>
        </w:rPr>
      </w:pPr>
      <w:bookmarkStart w:id="87" w:name="_Toc118232353"/>
      <w:r w:rsidRPr="004E73CD">
        <w:rPr>
          <w:rFonts w:ascii="Arial" w:hAnsi="Arial" w:cs="Arial"/>
          <w:b/>
          <w:bCs/>
          <w:i/>
          <w:iCs/>
          <w:color w:val="auto"/>
        </w:rPr>
        <w:t>Healthy Life Expectancy</w:t>
      </w:r>
      <w:bookmarkEnd w:id="87"/>
    </w:p>
    <w:p w14:paraId="6DC4AF9D" w14:textId="61B8A51D" w:rsidR="00913CB7" w:rsidRPr="00424BD3" w:rsidRDefault="00683A42" w:rsidP="00395F1E">
      <w:pPr>
        <w:spacing w:after="0" w:line="480" w:lineRule="auto"/>
        <w:ind w:firstLine="720"/>
      </w:pPr>
      <w:r>
        <w:t xml:space="preserve">I asked participants </w:t>
      </w:r>
      <w:r w:rsidR="00CD53D9">
        <w:t>what their understanding of</w:t>
      </w:r>
      <w:r>
        <w:t xml:space="preserve"> “healthy life expectancy”</w:t>
      </w:r>
      <w:r w:rsidR="00CD53D9">
        <w:t xml:space="preserve"> was. </w:t>
      </w:r>
      <w:r w:rsidR="00AA1AB1" w:rsidRPr="00424BD3">
        <w:t xml:space="preserve">As with </w:t>
      </w:r>
      <w:r w:rsidR="00E921D1">
        <w:t xml:space="preserve">their answers to the </w:t>
      </w:r>
      <w:r w:rsidR="00263351">
        <w:t xml:space="preserve">other </w:t>
      </w:r>
      <w:r w:rsidR="00AA1AB1" w:rsidRPr="00424BD3">
        <w:t xml:space="preserve">health </w:t>
      </w:r>
      <w:r w:rsidR="00E921D1">
        <w:t>term definitions</w:t>
      </w:r>
      <w:r w:rsidR="00AA1AB1" w:rsidRPr="00424BD3">
        <w:t>, m</w:t>
      </w:r>
      <w:r w:rsidR="00D4612B" w:rsidRPr="00424BD3">
        <w:t xml:space="preserve">ost </w:t>
      </w:r>
      <w:r w:rsidR="00263351">
        <w:t xml:space="preserve">of the women </w:t>
      </w:r>
      <w:r w:rsidR="00D4612B" w:rsidRPr="00424BD3">
        <w:t>referred to components that made up what they considered to be a healthy life expectancy.</w:t>
      </w:r>
      <w:r>
        <w:t xml:space="preserve"> </w:t>
      </w:r>
      <w:r w:rsidR="0033575E" w:rsidRPr="00424BD3">
        <w:t>Kathryn</w:t>
      </w:r>
      <w:r w:rsidR="00CD2106" w:rsidRPr="00424BD3">
        <w:t xml:space="preserve"> defined it as how healthy one is no matter how long one lives, even with underlying health conditions, and incorporated quality of life, access to treatment or support systems, and place and environmental justice, e.g., the impact of environment on the human body and mental health. </w:t>
      </w:r>
      <w:r w:rsidR="00D4612B" w:rsidRPr="00424BD3">
        <w:t>Barbara</w:t>
      </w:r>
      <w:r w:rsidR="00CD2106" w:rsidRPr="00424BD3">
        <w:t xml:space="preserve"> </w:t>
      </w:r>
      <w:r>
        <w:t>described</w:t>
      </w:r>
      <w:r w:rsidR="00CD2106" w:rsidRPr="00424BD3">
        <w:t xml:space="preserve"> HLE in terms of predicting how long she was going to live as she was undertaking financial planning for old age</w:t>
      </w:r>
      <w:r>
        <w:t>,</w:t>
      </w:r>
      <w:r w:rsidR="00D4612B" w:rsidRPr="00424BD3">
        <w:t xml:space="preserve"> while Anita</w:t>
      </w:r>
      <w:r>
        <w:t xml:space="preserve"> declared </w:t>
      </w:r>
      <w:r w:rsidR="00CD2106" w:rsidRPr="00424BD3">
        <w:t xml:space="preserve">that </w:t>
      </w:r>
      <w:r>
        <w:t xml:space="preserve">a </w:t>
      </w:r>
      <w:r w:rsidR="00CD2106" w:rsidRPr="00424BD3">
        <w:t xml:space="preserve">HLE was not being able to statistically </w:t>
      </w:r>
      <w:r>
        <w:t>differentiate life expectancy</w:t>
      </w:r>
      <w:r w:rsidR="00CD2106" w:rsidRPr="00424BD3">
        <w:t xml:space="preserve"> based on race or socio-economic status. </w:t>
      </w:r>
      <w:r w:rsidR="00D4612B" w:rsidRPr="00424BD3">
        <w:t>Cynthia and Sharon</w:t>
      </w:r>
      <w:r w:rsidR="00CD2106" w:rsidRPr="00424BD3">
        <w:t xml:space="preserve"> referred to physical good health</w:t>
      </w:r>
      <w:r w:rsidR="003B1D76" w:rsidRPr="00424BD3">
        <w:t xml:space="preserve">, </w:t>
      </w:r>
      <w:r w:rsidR="00CD2106" w:rsidRPr="00424BD3">
        <w:t>good physical and cognitive ability</w:t>
      </w:r>
      <w:r w:rsidR="003B1D76" w:rsidRPr="00424BD3">
        <w:t xml:space="preserve"> and</w:t>
      </w:r>
      <w:r w:rsidR="00CD2106" w:rsidRPr="00424BD3">
        <w:t xml:space="preserve"> maintaining mobility and activity. </w:t>
      </w:r>
      <w:r w:rsidR="00D4612B" w:rsidRPr="00424BD3">
        <w:t>Deborah and Ruth</w:t>
      </w:r>
      <w:r w:rsidR="00CD2106" w:rsidRPr="00424BD3">
        <w:t xml:space="preserve"> mentioned living well </w:t>
      </w:r>
      <w:r w:rsidR="004877FD" w:rsidRPr="00424BD3">
        <w:t xml:space="preserve">in addition to </w:t>
      </w:r>
      <w:r w:rsidR="00CD2106" w:rsidRPr="00424BD3">
        <w:t>enjoyment of life</w:t>
      </w:r>
      <w:r w:rsidR="00413EFA" w:rsidRPr="00424BD3">
        <w:t>, a</w:t>
      </w:r>
      <w:r w:rsidR="00BB3798" w:rsidRPr="00424BD3">
        <w:t xml:space="preserve">s well as their individual responsibility to ensure their health behavior </w:t>
      </w:r>
      <w:r w:rsidR="00DD3D23" w:rsidRPr="00424BD3">
        <w:t>was as best as it could be to mitigate and prevent illness</w:t>
      </w:r>
      <w:r w:rsidR="00CD2106" w:rsidRPr="00424BD3">
        <w:t xml:space="preserve">. </w:t>
      </w:r>
      <w:r w:rsidR="00913CB7" w:rsidRPr="00424BD3">
        <w:t>Ruth also mentioned the role of genetics and aging</w:t>
      </w:r>
      <w:r w:rsidR="00051516" w:rsidRPr="00424BD3">
        <w:t xml:space="preserve"> gracefully</w:t>
      </w:r>
      <w:r w:rsidR="00913CB7" w:rsidRPr="00424BD3">
        <w:t xml:space="preserve">. </w:t>
      </w:r>
    </w:p>
    <w:p w14:paraId="7FFE5738" w14:textId="1AD75A4C" w:rsidR="00270C02" w:rsidRPr="00424BD3" w:rsidRDefault="00913CB7" w:rsidP="000126EE">
      <w:pPr>
        <w:spacing w:after="0" w:line="480" w:lineRule="auto"/>
        <w:ind w:firstLine="720"/>
      </w:pPr>
      <w:r w:rsidRPr="00424BD3">
        <w:rPr>
          <w:rFonts w:cs="Arial"/>
          <w:szCs w:val="24"/>
        </w:rPr>
        <w:lastRenderedPageBreak/>
        <w:t>Carolyn mentioned living well until death</w:t>
      </w:r>
      <w:r w:rsidR="00270C02" w:rsidRPr="00424BD3">
        <w:rPr>
          <w:rFonts w:cs="Arial"/>
          <w:szCs w:val="24"/>
        </w:rPr>
        <w:t xml:space="preserve">, and </w:t>
      </w:r>
      <w:r w:rsidR="00270C02" w:rsidRPr="00424BD3">
        <w:t>as noted by Dr. Gerry McCartney, in a review of this dissertation, Carolyn’s definition is an excellent definition of compressed mortality, which is a key component of healthy life expectancy:</w:t>
      </w:r>
    </w:p>
    <w:p w14:paraId="42389E91" w14:textId="54561CCF" w:rsidR="00913CB7" w:rsidRPr="00424BD3" w:rsidRDefault="00913CB7" w:rsidP="000126EE">
      <w:pPr>
        <w:spacing w:after="0" w:line="480" w:lineRule="auto"/>
        <w:ind w:left="720"/>
        <w:rPr>
          <w:rFonts w:cs="Arial"/>
          <w:szCs w:val="24"/>
        </w:rPr>
      </w:pPr>
      <w:r w:rsidRPr="00424BD3">
        <w:rPr>
          <w:rFonts w:cs="Arial"/>
          <w:szCs w:val="24"/>
        </w:rPr>
        <w:t xml:space="preserve">"You mean put an age bracket on it? I'm not sure exactly how. I mean I'm not quite grasping the end outcome, not the answer per se, but how you quantify it…healthy life expectancy. The ability to live well until you're not living. [laughs]. I don't know how else to put it” [laughs]. </w:t>
      </w:r>
    </w:p>
    <w:p w14:paraId="1893BF18" w14:textId="42CAB9A1" w:rsidR="00D10D44" w:rsidRPr="00424BD3" w:rsidRDefault="008716BE" w:rsidP="000126EE">
      <w:pPr>
        <w:spacing w:after="0" w:line="480" w:lineRule="auto"/>
        <w:ind w:firstLine="720"/>
        <w:rPr>
          <w:rFonts w:cs="Arial"/>
          <w:color w:val="000000" w:themeColor="text1"/>
          <w:szCs w:val="24"/>
        </w:rPr>
      </w:pPr>
      <w:r w:rsidRPr="00424BD3">
        <w:t xml:space="preserve">Mary, however, gave one of the most telling answers. </w:t>
      </w:r>
      <w:r w:rsidRPr="00424BD3">
        <w:rPr>
          <w:rFonts w:cs="Arial"/>
          <w:szCs w:val="24"/>
        </w:rPr>
        <w:t xml:space="preserve">Having </w:t>
      </w:r>
      <w:r w:rsidRPr="00424BD3">
        <w:rPr>
          <w:rFonts w:cs="Arial"/>
          <w:color w:val="000000" w:themeColor="text1"/>
          <w:szCs w:val="24"/>
        </w:rPr>
        <w:t xml:space="preserve">mainly discussed early years prevention in term of instilling “good” health behaviors, </w:t>
      </w:r>
      <w:r w:rsidR="00022218" w:rsidRPr="00424BD3">
        <w:rPr>
          <w:rFonts w:cs="Arial"/>
          <w:color w:val="000000"/>
        </w:rPr>
        <w:t>she answered with a form of fatalism</w:t>
      </w:r>
      <w:r w:rsidR="00EF18F4">
        <w:rPr>
          <w:rFonts w:cs="Arial"/>
          <w:color w:val="000000"/>
        </w:rPr>
        <w:t>:</w:t>
      </w:r>
    </w:p>
    <w:p w14:paraId="44825E1D" w14:textId="5B9FE674" w:rsidR="008716BE" w:rsidRDefault="00D10D44" w:rsidP="000126EE">
      <w:pPr>
        <w:spacing w:after="0" w:line="480" w:lineRule="auto"/>
        <w:ind w:left="720"/>
        <w:rPr>
          <w:rFonts w:cs="Arial"/>
          <w:szCs w:val="24"/>
        </w:rPr>
      </w:pPr>
      <w:r w:rsidRPr="00424BD3">
        <w:rPr>
          <w:rFonts w:cs="Arial"/>
          <w:color w:val="000000" w:themeColor="text1"/>
          <w:szCs w:val="24"/>
        </w:rPr>
        <w:t>“</w:t>
      </w:r>
      <w:r w:rsidR="00B70FB5">
        <w:rPr>
          <w:rFonts w:cs="Arial"/>
          <w:color w:val="000000" w:themeColor="text1"/>
          <w:szCs w:val="24"/>
        </w:rPr>
        <w:t>T</w:t>
      </w:r>
      <w:r w:rsidR="008716BE" w:rsidRPr="00424BD3">
        <w:rPr>
          <w:rFonts w:cs="Arial"/>
          <w:color w:val="000000" w:themeColor="text1"/>
          <w:szCs w:val="24"/>
        </w:rPr>
        <w:t xml:space="preserve">here are a lot of things that you can find out about people when they are children….so I think good life expectancy starts with young...with good health </w:t>
      </w:r>
      <w:r w:rsidR="008716BE" w:rsidRPr="00424BD3">
        <w:rPr>
          <w:rFonts w:cs="Arial"/>
          <w:szCs w:val="24"/>
        </w:rPr>
        <w:t>practices being explained and also with a family who does that to the best of their ability. My [relative] weighed well over 300 pounds...my [relative] weighed well over 200...so I knew that wasn't healthy</w:t>
      </w:r>
      <w:r w:rsidR="00551D80">
        <w:rPr>
          <w:rFonts w:cs="Arial"/>
          <w:szCs w:val="24"/>
        </w:rPr>
        <w:t>,</w:t>
      </w:r>
      <w:r w:rsidR="008716BE" w:rsidRPr="00424BD3">
        <w:rPr>
          <w:rFonts w:cs="Arial"/>
          <w:szCs w:val="24"/>
        </w:rPr>
        <w:t xml:space="preserve"> and they would go on these crash diets and lose weight, but then they would go back to the old habits</w:t>
      </w:r>
      <w:r w:rsidR="00551D80">
        <w:rPr>
          <w:rFonts w:cs="Arial"/>
          <w:szCs w:val="24"/>
        </w:rPr>
        <w:t>. M</w:t>
      </w:r>
      <w:r w:rsidR="008716BE" w:rsidRPr="00424BD3">
        <w:rPr>
          <w:rFonts w:cs="Arial"/>
          <w:szCs w:val="24"/>
        </w:rPr>
        <w:t xml:space="preserve">y grandmother was a wonderful cook but...the only person who really exercised was my [relative]. He walked to </w:t>
      </w:r>
      <w:r w:rsidR="002E5616" w:rsidRPr="00424BD3">
        <w:rPr>
          <w:rFonts w:cs="Arial"/>
          <w:szCs w:val="24"/>
        </w:rPr>
        <w:t>work,</w:t>
      </w:r>
      <w:r w:rsidR="008716BE" w:rsidRPr="00424BD3">
        <w:rPr>
          <w:rFonts w:cs="Arial"/>
          <w:szCs w:val="24"/>
        </w:rPr>
        <w:t xml:space="preserve"> and he went fishing all the time...but he was the youngest to die.”</w:t>
      </w:r>
    </w:p>
    <w:p w14:paraId="79BA979E" w14:textId="75934DBC" w:rsidR="00655ECE" w:rsidRPr="00424BD3" w:rsidRDefault="00655ECE" w:rsidP="003215CE">
      <w:pPr>
        <w:spacing w:after="0" w:line="480" w:lineRule="auto"/>
        <w:ind w:firstLine="720"/>
        <w:rPr>
          <w:rFonts w:cs="Arial"/>
          <w:szCs w:val="24"/>
        </w:rPr>
      </w:pPr>
      <w:r>
        <w:rPr>
          <w:rFonts w:cs="Arial"/>
          <w:szCs w:val="24"/>
        </w:rPr>
        <w:t>Mary’s response</w:t>
      </w:r>
      <w:r w:rsidRPr="00424BD3">
        <w:rPr>
          <w:rFonts w:cs="Arial"/>
          <w:color w:val="000000"/>
        </w:rPr>
        <w:t xml:space="preserve"> confirm</w:t>
      </w:r>
      <w:r w:rsidR="007D1CE7">
        <w:rPr>
          <w:rFonts w:cs="Arial"/>
          <w:color w:val="000000"/>
        </w:rPr>
        <w:t>s</w:t>
      </w:r>
      <w:r w:rsidRPr="00424BD3">
        <w:rPr>
          <w:rFonts w:cs="Arial"/>
          <w:color w:val="000000"/>
        </w:rPr>
        <w:t xml:space="preserve">, for her at least, </w:t>
      </w:r>
      <w:r>
        <w:rPr>
          <w:rFonts w:cs="Arial"/>
          <w:color w:val="000000"/>
        </w:rPr>
        <w:t xml:space="preserve">Davison </w:t>
      </w:r>
      <w:r w:rsidR="00FC2F7D">
        <w:rPr>
          <w:rFonts w:cs="Arial"/>
          <w:color w:val="000000"/>
        </w:rPr>
        <w:t>et al.</w:t>
      </w:r>
      <w:r>
        <w:rPr>
          <w:rFonts w:cs="Arial"/>
          <w:color w:val="000000"/>
        </w:rPr>
        <w:t xml:space="preserve">’s </w:t>
      </w:r>
      <w:r w:rsidRPr="00424BD3">
        <w:rPr>
          <w:rFonts w:cs="Arial"/>
          <w:color w:val="000000"/>
        </w:rPr>
        <w:fldChar w:fldCharType="begin"/>
      </w:r>
      <w:r w:rsidR="00990F3A">
        <w:rPr>
          <w:rFonts w:cs="Arial"/>
          <w:color w:val="000000"/>
        </w:rPr>
        <w:instrText xml:space="preserve"> ADDIN ZOTERO_ITEM CSL_CITATION {"citationID":"cebWyaQO","properties":{"formattedCitation":"(1992)","plainCitation":"(1992)","noteIndex":0},"citationItems":[{"id":971,"uris":["http://zotero.org/users/4946941/items/I3EQKJNR"],"itemData":{"id":971,"type":"article-journal","abstract":"This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Davey"}],"issued":{"date-parts":[["1992",3,1]]}},"label":"page","suppress-author":true}],"schema":"https://github.com/citation-style-language/schema/raw/master/csl-citation.json"} </w:instrText>
      </w:r>
      <w:r w:rsidRPr="00424BD3">
        <w:rPr>
          <w:rFonts w:cs="Arial"/>
          <w:color w:val="000000"/>
        </w:rPr>
        <w:fldChar w:fldCharType="separate"/>
      </w:r>
      <w:r w:rsidRPr="00EF18F4">
        <w:rPr>
          <w:rFonts w:cs="Arial"/>
        </w:rPr>
        <w:t>(1992)</w:t>
      </w:r>
      <w:r w:rsidRPr="00424BD3">
        <w:rPr>
          <w:rFonts w:cs="Arial"/>
          <w:color w:val="000000"/>
        </w:rPr>
        <w:fldChar w:fldCharType="end"/>
      </w:r>
      <w:r w:rsidRPr="00424BD3">
        <w:rPr>
          <w:rFonts w:cs="Arial"/>
          <w:color w:val="000000"/>
        </w:rPr>
        <w:t xml:space="preserve"> arguments on fatalism, illness prevention and ideologies around lifestyle or health behavior movements</w:t>
      </w:r>
      <w:r>
        <w:rPr>
          <w:rFonts w:cs="Arial"/>
          <w:color w:val="000000"/>
        </w:rPr>
        <w:t xml:space="preserve">. </w:t>
      </w:r>
      <w:r w:rsidR="007D1CE7">
        <w:rPr>
          <w:rFonts w:cs="Arial"/>
          <w:color w:val="000000"/>
        </w:rPr>
        <w:t xml:space="preserve">Although she understands that </w:t>
      </w:r>
      <w:r w:rsidR="004C0D40">
        <w:rPr>
          <w:rFonts w:cs="Arial"/>
          <w:color w:val="000000"/>
        </w:rPr>
        <w:t xml:space="preserve">health and life expectancy outcomes start in the early years, she </w:t>
      </w:r>
      <w:r>
        <w:rPr>
          <w:rFonts w:cs="Arial"/>
          <w:color w:val="000000"/>
        </w:rPr>
        <w:t xml:space="preserve">indicates </w:t>
      </w:r>
      <w:r w:rsidR="00E570E5">
        <w:rPr>
          <w:rFonts w:cs="Arial"/>
          <w:color w:val="000000"/>
        </w:rPr>
        <w:t xml:space="preserve">health behavior and lifestyle choice </w:t>
      </w:r>
      <w:r w:rsidR="00EB1159">
        <w:rPr>
          <w:rFonts w:cs="Arial"/>
          <w:color w:val="000000"/>
        </w:rPr>
        <w:t xml:space="preserve">as </w:t>
      </w:r>
      <w:r w:rsidR="004C0D40">
        <w:rPr>
          <w:rFonts w:cs="Arial"/>
          <w:color w:val="000000"/>
        </w:rPr>
        <w:t xml:space="preserve">the determinant </w:t>
      </w:r>
      <w:r w:rsidR="004C0D40">
        <w:rPr>
          <w:rFonts w:cs="Arial"/>
          <w:color w:val="000000"/>
        </w:rPr>
        <w:lastRenderedPageBreak/>
        <w:t xml:space="preserve">of </w:t>
      </w:r>
      <w:r w:rsidR="00EB427C">
        <w:rPr>
          <w:rFonts w:cs="Arial"/>
          <w:color w:val="000000"/>
        </w:rPr>
        <w:t>importance</w:t>
      </w:r>
      <w:r w:rsidR="00E570E5">
        <w:rPr>
          <w:rFonts w:cs="Arial"/>
          <w:color w:val="000000"/>
        </w:rPr>
        <w:t xml:space="preserve"> in this matter. </w:t>
      </w:r>
      <w:r w:rsidR="00A67DAA">
        <w:rPr>
          <w:rFonts w:cs="Arial"/>
          <w:color w:val="000000"/>
        </w:rPr>
        <w:t xml:space="preserve">For Mary, </w:t>
      </w:r>
      <w:r w:rsidR="00D63158">
        <w:rPr>
          <w:rFonts w:cs="Arial"/>
          <w:color w:val="000000"/>
        </w:rPr>
        <w:t xml:space="preserve">this fatalism appeared in her argument that </w:t>
      </w:r>
      <w:r w:rsidR="00AD5724">
        <w:rPr>
          <w:rFonts w:cs="Arial"/>
          <w:color w:val="000000"/>
        </w:rPr>
        <w:t xml:space="preserve">regardless of </w:t>
      </w:r>
      <w:r w:rsidR="00A9740A">
        <w:rPr>
          <w:rFonts w:cs="Arial"/>
          <w:color w:val="000000"/>
        </w:rPr>
        <w:t xml:space="preserve">his health-promoting </w:t>
      </w:r>
      <w:r w:rsidR="00AD5724">
        <w:rPr>
          <w:rFonts w:cs="Arial"/>
          <w:color w:val="000000"/>
        </w:rPr>
        <w:t>health behavior and lifestyle choice</w:t>
      </w:r>
      <w:r w:rsidR="00A9740A">
        <w:rPr>
          <w:rFonts w:cs="Arial"/>
          <w:color w:val="000000"/>
        </w:rPr>
        <w:t>s</w:t>
      </w:r>
      <w:r w:rsidR="00AD5724">
        <w:rPr>
          <w:rFonts w:cs="Arial"/>
          <w:color w:val="000000"/>
        </w:rPr>
        <w:t xml:space="preserve">, her relative still died young, </w:t>
      </w:r>
      <w:r w:rsidR="00A9740A">
        <w:rPr>
          <w:rFonts w:cs="Arial"/>
          <w:color w:val="000000"/>
        </w:rPr>
        <w:t>while</w:t>
      </w:r>
      <w:r w:rsidR="00A67DAA">
        <w:rPr>
          <w:rFonts w:cs="Arial"/>
          <w:color w:val="000000"/>
        </w:rPr>
        <w:t xml:space="preserve"> </w:t>
      </w:r>
      <w:r w:rsidR="00A9740A">
        <w:rPr>
          <w:rFonts w:cs="Arial"/>
          <w:color w:val="000000"/>
        </w:rPr>
        <w:t>her other relatives</w:t>
      </w:r>
      <w:r w:rsidR="00D63158">
        <w:rPr>
          <w:rFonts w:cs="Arial"/>
          <w:color w:val="000000"/>
        </w:rPr>
        <w:t xml:space="preserve"> continued to live despite their behavior and choices. </w:t>
      </w:r>
    </w:p>
    <w:p w14:paraId="60E04C9F" w14:textId="58D0E349" w:rsidR="007C77C8" w:rsidRPr="00424BD3" w:rsidRDefault="00AA1AB1" w:rsidP="0070343E">
      <w:pPr>
        <w:spacing w:after="0" w:line="480" w:lineRule="auto"/>
        <w:ind w:firstLine="720"/>
        <w:rPr>
          <w:rFonts w:cs="Arial"/>
          <w:szCs w:val="24"/>
        </w:rPr>
      </w:pPr>
      <w:r w:rsidRPr="00424BD3">
        <w:rPr>
          <w:rFonts w:cs="Arial"/>
          <w:szCs w:val="24"/>
        </w:rPr>
        <w:t xml:space="preserve">Again, most were unsure how to define healthy life expectancy </w:t>
      </w:r>
      <w:r w:rsidR="00713A1E" w:rsidRPr="00424BD3">
        <w:rPr>
          <w:rFonts w:cs="Arial"/>
          <w:szCs w:val="24"/>
        </w:rPr>
        <w:t xml:space="preserve">or kept silent about their understanding of it for reasons identified in the health inequities section above. What is important to note in this section </w:t>
      </w:r>
      <w:r w:rsidR="000F2E1A" w:rsidRPr="00424BD3">
        <w:rPr>
          <w:rFonts w:cs="Arial"/>
          <w:szCs w:val="24"/>
        </w:rPr>
        <w:t>is</w:t>
      </w:r>
      <w:r w:rsidR="00713A1E" w:rsidRPr="00424BD3">
        <w:rPr>
          <w:rFonts w:cs="Arial"/>
          <w:szCs w:val="24"/>
        </w:rPr>
        <w:t xml:space="preserve"> Carolyn’s </w:t>
      </w:r>
      <w:r w:rsidR="001300B9" w:rsidRPr="00424BD3">
        <w:rPr>
          <w:rFonts w:cs="Arial"/>
          <w:szCs w:val="24"/>
        </w:rPr>
        <w:t xml:space="preserve">very clear definition of compressed mortality, even though she </w:t>
      </w:r>
      <w:r w:rsidR="000F2E1A" w:rsidRPr="00424BD3">
        <w:rPr>
          <w:rFonts w:cs="Arial"/>
          <w:szCs w:val="24"/>
        </w:rPr>
        <w:t xml:space="preserve">stated that she did not know what health life expectancy was and that she was only guessing, and Mary’s </w:t>
      </w:r>
      <w:r w:rsidR="0071614F" w:rsidRPr="00424BD3">
        <w:rPr>
          <w:rFonts w:cs="Arial"/>
          <w:szCs w:val="24"/>
        </w:rPr>
        <w:t>reverting to fatalism in her answer</w:t>
      </w:r>
      <w:r w:rsidR="00224167" w:rsidRPr="00424BD3">
        <w:rPr>
          <w:rFonts w:cs="Arial"/>
          <w:szCs w:val="24"/>
        </w:rPr>
        <w:t xml:space="preserve">, confirming the literature discussed earlier in this dissertation regarding fatalism’s role in many </w:t>
      </w:r>
      <w:r w:rsidR="00D831D8" w:rsidRPr="00424BD3">
        <w:rPr>
          <w:rFonts w:cs="Arial"/>
          <w:szCs w:val="24"/>
        </w:rPr>
        <w:t xml:space="preserve">people’s view of illness and death within neoliberal geopolitical systems </w:t>
      </w:r>
      <w:r w:rsidR="00D831D8" w:rsidRPr="00424BD3">
        <w:rPr>
          <w:rFonts w:cs="Arial"/>
          <w:szCs w:val="24"/>
        </w:rPr>
        <w:fldChar w:fldCharType="begin"/>
      </w:r>
      <w:r w:rsidR="00990F3A">
        <w:rPr>
          <w:rFonts w:cs="Arial"/>
          <w:szCs w:val="24"/>
        </w:rPr>
        <w:instrText xml:space="preserve"> ADDIN ZOTERO_ITEM CSL_CITATION {"citationID":"hiNbMpLV","properties":{"formattedCitation":"(Davison et al., 1992)","plainCitation":"(Davison et al., 1992)","noteIndex":0},"citationItems":[{"id":971,"uris":["http://zotero.org/users/4946941/items/I3EQKJNR"],"itemData":{"id":971,"type":"article-journal","abstract":"This paper is concerned with the development of preventive medicine in the field of Coronary Heart Disease. It is based on an in-depth, ethnographic investigation into the popular culture of prophylactic behaviour carried out in South Wales (U.K.) during 1988 and 1989. The focus of the data and analysis presented here is the operation of cultural norms and practices related to the understanding and explanation of the cause and distribution of illness and death from heart ailments. The paper illustrates how the everyday cultural practice of ‘lay epidemiology’ is involved in accounting for illness misfortune and in assessing the potential benefits of prophylactic behaviour change. A central issue dealt with here is the relationship of lifestyle to environment in the popular understanding of chronic disease. Lay notions of luck, fate, destiny, randomness and chaos in the distribution of heart disease are explored. In conclusion, some implications for health education in this field are put forward.","container-title":"Social Science &amp; Medicine","DOI":"10.1016/0277-9536(92)90195-V","ISSN":"0277-9536","issue":"6","journalAbbreviation":"Social Science &amp; Medicine","language":"en","page":"675-685","source":"ScienceDirect","title":"The limits of lifestyle: Re-assessing ‘fatalism’ in the popular culture of illness prevention","title-short":"The limits of lifestyle","volume":"34","author":[{"family":"Davison","given":"Charlie"},{"family":"Frankel","given":"Stephen"},{"family":"Smith","given":"George Davey"}],"issued":{"date-parts":[["1992",3,1]]}}}],"schema":"https://github.com/citation-style-language/schema/raw/master/csl-citation.json"} </w:instrText>
      </w:r>
      <w:r w:rsidR="00D831D8" w:rsidRPr="00424BD3">
        <w:rPr>
          <w:rFonts w:cs="Arial"/>
          <w:szCs w:val="24"/>
        </w:rPr>
        <w:fldChar w:fldCharType="separate"/>
      </w:r>
      <w:r w:rsidR="00D831D8" w:rsidRPr="00424BD3">
        <w:rPr>
          <w:rFonts w:cs="Arial"/>
        </w:rPr>
        <w:t>(Davison et al., 1992)</w:t>
      </w:r>
      <w:r w:rsidR="00D831D8" w:rsidRPr="00424BD3">
        <w:rPr>
          <w:rFonts w:cs="Arial"/>
          <w:szCs w:val="24"/>
        </w:rPr>
        <w:fldChar w:fldCharType="end"/>
      </w:r>
      <w:r w:rsidR="0071614F" w:rsidRPr="00424BD3">
        <w:rPr>
          <w:rFonts w:cs="Arial"/>
          <w:szCs w:val="24"/>
        </w:rPr>
        <w:t xml:space="preserve">. Additionally, Mary </w:t>
      </w:r>
      <w:r w:rsidR="002159F7" w:rsidRPr="00424BD3">
        <w:rPr>
          <w:rFonts w:cs="Arial"/>
          <w:szCs w:val="24"/>
        </w:rPr>
        <w:t xml:space="preserve">seemed to revert also to stigma and </w:t>
      </w:r>
      <w:r w:rsidR="00CD0AAF" w:rsidRPr="00424BD3">
        <w:rPr>
          <w:rFonts w:cs="Arial"/>
          <w:szCs w:val="24"/>
        </w:rPr>
        <w:t>health</w:t>
      </w:r>
      <w:r w:rsidR="002159F7" w:rsidRPr="00424BD3">
        <w:rPr>
          <w:rFonts w:cs="Arial"/>
          <w:szCs w:val="24"/>
        </w:rPr>
        <w:t xml:space="preserve"> norms about obesity and health versus thinness, insinuating that thinness equates to good health</w:t>
      </w:r>
      <w:r w:rsidR="00CD0AAF" w:rsidRPr="00424BD3">
        <w:rPr>
          <w:rFonts w:cs="Arial"/>
          <w:szCs w:val="24"/>
        </w:rPr>
        <w:t>, despite the fact that thin people can also be ill.</w:t>
      </w:r>
    </w:p>
    <w:p w14:paraId="07E958FE" w14:textId="77777777" w:rsidR="00CD2106" w:rsidRPr="004E73CD" w:rsidRDefault="00CD2106" w:rsidP="004E73CD">
      <w:pPr>
        <w:pStyle w:val="Heading3"/>
        <w:spacing w:before="0" w:line="480" w:lineRule="auto"/>
        <w:rPr>
          <w:rFonts w:ascii="Arial" w:hAnsi="Arial" w:cs="Arial"/>
          <w:b/>
          <w:bCs/>
          <w:i/>
          <w:iCs/>
          <w:color w:val="auto"/>
        </w:rPr>
      </w:pPr>
      <w:bookmarkStart w:id="88" w:name="_Toc118232354"/>
      <w:r w:rsidRPr="004E73CD">
        <w:rPr>
          <w:rFonts w:ascii="Arial" w:hAnsi="Arial" w:cs="Arial"/>
          <w:b/>
          <w:bCs/>
          <w:i/>
          <w:iCs/>
          <w:color w:val="auto"/>
        </w:rPr>
        <w:t>Mortality</w:t>
      </w:r>
      <w:bookmarkEnd w:id="88"/>
    </w:p>
    <w:p w14:paraId="05A845E5" w14:textId="09F3CA6B" w:rsidR="006109A0" w:rsidRPr="00424BD3" w:rsidRDefault="009E01EF" w:rsidP="0070343E">
      <w:pPr>
        <w:spacing w:after="0" w:line="480" w:lineRule="auto"/>
        <w:ind w:firstLine="720"/>
        <w:rPr>
          <w:rFonts w:cs="Arial"/>
          <w:szCs w:val="24"/>
        </w:rPr>
      </w:pPr>
      <w:r w:rsidRPr="00424BD3">
        <w:rPr>
          <w:rFonts w:cs="Arial"/>
          <w:szCs w:val="24"/>
        </w:rPr>
        <w:t xml:space="preserve">Mary, </w:t>
      </w:r>
      <w:r w:rsidR="000404EE" w:rsidRPr="00424BD3">
        <w:rPr>
          <w:rFonts w:cs="Arial"/>
          <w:szCs w:val="24"/>
        </w:rPr>
        <w:t xml:space="preserve">Anita, </w:t>
      </w:r>
      <w:r w:rsidR="00955C5D" w:rsidRPr="00424BD3">
        <w:rPr>
          <w:rFonts w:cs="Arial"/>
          <w:szCs w:val="24"/>
        </w:rPr>
        <w:t xml:space="preserve">Sharon, </w:t>
      </w:r>
      <w:r w:rsidR="00C86FED" w:rsidRPr="00424BD3">
        <w:rPr>
          <w:rFonts w:cs="Arial"/>
          <w:szCs w:val="24"/>
        </w:rPr>
        <w:t xml:space="preserve">Sylvia, and </w:t>
      </w:r>
      <w:r w:rsidR="00093C25" w:rsidRPr="00424BD3">
        <w:rPr>
          <w:rFonts w:cs="Arial"/>
          <w:szCs w:val="24"/>
        </w:rPr>
        <w:t xml:space="preserve">Kathryn </w:t>
      </w:r>
      <w:r w:rsidR="006765A1" w:rsidRPr="00424BD3">
        <w:rPr>
          <w:rFonts w:cs="Arial"/>
          <w:szCs w:val="24"/>
        </w:rPr>
        <w:t>referred to mortality as death rate or likelihood of death while Sharon included average age</w:t>
      </w:r>
      <w:r w:rsidR="006109A0" w:rsidRPr="00424BD3">
        <w:rPr>
          <w:rFonts w:cs="Arial"/>
          <w:szCs w:val="24"/>
        </w:rPr>
        <w:t xml:space="preserve">: </w:t>
      </w:r>
      <w:r w:rsidR="006765A1" w:rsidRPr="00424BD3">
        <w:rPr>
          <w:rFonts w:cs="Arial"/>
          <w:szCs w:val="24"/>
        </w:rPr>
        <w:t>"Mortality is the rate, I mean, let's see, the…average age of…death, I guess</w:t>
      </w:r>
      <w:r w:rsidR="006109A0" w:rsidRPr="00424BD3">
        <w:rPr>
          <w:rFonts w:cs="Arial"/>
          <w:szCs w:val="24"/>
        </w:rPr>
        <w:t>,” and others included mentions of mortality as age-related.</w:t>
      </w:r>
    </w:p>
    <w:p w14:paraId="40D18574" w14:textId="2F0D0653" w:rsidR="006765A1" w:rsidRPr="00424BD3" w:rsidRDefault="006765A1" w:rsidP="000126EE">
      <w:pPr>
        <w:spacing w:after="0" w:line="480" w:lineRule="auto"/>
        <w:ind w:firstLine="720"/>
        <w:rPr>
          <w:rFonts w:cs="Arial"/>
          <w:szCs w:val="24"/>
        </w:rPr>
      </w:pPr>
      <w:r w:rsidRPr="00424BD3">
        <w:rPr>
          <w:rFonts w:cs="Arial"/>
          <w:szCs w:val="24"/>
        </w:rPr>
        <w:t>Kathryn stated that it is a demographic</w:t>
      </w:r>
      <w:r w:rsidR="006721FF">
        <w:rPr>
          <w:rFonts w:cs="Arial"/>
          <w:szCs w:val="24"/>
        </w:rPr>
        <w:t xml:space="preserve"> </w:t>
      </w:r>
      <w:r w:rsidRPr="00424BD3">
        <w:rPr>
          <w:rFonts w:cs="Arial"/>
          <w:szCs w:val="24"/>
        </w:rPr>
        <w:t>/</w:t>
      </w:r>
      <w:r w:rsidR="006721FF">
        <w:rPr>
          <w:rFonts w:cs="Arial"/>
          <w:szCs w:val="24"/>
        </w:rPr>
        <w:t xml:space="preserve"> </w:t>
      </w:r>
      <w:r w:rsidRPr="00424BD3">
        <w:rPr>
          <w:rFonts w:cs="Arial"/>
          <w:szCs w:val="24"/>
        </w:rPr>
        <w:t>population rate</w:t>
      </w:r>
      <w:r w:rsidR="006721FF">
        <w:rPr>
          <w:rFonts w:cs="Arial"/>
          <w:szCs w:val="24"/>
        </w:rPr>
        <w:t xml:space="preserve"> </w:t>
      </w:r>
      <w:r w:rsidRPr="00424BD3">
        <w:rPr>
          <w:rFonts w:cs="Arial"/>
          <w:szCs w:val="24"/>
        </w:rPr>
        <w:t>/</w:t>
      </w:r>
      <w:r w:rsidR="006721FF">
        <w:rPr>
          <w:rFonts w:cs="Arial"/>
          <w:szCs w:val="24"/>
        </w:rPr>
        <w:t xml:space="preserve"> </w:t>
      </w:r>
      <w:r w:rsidRPr="00424BD3">
        <w:rPr>
          <w:rFonts w:cs="Arial"/>
          <w:szCs w:val="24"/>
        </w:rPr>
        <w:t xml:space="preserve">population-based metric, noting that certain demographics have lower chances of dying at certain ages, that mortality is dependent upon many factors, and that the chances of dying are all different. </w:t>
      </w:r>
    </w:p>
    <w:p w14:paraId="40F99200" w14:textId="03C0EB5C" w:rsidR="006765A1" w:rsidRDefault="006765A1" w:rsidP="000126EE">
      <w:pPr>
        <w:spacing w:after="0" w:line="480" w:lineRule="auto"/>
        <w:ind w:left="720"/>
        <w:rPr>
          <w:rFonts w:cs="Arial"/>
          <w:szCs w:val="24"/>
        </w:rPr>
      </w:pPr>
      <w:r w:rsidRPr="00424BD3">
        <w:rPr>
          <w:rFonts w:cs="Arial"/>
          <w:szCs w:val="24"/>
        </w:rPr>
        <w:lastRenderedPageBreak/>
        <w:t xml:space="preserve">Kathryn said: "…that's an acute condition, lack of life. Well, mortality to me, because I used to do like demographics, is a rate, certain demographics have lower </w:t>
      </w:r>
      <w:r w:rsidR="00EB4BFD">
        <w:rPr>
          <w:rFonts w:cs="Arial"/>
          <w:szCs w:val="24"/>
        </w:rPr>
        <w:t xml:space="preserve">[mortality] </w:t>
      </w:r>
      <w:r w:rsidRPr="00424BD3">
        <w:rPr>
          <w:rFonts w:cs="Arial"/>
          <w:szCs w:val="24"/>
        </w:rPr>
        <w:t>at a certain age, your chances of dying are…different and it's all dependent on a lot of different factors. So, mortality, I think of as a more population-based statistic. Yeah, that's how I would define mortality."</w:t>
      </w:r>
    </w:p>
    <w:p w14:paraId="7E24A01F" w14:textId="6CD5DFED" w:rsidR="000619D5" w:rsidRPr="00424BD3" w:rsidRDefault="00205FA8" w:rsidP="003215CE">
      <w:pPr>
        <w:spacing w:after="0" w:line="480" w:lineRule="auto"/>
        <w:ind w:firstLine="720"/>
        <w:rPr>
          <w:rFonts w:cs="Arial"/>
          <w:szCs w:val="24"/>
        </w:rPr>
      </w:pPr>
      <w:r>
        <w:rPr>
          <w:rFonts w:cs="Arial"/>
          <w:szCs w:val="24"/>
        </w:rPr>
        <w:t xml:space="preserve">In Kathryn’s case, </w:t>
      </w:r>
      <w:r w:rsidR="00392A63">
        <w:rPr>
          <w:rFonts w:cs="Arial"/>
          <w:szCs w:val="24"/>
        </w:rPr>
        <w:t xml:space="preserve">it seems her job has helped her to expand her understanding of mortality, from individual level to population-level, even if she cannot </w:t>
      </w:r>
      <w:r w:rsidR="00D53425">
        <w:rPr>
          <w:rFonts w:cs="Arial"/>
          <w:szCs w:val="24"/>
        </w:rPr>
        <w:t xml:space="preserve">completely offer a definition. This </w:t>
      </w:r>
      <w:r w:rsidR="00B04E6C">
        <w:rPr>
          <w:rFonts w:cs="Arial"/>
          <w:szCs w:val="24"/>
        </w:rPr>
        <w:t>illustrates</w:t>
      </w:r>
      <w:r w:rsidR="00D53425">
        <w:rPr>
          <w:rFonts w:cs="Arial"/>
          <w:szCs w:val="24"/>
        </w:rPr>
        <w:t xml:space="preserve"> how education, even outside of </w:t>
      </w:r>
      <w:r w:rsidR="005D5927">
        <w:rPr>
          <w:rFonts w:cs="Arial"/>
          <w:szCs w:val="24"/>
        </w:rPr>
        <w:t xml:space="preserve">health </w:t>
      </w:r>
      <w:r w:rsidR="00D53425">
        <w:rPr>
          <w:rFonts w:cs="Arial"/>
          <w:szCs w:val="24"/>
        </w:rPr>
        <w:t>education, can contribute to health literacy</w:t>
      </w:r>
      <w:r w:rsidR="00392A63">
        <w:rPr>
          <w:rFonts w:cs="Arial"/>
          <w:szCs w:val="24"/>
        </w:rPr>
        <w:t xml:space="preserve">. </w:t>
      </w:r>
    </w:p>
    <w:p w14:paraId="4162E231" w14:textId="71576F8D" w:rsidR="006765A1" w:rsidRPr="00424BD3" w:rsidRDefault="006765A1" w:rsidP="000126EE">
      <w:pPr>
        <w:spacing w:after="0" w:line="480" w:lineRule="auto"/>
        <w:ind w:firstLine="720"/>
        <w:rPr>
          <w:rFonts w:cs="Arial"/>
          <w:szCs w:val="24"/>
        </w:rPr>
      </w:pPr>
      <w:r w:rsidRPr="00424BD3">
        <w:rPr>
          <w:rFonts w:cs="Arial"/>
          <w:szCs w:val="24"/>
        </w:rPr>
        <w:t xml:space="preserve">As with healthy life expectancy, Anita spoke about mortality rate as affected by racially </w:t>
      </w:r>
      <w:r w:rsidR="003D6356" w:rsidRPr="00424BD3">
        <w:rPr>
          <w:rFonts w:cs="Arial"/>
          <w:szCs w:val="24"/>
        </w:rPr>
        <w:t>inequitable</w:t>
      </w:r>
      <w:r w:rsidRPr="00424BD3">
        <w:rPr>
          <w:rFonts w:cs="Arial"/>
          <w:szCs w:val="24"/>
        </w:rPr>
        <w:t xml:space="preserve"> rates, with mortality rates higher for </w:t>
      </w:r>
      <w:r w:rsidR="000B0F8C" w:rsidRPr="00424BD3">
        <w:rPr>
          <w:rFonts w:cs="Arial"/>
          <w:szCs w:val="24"/>
        </w:rPr>
        <w:t>Black</w:t>
      </w:r>
      <w:r w:rsidRPr="00424BD3">
        <w:rPr>
          <w:rFonts w:cs="Arial"/>
          <w:szCs w:val="24"/>
        </w:rPr>
        <w:t xml:space="preserve"> people than white people, given certain circumstances; as affected by clinical care relationships; and as affected by systemic economic issues and access to information and resources. </w:t>
      </w:r>
    </w:p>
    <w:p w14:paraId="098C43A0" w14:textId="78D59B60" w:rsidR="006765A1" w:rsidRDefault="006765A1" w:rsidP="000126EE">
      <w:pPr>
        <w:spacing w:after="0" w:line="480" w:lineRule="auto"/>
        <w:ind w:left="720"/>
        <w:rPr>
          <w:rFonts w:cs="Arial"/>
          <w:szCs w:val="24"/>
        </w:rPr>
      </w:pPr>
      <w:r w:rsidRPr="00424BD3">
        <w:rPr>
          <w:rFonts w:cs="Arial"/>
          <w:szCs w:val="24"/>
        </w:rPr>
        <w:t xml:space="preserve">Anita said: " I would tend to think that the mortality rate of </w:t>
      </w:r>
      <w:r w:rsidR="0090373B" w:rsidRPr="00424BD3">
        <w:rPr>
          <w:rFonts w:cs="Arial"/>
          <w:szCs w:val="24"/>
        </w:rPr>
        <w:t>Blacks</w:t>
      </w:r>
      <w:r w:rsidR="00BC7C2B" w:rsidRPr="00424BD3">
        <w:rPr>
          <w:rFonts w:cs="Arial"/>
          <w:szCs w:val="24"/>
        </w:rPr>
        <w:t xml:space="preserve"> </w:t>
      </w:r>
      <w:r w:rsidR="0090373B" w:rsidRPr="00424BD3">
        <w:rPr>
          <w:rFonts w:cs="Arial"/>
          <w:szCs w:val="24"/>
        </w:rPr>
        <w:t>[sic]</w:t>
      </w:r>
      <w:r w:rsidRPr="00424BD3">
        <w:rPr>
          <w:rFonts w:cs="Arial"/>
          <w:szCs w:val="24"/>
        </w:rPr>
        <w:t xml:space="preserve"> </w:t>
      </w:r>
      <w:r w:rsidR="009703DF">
        <w:rPr>
          <w:rFonts w:cs="Arial"/>
          <w:szCs w:val="24"/>
        </w:rPr>
        <w:t>is</w:t>
      </w:r>
      <w:r w:rsidRPr="00424BD3">
        <w:rPr>
          <w:rFonts w:cs="Arial"/>
          <w:szCs w:val="24"/>
        </w:rPr>
        <w:t xml:space="preserve"> higher than that of whites, given similar circumstances. And a lot of that mortality is, I think, somewhat dependent upon your relationship with your...physicians or your health professionals. </w:t>
      </w:r>
      <w:r w:rsidR="00321E2C">
        <w:rPr>
          <w:rFonts w:cs="Arial"/>
          <w:szCs w:val="24"/>
        </w:rPr>
        <w:t xml:space="preserve">[This] </w:t>
      </w:r>
      <w:r w:rsidRPr="00424BD3">
        <w:rPr>
          <w:rFonts w:cs="Arial"/>
          <w:szCs w:val="24"/>
        </w:rPr>
        <w:t>can be associated with economics, you know, knowledge base</w:t>
      </w:r>
      <w:r w:rsidR="00037C99">
        <w:rPr>
          <w:rFonts w:cs="Arial"/>
          <w:szCs w:val="24"/>
        </w:rPr>
        <w:t>. A</w:t>
      </w:r>
      <w:r w:rsidRPr="00424BD3">
        <w:rPr>
          <w:rFonts w:cs="Arial"/>
          <w:szCs w:val="24"/>
        </w:rPr>
        <w:t xml:space="preserve"> lot of it has to do, I believe, with your race and your ability to access the kind of...information or the kinds of resources that are necessary."</w:t>
      </w:r>
    </w:p>
    <w:p w14:paraId="162A49FD" w14:textId="2BBDAABD" w:rsidR="00B04E6C" w:rsidRPr="00424BD3" w:rsidRDefault="00B04E6C" w:rsidP="003215CE">
      <w:pPr>
        <w:spacing w:after="0" w:line="480" w:lineRule="auto"/>
        <w:ind w:firstLine="720"/>
        <w:rPr>
          <w:rFonts w:cs="Arial"/>
          <w:szCs w:val="24"/>
        </w:rPr>
      </w:pPr>
      <w:r>
        <w:rPr>
          <w:rFonts w:cs="Arial"/>
          <w:szCs w:val="24"/>
        </w:rPr>
        <w:t xml:space="preserve">Anita’s </w:t>
      </w:r>
      <w:r w:rsidR="00DD2552">
        <w:rPr>
          <w:rFonts w:cs="Arial"/>
          <w:szCs w:val="24"/>
        </w:rPr>
        <w:t>perception</w:t>
      </w:r>
      <w:r>
        <w:rPr>
          <w:rFonts w:cs="Arial"/>
          <w:szCs w:val="24"/>
        </w:rPr>
        <w:t xml:space="preserve"> </w:t>
      </w:r>
      <w:r w:rsidR="00DD2552">
        <w:rPr>
          <w:rFonts w:cs="Arial"/>
          <w:szCs w:val="24"/>
        </w:rPr>
        <w:t xml:space="preserve">of mortality indicates </w:t>
      </w:r>
      <w:r w:rsidR="00E22F49">
        <w:rPr>
          <w:rFonts w:cs="Arial"/>
          <w:szCs w:val="24"/>
        </w:rPr>
        <w:t xml:space="preserve">her understanding of </w:t>
      </w:r>
      <w:r w:rsidR="00DD2552">
        <w:rPr>
          <w:rFonts w:cs="Arial"/>
          <w:szCs w:val="24"/>
        </w:rPr>
        <w:t xml:space="preserve">structural factors at play in determining mortality outcomes, including racism, </w:t>
      </w:r>
      <w:r w:rsidR="00234FA1">
        <w:rPr>
          <w:rFonts w:cs="Arial"/>
          <w:szCs w:val="24"/>
        </w:rPr>
        <w:t>clinical-bias, economic inequalities, and health literacy, but she does not define mortality itself.</w:t>
      </w:r>
    </w:p>
    <w:p w14:paraId="2AD8ADCD" w14:textId="05C8BC01" w:rsidR="006C25A8" w:rsidRPr="00424BD3" w:rsidRDefault="00474681" w:rsidP="000126EE">
      <w:pPr>
        <w:spacing w:after="0" w:line="480" w:lineRule="auto"/>
        <w:ind w:firstLine="720"/>
        <w:rPr>
          <w:rFonts w:cs="Arial"/>
          <w:szCs w:val="24"/>
        </w:rPr>
      </w:pPr>
      <w:r w:rsidRPr="00424BD3">
        <w:rPr>
          <w:rFonts w:cs="Arial"/>
          <w:szCs w:val="24"/>
        </w:rPr>
        <w:lastRenderedPageBreak/>
        <w:t xml:space="preserve">Mary, </w:t>
      </w:r>
      <w:r w:rsidR="00970690" w:rsidRPr="00424BD3">
        <w:rPr>
          <w:rFonts w:cs="Arial"/>
          <w:szCs w:val="24"/>
        </w:rPr>
        <w:t xml:space="preserve">Cynthia, </w:t>
      </w:r>
      <w:r w:rsidR="004C339A" w:rsidRPr="00424BD3">
        <w:rPr>
          <w:rFonts w:cs="Arial"/>
          <w:szCs w:val="24"/>
        </w:rPr>
        <w:t xml:space="preserve">and Ruth </w:t>
      </w:r>
      <w:r w:rsidR="006C25A8" w:rsidRPr="00424BD3">
        <w:rPr>
          <w:rFonts w:cs="Arial"/>
          <w:szCs w:val="24"/>
        </w:rPr>
        <w:t xml:space="preserve">discussed aspects of illness and physical incapacity as a kind of mortality – death in relation to illness, mortality as encompassing quality of life prior to death as well as death itself, physical incapacity as a kind of mortality. Barbara and Margaret did not know what mortality is. Cynthia, however, spoke about her family’s health and mortality genealogy, and expressed concerns about her own death relative to their ages and causes of death. </w:t>
      </w:r>
    </w:p>
    <w:p w14:paraId="4849501B" w14:textId="31E99C04" w:rsidR="006765A1" w:rsidRPr="00424BD3" w:rsidRDefault="004A7431" w:rsidP="000126EE">
      <w:pPr>
        <w:spacing w:after="0" w:line="480" w:lineRule="auto"/>
        <w:ind w:firstLine="720"/>
        <w:rPr>
          <w:rFonts w:cs="Arial"/>
          <w:szCs w:val="24"/>
        </w:rPr>
      </w:pPr>
      <w:r>
        <w:rPr>
          <w:rFonts w:cs="Arial"/>
          <w:color w:val="000000"/>
        </w:rPr>
        <w:t xml:space="preserve">Peggy </w:t>
      </w:r>
      <w:r w:rsidR="006C25A8" w:rsidRPr="00424BD3">
        <w:rPr>
          <w:rFonts w:cs="Arial"/>
          <w:color w:val="000000"/>
        </w:rPr>
        <w:t>referred to mortality as “cause of death”</w:t>
      </w:r>
      <w:r w:rsidR="001703A5" w:rsidRPr="00424BD3">
        <w:rPr>
          <w:rFonts w:cs="Arial"/>
          <w:color w:val="000000"/>
        </w:rPr>
        <w:t xml:space="preserve"> </w:t>
      </w:r>
      <w:r w:rsidR="006C25A8" w:rsidRPr="00424BD3">
        <w:rPr>
          <w:rFonts w:cs="Arial"/>
          <w:color w:val="000000"/>
        </w:rPr>
        <w:t xml:space="preserve">or as death itself. </w:t>
      </w:r>
      <w:r w:rsidR="00227DA2" w:rsidRPr="00424BD3">
        <w:rPr>
          <w:rFonts w:cs="Arial"/>
          <w:color w:val="000000"/>
        </w:rPr>
        <w:t xml:space="preserve">Deborah </w:t>
      </w:r>
      <w:r w:rsidR="003E689D" w:rsidRPr="00424BD3">
        <w:rPr>
          <w:rFonts w:cs="Arial"/>
          <w:color w:val="000000"/>
        </w:rPr>
        <w:t xml:space="preserve">and Ruth </w:t>
      </w:r>
      <w:r w:rsidR="00227DA2" w:rsidRPr="00424BD3">
        <w:rPr>
          <w:rFonts w:cs="Arial"/>
          <w:color w:val="000000"/>
        </w:rPr>
        <w:t xml:space="preserve">also referred to it as death. </w:t>
      </w:r>
      <w:r w:rsidR="006C25A8" w:rsidRPr="00424BD3">
        <w:rPr>
          <w:rFonts w:cs="Arial"/>
          <w:color w:val="000000"/>
        </w:rPr>
        <w:t xml:space="preserve">For some, death </w:t>
      </w:r>
      <w:r w:rsidR="009F77F9" w:rsidRPr="00424BD3">
        <w:rPr>
          <w:rFonts w:cs="Arial"/>
          <w:color w:val="000000"/>
        </w:rPr>
        <w:t>was</w:t>
      </w:r>
      <w:r w:rsidR="006C25A8" w:rsidRPr="00424BD3">
        <w:rPr>
          <w:rFonts w:cs="Arial"/>
          <w:color w:val="000000"/>
        </w:rPr>
        <w:t xml:space="preserve"> the end of life, but for others, it was not the end of life. Deborah, for example, </w:t>
      </w:r>
      <w:r w:rsidR="006765A1" w:rsidRPr="00424BD3">
        <w:rPr>
          <w:rFonts w:cs="Arial"/>
          <w:szCs w:val="24"/>
        </w:rPr>
        <w:t xml:space="preserve">qualified </w:t>
      </w:r>
      <w:r w:rsidR="008E5A8E" w:rsidRPr="00424BD3">
        <w:rPr>
          <w:rFonts w:cs="Arial"/>
          <w:szCs w:val="24"/>
        </w:rPr>
        <w:t>mortality</w:t>
      </w:r>
      <w:r w:rsidR="006765A1" w:rsidRPr="00424BD3">
        <w:rPr>
          <w:rFonts w:cs="Arial"/>
          <w:szCs w:val="24"/>
        </w:rPr>
        <w:t xml:space="preserve"> in relation to her faith, "Well, it's death, but it's not the end because I'm a Christian, so I know me and my family are going to get to see each other again one day</w:t>
      </w:r>
      <w:r w:rsidR="00D2122F">
        <w:rPr>
          <w:rFonts w:cs="Arial"/>
          <w:szCs w:val="24"/>
        </w:rPr>
        <w:t>.”</w:t>
      </w:r>
      <w:r w:rsidR="006765A1" w:rsidRPr="00424BD3">
        <w:rPr>
          <w:rFonts w:cs="Arial"/>
          <w:szCs w:val="24"/>
        </w:rPr>
        <w:t xml:space="preserve"> Carolyn </w:t>
      </w:r>
      <w:r w:rsidR="003002AC">
        <w:rPr>
          <w:rFonts w:cs="Arial"/>
          <w:szCs w:val="24"/>
        </w:rPr>
        <w:t xml:space="preserve">also </w:t>
      </w:r>
      <w:r w:rsidR="006765A1" w:rsidRPr="00424BD3">
        <w:rPr>
          <w:rFonts w:cs="Arial"/>
          <w:szCs w:val="24"/>
        </w:rPr>
        <w:t xml:space="preserve">qualified it in terms of her personal </w:t>
      </w:r>
      <w:r w:rsidR="00E22F49">
        <w:rPr>
          <w:rFonts w:cs="Arial"/>
          <w:szCs w:val="24"/>
        </w:rPr>
        <w:t xml:space="preserve">spiritual </w:t>
      </w:r>
      <w:r w:rsidR="00E014B4">
        <w:rPr>
          <w:rFonts w:cs="Arial"/>
          <w:szCs w:val="24"/>
        </w:rPr>
        <w:t xml:space="preserve">(though non-religious) </w:t>
      </w:r>
      <w:r w:rsidR="006765A1" w:rsidRPr="00424BD3">
        <w:rPr>
          <w:rFonts w:cs="Arial"/>
          <w:szCs w:val="24"/>
        </w:rPr>
        <w:t>beliefs</w:t>
      </w:r>
      <w:r w:rsidR="00215A53">
        <w:rPr>
          <w:rFonts w:cs="Arial"/>
          <w:szCs w:val="24"/>
        </w:rPr>
        <w:t xml:space="preserve">, </w:t>
      </w:r>
      <w:r w:rsidR="00BC5180">
        <w:rPr>
          <w:rFonts w:cs="Arial"/>
          <w:szCs w:val="24"/>
        </w:rPr>
        <w:t xml:space="preserve">referring to </w:t>
      </w:r>
      <w:r w:rsidR="00215A53">
        <w:rPr>
          <w:rFonts w:cs="Arial"/>
          <w:szCs w:val="24"/>
        </w:rPr>
        <w:t xml:space="preserve">it as death, </w:t>
      </w:r>
      <w:r w:rsidR="0023151A">
        <w:rPr>
          <w:rFonts w:cs="Arial"/>
          <w:szCs w:val="24"/>
        </w:rPr>
        <w:t>its</w:t>
      </w:r>
      <w:r w:rsidR="00CB3BFF">
        <w:rPr>
          <w:rFonts w:cs="Arial"/>
          <w:szCs w:val="24"/>
        </w:rPr>
        <w:t xml:space="preserve"> inevitability, </w:t>
      </w:r>
      <w:r w:rsidR="00BC5180">
        <w:rPr>
          <w:rFonts w:cs="Arial"/>
          <w:szCs w:val="24"/>
        </w:rPr>
        <w:t xml:space="preserve">and </w:t>
      </w:r>
      <w:r w:rsidR="00215A53">
        <w:rPr>
          <w:rFonts w:cs="Arial"/>
          <w:szCs w:val="24"/>
        </w:rPr>
        <w:t xml:space="preserve">explaining </w:t>
      </w:r>
      <w:r w:rsidR="00BC5180">
        <w:rPr>
          <w:rFonts w:cs="Arial"/>
          <w:szCs w:val="24"/>
        </w:rPr>
        <w:t>that</w:t>
      </w:r>
      <w:r w:rsidR="00215A53">
        <w:rPr>
          <w:rFonts w:cs="Arial"/>
          <w:szCs w:val="24"/>
        </w:rPr>
        <w:t xml:space="preserve"> she th</w:t>
      </w:r>
      <w:r w:rsidR="006D055D">
        <w:rPr>
          <w:rFonts w:cs="Arial"/>
          <w:szCs w:val="24"/>
        </w:rPr>
        <w:t>inks of our souls as energy returning to collective energy</w:t>
      </w:r>
      <w:r w:rsidR="00E014B4">
        <w:rPr>
          <w:rFonts w:cs="Arial"/>
          <w:szCs w:val="24"/>
        </w:rPr>
        <w:t>. However, she also</w:t>
      </w:r>
      <w:r w:rsidR="006D055D">
        <w:rPr>
          <w:rFonts w:cs="Arial"/>
          <w:szCs w:val="24"/>
        </w:rPr>
        <w:t xml:space="preserve"> </w:t>
      </w:r>
      <w:r w:rsidR="00CB3BFF">
        <w:rPr>
          <w:rFonts w:cs="Arial"/>
          <w:szCs w:val="24"/>
        </w:rPr>
        <w:t xml:space="preserve">had a striking comment about </w:t>
      </w:r>
      <w:r w:rsidR="0023151A">
        <w:rPr>
          <w:rFonts w:cs="Arial"/>
          <w:szCs w:val="24"/>
        </w:rPr>
        <w:t>mortality:</w:t>
      </w:r>
    </w:p>
    <w:p w14:paraId="3F93072E" w14:textId="154AF3EF" w:rsidR="006765A1" w:rsidRDefault="006765A1" w:rsidP="000126EE">
      <w:pPr>
        <w:spacing w:after="0" w:line="480" w:lineRule="auto"/>
        <w:ind w:left="720"/>
        <w:rPr>
          <w:rFonts w:cs="Arial"/>
          <w:szCs w:val="24"/>
        </w:rPr>
      </w:pPr>
      <w:r w:rsidRPr="00424BD3">
        <w:rPr>
          <w:rFonts w:cs="Arial"/>
          <w:szCs w:val="24"/>
        </w:rPr>
        <w:t xml:space="preserve">"I'm getting into strangely philosophical things I don't think about much. </w:t>
      </w:r>
      <w:r w:rsidRPr="00424BD3">
        <w:rPr>
          <w:rFonts w:cs="Arial"/>
          <w:color w:val="000000" w:themeColor="text1"/>
          <w:szCs w:val="24"/>
        </w:rPr>
        <w:t>People don't ask these questions, and if they do, they don't usually want to know your answer truly</w:t>
      </w:r>
      <w:r w:rsidRPr="00424BD3">
        <w:rPr>
          <w:rFonts w:cs="Arial"/>
          <w:szCs w:val="24"/>
        </w:rPr>
        <w:t>...[laughs]</w:t>
      </w:r>
      <w:r w:rsidR="0023151A">
        <w:rPr>
          <w:rFonts w:cs="Arial"/>
          <w:szCs w:val="24"/>
        </w:rPr>
        <w:t>”</w:t>
      </w:r>
      <w:r w:rsidRPr="00424BD3">
        <w:rPr>
          <w:rFonts w:cs="Arial"/>
          <w:szCs w:val="24"/>
        </w:rPr>
        <w:t>.</w:t>
      </w:r>
    </w:p>
    <w:p w14:paraId="321ACC28" w14:textId="77A29104" w:rsidR="00CB3BFF" w:rsidRPr="00424BD3" w:rsidRDefault="00303C7F" w:rsidP="005120C5">
      <w:pPr>
        <w:spacing w:after="0" w:line="480" w:lineRule="auto"/>
        <w:ind w:firstLine="720"/>
        <w:rPr>
          <w:rFonts w:cs="Arial"/>
          <w:szCs w:val="24"/>
        </w:rPr>
      </w:pPr>
      <w:r>
        <w:rPr>
          <w:rFonts w:cs="Arial"/>
          <w:szCs w:val="24"/>
        </w:rPr>
        <w:t xml:space="preserve">Carolyn’s </w:t>
      </w:r>
      <w:r w:rsidR="00D51E3E">
        <w:rPr>
          <w:rFonts w:cs="Arial"/>
          <w:szCs w:val="24"/>
        </w:rPr>
        <w:t>statement</w:t>
      </w:r>
      <w:r>
        <w:rPr>
          <w:rFonts w:cs="Arial"/>
          <w:szCs w:val="24"/>
        </w:rPr>
        <w:t xml:space="preserve"> that mortality (for her, death) was not something she thought much about was also echoed by Margaret. </w:t>
      </w:r>
      <w:r w:rsidR="00D51E3E">
        <w:rPr>
          <w:rFonts w:cs="Arial"/>
          <w:szCs w:val="24"/>
        </w:rPr>
        <w:t xml:space="preserve">Indeed, there was a general </w:t>
      </w:r>
      <w:r w:rsidR="00572FD9">
        <w:rPr>
          <w:rFonts w:cs="Arial"/>
          <w:szCs w:val="24"/>
        </w:rPr>
        <w:t>consensus throughout the women’s responses that most of them tried not to think about mortality</w:t>
      </w:r>
      <w:r w:rsidR="00241066">
        <w:rPr>
          <w:rFonts w:cs="Arial"/>
          <w:szCs w:val="24"/>
        </w:rPr>
        <w:t>, but when most did, it was at an individual level (e.g., death) and not at population level</w:t>
      </w:r>
      <w:r w:rsidR="00572FD9">
        <w:rPr>
          <w:rFonts w:cs="Arial"/>
          <w:szCs w:val="24"/>
        </w:rPr>
        <w:t xml:space="preserve">. </w:t>
      </w:r>
      <w:r>
        <w:rPr>
          <w:rFonts w:cs="Arial"/>
          <w:szCs w:val="24"/>
        </w:rPr>
        <w:t xml:space="preserve">However, </w:t>
      </w:r>
      <w:r w:rsidR="00D51E3E">
        <w:rPr>
          <w:rFonts w:cs="Arial"/>
          <w:szCs w:val="24"/>
        </w:rPr>
        <w:t xml:space="preserve">her </w:t>
      </w:r>
      <w:r w:rsidR="00572FD9">
        <w:rPr>
          <w:rFonts w:cs="Arial"/>
          <w:szCs w:val="24"/>
        </w:rPr>
        <w:t xml:space="preserve">response regarding </w:t>
      </w:r>
      <w:r w:rsidR="004142A1">
        <w:rPr>
          <w:rFonts w:cs="Arial"/>
          <w:szCs w:val="24"/>
        </w:rPr>
        <w:t xml:space="preserve">people not asking questions about mortality and other health terms, </w:t>
      </w:r>
      <w:r w:rsidR="001B7DAB">
        <w:rPr>
          <w:rFonts w:cs="Arial"/>
          <w:szCs w:val="24"/>
        </w:rPr>
        <w:t xml:space="preserve">and </w:t>
      </w:r>
      <w:r w:rsidR="004142A1">
        <w:rPr>
          <w:rFonts w:cs="Arial"/>
          <w:szCs w:val="24"/>
        </w:rPr>
        <w:t>that people do not</w:t>
      </w:r>
      <w:r w:rsidR="005D7BEF">
        <w:rPr>
          <w:rFonts w:cs="Arial"/>
          <w:szCs w:val="24"/>
        </w:rPr>
        <w:t xml:space="preserve"> truly</w:t>
      </w:r>
      <w:r w:rsidR="004142A1">
        <w:rPr>
          <w:rFonts w:cs="Arial"/>
          <w:szCs w:val="24"/>
        </w:rPr>
        <w:t xml:space="preserve"> want to know other people’s answers</w:t>
      </w:r>
      <w:r w:rsidR="001B7DAB">
        <w:rPr>
          <w:rFonts w:cs="Arial"/>
          <w:szCs w:val="24"/>
        </w:rPr>
        <w:t xml:space="preserve"> </w:t>
      </w:r>
      <w:r w:rsidR="002D0D1D">
        <w:rPr>
          <w:rFonts w:cs="Arial"/>
          <w:szCs w:val="24"/>
        </w:rPr>
        <w:lastRenderedPageBreak/>
        <w:t xml:space="preserve">illustrates </w:t>
      </w:r>
      <w:r w:rsidR="00E02E96">
        <w:rPr>
          <w:rFonts w:cs="Arial"/>
          <w:szCs w:val="24"/>
        </w:rPr>
        <w:t>the impact of the norms of silences</w:t>
      </w:r>
      <w:r w:rsidR="002E604F">
        <w:rPr>
          <w:rFonts w:cs="Arial"/>
          <w:szCs w:val="24"/>
        </w:rPr>
        <w:t xml:space="preserve"> may have</w:t>
      </w:r>
      <w:r w:rsidR="00E02E96">
        <w:rPr>
          <w:rFonts w:cs="Arial"/>
          <w:szCs w:val="24"/>
        </w:rPr>
        <w:t xml:space="preserve"> on older women’s perceptions</w:t>
      </w:r>
      <w:r w:rsidR="00592359">
        <w:rPr>
          <w:rFonts w:cs="Arial"/>
          <w:szCs w:val="24"/>
        </w:rPr>
        <w:t xml:space="preserve"> of </w:t>
      </w:r>
      <w:r w:rsidR="009E4C93">
        <w:rPr>
          <w:rFonts w:cs="Arial"/>
          <w:szCs w:val="24"/>
        </w:rPr>
        <w:t xml:space="preserve">their </w:t>
      </w:r>
      <w:r w:rsidR="00A8001B">
        <w:rPr>
          <w:rFonts w:cs="Arial"/>
          <w:szCs w:val="24"/>
        </w:rPr>
        <w:t xml:space="preserve">thoughts, </w:t>
      </w:r>
      <w:r w:rsidR="009E4C93">
        <w:rPr>
          <w:rFonts w:cs="Arial"/>
          <w:szCs w:val="24"/>
        </w:rPr>
        <w:t>needs and wants not being considered by policy and decision-makers.</w:t>
      </w:r>
      <w:r w:rsidR="00E02E96">
        <w:rPr>
          <w:rFonts w:cs="Arial"/>
          <w:szCs w:val="24"/>
        </w:rPr>
        <w:t xml:space="preserve"> </w:t>
      </w:r>
      <w:r w:rsidR="009E4C93">
        <w:rPr>
          <w:rFonts w:cs="Arial"/>
          <w:szCs w:val="24"/>
        </w:rPr>
        <w:t xml:space="preserve">It also </w:t>
      </w:r>
      <w:r w:rsidR="0027441B">
        <w:rPr>
          <w:rFonts w:cs="Arial"/>
          <w:szCs w:val="24"/>
        </w:rPr>
        <w:t>illustrates</w:t>
      </w:r>
      <w:r w:rsidR="009E4C93">
        <w:rPr>
          <w:rFonts w:cs="Arial"/>
          <w:szCs w:val="24"/>
        </w:rPr>
        <w:t xml:space="preserve"> how </w:t>
      </w:r>
      <w:r w:rsidR="00A8001B">
        <w:rPr>
          <w:rFonts w:cs="Arial"/>
          <w:szCs w:val="24"/>
        </w:rPr>
        <w:t xml:space="preserve">fatalism thrives in societies where people do not </w:t>
      </w:r>
      <w:r w:rsidR="00A51FD7">
        <w:rPr>
          <w:rFonts w:cs="Arial"/>
          <w:szCs w:val="24"/>
        </w:rPr>
        <w:t>feel valued or heard by those in power.</w:t>
      </w:r>
    </w:p>
    <w:p w14:paraId="068754B8" w14:textId="159156D4" w:rsidR="006765A1" w:rsidRPr="00424BD3" w:rsidRDefault="006765A1" w:rsidP="0070343E">
      <w:pPr>
        <w:spacing w:after="0" w:line="480" w:lineRule="auto"/>
        <w:ind w:firstLine="720"/>
        <w:rPr>
          <w:rFonts w:cs="Arial"/>
          <w:szCs w:val="24"/>
        </w:rPr>
      </w:pPr>
      <w:r w:rsidRPr="00424BD3">
        <w:rPr>
          <w:rFonts w:cs="Arial"/>
          <w:szCs w:val="24"/>
        </w:rPr>
        <w:t xml:space="preserve">Carolyn’s observation that people do not ask questions about mortality or other health definitions, and that people don’t really want to hear other’s answers was exactly one of the reasons </w:t>
      </w:r>
      <w:r w:rsidR="00CF204E" w:rsidRPr="00424BD3">
        <w:rPr>
          <w:rFonts w:cs="Arial"/>
          <w:szCs w:val="24"/>
        </w:rPr>
        <w:t>this study was undertaken</w:t>
      </w:r>
      <w:r w:rsidRPr="00424BD3">
        <w:rPr>
          <w:rFonts w:cs="Arial"/>
          <w:szCs w:val="24"/>
        </w:rPr>
        <w:t xml:space="preserve">. As simple as it sounds, without hearing older women’s answers to these questions, </w:t>
      </w:r>
      <w:r w:rsidR="00D26FBF" w:rsidRPr="00424BD3">
        <w:rPr>
          <w:rFonts w:cs="Arial"/>
          <w:szCs w:val="24"/>
        </w:rPr>
        <w:t>researchers, clinicians, and policymakers</w:t>
      </w:r>
      <w:r w:rsidRPr="00424BD3">
        <w:rPr>
          <w:rFonts w:cs="Arial"/>
          <w:szCs w:val="24"/>
        </w:rPr>
        <w:t xml:space="preserve"> cannot know what they</w:t>
      </w:r>
      <w:r w:rsidRPr="00424BD3">
        <w:rPr>
          <w:rFonts w:cs="Arial"/>
          <w:i/>
          <w:iCs/>
          <w:szCs w:val="24"/>
        </w:rPr>
        <w:t xml:space="preserve"> </w:t>
      </w:r>
      <w:r w:rsidRPr="00424BD3">
        <w:rPr>
          <w:rFonts w:cs="Arial"/>
          <w:szCs w:val="24"/>
        </w:rPr>
        <w:t xml:space="preserve">know of or want and need in relation to health, mortality, health inequities, the policies, geopolitical environment, or social norms which shape their perceptions. </w:t>
      </w:r>
      <w:r w:rsidR="00A3122F" w:rsidRPr="00424BD3">
        <w:rPr>
          <w:rFonts w:cs="Arial"/>
          <w:szCs w:val="24"/>
        </w:rPr>
        <w:t xml:space="preserve">It should be noted that </w:t>
      </w:r>
      <w:r w:rsidRPr="00424BD3">
        <w:rPr>
          <w:rFonts w:cs="Arial"/>
          <w:szCs w:val="24"/>
        </w:rPr>
        <w:t xml:space="preserve">Carolyn’s surprise at </w:t>
      </w:r>
      <w:r w:rsidR="005508FF" w:rsidRPr="00424BD3">
        <w:rPr>
          <w:rFonts w:cs="Arial"/>
          <w:szCs w:val="24"/>
        </w:rPr>
        <w:t>being</w:t>
      </w:r>
      <w:r w:rsidRPr="00424BD3">
        <w:rPr>
          <w:rFonts w:cs="Arial"/>
          <w:szCs w:val="24"/>
        </w:rPr>
        <w:t xml:space="preserve"> ask</w:t>
      </w:r>
      <w:r w:rsidR="005508FF" w:rsidRPr="00424BD3">
        <w:rPr>
          <w:rFonts w:cs="Arial"/>
          <w:szCs w:val="24"/>
        </w:rPr>
        <w:t>ed</w:t>
      </w:r>
      <w:r w:rsidRPr="00424BD3">
        <w:rPr>
          <w:rFonts w:cs="Arial"/>
          <w:szCs w:val="24"/>
        </w:rPr>
        <w:t xml:space="preserve"> these questions and the embarrassment by other participants in not knowing how to answer some of these “health definition” questions</w:t>
      </w:r>
      <w:r w:rsidR="00A3122F" w:rsidRPr="00424BD3">
        <w:rPr>
          <w:rFonts w:cs="Arial"/>
          <w:szCs w:val="24"/>
        </w:rPr>
        <w:t xml:space="preserve"> may</w:t>
      </w:r>
      <w:r w:rsidRPr="00424BD3">
        <w:rPr>
          <w:rFonts w:cs="Arial"/>
          <w:szCs w:val="24"/>
        </w:rPr>
        <w:t xml:space="preserve"> reflect experiences of invisibility, marginalization, and health norming</w:t>
      </w:r>
      <w:r w:rsidR="00A3122F" w:rsidRPr="00424BD3">
        <w:rPr>
          <w:rFonts w:cs="Arial"/>
          <w:szCs w:val="24"/>
        </w:rPr>
        <w:t xml:space="preserve"> or may reflect</w:t>
      </w:r>
      <w:r w:rsidR="002A0F53" w:rsidRPr="00424BD3">
        <w:rPr>
          <w:rFonts w:cs="Arial"/>
          <w:szCs w:val="24"/>
        </w:rPr>
        <w:t xml:space="preserve">, as stated earlier, </w:t>
      </w:r>
      <w:r w:rsidR="00A3122F" w:rsidRPr="00424BD3">
        <w:rPr>
          <w:rFonts w:cs="Arial"/>
          <w:szCs w:val="24"/>
        </w:rPr>
        <w:t>efforts to define these terms ‘correctly’</w:t>
      </w:r>
      <w:r w:rsidR="002A0F53" w:rsidRPr="00424BD3">
        <w:rPr>
          <w:rFonts w:cs="Arial"/>
          <w:szCs w:val="24"/>
        </w:rPr>
        <w:t xml:space="preserve">, </w:t>
      </w:r>
      <w:r w:rsidR="005F31EC" w:rsidRPr="00424BD3">
        <w:rPr>
          <w:rFonts w:cs="Arial"/>
          <w:szCs w:val="24"/>
        </w:rPr>
        <w:t xml:space="preserve">or </w:t>
      </w:r>
      <w:r w:rsidR="002A0F53" w:rsidRPr="00424BD3">
        <w:rPr>
          <w:rFonts w:cs="Arial"/>
          <w:szCs w:val="24"/>
        </w:rPr>
        <w:t xml:space="preserve">a </w:t>
      </w:r>
      <w:r w:rsidR="005F31EC" w:rsidRPr="00424BD3">
        <w:rPr>
          <w:rFonts w:cs="Arial"/>
          <w:szCs w:val="24"/>
        </w:rPr>
        <w:t>desire to not appear that they were ignorant of these definitions</w:t>
      </w:r>
      <w:r w:rsidR="006014ED">
        <w:rPr>
          <w:rFonts w:cs="Arial"/>
          <w:szCs w:val="24"/>
        </w:rPr>
        <w:t>.</w:t>
      </w:r>
    </w:p>
    <w:p w14:paraId="03B585C8" w14:textId="77777777" w:rsidR="00CD2106" w:rsidRPr="004E73CD" w:rsidRDefault="00CD2106" w:rsidP="004E73CD">
      <w:pPr>
        <w:pStyle w:val="Heading3"/>
        <w:spacing w:before="0" w:line="480" w:lineRule="auto"/>
        <w:rPr>
          <w:rFonts w:ascii="Arial" w:hAnsi="Arial" w:cs="Arial"/>
          <w:b/>
          <w:bCs/>
          <w:i/>
          <w:iCs/>
          <w:color w:val="auto"/>
        </w:rPr>
      </w:pPr>
      <w:bookmarkStart w:id="89" w:name="_Toc118232355"/>
      <w:r w:rsidRPr="004E73CD">
        <w:rPr>
          <w:rFonts w:ascii="Arial" w:hAnsi="Arial" w:cs="Arial"/>
          <w:b/>
          <w:bCs/>
          <w:i/>
          <w:iCs/>
          <w:color w:val="auto"/>
        </w:rPr>
        <w:t>Good Health</w:t>
      </w:r>
      <w:bookmarkEnd w:id="89"/>
    </w:p>
    <w:p w14:paraId="29F00333" w14:textId="77777777" w:rsidR="000C27AF" w:rsidRPr="00424BD3" w:rsidRDefault="000C27AF" w:rsidP="0070343E">
      <w:pPr>
        <w:spacing w:after="0" w:line="480" w:lineRule="auto"/>
        <w:rPr>
          <w:rFonts w:ascii="Times New Roman" w:eastAsia="Times New Roman" w:hAnsi="Times New Roman" w:cs="Times New Roman"/>
          <w:szCs w:val="24"/>
        </w:rPr>
      </w:pPr>
      <w:r w:rsidRPr="00424BD3">
        <w:rPr>
          <w:rFonts w:eastAsia="Times New Roman" w:cs="Arial"/>
          <w:color w:val="000000"/>
          <w:szCs w:val="24"/>
        </w:rPr>
        <w:t>Again, most of the participants did not define good health, but instead identified component parts of good health. By far, the most identified components were ability to maintain mobility, activity, control of one’s circumstances, choice, and independence.</w:t>
      </w:r>
    </w:p>
    <w:p w14:paraId="77B77A64" w14:textId="1938C846" w:rsidR="000C27AF" w:rsidRPr="00424BD3" w:rsidRDefault="000C27AF" w:rsidP="000126EE">
      <w:pPr>
        <w:spacing w:after="0" w:line="480" w:lineRule="auto"/>
        <w:ind w:left="720"/>
        <w:rPr>
          <w:rFonts w:ascii="Times New Roman" w:eastAsia="Times New Roman" w:hAnsi="Times New Roman" w:cs="Times New Roman"/>
          <w:szCs w:val="24"/>
        </w:rPr>
      </w:pPr>
      <w:r w:rsidRPr="00424BD3">
        <w:rPr>
          <w:rFonts w:eastAsia="Times New Roman" w:cs="Arial"/>
          <w:color w:val="000000"/>
          <w:szCs w:val="24"/>
        </w:rPr>
        <w:t>Anita said:</w:t>
      </w:r>
    </w:p>
    <w:p w14:paraId="7B1F7590" w14:textId="589FFB7A" w:rsidR="007E0408" w:rsidRPr="00424BD3" w:rsidRDefault="000C27AF" w:rsidP="004E73CD">
      <w:pPr>
        <w:spacing w:after="0" w:line="480" w:lineRule="auto"/>
        <w:ind w:left="720"/>
        <w:rPr>
          <w:rFonts w:ascii="Times New Roman" w:eastAsia="Times New Roman" w:hAnsi="Times New Roman" w:cs="Times New Roman"/>
          <w:szCs w:val="24"/>
        </w:rPr>
      </w:pPr>
      <w:r w:rsidRPr="00424BD3">
        <w:rPr>
          <w:rFonts w:eastAsia="Times New Roman" w:cs="Arial"/>
          <w:color w:val="000000"/>
          <w:szCs w:val="24"/>
        </w:rPr>
        <w:t xml:space="preserve">"Every day my feet hit the floor, that's good health [laughs]. The fact that I woke up, that's good health [laughs]. I may wake up in the morning, and I've got a few aches and pains, but I walk it out, it gets better, until I, literally, don't even think </w:t>
      </w:r>
      <w:r w:rsidRPr="00424BD3">
        <w:rPr>
          <w:rFonts w:eastAsia="Times New Roman" w:cs="Arial"/>
          <w:color w:val="000000"/>
          <w:szCs w:val="24"/>
        </w:rPr>
        <w:lastRenderedPageBreak/>
        <w:t>about it...until the next morning when I get up. That's still good health, 'cause I got up. Good health is, you know, you're able to do the things that you would like to do. Now, you may be doing it at a slower pace because of the aging process, but you're still able to do the things that you want to do. Oh</w:t>
      </w:r>
      <w:r w:rsidR="00A869A3">
        <w:rPr>
          <w:rFonts w:eastAsia="Times New Roman" w:cs="Arial"/>
          <w:color w:val="000000"/>
          <w:szCs w:val="24"/>
        </w:rPr>
        <w:t>,</w:t>
      </w:r>
      <w:r w:rsidRPr="00424BD3">
        <w:rPr>
          <w:rFonts w:eastAsia="Times New Roman" w:cs="Arial"/>
          <w:color w:val="000000"/>
          <w:szCs w:val="24"/>
        </w:rPr>
        <w:t xml:space="preserve"> because I'm looking at my age…and we all have similar kinds of things happening to us and...it's</w:t>
      </w:r>
      <w:r w:rsidR="0079222F">
        <w:rPr>
          <w:rFonts w:eastAsia="Times New Roman" w:cs="Arial"/>
          <w:color w:val="000000"/>
          <w:szCs w:val="24"/>
        </w:rPr>
        <w:t xml:space="preserve"> </w:t>
      </w:r>
      <w:r w:rsidR="00741B96">
        <w:rPr>
          <w:rFonts w:eastAsia="Times New Roman" w:cs="Arial"/>
          <w:color w:val="000000"/>
          <w:szCs w:val="24"/>
        </w:rPr>
        <w:t>[sic]</w:t>
      </w:r>
      <w:r w:rsidRPr="00424BD3">
        <w:rPr>
          <w:rFonts w:eastAsia="Times New Roman" w:cs="Arial"/>
          <w:color w:val="000000"/>
          <w:szCs w:val="24"/>
        </w:rPr>
        <w:t xml:space="preserve">...the kind of things that are happening to most older people in our age category. </w:t>
      </w:r>
    </w:p>
    <w:p w14:paraId="125C5131" w14:textId="4D91E29A" w:rsidR="000C27AF" w:rsidRPr="00424BD3" w:rsidRDefault="007E0408" w:rsidP="00E218A5">
      <w:pPr>
        <w:spacing w:after="0" w:line="480" w:lineRule="auto"/>
        <w:ind w:firstLine="720"/>
        <w:rPr>
          <w:rFonts w:ascii="Times New Roman" w:eastAsia="Times New Roman" w:hAnsi="Times New Roman" w:cs="Times New Roman"/>
          <w:szCs w:val="24"/>
        </w:rPr>
      </w:pPr>
      <w:r>
        <w:rPr>
          <w:rFonts w:eastAsia="Times New Roman" w:cs="Arial"/>
          <w:color w:val="000000"/>
          <w:szCs w:val="24"/>
        </w:rPr>
        <w:t xml:space="preserve">Anita’s explanation seems to suggest that good health is relative to one’s age, so that if you are </w:t>
      </w:r>
      <w:r w:rsidR="0027441B">
        <w:rPr>
          <w:rFonts w:eastAsia="Times New Roman" w:cs="Arial"/>
          <w:color w:val="000000"/>
          <w:szCs w:val="24"/>
        </w:rPr>
        <w:t>older,</w:t>
      </w:r>
      <w:r>
        <w:rPr>
          <w:rFonts w:eastAsia="Times New Roman" w:cs="Arial"/>
          <w:color w:val="000000"/>
          <w:szCs w:val="24"/>
        </w:rPr>
        <w:t xml:space="preserve"> you can be in good health, but </w:t>
      </w:r>
      <w:r w:rsidR="00640D74">
        <w:rPr>
          <w:rFonts w:eastAsia="Times New Roman" w:cs="Arial"/>
          <w:color w:val="000000"/>
          <w:szCs w:val="24"/>
        </w:rPr>
        <w:t xml:space="preserve">it will not protect you from some of the challenges that many older individuals experience. </w:t>
      </w:r>
    </w:p>
    <w:p w14:paraId="6F6C0961" w14:textId="7497458C" w:rsidR="000C27AF" w:rsidRPr="00424BD3" w:rsidRDefault="00640D74" w:rsidP="00E218A5">
      <w:pPr>
        <w:spacing w:after="0" w:line="480" w:lineRule="auto"/>
        <w:ind w:firstLine="720"/>
        <w:rPr>
          <w:rFonts w:ascii="Times New Roman" w:eastAsia="Times New Roman" w:hAnsi="Times New Roman" w:cs="Times New Roman"/>
          <w:szCs w:val="24"/>
        </w:rPr>
      </w:pPr>
      <w:r>
        <w:rPr>
          <w:rFonts w:eastAsia="Times New Roman" w:cs="Arial"/>
          <w:color w:val="000000"/>
          <w:szCs w:val="24"/>
        </w:rPr>
        <w:t>T</w:t>
      </w:r>
      <w:r w:rsidR="000C27AF" w:rsidRPr="00424BD3">
        <w:rPr>
          <w:rFonts w:eastAsia="Times New Roman" w:cs="Arial"/>
          <w:color w:val="000000"/>
          <w:szCs w:val="24"/>
        </w:rPr>
        <w:t xml:space="preserve">he issues </w:t>
      </w:r>
      <w:r w:rsidR="00AB4B72" w:rsidRPr="00424BD3">
        <w:rPr>
          <w:rFonts w:eastAsia="Times New Roman" w:cs="Arial"/>
          <w:color w:val="000000"/>
          <w:szCs w:val="24"/>
        </w:rPr>
        <w:t>of individual</w:t>
      </w:r>
      <w:r w:rsidR="000C27AF" w:rsidRPr="00424BD3">
        <w:rPr>
          <w:rFonts w:eastAsia="Times New Roman" w:cs="Arial"/>
          <w:color w:val="000000"/>
          <w:szCs w:val="24"/>
        </w:rPr>
        <w:t xml:space="preserve"> responsibility for</w:t>
      </w:r>
      <w:r>
        <w:rPr>
          <w:rFonts w:eastAsia="Times New Roman" w:cs="Arial"/>
          <w:color w:val="000000"/>
          <w:szCs w:val="24"/>
        </w:rPr>
        <w:t xml:space="preserve"> maintaining “good health” were also discussed in relation to</w:t>
      </w:r>
      <w:r w:rsidR="000C27AF" w:rsidRPr="00424BD3">
        <w:rPr>
          <w:rFonts w:eastAsia="Times New Roman" w:cs="Arial"/>
          <w:color w:val="000000"/>
          <w:szCs w:val="24"/>
        </w:rPr>
        <w:t xml:space="preserve"> weight, healthy diet</w:t>
      </w:r>
      <w:r w:rsidR="006721FF">
        <w:rPr>
          <w:rFonts w:eastAsia="Times New Roman" w:cs="Arial"/>
          <w:color w:val="000000"/>
          <w:szCs w:val="24"/>
        </w:rPr>
        <w:t xml:space="preserve"> </w:t>
      </w:r>
      <w:r w:rsidR="000C27AF" w:rsidRPr="00424BD3">
        <w:rPr>
          <w:rFonts w:eastAsia="Times New Roman" w:cs="Arial"/>
          <w:color w:val="000000"/>
          <w:szCs w:val="24"/>
        </w:rPr>
        <w:t>/</w:t>
      </w:r>
      <w:r w:rsidR="006721FF">
        <w:rPr>
          <w:rFonts w:eastAsia="Times New Roman" w:cs="Arial"/>
          <w:color w:val="000000"/>
          <w:szCs w:val="24"/>
        </w:rPr>
        <w:t xml:space="preserve"> </w:t>
      </w:r>
      <w:r w:rsidR="000C27AF" w:rsidRPr="00424BD3">
        <w:rPr>
          <w:rFonts w:eastAsia="Times New Roman" w:cs="Arial"/>
          <w:color w:val="000000"/>
          <w:szCs w:val="24"/>
        </w:rPr>
        <w:t xml:space="preserve">nutrition and exercise. Some had specific aspects of physical good health which they identified through </w:t>
      </w:r>
      <w:r>
        <w:rPr>
          <w:rFonts w:eastAsia="Times New Roman" w:cs="Arial"/>
          <w:color w:val="000000"/>
          <w:szCs w:val="24"/>
        </w:rPr>
        <w:t xml:space="preserve">their own </w:t>
      </w:r>
      <w:r w:rsidR="000C27AF" w:rsidRPr="00424BD3">
        <w:rPr>
          <w:rFonts w:eastAsia="Times New Roman" w:cs="Arial"/>
          <w:color w:val="000000"/>
          <w:szCs w:val="24"/>
        </w:rPr>
        <w:t xml:space="preserve">personal </w:t>
      </w:r>
      <w:r>
        <w:rPr>
          <w:rFonts w:eastAsia="Times New Roman" w:cs="Arial"/>
          <w:color w:val="000000"/>
          <w:szCs w:val="24"/>
        </w:rPr>
        <w:t>concerns and difficulties</w:t>
      </w:r>
      <w:r w:rsidRPr="00424BD3">
        <w:rPr>
          <w:rFonts w:eastAsia="Times New Roman" w:cs="Arial"/>
          <w:color w:val="000000"/>
          <w:szCs w:val="24"/>
        </w:rPr>
        <w:t xml:space="preserve"> </w:t>
      </w:r>
      <w:r w:rsidR="000C27AF" w:rsidRPr="00424BD3">
        <w:rPr>
          <w:rFonts w:eastAsia="Times New Roman" w:cs="Arial"/>
          <w:color w:val="000000"/>
          <w:szCs w:val="24"/>
        </w:rPr>
        <w:t>– such as inability to breathe fully or losing their eyesight. Some mentioned lack of pain, and some mentioned physical safety.</w:t>
      </w:r>
      <w:r>
        <w:rPr>
          <w:rFonts w:eastAsia="Times New Roman" w:cs="Arial"/>
          <w:color w:val="000000"/>
          <w:szCs w:val="24"/>
        </w:rPr>
        <w:t xml:space="preserve"> </w:t>
      </w:r>
      <w:r w:rsidR="000C27AF" w:rsidRPr="00424BD3">
        <w:rPr>
          <w:rFonts w:eastAsia="Times New Roman" w:cs="Arial"/>
          <w:color w:val="000000"/>
          <w:szCs w:val="24"/>
        </w:rPr>
        <w:t>Some included good mental and cognitive health. Sylvia, whose two aunts died of Alzheimer’s, said:</w:t>
      </w:r>
    </w:p>
    <w:p w14:paraId="1EB0CF31" w14:textId="27B51C8C" w:rsidR="000C27AF" w:rsidRPr="00424BD3" w:rsidRDefault="000C27AF" w:rsidP="000126EE">
      <w:pPr>
        <w:spacing w:after="0" w:line="480" w:lineRule="auto"/>
        <w:ind w:left="720"/>
        <w:rPr>
          <w:rFonts w:ascii="Times New Roman" w:eastAsia="Times New Roman" w:hAnsi="Times New Roman" w:cs="Times New Roman"/>
          <w:szCs w:val="24"/>
        </w:rPr>
      </w:pPr>
      <w:r w:rsidRPr="00424BD3">
        <w:rPr>
          <w:rFonts w:eastAsia="Times New Roman" w:cs="Arial"/>
          <w:color w:val="000000"/>
          <w:szCs w:val="24"/>
        </w:rPr>
        <w:t>“When you have…good mental health, in terms of not dealing with dementia…and not dealing with other forms of mental health disease like depression or bipolar or schizophrenia."</w:t>
      </w:r>
    </w:p>
    <w:p w14:paraId="6EFAE351" w14:textId="501A8E9F" w:rsidR="00ED16C7" w:rsidRPr="00424BD3" w:rsidRDefault="000C27AF" w:rsidP="009E65DF">
      <w:pPr>
        <w:spacing w:after="0" w:line="480" w:lineRule="auto"/>
        <w:ind w:firstLine="720"/>
        <w:rPr>
          <w:rFonts w:eastAsia="Times New Roman" w:cs="Arial"/>
          <w:color w:val="000000"/>
          <w:szCs w:val="24"/>
        </w:rPr>
      </w:pPr>
      <w:r w:rsidRPr="00424BD3">
        <w:rPr>
          <w:rFonts w:eastAsia="Times New Roman" w:cs="Arial"/>
          <w:color w:val="000000"/>
          <w:szCs w:val="24"/>
        </w:rPr>
        <w:t>Cynthia and Carolyn</w:t>
      </w:r>
      <w:r w:rsidR="00640D74">
        <w:rPr>
          <w:rFonts w:eastAsia="Times New Roman" w:cs="Arial"/>
          <w:color w:val="000000"/>
          <w:szCs w:val="24"/>
        </w:rPr>
        <w:t xml:space="preserve"> also</w:t>
      </w:r>
      <w:r w:rsidRPr="00424BD3">
        <w:rPr>
          <w:rFonts w:eastAsia="Times New Roman" w:cs="Arial"/>
          <w:color w:val="000000"/>
          <w:szCs w:val="24"/>
        </w:rPr>
        <w:t xml:space="preserve"> identified enjoyment of life and quality of life as components of good health </w:t>
      </w:r>
    </w:p>
    <w:p w14:paraId="01221361" w14:textId="64F6B2EB" w:rsidR="000C27AF" w:rsidRPr="00424BD3" w:rsidRDefault="000C27AF" w:rsidP="000126EE">
      <w:pPr>
        <w:spacing w:after="0" w:line="480" w:lineRule="auto"/>
        <w:ind w:firstLine="720"/>
        <w:rPr>
          <w:rFonts w:ascii="Times New Roman" w:eastAsia="Times New Roman" w:hAnsi="Times New Roman" w:cs="Times New Roman"/>
          <w:szCs w:val="24"/>
        </w:rPr>
      </w:pPr>
      <w:r w:rsidRPr="00424BD3">
        <w:rPr>
          <w:rFonts w:eastAsia="Times New Roman" w:cs="Arial"/>
          <w:color w:val="000000"/>
          <w:szCs w:val="24"/>
        </w:rPr>
        <w:t xml:space="preserve">Carolyn </w:t>
      </w:r>
      <w:r w:rsidR="009E65DF">
        <w:rPr>
          <w:rFonts w:eastAsia="Times New Roman" w:cs="Arial"/>
          <w:color w:val="000000"/>
          <w:szCs w:val="24"/>
        </w:rPr>
        <w:t>also</w:t>
      </w:r>
      <w:r w:rsidRPr="00424BD3">
        <w:rPr>
          <w:rFonts w:eastAsia="Times New Roman" w:cs="Arial"/>
          <w:color w:val="000000"/>
          <w:szCs w:val="24"/>
        </w:rPr>
        <w:t xml:space="preserve"> identified the ability to maintain joking and laughter in one’s life by saying that good health was [being] “a </w:t>
      </w:r>
      <w:r w:rsidR="0027441B" w:rsidRPr="00424BD3">
        <w:rPr>
          <w:rFonts w:eastAsia="Times New Roman" w:cs="Arial"/>
          <w:color w:val="000000"/>
          <w:szCs w:val="24"/>
        </w:rPr>
        <w:t>25-year-old</w:t>
      </w:r>
      <w:r w:rsidRPr="00424BD3">
        <w:rPr>
          <w:rFonts w:eastAsia="Times New Roman" w:cs="Arial"/>
          <w:color w:val="000000"/>
          <w:szCs w:val="24"/>
        </w:rPr>
        <w:t>”</w:t>
      </w:r>
      <w:r w:rsidR="007C12BD">
        <w:rPr>
          <w:rFonts w:eastAsia="Times New Roman" w:cs="Arial"/>
          <w:color w:val="000000"/>
          <w:szCs w:val="24"/>
        </w:rPr>
        <w:t>.</w:t>
      </w:r>
      <w:r w:rsidRPr="00424BD3">
        <w:rPr>
          <w:rFonts w:eastAsia="Times New Roman" w:cs="Arial"/>
          <w:color w:val="000000"/>
          <w:szCs w:val="24"/>
        </w:rPr>
        <w:t xml:space="preserve"> Interestingly, she did identify </w:t>
      </w:r>
      <w:r w:rsidR="009E65DF">
        <w:rPr>
          <w:rFonts w:eastAsia="Times New Roman" w:cs="Arial"/>
          <w:color w:val="000000"/>
          <w:szCs w:val="24"/>
        </w:rPr>
        <w:t xml:space="preserve">not </w:t>
      </w:r>
      <w:r w:rsidR="009E65DF">
        <w:rPr>
          <w:rFonts w:eastAsia="Times New Roman" w:cs="Arial"/>
          <w:color w:val="000000"/>
          <w:szCs w:val="24"/>
        </w:rPr>
        <w:lastRenderedPageBreak/>
        <w:t xml:space="preserve">being able to enjoy one’s environment </w:t>
      </w:r>
      <w:r w:rsidRPr="00424BD3">
        <w:rPr>
          <w:rFonts w:eastAsia="Times New Roman" w:cs="Arial"/>
          <w:color w:val="000000"/>
          <w:szCs w:val="24"/>
        </w:rPr>
        <w:t>in terms of mental ill health,</w:t>
      </w:r>
      <w:r w:rsidR="00E9372D">
        <w:rPr>
          <w:rFonts w:eastAsia="Times New Roman" w:cs="Arial"/>
          <w:color w:val="000000"/>
          <w:szCs w:val="24"/>
        </w:rPr>
        <w:t xml:space="preserve"> although she never explicitly discussed mental health. </w:t>
      </w:r>
      <w:r w:rsidRPr="00424BD3">
        <w:rPr>
          <w:rFonts w:eastAsia="Times New Roman" w:cs="Arial"/>
          <w:color w:val="000000"/>
          <w:szCs w:val="24"/>
        </w:rPr>
        <w:t>Therefore, it is unclear as to whether or not she identifies mental health (as opposed to enjoyment of a person’s environment) as a component of good health. Because of her lack of reference to mental health, it is difficult to know if Carolyn understands or just remained silent about the relationship of mental health, the social determinants of health, and health inequities. Further, she identifies good health with age, seeming to say that youth (age 25) is equivalent to good health. This is a strong example of an internalized social norm around aging which neglects the fact that people at age 25 years can have poor health</w:t>
      </w:r>
      <w:r w:rsidR="00FA6B64" w:rsidRPr="00424BD3">
        <w:rPr>
          <w:rFonts w:eastAsia="Times New Roman" w:cs="Arial"/>
          <w:color w:val="000000"/>
          <w:szCs w:val="24"/>
        </w:rPr>
        <w:t>, and that growing older may equate to no longer being able to have good health.</w:t>
      </w:r>
      <w:r w:rsidR="009E65DF">
        <w:rPr>
          <w:rFonts w:eastAsia="Times New Roman" w:cs="Arial"/>
          <w:color w:val="000000"/>
          <w:szCs w:val="24"/>
        </w:rPr>
        <w:t xml:space="preserve"> </w:t>
      </w:r>
      <w:r w:rsidRPr="00424BD3">
        <w:rPr>
          <w:rFonts w:eastAsia="Times New Roman" w:cs="Arial"/>
          <w:color w:val="000000"/>
          <w:szCs w:val="24"/>
        </w:rPr>
        <w:t>Sharon identified good health as incorporating spiritual health:</w:t>
      </w:r>
    </w:p>
    <w:p w14:paraId="35F11780" w14:textId="77777777" w:rsidR="000C27AF" w:rsidRPr="00424BD3" w:rsidRDefault="000C27AF" w:rsidP="004E73CD">
      <w:pPr>
        <w:spacing w:after="0" w:line="480" w:lineRule="auto"/>
        <w:ind w:firstLine="720"/>
        <w:rPr>
          <w:rFonts w:ascii="Times New Roman" w:eastAsia="Times New Roman" w:hAnsi="Times New Roman" w:cs="Times New Roman"/>
          <w:szCs w:val="24"/>
        </w:rPr>
      </w:pPr>
      <w:r w:rsidRPr="00424BD3">
        <w:rPr>
          <w:rFonts w:eastAsia="Times New Roman" w:cs="Arial"/>
          <w:color w:val="000000"/>
          <w:szCs w:val="24"/>
        </w:rPr>
        <w:t>Kathryn differentiated between individual good health and community good health. For good community health, she identified that the majority of the population’s health issues are addressed; that the population isn’t facing environmental causes of ill health; and that community members have well-functioning mental health:</w:t>
      </w:r>
    </w:p>
    <w:p w14:paraId="7D1F58FA" w14:textId="6E49BE53" w:rsidR="000C27AF" w:rsidRPr="00424BD3" w:rsidRDefault="000C27AF" w:rsidP="000126EE">
      <w:pPr>
        <w:spacing w:after="0" w:line="480" w:lineRule="auto"/>
        <w:ind w:left="720"/>
        <w:rPr>
          <w:rFonts w:ascii="Times New Roman" w:eastAsia="Times New Roman" w:hAnsi="Times New Roman" w:cs="Times New Roman"/>
          <w:szCs w:val="24"/>
        </w:rPr>
      </w:pPr>
      <w:r w:rsidRPr="00424BD3">
        <w:rPr>
          <w:rFonts w:eastAsia="Times New Roman" w:cs="Arial"/>
          <w:color w:val="000000"/>
          <w:szCs w:val="24"/>
        </w:rPr>
        <w:t>"</w:t>
      </w:r>
      <w:r w:rsidR="009133D6">
        <w:rPr>
          <w:rFonts w:eastAsia="Times New Roman" w:cs="Arial"/>
          <w:color w:val="000000"/>
          <w:szCs w:val="24"/>
        </w:rPr>
        <w:t>G</w:t>
      </w:r>
      <w:r w:rsidRPr="00424BD3">
        <w:rPr>
          <w:rFonts w:eastAsia="Times New Roman" w:cs="Arial"/>
          <w:color w:val="000000"/>
          <w:szCs w:val="24"/>
        </w:rPr>
        <w:t>ood health for an individual or good health for a population? Good health for an individual to me would be, you know, you feel good to think straight…You can overcome whatever physical...challenge you might have. Your good health is that you can function physically and mentally…without…a lot of drag, you know, like it's not everyday living…is a terrible, terrible challenge and painful. Good health for a community or population would be that same sort of thing. Your people in your community are functioning well physically and mentally."</w:t>
      </w:r>
    </w:p>
    <w:p w14:paraId="751906CF" w14:textId="03EB9974" w:rsidR="00CD2106" w:rsidRPr="00424BD3" w:rsidRDefault="00875646" w:rsidP="00511E46">
      <w:pPr>
        <w:spacing w:after="0" w:line="480" w:lineRule="auto"/>
        <w:ind w:firstLine="720"/>
        <w:rPr>
          <w:rFonts w:eastAsia="Arial" w:cs="Arial"/>
          <w:szCs w:val="24"/>
        </w:rPr>
      </w:pPr>
      <w:r>
        <w:rPr>
          <w:rFonts w:cs="Arial"/>
          <w:color w:val="000000"/>
        </w:rPr>
        <w:lastRenderedPageBreak/>
        <w:t>Although Kathryn did not explicitly mention health inequities, in this comment she</w:t>
      </w:r>
      <w:r w:rsidR="001C0385" w:rsidRPr="00424BD3">
        <w:rPr>
          <w:rFonts w:cs="Arial"/>
          <w:color w:val="000000"/>
        </w:rPr>
        <w:t xml:space="preserve"> was able to link component parts of social determinants of health</w:t>
      </w:r>
      <w:r w:rsidR="001825EC" w:rsidRPr="00424BD3">
        <w:rPr>
          <w:rFonts w:cs="Arial"/>
          <w:color w:val="000000"/>
        </w:rPr>
        <w:t>, including the role of place (e.g., community),</w:t>
      </w:r>
      <w:r w:rsidR="001C0385" w:rsidRPr="00424BD3">
        <w:rPr>
          <w:rFonts w:cs="Arial"/>
          <w:color w:val="000000"/>
        </w:rPr>
        <w:t xml:space="preserve"> with the relationship between population health and individual health, and to recommend possible solutions for policy and interventions regarding health inequities. </w:t>
      </w:r>
      <w:r>
        <w:rPr>
          <w:rFonts w:cs="Arial"/>
          <w:color w:val="000000"/>
        </w:rPr>
        <w:t>H</w:t>
      </w:r>
      <w:r w:rsidR="001C0385" w:rsidRPr="00424BD3">
        <w:rPr>
          <w:rFonts w:cs="Arial"/>
          <w:color w:val="000000"/>
        </w:rPr>
        <w:t xml:space="preserve">er </w:t>
      </w:r>
      <w:r>
        <w:rPr>
          <w:rFonts w:cs="Arial"/>
          <w:color w:val="000000"/>
        </w:rPr>
        <w:t xml:space="preserve">response </w:t>
      </w:r>
      <w:r w:rsidR="001C0385" w:rsidRPr="00424BD3">
        <w:rPr>
          <w:rFonts w:cs="Arial"/>
          <w:color w:val="000000"/>
        </w:rPr>
        <w:t xml:space="preserve">is another good example of the consistent thread throughout this study of how the women were able to identify component parts of the social determinants of health and of health inequities, </w:t>
      </w:r>
      <w:r w:rsidR="00801A2B">
        <w:rPr>
          <w:rFonts w:cs="Arial"/>
          <w:color w:val="000000"/>
        </w:rPr>
        <w:t>without necessarily having a clear understanding of the concepts.</w:t>
      </w:r>
    </w:p>
    <w:p w14:paraId="5C271D4C" w14:textId="77777777" w:rsidR="00CD2106" w:rsidRPr="004E73CD" w:rsidRDefault="00CD2106" w:rsidP="004E73CD">
      <w:pPr>
        <w:pStyle w:val="Heading3"/>
        <w:spacing w:before="0" w:line="480" w:lineRule="auto"/>
        <w:rPr>
          <w:rFonts w:ascii="Arial" w:hAnsi="Arial" w:cs="Arial"/>
          <w:b/>
          <w:bCs/>
          <w:i/>
          <w:iCs/>
          <w:color w:val="auto"/>
        </w:rPr>
      </w:pPr>
      <w:bookmarkStart w:id="90" w:name="_Toc118232356"/>
      <w:r w:rsidRPr="004E73CD">
        <w:rPr>
          <w:rFonts w:ascii="Arial" w:hAnsi="Arial" w:cs="Arial"/>
          <w:b/>
          <w:bCs/>
          <w:i/>
          <w:iCs/>
          <w:color w:val="auto"/>
        </w:rPr>
        <w:t>Poor Health</w:t>
      </w:r>
      <w:bookmarkEnd w:id="90"/>
    </w:p>
    <w:p w14:paraId="64CA7790" w14:textId="5BBDDB2B" w:rsidR="00D80703" w:rsidRPr="00424BD3" w:rsidRDefault="00C94DC1" w:rsidP="00511E46">
      <w:pPr>
        <w:spacing w:after="0" w:line="480" w:lineRule="auto"/>
        <w:ind w:firstLine="720"/>
        <w:rPr>
          <w:rFonts w:cs="Arial"/>
          <w:szCs w:val="24"/>
        </w:rPr>
      </w:pPr>
      <w:r w:rsidRPr="00424BD3">
        <w:rPr>
          <w:rFonts w:cs="Arial"/>
          <w:szCs w:val="24"/>
        </w:rPr>
        <w:t xml:space="preserve">Most of the women cited poor physical health, physical impairment, poor cognitive health, lack of enjoyment, and the lack of mobility or lack of ability to undertake activities as poor health. </w:t>
      </w:r>
      <w:r w:rsidR="00D4798E">
        <w:rPr>
          <w:rFonts w:cs="Arial"/>
          <w:szCs w:val="24"/>
        </w:rPr>
        <w:t>Mary</w:t>
      </w:r>
      <w:r w:rsidR="00D80703" w:rsidRPr="00424BD3">
        <w:rPr>
          <w:rFonts w:cs="Arial"/>
          <w:szCs w:val="24"/>
        </w:rPr>
        <w:t xml:space="preserve"> mentioned that fear, harm, and lack of safety were component parts of poor health. </w:t>
      </w:r>
    </w:p>
    <w:p w14:paraId="19D4FA8C" w14:textId="264BE775" w:rsidR="00281CAE" w:rsidRPr="00424BD3" w:rsidRDefault="00C94DC1" w:rsidP="00281CAE">
      <w:pPr>
        <w:spacing w:after="0" w:line="480" w:lineRule="auto"/>
        <w:ind w:firstLine="720"/>
        <w:rPr>
          <w:rFonts w:cs="Arial"/>
          <w:szCs w:val="24"/>
        </w:rPr>
      </w:pPr>
      <w:r w:rsidRPr="00424BD3">
        <w:rPr>
          <w:rFonts w:cs="Arial"/>
          <w:szCs w:val="24"/>
        </w:rPr>
        <w:t xml:space="preserve">Some described needing care support, </w:t>
      </w:r>
      <w:r w:rsidR="00625F0A" w:rsidRPr="00424BD3">
        <w:rPr>
          <w:rFonts w:cs="Arial"/>
          <w:szCs w:val="24"/>
        </w:rPr>
        <w:t>having limited mobility</w:t>
      </w:r>
      <w:r w:rsidRPr="00424BD3">
        <w:rPr>
          <w:rFonts w:cs="Arial"/>
          <w:szCs w:val="24"/>
        </w:rPr>
        <w:t xml:space="preserve">, or losing independence as poor health indicators. Barbara said: </w:t>
      </w:r>
    </w:p>
    <w:p w14:paraId="6ACBDD15" w14:textId="6C1918B0" w:rsidR="00C94DC1" w:rsidRPr="00424BD3" w:rsidRDefault="00C94DC1" w:rsidP="00281CAE">
      <w:pPr>
        <w:spacing w:after="0" w:line="480" w:lineRule="auto"/>
        <w:ind w:left="720"/>
        <w:rPr>
          <w:rFonts w:cs="Arial"/>
          <w:szCs w:val="24"/>
        </w:rPr>
      </w:pPr>
      <w:r w:rsidRPr="00424BD3">
        <w:rPr>
          <w:rFonts w:cs="Arial"/>
          <w:szCs w:val="24"/>
        </w:rPr>
        <w:t>“For me, it would be being wheelchair bound. Being…in a home somewhere. Not being able to…do anything on my own. For me…that's pretty…poor. Having to take medications out the wazoo, you know, I don't like to take pills…”</w:t>
      </w:r>
    </w:p>
    <w:p w14:paraId="00208946" w14:textId="77777777" w:rsidR="00281CAE" w:rsidRPr="00424BD3" w:rsidRDefault="006A4964" w:rsidP="00281CAE">
      <w:pPr>
        <w:spacing w:after="0" w:line="480" w:lineRule="auto"/>
        <w:ind w:firstLine="720"/>
        <w:rPr>
          <w:rFonts w:eastAsia="Times New Roman" w:cs="Arial"/>
          <w:color w:val="000000"/>
          <w:szCs w:val="24"/>
        </w:rPr>
      </w:pPr>
      <w:r w:rsidRPr="00424BD3">
        <w:rPr>
          <w:rFonts w:eastAsia="Times New Roman" w:cs="Arial"/>
          <w:color w:val="000000"/>
          <w:szCs w:val="24"/>
        </w:rPr>
        <w:t>Carolyn indicated that mental health is a concern also for those who are experiencing poor health</w:t>
      </w:r>
      <w:r w:rsidR="005B0DA0" w:rsidRPr="00424BD3">
        <w:rPr>
          <w:rFonts w:eastAsia="Times New Roman" w:cs="Arial"/>
          <w:color w:val="000000"/>
          <w:szCs w:val="24"/>
        </w:rPr>
        <w:t xml:space="preserve"> </w:t>
      </w:r>
      <w:r w:rsidRPr="00424BD3">
        <w:rPr>
          <w:rFonts w:eastAsia="Times New Roman" w:cs="Arial"/>
          <w:color w:val="000000"/>
          <w:szCs w:val="24"/>
        </w:rPr>
        <w:t>and said:</w:t>
      </w:r>
    </w:p>
    <w:p w14:paraId="199BAF63" w14:textId="31A3F6A2" w:rsidR="006A4964" w:rsidRPr="00424BD3" w:rsidRDefault="006A4964" w:rsidP="00281CAE">
      <w:pPr>
        <w:spacing w:after="0" w:line="480" w:lineRule="auto"/>
        <w:ind w:left="720"/>
        <w:rPr>
          <w:rFonts w:ascii="Times New Roman" w:eastAsia="Times New Roman" w:hAnsi="Times New Roman" w:cs="Times New Roman"/>
          <w:szCs w:val="24"/>
        </w:rPr>
      </w:pPr>
      <w:r w:rsidRPr="00424BD3">
        <w:rPr>
          <w:rFonts w:eastAsia="Times New Roman" w:cs="Arial"/>
          <w:color w:val="000000"/>
          <w:szCs w:val="24"/>
        </w:rPr>
        <w:t>"When I'm no longer</w:t>
      </w:r>
      <w:r w:rsidR="00415A0E">
        <w:rPr>
          <w:rFonts w:eastAsia="Times New Roman" w:cs="Arial"/>
          <w:color w:val="000000"/>
          <w:szCs w:val="24"/>
        </w:rPr>
        <w:t xml:space="preserve"> able</w:t>
      </w:r>
      <w:r w:rsidRPr="00424BD3">
        <w:rPr>
          <w:rFonts w:eastAsia="Times New Roman" w:cs="Arial"/>
          <w:color w:val="000000"/>
          <w:szCs w:val="24"/>
        </w:rPr>
        <w:t xml:space="preserve"> to enjoy my environment</w:t>
      </w:r>
      <w:r w:rsidR="0019674B">
        <w:rPr>
          <w:rFonts w:eastAsia="Times New Roman" w:cs="Arial"/>
          <w:color w:val="000000"/>
          <w:szCs w:val="24"/>
        </w:rPr>
        <w:t>,</w:t>
      </w:r>
      <w:r w:rsidRPr="00424BD3">
        <w:rPr>
          <w:rFonts w:eastAsia="Times New Roman" w:cs="Arial"/>
          <w:color w:val="000000"/>
          <w:szCs w:val="24"/>
        </w:rPr>
        <w:t xml:space="preserve"> that is poor health. Are there other things that are poor health</w:t>
      </w:r>
      <w:r w:rsidR="0065291C">
        <w:rPr>
          <w:rFonts w:eastAsia="Times New Roman" w:cs="Arial"/>
          <w:color w:val="000000"/>
          <w:szCs w:val="24"/>
        </w:rPr>
        <w:t>?</w:t>
      </w:r>
      <w:r w:rsidRPr="00424BD3">
        <w:rPr>
          <w:rFonts w:eastAsia="Times New Roman" w:cs="Arial"/>
          <w:color w:val="000000"/>
          <w:szCs w:val="24"/>
        </w:rPr>
        <w:t xml:space="preserve"> Well, there's…the gradual loss of abilities that...aren't so drastic that they totally </w:t>
      </w:r>
      <w:r w:rsidR="0095151A" w:rsidRPr="00424BD3">
        <w:rPr>
          <w:rFonts w:eastAsia="Times New Roman" w:cs="Arial"/>
          <w:color w:val="000000"/>
          <w:szCs w:val="24"/>
        </w:rPr>
        <w:t>affect your</w:t>
      </w:r>
      <w:r w:rsidRPr="00424BD3">
        <w:rPr>
          <w:rFonts w:eastAsia="Times New Roman" w:cs="Arial"/>
          <w:color w:val="000000"/>
          <w:szCs w:val="24"/>
        </w:rPr>
        <w:t xml:space="preserve"> ability to...enjoy things, but still </w:t>
      </w:r>
      <w:r w:rsidRPr="00424BD3">
        <w:rPr>
          <w:rFonts w:eastAsia="Times New Roman" w:cs="Arial"/>
          <w:color w:val="000000"/>
          <w:szCs w:val="24"/>
        </w:rPr>
        <w:lastRenderedPageBreak/>
        <w:t>limit</w:t>
      </w:r>
      <w:r w:rsidR="000A7162">
        <w:rPr>
          <w:rFonts w:eastAsia="Times New Roman" w:cs="Arial"/>
          <w:color w:val="000000"/>
          <w:szCs w:val="24"/>
        </w:rPr>
        <w:t xml:space="preserve"> [us]</w:t>
      </w:r>
      <w:r w:rsidRPr="00424BD3">
        <w:rPr>
          <w:rFonts w:eastAsia="Times New Roman" w:cs="Arial"/>
          <w:color w:val="000000"/>
          <w:szCs w:val="24"/>
        </w:rPr>
        <w:t xml:space="preserve"> as...we get older</w:t>
      </w:r>
      <w:r w:rsidR="00A869A3">
        <w:rPr>
          <w:rFonts w:eastAsia="Times New Roman" w:cs="Arial"/>
          <w:color w:val="000000"/>
          <w:szCs w:val="24"/>
        </w:rPr>
        <w:t xml:space="preserve">. </w:t>
      </w:r>
      <w:r w:rsidRPr="00424BD3">
        <w:rPr>
          <w:rFonts w:eastAsia="Times New Roman" w:cs="Arial"/>
          <w:color w:val="000000"/>
          <w:szCs w:val="24"/>
        </w:rPr>
        <w:t>I'm not sure how to answer this</w:t>
      </w:r>
      <w:r w:rsidR="00620D9D">
        <w:rPr>
          <w:rFonts w:eastAsia="Times New Roman" w:cs="Arial"/>
          <w:color w:val="000000"/>
          <w:szCs w:val="24"/>
        </w:rPr>
        <w:t xml:space="preserve">. </w:t>
      </w:r>
      <w:r w:rsidR="00415A0E">
        <w:rPr>
          <w:rFonts w:eastAsia="Times New Roman" w:cs="Arial"/>
          <w:color w:val="000000"/>
          <w:szCs w:val="24"/>
        </w:rPr>
        <w:t>[Someone]</w:t>
      </w:r>
      <w:r w:rsidR="00415A0E" w:rsidRPr="00424BD3">
        <w:rPr>
          <w:rFonts w:eastAsia="Times New Roman" w:cs="Arial"/>
          <w:color w:val="000000"/>
          <w:szCs w:val="24"/>
        </w:rPr>
        <w:t xml:space="preserve"> </w:t>
      </w:r>
      <w:r w:rsidRPr="00424BD3">
        <w:rPr>
          <w:rFonts w:eastAsia="Times New Roman" w:cs="Arial"/>
          <w:color w:val="000000"/>
          <w:szCs w:val="24"/>
        </w:rPr>
        <w:t>can get poor health...and I've watched it with many people</w:t>
      </w:r>
      <w:r w:rsidR="00EF4B85">
        <w:rPr>
          <w:rFonts w:eastAsia="Times New Roman" w:cs="Arial"/>
          <w:color w:val="000000"/>
          <w:szCs w:val="24"/>
        </w:rPr>
        <w:t>. A</w:t>
      </w:r>
      <w:r w:rsidRPr="00424BD3">
        <w:rPr>
          <w:rFonts w:eastAsia="Times New Roman" w:cs="Arial"/>
          <w:color w:val="000000"/>
          <w:szCs w:val="24"/>
        </w:rPr>
        <w:t>s your physical health declines, so does your mental health</w:t>
      </w:r>
      <w:r w:rsidR="00EF4B85">
        <w:rPr>
          <w:rFonts w:eastAsia="Times New Roman" w:cs="Arial"/>
          <w:color w:val="000000"/>
          <w:szCs w:val="24"/>
        </w:rPr>
        <w:t>. W</w:t>
      </w:r>
      <w:r w:rsidRPr="00424BD3">
        <w:rPr>
          <w:rFonts w:eastAsia="Times New Roman" w:cs="Arial"/>
          <w:color w:val="000000"/>
          <w:szCs w:val="24"/>
        </w:rPr>
        <w:t>hether people are aware of it or not, they become depressed, they turn inwards, they isolate themselves because of physical conditions that make life difficult.”</w:t>
      </w:r>
    </w:p>
    <w:p w14:paraId="04A439D1" w14:textId="48FB4254" w:rsidR="006A4964" w:rsidRPr="00424BD3" w:rsidRDefault="006A4964" w:rsidP="000126EE">
      <w:pPr>
        <w:spacing w:after="0" w:line="480" w:lineRule="auto"/>
        <w:ind w:firstLine="720"/>
        <w:rPr>
          <w:rFonts w:ascii="Times New Roman" w:eastAsia="Times New Roman" w:hAnsi="Times New Roman" w:cs="Times New Roman"/>
          <w:szCs w:val="24"/>
        </w:rPr>
      </w:pPr>
      <w:r w:rsidRPr="00424BD3">
        <w:rPr>
          <w:rFonts w:eastAsia="Times New Roman" w:cs="Arial"/>
          <w:color w:val="000000"/>
          <w:szCs w:val="24"/>
        </w:rPr>
        <w:t>Interestingly, Carolyn recognizes not being</w:t>
      </w:r>
      <w:r w:rsidR="00415A0E">
        <w:rPr>
          <w:rFonts w:eastAsia="Times New Roman" w:cs="Arial"/>
          <w:color w:val="000000"/>
          <w:szCs w:val="24"/>
        </w:rPr>
        <w:t xml:space="preserve"> able</w:t>
      </w:r>
      <w:r w:rsidRPr="00424BD3">
        <w:rPr>
          <w:rFonts w:eastAsia="Times New Roman" w:cs="Arial"/>
          <w:color w:val="000000"/>
          <w:szCs w:val="24"/>
        </w:rPr>
        <w:t xml:space="preserve"> to enjoy her environment as a definition of poor health</w:t>
      </w:r>
      <w:r w:rsidR="00415A0E">
        <w:rPr>
          <w:rFonts w:eastAsia="Times New Roman" w:cs="Arial"/>
          <w:color w:val="000000"/>
          <w:szCs w:val="24"/>
        </w:rPr>
        <w:t xml:space="preserve">. </w:t>
      </w:r>
      <w:r w:rsidR="00945946">
        <w:rPr>
          <w:rFonts w:eastAsia="Times New Roman" w:cs="Arial"/>
          <w:color w:val="000000"/>
          <w:szCs w:val="24"/>
        </w:rPr>
        <w:t>S</w:t>
      </w:r>
      <w:r w:rsidRPr="00424BD3">
        <w:rPr>
          <w:rFonts w:eastAsia="Times New Roman" w:cs="Arial"/>
          <w:color w:val="000000"/>
          <w:szCs w:val="24"/>
        </w:rPr>
        <w:t>he linked physical health to poor mental health, going so far as to say that people with poor physical health would be depressed whether they knew it or not. This makes sense given that Carolyn was a professional performer in elite athletic physical condition which she believes helped her survive a devastating car wreck. Carolyn seems to be indicating that losing her physical health</w:t>
      </w:r>
      <w:r w:rsidR="00945946">
        <w:rPr>
          <w:rFonts w:eastAsia="Times New Roman" w:cs="Arial"/>
          <w:color w:val="000000"/>
          <w:szCs w:val="24"/>
        </w:rPr>
        <w:t xml:space="preserve"> </w:t>
      </w:r>
      <w:r w:rsidRPr="00424BD3">
        <w:rPr>
          <w:rFonts w:eastAsia="Times New Roman" w:cs="Arial"/>
          <w:color w:val="000000"/>
          <w:szCs w:val="24"/>
        </w:rPr>
        <w:t xml:space="preserve">will lead to poor mental health for her. She generalizes this to the wider population when she states that people, when they lose their physical good health become depressed whether they know it or not. </w:t>
      </w:r>
    </w:p>
    <w:p w14:paraId="4B9D244C" w14:textId="62907268" w:rsidR="008768FF" w:rsidRPr="00424BD3" w:rsidRDefault="00945946" w:rsidP="001E3056">
      <w:pPr>
        <w:spacing w:after="0" w:line="480" w:lineRule="auto"/>
        <w:ind w:firstLine="720"/>
        <w:rPr>
          <w:rFonts w:cs="Arial"/>
          <w:color w:val="000000"/>
        </w:rPr>
      </w:pPr>
      <w:r>
        <w:rPr>
          <w:rFonts w:cs="Arial"/>
          <w:color w:val="000000"/>
        </w:rPr>
        <w:t>Unlike</w:t>
      </w:r>
      <w:r w:rsidR="00600B97" w:rsidRPr="00424BD3">
        <w:rPr>
          <w:rFonts w:cs="Arial"/>
          <w:color w:val="000000"/>
        </w:rPr>
        <w:t xml:space="preserve"> Carolyn’s thoughts about declining physical health resulting in poor mental health, Kathryn </w:t>
      </w:r>
      <w:r>
        <w:rPr>
          <w:rFonts w:cs="Arial"/>
          <w:color w:val="000000"/>
        </w:rPr>
        <w:t>argued</w:t>
      </w:r>
      <w:r w:rsidR="00600B97" w:rsidRPr="00424BD3">
        <w:rPr>
          <w:rFonts w:cs="Arial"/>
          <w:color w:val="000000"/>
        </w:rPr>
        <w:t xml:space="preserve"> that people with poor physical health could have good mental health</w:t>
      </w:r>
      <w:r w:rsidR="00394521">
        <w:rPr>
          <w:rFonts w:cs="Arial"/>
          <w:color w:val="000000"/>
        </w:rPr>
        <w:t xml:space="preserve"> and that people adapt to their circumstances and conditions</w:t>
      </w:r>
      <w:r w:rsidR="00600B97" w:rsidRPr="00424BD3">
        <w:rPr>
          <w:rFonts w:cs="Arial"/>
          <w:color w:val="000000"/>
        </w:rPr>
        <w:t xml:space="preserve">: </w:t>
      </w:r>
    </w:p>
    <w:p w14:paraId="3773892F" w14:textId="5B109485" w:rsidR="00600B97" w:rsidRPr="00424BD3" w:rsidRDefault="00600B97" w:rsidP="008768FF">
      <w:pPr>
        <w:spacing w:after="0" w:line="480" w:lineRule="auto"/>
        <w:ind w:left="720"/>
        <w:rPr>
          <w:rFonts w:cs="Arial"/>
          <w:color w:val="000000"/>
        </w:rPr>
      </w:pPr>
      <w:r w:rsidRPr="00424BD3">
        <w:rPr>
          <w:rFonts w:cs="Arial"/>
          <w:color w:val="000000"/>
        </w:rPr>
        <w:t>"Anything less than good health…. but people's bodies and minds adapt to where you are... if you cannot function</w:t>
      </w:r>
      <w:r w:rsidR="00920557">
        <w:rPr>
          <w:rFonts w:cs="Arial"/>
          <w:color w:val="000000"/>
        </w:rPr>
        <w:t>,</w:t>
      </w:r>
      <w:r w:rsidRPr="00424BD3">
        <w:rPr>
          <w:rFonts w:cs="Arial"/>
          <w:color w:val="000000"/>
        </w:rPr>
        <w:t xml:space="preserve"> if you're in such pain, that you cannot think straight, if you are addicted, so you can't control what you're doing… if you can't walk or…anything, I mean</w:t>
      </w:r>
      <w:r w:rsidR="009E6816">
        <w:rPr>
          <w:rFonts w:cs="Arial"/>
          <w:color w:val="000000"/>
        </w:rPr>
        <w:t>,</w:t>
      </w:r>
      <w:r w:rsidRPr="00424BD3">
        <w:rPr>
          <w:rFonts w:cs="Arial"/>
          <w:color w:val="000000"/>
        </w:rPr>
        <w:t xml:space="preserve"> if you can't walk, </w:t>
      </w:r>
      <w:r w:rsidR="009E6816">
        <w:rPr>
          <w:rFonts w:cs="Arial"/>
          <w:color w:val="000000"/>
        </w:rPr>
        <w:t xml:space="preserve">[that] </w:t>
      </w:r>
      <w:r w:rsidRPr="00424BD3">
        <w:rPr>
          <w:rFonts w:cs="Arial"/>
          <w:color w:val="000000"/>
        </w:rPr>
        <w:t xml:space="preserve">doesn't mean you're </w:t>
      </w:r>
      <w:r w:rsidR="00394521">
        <w:rPr>
          <w:rFonts w:cs="Arial"/>
          <w:color w:val="000000"/>
        </w:rPr>
        <w:t xml:space="preserve">in </w:t>
      </w:r>
      <w:r w:rsidRPr="00424BD3">
        <w:rPr>
          <w:rFonts w:cs="Arial"/>
          <w:color w:val="000000"/>
        </w:rPr>
        <w:t>poor health</w:t>
      </w:r>
      <w:r w:rsidR="009E6816">
        <w:rPr>
          <w:rFonts w:cs="Arial"/>
          <w:color w:val="000000"/>
        </w:rPr>
        <w:t>. T</w:t>
      </w:r>
      <w:r w:rsidRPr="00424BD3">
        <w:rPr>
          <w:rFonts w:cs="Arial"/>
          <w:color w:val="000000"/>
        </w:rPr>
        <w:t>hat means maybe, if you're paralyzed from the waist down, it's...very unfortunate, it's tragic, but you...could still be healthy in the body that you</w:t>
      </w:r>
      <w:r w:rsidR="003F5287">
        <w:rPr>
          <w:rFonts w:cs="Arial"/>
          <w:color w:val="000000"/>
        </w:rPr>
        <w:t xml:space="preserve"> have</w:t>
      </w:r>
      <w:r w:rsidR="003213A5">
        <w:rPr>
          <w:rFonts w:cs="Arial"/>
          <w:color w:val="000000"/>
        </w:rPr>
        <w:t>.”</w:t>
      </w:r>
      <w:r w:rsidRPr="00424BD3">
        <w:rPr>
          <w:rFonts w:cs="Arial"/>
          <w:color w:val="000000"/>
        </w:rPr>
        <w:t xml:space="preserve"> </w:t>
      </w:r>
    </w:p>
    <w:p w14:paraId="743CF007" w14:textId="6A2C6DA6" w:rsidR="00C94DC1" w:rsidRPr="00424BD3" w:rsidRDefault="00AE0945" w:rsidP="00B55F70">
      <w:pPr>
        <w:spacing w:after="0" w:line="480" w:lineRule="auto"/>
        <w:ind w:firstLine="720"/>
        <w:rPr>
          <w:rFonts w:cs="Arial"/>
          <w:szCs w:val="24"/>
        </w:rPr>
      </w:pPr>
      <w:r w:rsidRPr="00424BD3">
        <w:rPr>
          <w:rFonts w:cs="Arial"/>
          <w:szCs w:val="24"/>
        </w:rPr>
        <w:lastRenderedPageBreak/>
        <w:t>Deborah, Sharon, and Margaret</w:t>
      </w:r>
      <w:r w:rsidR="00C94DC1" w:rsidRPr="00424BD3">
        <w:rPr>
          <w:rFonts w:cs="Arial"/>
          <w:szCs w:val="24"/>
        </w:rPr>
        <w:t xml:space="preserve"> </w:t>
      </w:r>
      <w:r w:rsidR="00394521">
        <w:rPr>
          <w:rFonts w:cs="Arial"/>
          <w:szCs w:val="24"/>
        </w:rPr>
        <w:t>all discussed</w:t>
      </w:r>
      <w:r w:rsidR="00394521" w:rsidRPr="00424BD3">
        <w:rPr>
          <w:rFonts w:cs="Arial"/>
          <w:szCs w:val="24"/>
        </w:rPr>
        <w:t xml:space="preserve"> </w:t>
      </w:r>
      <w:r w:rsidR="00C94DC1" w:rsidRPr="00424BD3">
        <w:rPr>
          <w:rFonts w:cs="Arial"/>
          <w:szCs w:val="24"/>
        </w:rPr>
        <w:t>individual responsibility</w:t>
      </w:r>
      <w:r w:rsidR="00394521">
        <w:rPr>
          <w:rFonts w:cs="Arial"/>
          <w:szCs w:val="24"/>
        </w:rPr>
        <w:t xml:space="preserve"> as a factor in poor health</w:t>
      </w:r>
      <w:r w:rsidR="00600B97" w:rsidRPr="00424BD3">
        <w:rPr>
          <w:rFonts w:cs="Arial"/>
          <w:szCs w:val="24"/>
        </w:rPr>
        <w:t>,</w:t>
      </w:r>
      <w:r w:rsidR="00394521">
        <w:rPr>
          <w:rFonts w:cs="Arial"/>
          <w:szCs w:val="24"/>
        </w:rPr>
        <w:t xml:space="preserve"> highlighting</w:t>
      </w:r>
      <w:r w:rsidR="002D72C4">
        <w:rPr>
          <w:rFonts w:cs="Arial"/>
          <w:color w:val="000000"/>
        </w:rPr>
        <w:t xml:space="preserve"> the</w:t>
      </w:r>
      <w:r w:rsidR="00600B97" w:rsidRPr="00424BD3">
        <w:rPr>
          <w:rFonts w:cs="Arial"/>
          <w:color w:val="000000"/>
        </w:rPr>
        <w:t xml:space="preserve"> neoliberal social norm</w:t>
      </w:r>
      <w:r w:rsidR="002D72C4">
        <w:rPr>
          <w:rFonts w:cs="Arial"/>
          <w:color w:val="000000"/>
        </w:rPr>
        <w:t>s that characterized</w:t>
      </w:r>
      <w:r w:rsidR="00600B97" w:rsidRPr="00424BD3">
        <w:rPr>
          <w:rFonts w:cs="Arial"/>
          <w:color w:val="000000"/>
        </w:rPr>
        <w:t xml:space="preserve"> the women’s responses,</w:t>
      </w:r>
      <w:r w:rsidR="00C94DC1" w:rsidRPr="00424BD3">
        <w:rPr>
          <w:rFonts w:cs="Arial"/>
          <w:szCs w:val="24"/>
        </w:rPr>
        <w:t xml:space="preserve"> and th</w:t>
      </w:r>
      <w:r w:rsidR="002D72C4">
        <w:rPr>
          <w:rFonts w:cs="Arial"/>
          <w:szCs w:val="24"/>
        </w:rPr>
        <w:t>e ways they viewed the</w:t>
      </w:r>
      <w:r w:rsidR="00C94DC1" w:rsidRPr="00424BD3">
        <w:rPr>
          <w:rFonts w:cs="Arial"/>
          <w:szCs w:val="24"/>
        </w:rPr>
        <w:t xml:space="preserve"> consequences of poor health behaviors and choices</w:t>
      </w:r>
      <w:r w:rsidR="002D72C4">
        <w:rPr>
          <w:rFonts w:cs="Arial"/>
          <w:szCs w:val="24"/>
        </w:rPr>
        <w:t xml:space="preserve">. </w:t>
      </w:r>
      <w:r w:rsidR="00ED20A5">
        <w:rPr>
          <w:rFonts w:cs="Arial"/>
          <w:szCs w:val="24"/>
        </w:rPr>
        <w:t>W</w:t>
      </w:r>
      <w:r w:rsidR="00C94DC1" w:rsidRPr="00424BD3">
        <w:rPr>
          <w:rFonts w:cs="Arial"/>
          <w:szCs w:val="24"/>
        </w:rPr>
        <w:t>hen referring to addiction as</w:t>
      </w:r>
      <w:r w:rsidR="00ED20A5">
        <w:rPr>
          <w:rFonts w:cs="Arial"/>
          <w:szCs w:val="24"/>
        </w:rPr>
        <w:t xml:space="preserve"> a form of</w:t>
      </w:r>
      <w:r w:rsidR="00C94DC1" w:rsidRPr="00424BD3">
        <w:rPr>
          <w:rFonts w:cs="Arial"/>
          <w:szCs w:val="24"/>
        </w:rPr>
        <w:t xml:space="preserve"> poor health</w:t>
      </w:r>
      <w:r w:rsidR="00ED20A5">
        <w:rPr>
          <w:rFonts w:cs="Arial"/>
          <w:szCs w:val="24"/>
        </w:rPr>
        <w:t xml:space="preserve"> Deborah explained</w:t>
      </w:r>
      <w:r w:rsidR="00C94DC1" w:rsidRPr="00424BD3">
        <w:rPr>
          <w:rFonts w:cs="Arial"/>
          <w:szCs w:val="24"/>
        </w:rPr>
        <w:t>: “I've never done that. I don't understand how they get there…I guess, they have problems to where</w:t>
      </w:r>
      <w:r w:rsidR="00DF16BD" w:rsidRPr="00424BD3">
        <w:rPr>
          <w:rFonts w:cs="Arial"/>
          <w:szCs w:val="24"/>
        </w:rPr>
        <w:t xml:space="preserve"> [sic]</w:t>
      </w:r>
      <w:r w:rsidR="00C94DC1" w:rsidRPr="00424BD3">
        <w:rPr>
          <w:rFonts w:cs="Arial"/>
          <w:szCs w:val="24"/>
        </w:rPr>
        <w:t xml:space="preserve"> they feel like there's an outlet, but I've never gotten to that point emotionally or physically, where I needed those kinds of things. Bad habits.”</w:t>
      </w:r>
    </w:p>
    <w:p w14:paraId="5920EB2C" w14:textId="6A14E3D9" w:rsidR="005C443D" w:rsidRDefault="00ED20A5" w:rsidP="00B25676">
      <w:pPr>
        <w:spacing w:after="0" w:line="480" w:lineRule="auto"/>
        <w:ind w:firstLine="720"/>
        <w:rPr>
          <w:rFonts w:cs="Arial"/>
          <w:szCs w:val="24"/>
        </w:rPr>
      </w:pPr>
      <w:r>
        <w:rPr>
          <w:rFonts w:cs="Arial"/>
          <w:szCs w:val="24"/>
        </w:rPr>
        <w:t>Similarly</w:t>
      </w:r>
      <w:r w:rsidR="00741B96">
        <w:rPr>
          <w:rFonts w:cs="Arial"/>
          <w:szCs w:val="24"/>
        </w:rPr>
        <w:t>,</w:t>
      </w:r>
      <w:r>
        <w:rPr>
          <w:rFonts w:cs="Arial"/>
          <w:szCs w:val="24"/>
        </w:rPr>
        <w:t xml:space="preserve"> </w:t>
      </w:r>
      <w:r w:rsidR="00C94DC1" w:rsidRPr="00424BD3">
        <w:rPr>
          <w:rFonts w:cs="Arial"/>
          <w:szCs w:val="24"/>
        </w:rPr>
        <w:t xml:space="preserve">Sharon </w:t>
      </w:r>
      <w:r>
        <w:rPr>
          <w:rFonts w:cs="Arial"/>
          <w:szCs w:val="24"/>
        </w:rPr>
        <w:t>shared a story, saying</w:t>
      </w:r>
      <w:r w:rsidR="00C94DC1" w:rsidRPr="00424BD3">
        <w:rPr>
          <w:rFonts w:cs="Arial"/>
          <w:szCs w:val="24"/>
        </w:rPr>
        <w:t xml:space="preserve">: </w:t>
      </w:r>
    </w:p>
    <w:p w14:paraId="60D12B96" w14:textId="3DE4D877" w:rsidR="00C94DC1" w:rsidRPr="00424BD3" w:rsidRDefault="00C94DC1" w:rsidP="00595129">
      <w:pPr>
        <w:spacing w:after="0" w:line="480" w:lineRule="auto"/>
        <w:ind w:left="720"/>
        <w:rPr>
          <w:rFonts w:cs="Arial"/>
          <w:szCs w:val="24"/>
        </w:rPr>
      </w:pPr>
      <w:r w:rsidRPr="00424BD3">
        <w:rPr>
          <w:rFonts w:cs="Arial"/>
          <w:szCs w:val="24"/>
        </w:rPr>
        <w:t>"Well, I have an example of somebody, well several examples in my family...that I married into that, where you have a condition, perhaps, diabetes</w:t>
      </w:r>
      <w:r w:rsidR="005C443D">
        <w:rPr>
          <w:rFonts w:cs="Arial"/>
          <w:szCs w:val="24"/>
        </w:rPr>
        <w:t>,</w:t>
      </w:r>
      <w:r w:rsidRPr="00424BD3">
        <w:rPr>
          <w:rFonts w:cs="Arial"/>
          <w:szCs w:val="24"/>
        </w:rPr>
        <w:t xml:space="preserve"> and you don't take the medicine properly, you break all the rules, all the recommendations for food, you know, diet and exercise and all that</w:t>
      </w:r>
      <w:r w:rsidR="009B2ED0">
        <w:rPr>
          <w:rFonts w:cs="Arial"/>
          <w:szCs w:val="24"/>
        </w:rPr>
        <w:t>. S</w:t>
      </w:r>
      <w:r w:rsidRPr="00424BD3">
        <w:rPr>
          <w:rFonts w:cs="Arial"/>
          <w:szCs w:val="24"/>
        </w:rPr>
        <w:t>o</w:t>
      </w:r>
      <w:r w:rsidR="00741B96">
        <w:rPr>
          <w:rFonts w:cs="Arial"/>
          <w:szCs w:val="24"/>
        </w:rPr>
        <w:t>,</w:t>
      </w:r>
      <w:r w:rsidRPr="00424BD3">
        <w:rPr>
          <w:rFonts w:cs="Arial"/>
          <w:szCs w:val="24"/>
        </w:rPr>
        <w:t xml:space="preserve"> poor health and when you're run down, when you drink or eat to excess</w:t>
      </w:r>
      <w:r w:rsidR="001B522B">
        <w:rPr>
          <w:rFonts w:cs="Arial"/>
          <w:szCs w:val="24"/>
        </w:rPr>
        <w:t>,</w:t>
      </w:r>
      <w:r w:rsidRPr="00424BD3">
        <w:rPr>
          <w:rFonts w:cs="Arial"/>
          <w:szCs w:val="24"/>
        </w:rPr>
        <w:t xml:space="preserve"> and everything's out of whack, that's what it is - poor health."</w:t>
      </w:r>
    </w:p>
    <w:p w14:paraId="14A475BB" w14:textId="4DE1585E" w:rsidR="00F465E6" w:rsidRDefault="00ED20A5" w:rsidP="00B25676">
      <w:pPr>
        <w:spacing w:after="0" w:line="480" w:lineRule="auto"/>
        <w:ind w:firstLine="720"/>
        <w:rPr>
          <w:rFonts w:cs="Arial"/>
          <w:szCs w:val="24"/>
        </w:rPr>
      </w:pPr>
      <w:r>
        <w:rPr>
          <w:rFonts w:cs="Arial"/>
          <w:szCs w:val="24"/>
        </w:rPr>
        <w:t>Unlike Sharon and Deborah, Margaret discussed how</w:t>
      </w:r>
      <w:r w:rsidR="0029150F">
        <w:rPr>
          <w:rFonts w:cs="Arial"/>
          <w:szCs w:val="24"/>
        </w:rPr>
        <w:t>,</w:t>
      </w:r>
      <w:r>
        <w:rPr>
          <w:rFonts w:cs="Arial"/>
          <w:szCs w:val="24"/>
        </w:rPr>
        <w:t xml:space="preserve"> oftentimes</w:t>
      </w:r>
      <w:r w:rsidR="0029150F">
        <w:rPr>
          <w:rFonts w:cs="Arial"/>
          <w:szCs w:val="24"/>
        </w:rPr>
        <w:t>,</w:t>
      </w:r>
      <w:r>
        <w:rPr>
          <w:rFonts w:cs="Arial"/>
          <w:szCs w:val="24"/>
        </w:rPr>
        <w:t xml:space="preserve"> </w:t>
      </w:r>
      <w:r w:rsidR="00D1336C">
        <w:rPr>
          <w:rFonts w:cs="Arial"/>
          <w:szCs w:val="24"/>
        </w:rPr>
        <w:t xml:space="preserve">certain conditions were beyond people’s </w:t>
      </w:r>
      <w:r w:rsidR="00185A9B">
        <w:rPr>
          <w:rFonts w:cs="Arial"/>
          <w:szCs w:val="24"/>
        </w:rPr>
        <w:t>control and</w:t>
      </w:r>
      <w:r w:rsidR="00D1336C">
        <w:rPr>
          <w:rFonts w:cs="Arial"/>
          <w:szCs w:val="24"/>
        </w:rPr>
        <w:t xml:space="preserve"> alluded to people not feeling in control or being capable of making certain decisions or engaging in certain behaviors. She explained, </w:t>
      </w:r>
      <w:r w:rsidR="00C94DC1" w:rsidRPr="00424BD3">
        <w:rPr>
          <w:rFonts w:cs="Arial"/>
          <w:szCs w:val="24"/>
        </w:rPr>
        <w:t>"Not doing anything but sitting on your butt all day. Not being able to do certain things. That's beyond your control. Not…trying to take care of yourself. But then that can be not your choice either. Right now, I can't think of anything else. I've never really thought about it."</w:t>
      </w:r>
      <w:r w:rsidR="00C21018" w:rsidRPr="00424BD3">
        <w:rPr>
          <w:rFonts w:cs="Arial"/>
          <w:szCs w:val="24"/>
        </w:rPr>
        <w:t xml:space="preserve"> </w:t>
      </w:r>
    </w:p>
    <w:p w14:paraId="1F98C35D" w14:textId="4A0E7860" w:rsidR="00A37E31" w:rsidRPr="00424BD3" w:rsidRDefault="00A37E31" w:rsidP="00185A9B">
      <w:pPr>
        <w:spacing w:after="0" w:line="480" w:lineRule="auto"/>
        <w:ind w:firstLine="720"/>
        <w:rPr>
          <w:rFonts w:cs="Arial"/>
          <w:color w:val="000000"/>
        </w:rPr>
      </w:pPr>
      <w:r w:rsidRPr="00424BD3">
        <w:rPr>
          <w:rFonts w:cs="Arial"/>
          <w:color w:val="000000"/>
        </w:rPr>
        <w:t xml:space="preserve">Kathryn referred to poor health as </w:t>
      </w:r>
      <w:r w:rsidR="00F465E6" w:rsidRPr="00424BD3">
        <w:rPr>
          <w:rFonts w:cs="Arial"/>
          <w:color w:val="000000"/>
        </w:rPr>
        <w:t xml:space="preserve">being </w:t>
      </w:r>
      <w:r w:rsidRPr="00424BD3">
        <w:rPr>
          <w:rFonts w:cs="Arial"/>
          <w:color w:val="000000"/>
        </w:rPr>
        <w:t>dependent upon where we start in life:</w:t>
      </w:r>
    </w:p>
    <w:p w14:paraId="6B43EDFF" w14:textId="7A39680F" w:rsidR="00CD2106" w:rsidRPr="00424BD3" w:rsidRDefault="00C94DC1" w:rsidP="000126EE">
      <w:pPr>
        <w:spacing w:after="0" w:line="480" w:lineRule="auto"/>
        <w:ind w:left="720"/>
        <w:rPr>
          <w:rFonts w:cs="Arial"/>
          <w:color w:val="000000" w:themeColor="text1"/>
          <w:szCs w:val="24"/>
        </w:rPr>
      </w:pPr>
      <w:r w:rsidRPr="00424BD3">
        <w:rPr>
          <w:rFonts w:cs="Arial"/>
          <w:szCs w:val="24"/>
        </w:rPr>
        <w:lastRenderedPageBreak/>
        <w:t>“…everybody's bodies have</w:t>
      </w:r>
      <w:r w:rsidR="007C5DED">
        <w:rPr>
          <w:rFonts w:cs="Arial"/>
          <w:szCs w:val="24"/>
        </w:rPr>
        <w:t xml:space="preserve"> </w:t>
      </w:r>
      <w:r w:rsidRPr="00424BD3">
        <w:rPr>
          <w:rFonts w:cs="Arial"/>
          <w:szCs w:val="24"/>
        </w:rPr>
        <w:t>health issues at some point in their life. That's just life [laughs</w:t>
      </w:r>
      <w:r w:rsidR="004B7F13" w:rsidRPr="00424BD3">
        <w:rPr>
          <w:rFonts w:cs="Arial"/>
          <w:szCs w:val="24"/>
        </w:rPr>
        <w:t>]</w:t>
      </w:r>
      <w:r w:rsidR="00DD6ACC" w:rsidRPr="00424BD3">
        <w:rPr>
          <w:rFonts w:cs="Arial"/>
          <w:szCs w:val="24"/>
        </w:rPr>
        <w:t>…[</w:t>
      </w:r>
      <w:r w:rsidRPr="00424BD3">
        <w:rPr>
          <w:rFonts w:cs="Arial"/>
          <w:color w:val="000000" w:themeColor="text1"/>
          <w:szCs w:val="24"/>
        </w:rPr>
        <w:t>It]…kind of makes it hard to answer because everybody’s health condition is different. I mean where you’re starting from is different.”</w:t>
      </w:r>
    </w:p>
    <w:p w14:paraId="66156AC2" w14:textId="03BB4D66" w:rsidR="00B82451" w:rsidRPr="00424BD3" w:rsidRDefault="00612399" w:rsidP="003D55A5">
      <w:pPr>
        <w:spacing w:after="0" w:line="480" w:lineRule="auto"/>
        <w:ind w:firstLine="720"/>
        <w:rPr>
          <w:rFonts w:eastAsia="Times New Roman" w:cs="Arial"/>
          <w:color w:val="000000"/>
          <w:szCs w:val="24"/>
        </w:rPr>
      </w:pPr>
      <w:r w:rsidRPr="00424BD3">
        <w:rPr>
          <w:rFonts w:eastAsia="Times New Roman" w:cs="Arial"/>
          <w:color w:val="000000"/>
          <w:szCs w:val="24"/>
        </w:rPr>
        <w:t xml:space="preserve">In keeping with Kathryn’s consistent perceptions </w:t>
      </w:r>
      <w:r w:rsidR="0012022C" w:rsidRPr="00424BD3">
        <w:rPr>
          <w:rFonts w:eastAsia="Times New Roman" w:cs="Arial"/>
          <w:color w:val="000000"/>
          <w:szCs w:val="24"/>
        </w:rPr>
        <w:t xml:space="preserve">of </w:t>
      </w:r>
      <w:r w:rsidRPr="00424BD3">
        <w:rPr>
          <w:rFonts w:eastAsia="Times New Roman" w:cs="Arial"/>
          <w:color w:val="000000"/>
          <w:szCs w:val="24"/>
        </w:rPr>
        <w:t xml:space="preserve">component parts of the social determinants of health, </w:t>
      </w:r>
      <w:r w:rsidR="00017F8C" w:rsidRPr="00424BD3">
        <w:rPr>
          <w:rFonts w:eastAsia="Times New Roman" w:cs="Arial"/>
          <w:color w:val="000000"/>
          <w:szCs w:val="24"/>
        </w:rPr>
        <w:t xml:space="preserve">she clearly </w:t>
      </w:r>
      <w:r w:rsidR="00BE20AB" w:rsidRPr="00424BD3">
        <w:rPr>
          <w:rFonts w:eastAsia="Times New Roman" w:cs="Arial"/>
          <w:color w:val="000000"/>
          <w:szCs w:val="24"/>
        </w:rPr>
        <w:t>underst</w:t>
      </w:r>
      <w:r w:rsidR="00BE20AB">
        <w:rPr>
          <w:rFonts w:eastAsia="Times New Roman" w:cs="Arial"/>
          <w:color w:val="000000"/>
          <w:szCs w:val="24"/>
        </w:rPr>
        <w:t>ood</w:t>
      </w:r>
      <w:r w:rsidR="00BE20AB" w:rsidRPr="00424BD3">
        <w:rPr>
          <w:rFonts w:eastAsia="Times New Roman" w:cs="Arial"/>
          <w:color w:val="000000"/>
          <w:szCs w:val="24"/>
        </w:rPr>
        <w:t xml:space="preserve"> </w:t>
      </w:r>
      <w:r w:rsidR="00017F8C" w:rsidRPr="00424BD3">
        <w:rPr>
          <w:rFonts w:eastAsia="Times New Roman" w:cs="Arial"/>
          <w:color w:val="000000"/>
          <w:szCs w:val="24"/>
        </w:rPr>
        <w:t xml:space="preserve">the impact of childhood / early years on </w:t>
      </w:r>
      <w:r w:rsidR="00472A82" w:rsidRPr="00424BD3">
        <w:rPr>
          <w:rFonts w:eastAsia="Times New Roman" w:cs="Arial"/>
          <w:color w:val="000000"/>
          <w:szCs w:val="24"/>
        </w:rPr>
        <w:t>the</w:t>
      </w:r>
      <w:r w:rsidR="00017F8C" w:rsidRPr="00424BD3">
        <w:rPr>
          <w:rFonts w:eastAsia="Times New Roman" w:cs="Arial"/>
          <w:color w:val="000000"/>
          <w:szCs w:val="24"/>
        </w:rPr>
        <w:t xml:space="preserve"> health outcomes and the health inequalities </w:t>
      </w:r>
      <w:r w:rsidR="00472A82" w:rsidRPr="00424BD3">
        <w:rPr>
          <w:rFonts w:eastAsia="Times New Roman" w:cs="Arial"/>
          <w:color w:val="000000"/>
          <w:szCs w:val="24"/>
        </w:rPr>
        <w:t>people</w:t>
      </w:r>
      <w:r w:rsidR="00017F8C" w:rsidRPr="00424BD3">
        <w:rPr>
          <w:rFonts w:eastAsia="Times New Roman" w:cs="Arial"/>
          <w:color w:val="000000"/>
          <w:szCs w:val="24"/>
        </w:rPr>
        <w:t xml:space="preserve"> face</w:t>
      </w:r>
      <w:r w:rsidR="00BE20AB">
        <w:rPr>
          <w:rFonts w:eastAsia="Times New Roman" w:cs="Arial"/>
          <w:color w:val="000000"/>
          <w:szCs w:val="24"/>
        </w:rPr>
        <w:t xml:space="preserve"> later in life, instinctively confirming what much of the </w:t>
      </w:r>
      <w:r w:rsidR="006A12A8" w:rsidRPr="00424BD3">
        <w:rPr>
          <w:rFonts w:eastAsia="Times New Roman" w:cs="Arial"/>
          <w:color w:val="000000"/>
          <w:szCs w:val="24"/>
        </w:rPr>
        <w:t xml:space="preserve">literature </w:t>
      </w:r>
      <w:r w:rsidR="00620B66" w:rsidRPr="00424BD3">
        <w:rPr>
          <w:rFonts w:eastAsia="Times New Roman" w:cs="Arial"/>
          <w:color w:val="000000"/>
          <w:szCs w:val="24"/>
        </w:rPr>
        <w:t xml:space="preserve">on </w:t>
      </w:r>
      <w:r w:rsidR="0053774A" w:rsidRPr="00424BD3">
        <w:rPr>
          <w:rFonts w:eastAsia="Times New Roman" w:cs="Arial"/>
          <w:color w:val="000000"/>
          <w:szCs w:val="24"/>
        </w:rPr>
        <w:t xml:space="preserve">these </w:t>
      </w:r>
      <w:r w:rsidR="00620B66" w:rsidRPr="00424BD3">
        <w:rPr>
          <w:rFonts w:eastAsia="Times New Roman" w:cs="Arial"/>
          <w:color w:val="000000"/>
          <w:szCs w:val="24"/>
        </w:rPr>
        <w:t xml:space="preserve">determinants </w:t>
      </w:r>
      <w:r w:rsidR="00BE20AB">
        <w:rPr>
          <w:rFonts w:eastAsia="Times New Roman" w:cs="Arial"/>
          <w:color w:val="000000"/>
          <w:szCs w:val="24"/>
        </w:rPr>
        <w:t xml:space="preserve">argues </w:t>
      </w:r>
      <w:r w:rsidR="00E34025" w:rsidRPr="00424BD3">
        <w:rPr>
          <w:rFonts w:eastAsia="Times New Roman" w:cs="Arial"/>
          <w:color w:val="000000"/>
          <w:szCs w:val="24"/>
        </w:rPr>
        <w:fldChar w:fldCharType="begin"/>
      </w:r>
      <w:r w:rsidR="00990F3A">
        <w:rPr>
          <w:rFonts w:eastAsia="Times New Roman" w:cs="Arial"/>
          <w:color w:val="000000"/>
          <w:szCs w:val="24"/>
        </w:rPr>
        <w:instrText xml:space="preserve"> ADDIN ZOTERO_ITEM CSL_CITATION {"citationID":"zhq1cozz","properties":{"formattedCitation":"(Dannefer, 2020; Gee et al., 2019; Hoffmann et al., 2022; N. L. Jones et al., 2019; Pearce, 2012; Pickett et al., 2022; Vaccarella et al., 2020)","plainCitation":"(Dannefer, 2020; Gee et al., 2019; Hoffmann et al., 2022; N. L. Jones et al., 2019; Pearce, 2012; Pickett et al., 2022; Vaccarella et al., 2020)","noteIndex":0},"citationItems":[{"id":1440,"uris":["http://zotero.org/users/4946941/items/W7EZMMF6"],"itemData":{"id":1440,"type":"article-journal","abstract":"Cumulative dis/advantage has been defined as the systemic tendency for interindividual divergence in a given characteristic to increase with the passage of time. Over recent decades, evidence supporting cumulative dis/advantage (CDA) as a cohort-based process that produces inequalities on a range of life-course outcomes has steadily increased. This paper reviews this growing body of work, grounding the discussion in CDA’s foundation as a general sociological construct with broad relevance. I emphasize the distinction between outcome and process, and then distinguish multiple levels of social analysis at which CDA operates. From this review, I extract two principles, endogenous system dynamics and life-course reflexivity, that can be cross-classified to provide a framework for analyzing contemporary research frameworks and initiatives relevant to CDA. I argue that the full sociological impact and implications of CDA research has been unevenly developed and applied, and conclude by suggesting some possible directions for further building on CDA’s insights.","container-title":"The Journals of Gerontology: Series B","DOI":"10.1093/geronb/gby118","ISSN":"1079-5014","issue":"6","journalAbbreviation":"The Journals of Gerontology: Series B","page":"1249-1263","source":"Silverchair","title":"Systemic and Reflexive: Foundations of Cumulative Dis/Advantage and Life-Course Processes","title-short":"Systemic and Reflexive","volume":"75","author":[{"family":"Dannefer","given":"Dale"}],"issued":{"date-parts":[["2020",6,2]]}}},{"id":1436,"uris":["http://zotero.org/users/4946941/items/I2YRA66L"],"itemData":{"id":1436,"type":"article-journal","abstract":"The adage “time is money” signifies that time itself is a major social resource, but the role of time as a determinant of health inequities remains underappreciated. Time is fundamental to health promotion and human agency, as in having time to exercise and maintain social relationships. Further, scarcity in time is related to stress and illness.\n\nTime is also racialized, such that racial/ethnic minorities often have less free time and suffer a time penalty in multiple facets of life. Such penalties manifest in problems such as greater time in prison or more time spent accessing services.\n\nWe argue that time may be a social determinant of health that is shaped by racism across the life course. We focus on three aspects: time as age, time as exposure, and time as a resource and privilege. We distinguish between chronological age, biological age, and social age. We discuss issues of accelerated aging and potential interconnections with critical periods. We also examine racial inequities in time. By more deeply considering time, we may advance our understanding of racial inequities in health.","container-title":"American Journal of Public Health","DOI":"10.2105/AJPH.2018.304766","ISSN":"0090-0036","issue":"S1","journalAbbreviation":"Am J Public Health","note":"publisher: American Public Health Association","page":"S43-S47","source":"ajph.aphapublications.org (Atypon)","title":"Racism and the Life Course: Taking Time Seriously","title-short":"Racism and the Life Course","volume":"109","author":[{"family":"Gee","given":"Gilbert C."},{"family":"Hing","given":"Anna"},{"family":"Mohammed","given":"Selina"},{"family":"Tabor","given":"Derrick C."},{"family":"Williams","given":"David R."}],"issued":{"date-parts":[["2019",1]]}}},{"id":1423,"uris":["http://zotero.org/users/4946941/items/2D4Z32EU"],"itemData":{"id":1423,"type":"article-journal","abstract":"By explaining the development of health inequalities, eco-social theories highlight the importance of social environments that children are embedded in. The most important environment during early childhood is the family, as it profoundly influences children’s health through various characteristics. These include family processes, family structure/size, and living conditions, and are closely linked to the socioeconomic position (SEP) of the family. Although it is known that the SEP contributes to health inequalities in early childhood, the effects of family characteristics on health inequalities remain unclear. The objective of this scoping review is to synthesise existing research on the mediating and moderating effects of family characteristics on socioeconomic health inequalities (HI) during early childhood in high-income countries.","container-title":"BMC Public Health","DOI":"10.1186/s12889-022-12603-4","ISSN":"1471-2458","issue":"1","journalAbbreviation":"BMC Public Health","page":"338","source":"BioMed Central","title":"Moderating or mediating effects of family characteristics on socioeconomic inequalities in child health in high-income countries – a scoping review","volume":"22","author":[{"family":"Hoffmann","given":"Stephanie"},{"family":"Sander","given":"Lydia"},{"family":"Wachtler","given":"Benjamin"},{"family":"Blume","given":"Miriam"},{"family":"Schneider","given":"Sven"},{"family":"Herke","given":"Max"},{"family":"Pischke","given":"Claudia R."},{"family":"Fialho","given":"Paula Mayara Matos"},{"family":"Schuettig","given":"Wiebke"},{"family":"Tallarek","given":"Marie"},{"family":"Lampert","given":"Thomas"},{"family":"Spallek","given":"Jacob"}],"issued":{"date-parts":[["2022",2,17]]}}},{"id":1083,"uris":["http://zotero.org/users/4946941/items/ZSFHEY9V"],"itemData":{"id":1083,"type":"article-journal","container-title":"American Journal of Public Health","issue":"51","page":"S48-S55","title":"Life Course Approaches to the Causes of Health Disparities | AJPH | Vol. 109 Issue S1","volume":"109","author":[{"family":"Jones","given":"Nancy L."},{"family":"Gilman","given":"Stephen E."},{"family":"Cheng","given":"Tina L."},{"family":"Drury","given":"Stacy S."},{"family":"Hill","given":"Carl V."},{"family":"Geronimus","given":"Arline T."}],"issued":{"date-parts":[["2019"]]}}},{"id":775,"uris":["http://zotero.org/users/4946941/items/US4THAS3"],"itemData":{"id":775,"type":"article-journal","container-title":"Social Science and Medicine","issue":"11","language":"en","title":"The ‘blemish of place’: stigma, geography and health inequalities. A commentary on Tabuchi, Fukuhara &amp; Iso","URL":"https://www.pure.ed.ac.uk/ws/files/11576353/PDF_BlemishofPlace.pdf","volume":"75","author":[{"family":"Pearce","given":"J."}],"issued":{"date-parts":[["2012"]]}}},{"id":1434,"uris":["http://zotero.org/users/4946941/items/64XSTIVZ"],"itemData":{"id":1434,"type":"article-journal","abstract":"Social factors have a profound impact on child health – they are the “causes of the causes”, creating social gradients and inequalities in almost all morbidities. The social determinants of health are complex and intertwined, and in the UK child health inequalities are entrenched and intractable. We describe how longitudinal research on children's health and life course trajectories gives us insights into the ways in which the social determinants interact to affect children, and how these insights can shape policy and practice to improve child health. We also touch on three major contemporary issues in child health: adverse childhood experiences, the Covid-19 pandemic and climate change. We explore how paediatricians can engage with the social determinants of child health and be agents for change, and share examples of innovative practice.","container-title":"Paediatrics and Child Health","DOI":"10.1016/j.paed.2021.12.003","ISSN":"1751-7222","issue":"3","journalAbbreviation":"Paediatrics and Child Health","language":"en","page":"88-94","source":"ScienceDirect","title":"The social determinants of child health and inequalities in child health","volume":"32","author":[{"family":"Pickett","given":"Kate E."},{"family":"Vafai","given":"Yassaman"},{"family":"Mathai","given":"Mathew"},{"family":"Small","given":"Neil"}],"issued":{"date-parts":[["2022",3,1]]}}},{"id":1430,"uris":["http://zotero.org/users/4946941/items/XTZHPJUB"],"itemData":{"id":1430,"type":"article-journal","container-title":"eClinicalMedicine","DOI":"10.1016/j.eclinm.2020.100261","ISSN":"2589-5370","journalAbbreviation":"eClinicalMedicine","language":"English","note":"publisher: Elsevier\nPMID: 32055791","source":"www.thelancet.com","title":"Present and future of health inequalities: Rationale for investing in the biological capital","title-short":"Present and future of health inequalities","URL":"https://www.thelancet.com/journals/eclinm/article/PIIS2589-5370(20)30005-5/fulltext","volume":"19","author":[{"family":"Vaccarella","given":"Salvatore"},{"family":"Weiderpass","given":"Elisabete"},{"family":"Vineis","given":"Paolo"}],"accessed":{"date-parts":[["2022",9,5]]},"issued":{"date-parts":[["2020",2,1]]}}}],"schema":"https://github.com/citation-style-language/schema/raw/master/csl-citation.json"} </w:instrText>
      </w:r>
      <w:r w:rsidR="00E34025" w:rsidRPr="00424BD3">
        <w:rPr>
          <w:rFonts w:eastAsia="Times New Roman" w:cs="Arial"/>
          <w:color w:val="000000"/>
          <w:szCs w:val="24"/>
        </w:rPr>
        <w:fldChar w:fldCharType="separate"/>
      </w:r>
      <w:r w:rsidR="00487AE6" w:rsidRPr="00424BD3">
        <w:rPr>
          <w:rFonts w:cs="Arial"/>
        </w:rPr>
        <w:t>(Dannefer, 2020; Gee et al., 2019; Hoffmann et al., 2022; N. L. Jones et al., 2019; Pearce, 2012; Pickett et al., 2022; Vaccarella et al., 2020)</w:t>
      </w:r>
      <w:r w:rsidR="00E34025" w:rsidRPr="00424BD3">
        <w:rPr>
          <w:rFonts w:eastAsia="Times New Roman" w:cs="Arial"/>
          <w:color w:val="000000"/>
          <w:szCs w:val="24"/>
        </w:rPr>
        <w:fldChar w:fldCharType="end"/>
      </w:r>
      <w:r w:rsidR="00DD6ACC" w:rsidRPr="00424BD3">
        <w:rPr>
          <w:rFonts w:eastAsia="Times New Roman" w:cs="Arial"/>
          <w:color w:val="000000"/>
          <w:szCs w:val="24"/>
        </w:rPr>
        <w:t xml:space="preserve">. </w:t>
      </w:r>
    </w:p>
    <w:p w14:paraId="00507ACE" w14:textId="50566A49" w:rsidR="00A37E31" w:rsidRPr="00424BD3" w:rsidRDefault="00BB55BB" w:rsidP="004816E6">
      <w:pPr>
        <w:spacing w:after="0" w:line="480" w:lineRule="auto"/>
        <w:ind w:firstLine="720"/>
      </w:pPr>
      <w:r>
        <w:t>Interestingly, very</w:t>
      </w:r>
      <w:r w:rsidR="004E7BB9" w:rsidRPr="00424BD3">
        <w:t xml:space="preserve"> few </w:t>
      </w:r>
      <w:r>
        <w:t xml:space="preserve">of the women </w:t>
      </w:r>
      <w:r w:rsidR="004E7BB9" w:rsidRPr="00424BD3">
        <w:t>identified themselves as currently being in poor health, other than references to</w:t>
      </w:r>
      <w:r>
        <w:t xml:space="preserve"> being</w:t>
      </w:r>
      <w:r w:rsidR="004E7BB9" w:rsidRPr="00424BD3">
        <w:t xml:space="preserve"> overweight or past illnesses. </w:t>
      </w:r>
      <w:r w:rsidR="004816E6" w:rsidRPr="00424BD3">
        <w:t>Whether the women perceive poor health through the normed view of individual responsibility</w:t>
      </w:r>
      <w:r w:rsidR="00305139" w:rsidRPr="00424BD3">
        <w:t xml:space="preserve"> to prevent their own poor health or as the reason other people have poor health</w:t>
      </w:r>
      <w:r>
        <w:t>,</w:t>
      </w:r>
      <w:r w:rsidR="00305139" w:rsidRPr="00424BD3">
        <w:t xml:space="preserve"> or they perceived and identified some determinant or injustice factor </w:t>
      </w:r>
      <w:r w:rsidR="00617328" w:rsidRPr="00424BD3">
        <w:t>as influencing poor health, they all spoke clearly about their fear of having poor health in older age</w:t>
      </w:r>
      <w:r w:rsidR="00FE2D2D" w:rsidRPr="00424BD3">
        <w:t xml:space="preserve"> and of the emphasis they have on ensuring that they do their best to avoid </w:t>
      </w:r>
      <w:r w:rsidR="00B31AC3" w:rsidRPr="00424BD3">
        <w:t xml:space="preserve">or mitigate it. </w:t>
      </w:r>
    </w:p>
    <w:p w14:paraId="280E48CC" w14:textId="30002A41" w:rsidR="00CD2106" w:rsidRPr="004E73CD" w:rsidRDefault="00CD2106" w:rsidP="004E73CD">
      <w:pPr>
        <w:pStyle w:val="Heading3"/>
        <w:spacing w:before="0" w:line="480" w:lineRule="auto"/>
        <w:rPr>
          <w:rFonts w:ascii="Arial" w:hAnsi="Arial" w:cs="Arial"/>
          <w:b/>
          <w:bCs/>
          <w:i/>
          <w:iCs/>
          <w:color w:val="auto"/>
        </w:rPr>
      </w:pPr>
      <w:bookmarkStart w:id="91" w:name="_Toc118232357"/>
      <w:r w:rsidRPr="004E73CD">
        <w:rPr>
          <w:rFonts w:ascii="Arial" w:hAnsi="Arial" w:cs="Arial"/>
          <w:b/>
          <w:bCs/>
          <w:i/>
          <w:iCs/>
          <w:color w:val="auto"/>
        </w:rPr>
        <w:t>Wellbeing</w:t>
      </w:r>
      <w:bookmarkEnd w:id="91"/>
    </w:p>
    <w:p w14:paraId="2D7203A1" w14:textId="77777777" w:rsidR="0076661E" w:rsidRPr="00424BD3" w:rsidRDefault="00650628" w:rsidP="000126EE">
      <w:pPr>
        <w:spacing w:after="0" w:line="480" w:lineRule="auto"/>
        <w:ind w:firstLine="720"/>
        <w:rPr>
          <w:rFonts w:cs="Arial"/>
          <w:szCs w:val="24"/>
        </w:rPr>
      </w:pPr>
      <w:r w:rsidRPr="00424BD3">
        <w:rPr>
          <w:rFonts w:cs="Arial"/>
          <w:color w:val="000000"/>
        </w:rPr>
        <w:t xml:space="preserve">As noted in the key terms and definitions, this section of the findings reflects that there is, currently, no standard definition of wellbeing. </w:t>
      </w:r>
      <w:r w:rsidR="00E65FC9" w:rsidRPr="00424BD3">
        <w:rPr>
          <w:rFonts w:cs="Arial"/>
          <w:szCs w:val="24"/>
        </w:rPr>
        <w:t xml:space="preserve">While some participants referred back to aspects of good physical and mental health as well as good mobility, most participants mentioned balance in life, enjoyment of life, happiness with environment and with self, contentment, and peace of mind as the component parts of wellbeing. </w:t>
      </w:r>
    </w:p>
    <w:p w14:paraId="503B2B26" w14:textId="4577710A" w:rsidR="00E65FC9" w:rsidRPr="00424BD3" w:rsidRDefault="0076661E" w:rsidP="00227170">
      <w:pPr>
        <w:spacing w:after="0" w:line="480" w:lineRule="auto"/>
        <w:ind w:firstLine="720"/>
        <w:rPr>
          <w:rFonts w:cs="Arial"/>
          <w:szCs w:val="24"/>
        </w:rPr>
      </w:pPr>
      <w:r w:rsidRPr="00424BD3">
        <w:rPr>
          <w:rFonts w:eastAsia="Times New Roman" w:cs="Arial"/>
          <w:color w:val="000000"/>
          <w:szCs w:val="24"/>
        </w:rPr>
        <w:lastRenderedPageBreak/>
        <w:t>Recall that Peggy spoke about being abused as a child and of the impact her mother’s illness had on her early childhood. She referred to nature as her source of spirituality and that she found her wellbeing through nature</w:t>
      </w:r>
      <w:r w:rsidR="00F8077F" w:rsidRPr="00424BD3">
        <w:rPr>
          <w:rFonts w:eastAsia="Times New Roman" w:cs="Arial"/>
          <w:color w:val="000000"/>
          <w:szCs w:val="24"/>
        </w:rPr>
        <w:t>, “</w:t>
      </w:r>
      <w:r w:rsidRPr="00424BD3">
        <w:rPr>
          <w:rFonts w:eastAsia="Times New Roman" w:cs="Arial"/>
          <w:color w:val="000000"/>
          <w:szCs w:val="24"/>
        </w:rPr>
        <w:t>...the only place I felt safe was out in nature or in the dark.”</w:t>
      </w:r>
      <w:r w:rsidR="00EF4631">
        <w:rPr>
          <w:rFonts w:eastAsia="Times New Roman" w:cs="Arial"/>
          <w:color w:val="000000"/>
          <w:szCs w:val="24"/>
        </w:rPr>
        <w:t xml:space="preserve">. </w:t>
      </w:r>
      <w:r w:rsidR="00E65FC9" w:rsidRPr="00424BD3">
        <w:rPr>
          <w:rFonts w:cs="Arial"/>
          <w:szCs w:val="24"/>
        </w:rPr>
        <w:t>Anita included financial security (see quote further down in this section) and Barbara, who had endured years of financial hardship after her early divorce, mentioned happiness, but also financial security</w:t>
      </w:r>
      <w:r w:rsidR="00EF4631">
        <w:rPr>
          <w:rFonts w:cs="Arial"/>
          <w:szCs w:val="24"/>
        </w:rPr>
        <w:t xml:space="preserve">. </w:t>
      </w:r>
      <w:r w:rsidR="00E65FC9" w:rsidRPr="00424BD3">
        <w:rPr>
          <w:rFonts w:cs="Arial"/>
          <w:szCs w:val="24"/>
        </w:rPr>
        <w:t>Barbara said: "For me, well-being would be happiness. In a state that I don't have to worry about paying my bills.”</w:t>
      </w:r>
    </w:p>
    <w:p w14:paraId="08F33882" w14:textId="77777777" w:rsidR="00E65FC9" w:rsidRPr="00424BD3" w:rsidRDefault="00E65FC9" w:rsidP="004E73CD">
      <w:pPr>
        <w:spacing w:after="0" w:line="480" w:lineRule="auto"/>
        <w:ind w:firstLine="720"/>
        <w:rPr>
          <w:rFonts w:cs="Arial"/>
          <w:szCs w:val="24"/>
        </w:rPr>
      </w:pPr>
      <w:r w:rsidRPr="00424BD3">
        <w:rPr>
          <w:rFonts w:cs="Arial"/>
          <w:szCs w:val="24"/>
        </w:rPr>
        <w:t>Three mentioned the role mental health plays in wellbeing:</w:t>
      </w:r>
    </w:p>
    <w:p w14:paraId="1E3A5F33" w14:textId="1475ACAD" w:rsidR="00E65FC9" w:rsidRPr="00424BD3" w:rsidRDefault="00E65FC9" w:rsidP="000126EE">
      <w:pPr>
        <w:spacing w:after="0" w:line="480" w:lineRule="auto"/>
        <w:ind w:left="720"/>
        <w:rPr>
          <w:rFonts w:cs="Arial"/>
          <w:szCs w:val="24"/>
        </w:rPr>
      </w:pPr>
      <w:r w:rsidRPr="00424BD3">
        <w:rPr>
          <w:rFonts w:cs="Arial"/>
          <w:szCs w:val="24"/>
        </w:rPr>
        <w:t xml:space="preserve">Anita said: "Wellbeing is not really thinking about, your health issues. You're not thinking about your economic issues [laughs]. Wellbeing is just a state of mind, I think. </w:t>
      </w:r>
      <w:r w:rsidR="00E94833">
        <w:rPr>
          <w:rFonts w:cs="Arial"/>
          <w:szCs w:val="24"/>
        </w:rPr>
        <w:t>Y</w:t>
      </w:r>
      <w:r w:rsidRPr="00424BD3">
        <w:rPr>
          <w:rFonts w:cs="Arial"/>
          <w:szCs w:val="24"/>
        </w:rPr>
        <w:t>ou just feel good about being here. You don't have any overriding issues that make you...weary of life. You know, you just embrace life...you don't dwell on all the things that have been bad in your life. You dwell on the things that you have accomplished, however big or small....and if you were to l</w:t>
      </w:r>
      <w:r w:rsidR="004E23F1" w:rsidRPr="00424BD3">
        <w:rPr>
          <w:rFonts w:cs="Arial"/>
          <w:szCs w:val="24"/>
        </w:rPr>
        <w:t>e</w:t>
      </w:r>
      <w:r w:rsidRPr="00424BD3">
        <w:rPr>
          <w:rFonts w:cs="Arial"/>
          <w:szCs w:val="24"/>
        </w:rPr>
        <w:t>ave tomorrow, you will have...this feeling that "I lived". I didn't just occupy space, but I lived. It's tranquility. You just feel tranquil. It’s that peace of mind. You’re just at peace with the world. You’re just at ease with the world. It’s just a comfort. You just feel comfortable with who you are, what you have become…"</w:t>
      </w:r>
    </w:p>
    <w:p w14:paraId="4062EE7C" w14:textId="4EDA96A8" w:rsidR="00E65FC9" w:rsidRPr="00424BD3" w:rsidRDefault="00E65FC9" w:rsidP="000126EE">
      <w:pPr>
        <w:spacing w:after="0" w:line="480" w:lineRule="auto"/>
        <w:ind w:left="720"/>
        <w:rPr>
          <w:rFonts w:cs="Arial"/>
          <w:szCs w:val="24"/>
        </w:rPr>
      </w:pPr>
      <w:r w:rsidRPr="00424BD3">
        <w:rPr>
          <w:rFonts w:cs="Arial"/>
          <w:szCs w:val="24"/>
        </w:rPr>
        <w:t>Sharon said: "You just…feel pretty good about yourself because your life is going well, and …you're not fighting against anything."</w:t>
      </w:r>
    </w:p>
    <w:p w14:paraId="63466411" w14:textId="66EF9B09" w:rsidR="00F70C0A" w:rsidRPr="00424BD3" w:rsidRDefault="00131D72" w:rsidP="000126EE">
      <w:pPr>
        <w:spacing w:after="0" w:line="480" w:lineRule="auto"/>
        <w:ind w:firstLine="720"/>
        <w:rPr>
          <w:rFonts w:ascii="Times New Roman" w:eastAsia="Times New Roman" w:hAnsi="Times New Roman" w:cs="Times New Roman"/>
          <w:szCs w:val="24"/>
        </w:rPr>
      </w:pPr>
      <w:r w:rsidRPr="00424BD3">
        <w:rPr>
          <w:rFonts w:cs="Arial"/>
          <w:color w:val="000000"/>
        </w:rPr>
        <w:t xml:space="preserve">Both Anita and Sharon reference wellbeing as being at peace - not thinking or fighting against anything negative. It is important to note because their definitions of </w:t>
      </w:r>
      <w:r w:rsidRPr="00424BD3">
        <w:rPr>
          <w:rFonts w:cs="Arial"/>
          <w:color w:val="000000"/>
        </w:rPr>
        <w:lastRenderedPageBreak/>
        <w:t xml:space="preserve">wellbeing are powerful, but also reflect a sort of utopian vision - that wellbeing is sustained only through lack of conflict. In fact, Anita states that wellbeing means one is not thinking of their health issues. As difficult as it may be to think about when reading such beautiful statements, this </w:t>
      </w:r>
      <w:r w:rsidR="006F5C1C">
        <w:rPr>
          <w:rFonts w:cs="Arial"/>
          <w:color w:val="000000"/>
        </w:rPr>
        <w:t>may illustrate</w:t>
      </w:r>
      <w:r w:rsidRPr="00424BD3">
        <w:rPr>
          <w:rFonts w:cs="Arial"/>
          <w:color w:val="000000"/>
        </w:rPr>
        <w:t xml:space="preserve"> a normed response to social ideals of health, and a non-acceptance of having wellbeing in spite of one having health issues or other issues. Still, their comments about wellbeing are indicative of what one can hope wellbeing can </w:t>
      </w:r>
      <w:r w:rsidR="00F2484E" w:rsidRPr="00424BD3">
        <w:rPr>
          <w:rFonts w:cs="Arial"/>
          <w:color w:val="000000"/>
        </w:rPr>
        <w:t>be</w:t>
      </w:r>
      <w:r w:rsidR="00F2484E">
        <w:rPr>
          <w:rFonts w:cs="Arial"/>
          <w:color w:val="000000"/>
        </w:rPr>
        <w:t>, the</w:t>
      </w:r>
      <w:r w:rsidR="00C1615D">
        <w:rPr>
          <w:rFonts w:cs="Arial"/>
          <w:color w:val="000000"/>
        </w:rPr>
        <w:t xml:space="preserve"> subjective nature of wellbeing,</w:t>
      </w:r>
      <w:r w:rsidR="006F5C1C">
        <w:rPr>
          <w:rFonts w:cs="Arial"/>
          <w:color w:val="000000"/>
        </w:rPr>
        <w:t xml:space="preserve"> and that there is currently </w:t>
      </w:r>
      <w:r w:rsidR="00C1615D">
        <w:rPr>
          <w:rFonts w:cs="Arial"/>
          <w:color w:val="000000"/>
        </w:rPr>
        <w:t xml:space="preserve">no </w:t>
      </w:r>
      <w:r w:rsidR="006F5C1C">
        <w:rPr>
          <w:rFonts w:cs="Arial"/>
          <w:color w:val="000000"/>
        </w:rPr>
        <w:t xml:space="preserve">standard definition of wellbeing in </w:t>
      </w:r>
      <w:r w:rsidR="00C1615D">
        <w:rPr>
          <w:rFonts w:cs="Arial"/>
          <w:color w:val="000000"/>
        </w:rPr>
        <w:t>the scientific community</w:t>
      </w:r>
      <w:r w:rsidR="00227170">
        <w:rPr>
          <w:rFonts w:cs="Arial"/>
          <w:color w:val="000000"/>
        </w:rPr>
        <w:t>.</w:t>
      </w:r>
    </w:p>
    <w:p w14:paraId="353F649B" w14:textId="079A9697" w:rsidR="00E65FC9" w:rsidRPr="00424BD3" w:rsidRDefault="00E65FC9" w:rsidP="000126EE">
      <w:pPr>
        <w:spacing w:after="0" w:line="480" w:lineRule="auto"/>
        <w:ind w:firstLine="720"/>
        <w:rPr>
          <w:rFonts w:cs="Arial"/>
          <w:szCs w:val="24"/>
        </w:rPr>
      </w:pPr>
      <w:r w:rsidRPr="00424BD3">
        <w:rPr>
          <w:rFonts w:cs="Arial"/>
          <w:szCs w:val="24"/>
        </w:rPr>
        <w:t>Sylvia mentioned good, sustaining relationships</w:t>
      </w:r>
      <w:r w:rsidR="00F70C0A" w:rsidRPr="00424BD3">
        <w:rPr>
          <w:rFonts w:cs="Arial"/>
          <w:szCs w:val="24"/>
        </w:rPr>
        <w:t>, including her lifelong relationships with animals</w:t>
      </w:r>
      <w:r w:rsidR="00F0248B">
        <w:rPr>
          <w:rFonts w:cs="Arial"/>
          <w:szCs w:val="24"/>
        </w:rPr>
        <w:t xml:space="preserve">. </w:t>
      </w:r>
      <w:r w:rsidRPr="00424BD3">
        <w:rPr>
          <w:rFonts w:cs="Arial"/>
          <w:szCs w:val="24"/>
        </w:rPr>
        <w:t>Ruth mentioned being able to help oneself to manage one’s problems to the best of one’s ability, to get the best quality of life that one can, and to depend on oneself for happiness</w:t>
      </w:r>
      <w:r w:rsidR="00227170">
        <w:rPr>
          <w:rFonts w:cs="Arial"/>
          <w:szCs w:val="24"/>
        </w:rPr>
        <w:t xml:space="preserve">. </w:t>
      </w:r>
      <w:r w:rsidRPr="00424BD3">
        <w:rPr>
          <w:rFonts w:cs="Arial"/>
          <w:szCs w:val="24"/>
        </w:rPr>
        <w:t>Barbara and Carolyn mentioned that wellbeing is place-based and reliant on the environment in which you live:</w:t>
      </w:r>
    </w:p>
    <w:p w14:paraId="090D1380" w14:textId="77777777" w:rsidR="00E65FC9" w:rsidRPr="00424BD3" w:rsidRDefault="00E65FC9" w:rsidP="000126EE">
      <w:pPr>
        <w:spacing w:after="0" w:line="480" w:lineRule="auto"/>
        <w:ind w:firstLine="720"/>
        <w:rPr>
          <w:rFonts w:cs="Arial"/>
          <w:szCs w:val="24"/>
        </w:rPr>
      </w:pPr>
      <w:r w:rsidRPr="00424BD3">
        <w:rPr>
          <w:rFonts w:cs="Arial"/>
          <w:szCs w:val="24"/>
        </w:rPr>
        <w:t>Carolyn, who cried out of empathy as she responded to this question, said wellbeing is</w:t>
      </w:r>
    </w:p>
    <w:p w14:paraId="55B1BB7D" w14:textId="32D28F23" w:rsidR="00E65FC9" w:rsidRPr="00424BD3" w:rsidRDefault="00E65FC9" w:rsidP="000126EE">
      <w:pPr>
        <w:spacing w:after="0" w:line="480" w:lineRule="auto"/>
        <w:ind w:left="720"/>
        <w:rPr>
          <w:rFonts w:cs="Arial"/>
          <w:szCs w:val="24"/>
        </w:rPr>
      </w:pPr>
      <w:r w:rsidRPr="00424BD3">
        <w:rPr>
          <w:rFonts w:cs="Arial"/>
          <w:szCs w:val="24"/>
        </w:rPr>
        <w:t xml:space="preserve">"Transitory [laughs]. It depends upon the day. Wellbeing is a…very personalized </w:t>
      </w:r>
      <w:r w:rsidRPr="00424BD3">
        <w:rPr>
          <w:rFonts w:cs="Arial"/>
          <w:color w:val="000000" w:themeColor="text1"/>
          <w:szCs w:val="24"/>
        </w:rPr>
        <w:t xml:space="preserve">scenario. It depends upon your external environment. It depends upon how you're internalizing it. </w:t>
      </w:r>
      <w:r w:rsidR="000E41D6">
        <w:rPr>
          <w:rFonts w:cs="Arial"/>
          <w:color w:val="000000" w:themeColor="text1"/>
          <w:szCs w:val="24"/>
        </w:rPr>
        <w:t>T</w:t>
      </w:r>
      <w:r w:rsidRPr="00424BD3">
        <w:rPr>
          <w:rFonts w:cs="Arial"/>
          <w:color w:val="000000" w:themeColor="text1"/>
          <w:szCs w:val="24"/>
        </w:rPr>
        <w:t>hat's a luxury of being an American because, if you are in a third world country, those things don't affect you as much because all you're worried about is eating and surviving the bullets, and all those things that he [sic] shouldn't be subjected to” [cries</w:t>
      </w:r>
      <w:r w:rsidRPr="00424BD3">
        <w:rPr>
          <w:rFonts w:cs="Arial"/>
          <w:szCs w:val="24"/>
        </w:rPr>
        <w:t xml:space="preserve">]. </w:t>
      </w:r>
    </w:p>
    <w:p w14:paraId="7A5AFE0E" w14:textId="24D2D124" w:rsidR="003E5B39" w:rsidRDefault="001A56C7" w:rsidP="003E5B39">
      <w:pPr>
        <w:spacing w:after="0" w:line="480" w:lineRule="auto"/>
        <w:rPr>
          <w:rFonts w:eastAsia="Times New Roman" w:cs="Arial"/>
          <w:color w:val="000000"/>
          <w:szCs w:val="24"/>
        </w:rPr>
      </w:pPr>
      <w:r w:rsidRPr="00424BD3">
        <w:rPr>
          <w:rFonts w:eastAsia="Times New Roman" w:cs="Arial"/>
          <w:color w:val="000000"/>
          <w:szCs w:val="24"/>
        </w:rPr>
        <w:t>Carolyn’s comments reflect the intersectional nature of wellbeing, reaching across the personal, the environmental, socio-economic, temporal</w:t>
      </w:r>
      <w:r w:rsidR="00511F6D">
        <w:rPr>
          <w:rFonts w:eastAsia="Times New Roman" w:cs="Arial"/>
          <w:color w:val="000000"/>
          <w:szCs w:val="24"/>
        </w:rPr>
        <w:t>,</w:t>
      </w:r>
      <w:r w:rsidRPr="00424BD3">
        <w:rPr>
          <w:rFonts w:eastAsia="Times New Roman" w:cs="Arial"/>
          <w:color w:val="000000"/>
          <w:szCs w:val="24"/>
        </w:rPr>
        <w:t xml:space="preserve"> and spatial aspects of this part </w:t>
      </w:r>
      <w:r w:rsidRPr="00424BD3">
        <w:rPr>
          <w:rFonts w:eastAsia="Times New Roman" w:cs="Arial"/>
          <w:color w:val="000000"/>
          <w:szCs w:val="24"/>
        </w:rPr>
        <w:lastRenderedPageBreak/>
        <w:t>of human health.</w:t>
      </w:r>
      <w:r w:rsidR="005254F9" w:rsidRPr="00424BD3">
        <w:rPr>
          <w:rFonts w:eastAsia="Times New Roman" w:cs="Arial"/>
          <w:color w:val="000000"/>
          <w:szCs w:val="24"/>
        </w:rPr>
        <w:t xml:space="preserve"> </w:t>
      </w:r>
      <w:r w:rsidRPr="00424BD3">
        <w:rPr>
          <w:rFonts w:eastAsia="Times New Roman" w:cs="Arial"/>
          <w:color w:val="000000"/>
          <w:szCs w:val="24"/>
        </w:rPr>
        <w:t xml:space="preserve">She saw the impact that the geopolitical plays, often, in shaping (and being shaped by) all other determinants: war (violence), famine, and poverty supersede personal concerns about ill health, in the moment. </w:t>
      </w:r>
      <w:r w:rsidR="0078038B">
        <w:rPr>
          <w:rFonts w:eastAsia="Times New Roman" w:cs="Arial"/>
          <w:color w:val="000000"/>
          <w:szCs w:val="24"/>
        </w:rPr>
        <w:t>For example, w</w:t>
      </w:r>
      <w:r w:rsidRPr="00424BD3">
        <w:rPr>
          <w:rFonts w:eastAsia="Times New Roman" w:cs="Arial"/>
          <w:color w:val="000000"/>
          <w:szCs w:val="24"/>
        </w:rPr>
        <w:t xml:space="preserve">ar may not be </w:t>
      </w:r>
      <w:r w:rsidR="0067594D">
        <w:rPr>
          <w:rFonts w:eastAsia="Times New Roman" w:cs="Arial"/>
          <w:color w:val="000000"/>
          <w:szCs w:val="24"/>
        </w:rPr>
        <w:t xml:space="preserve">currently happening </w:t>
      </w:r>
      <w:r w:rsidRPr="00424BD3">
        <w:rPr>
          <w:rFonts w:eastAsia="Times New Roman" w:cs="Arial"/>
          <w:color w:val="000000"/>
          <w:szCs w:val="24"/>
        </w:rPr>
        <w:t>within the U.S. borders, but many must choose between eating, paying bills, or affording a doctor or medicine. These choices start at the macro, systemic, international, geopolitical level (Sturm et al., 2021), filtering down, in the U.S., into the destructive norms of believing these choices are individual</w:t>
      </w:r>
      <w:r w:rsidR="000817A3">
        <w:rPr>
          <w:rFonts w:eastAsia="Times New Roman" w:cs="Arial"/>
          <w:color w:val="000000"/>
          <w:szCs w:val="24"/>
        </w:rPr>
        <w:t xml:space="preserve"> (micro-level)</w:t>
      </w:r>
      <w:r w:rsidRPr="00424BD3">
        <w:rPr>
          <w:rFonts w:eastAsia="Times New Roman" w:cs="Arial"/>
          <w:color w:val="000000"/>
          <w:szCs w:val="24"/>
        </w:rPr>
        <w:t xml:space="preserve">. Carolyn saw the impact this had on people in the Global South. The findings, likewise, </w:t>
      </w:r>
      <w:r w:rsidR="00016B04">
        <w:rPr>
          <w:rFonts w:eastAsia="Times New Roman" w:cs="Arial"/>
          <w:color w:val="000000"/>
          <w:szCs w:val="24"/>
        </w:rPr>
        <w:t>illustrate</w:t>
      </w:r>
      <w:r w:rsidR="00016B04" w:rsidRPr="00424BD3">
        <w:rPr>
          <w:rFonts w:eastAsia="Times New Roman" w:cs="Arial"/>
          <w:color w:val="000000"/>
          <w:szCs w:val="24"/>
        </w:rPr>
        <w:t xml:space="preserve"> </w:t>
      </w:r>
      <w:r w:rsidRPr="00424BD3">
        <w:rPr>
          <w:rFonts w:eastAsia="Times New Roman" w:cs="Arial"/>
          <w:color w:val="000000"/>
          <w:szCs w:val="24"/>
        </w:rPr>
        <w:t>that geopolitical norms established as part of neoliberalism impact the way older women understand health inequities.</w:t>
      </w:r>
    </w:p>
    <w:p w14:paraId="6BCEC7D2" w14:textId="251FFEDD" w:rsidR="003E5B39" w:rsidRPr="003E5B39" w:rsidRDefault="003E5B39" w:rsidP="003E5B39">
      <w:pPr>
        <w:pStyle w:val="Heading2"/>
        <w:spacing w:before="0" w:line="480" w:lineRule="auto"/>
        <w:jc w:val="center"/>
        <w:rPr>
          <w:rFonts w:ascii="Arial" w:hAnsi="Arial" w:cs="Arial"/>
          <w:b/>
          <w:color w:val="auto"/>
          <w:sz w:val="24"/>
          <w:szCs w:val="24"/>
        </w:rPr>
      </w:pPr>
      <w:bookmarkStart w:id="92" w:name="_Toc118232358"/>
      <w:r w:rsidRPr="003E5B39">
        <w:rPr>
          <w:rFonts w:ascii="Arial" w:hAnsi="Arial" w:cs="Arial"/>
          <w:b/>
          <w:color w:val="auto"/>
          <w:sz w:val="24"/>
          <w:szCs w:val="24"/>
        </w:rPr>
        <w:t>Conclusion</w:t>
      </w:r>
      <w:bookmarkEnd w:id="92"/>
    </w:p>
    <w:p w14:paraId="460A1B7F" w14:textId="3F104192" w:rsidR="001A56C7" w:rsidRPr="003E5B39" w:rsidRDefault="008A019C" w:rsidP="003E5B39">
      <w:pPr>
        <w:spacing w:after="0" w:line="480" w:lineRule="auto"/>
        <w:ind w:firstLine="720"/>
        <w:rPr>
          <w:b/>
        </w:rPr>
      </w:pPr>
      <w:r w:rsidRPr="003E5B39">
        <w:t>Examining the women’s perceptions of health definitions provides a basis for being able to understand their health literacy and what they know about health inequities and the social determinants of health. As can be seen throughout this chapter, many of the women were able to identify component parts of the definitions, even if they did not provide definitions as medical professionals and health researchers would. However, the women’s responses also showed that their understandings were either limit</w:t>
      </w:r>
      <w:r w:rsidR="007204A1">
        <w:t>ed</w:t>
      </w:r>
      <w:r w:rsidRPr="003E5B39">
        <w:t>, did not exist, or were held in silence. Any of th</w:t>
      </w:r>
      <w:r w:rsidR="007204A1">
        <w:t>e</w:t>
      </w:r>
      <w:r w:rsidRPr="003E5B39">
        <w:t xml:space="preserve">se </w:t>
      </w:r>
      <w:r w:rsidR="007204A1">
        <w:t>would be</w:t>
      </w:r>
      <w:r w:rsidR="00A3507B">
        <w:t xml:space="preserve"> a</w:t>
      </w:r>
      <w:r w:rsidRPr="003E5B39">
        <w:t xml:space="preserve"> reason to do further research into the </w:t>
      </w:r>
      <w:r w:rsidR="007204A1">
        <w:t>differences in</w:t>
      </w:r>
      <w:r w:rsidRPr="003E5B39">
        <w:t xml:space="preserve"> how clinicians, policymakers, decisionmakers, </w:t>
      </w:r>
      <w:r w:rsidR="00A3507B">
        <w:t xml:space="preserve">and </w:t>
      </w:r>
      <w:r w:rsidRPr="003E5B39">
        <w:t>researchers view and speak about health inequities terminology</w:t>
      </w:r>
      <w:r w:rsidR="003B69A7">
        <w:t xml:space="preserve"> compared to </w:t>
      </w:r>
      <w:r w:rsidR="003B69A7" w:rsidRPr="003E5B39">
        <w:t>how older women</w:t>
      </w:r>
      <w:r w:rsidR="003B69A7">
        <w:t xml:space="preserve"> do</w:t>
      </w:r>
      <w:r w:rsidRPr="003E5B39">
        <w:t xml:space="preserve">. </w:t>
      </w:r>
      <w:r w:rsidR="001D27CD" w:rsidRPr="003E5B39">
        <w:t xml:space="preserve">Additionally, examining </w:t>
      </w:r>
      <w:r w:rsidR="00AA7AD8">
        <w:t>older women’s</w:t>
      </w:r>
      <w:r w:rsidR="001D27CD" w:rsidRPr="003E5B39">
        <w:t xml:space="preserve"> definitions may provide insight into their perceptions that may not be shared by them in telling their histories or opinions elsewhere. Their responses to questions about health terms builds a fuller picture of </w:t>
      </w:r>
      <w:r w:rsidR="001D27CD" w:rsidRPr="003E5B39">
        <w:lastRenderedPageBreak/>
        <w:t>their health awareness and education, and where, as researchers, clinicians, and policymakers, we can start to bridge this gap.</w:t>
      </w:r>
      <w:r w:rsidR="003E5B39" w:rsidRPr="003E5B39" w:rsidDel="003E5B39">
        <w:t xml:space="preserve"> </w:t>
      </w:r>
      <w:r w:rsidRPr="003E5B39">
        <w:t>This is imperative because health inequities mitigation requires – or should require – the development of policies and interventions which meet the needs and wants of older women.</w:t>
      </w:r>
      <w:r w:rsidR="001D27CD" w:rsidRPr="003E5B39">
        <w:t xml:space="preserve"> </w:t>
      </w:r>
      <w:r w:rsidRPr="003E5B39">
        <w:t xml:space="preserve">Understanding what older women do and do not understand (or voice) about health inequities or other health terms also provides insight into how older women may or may not have developed internalized norms of the environments in which they were born, raised, and aged. </w:t>
      </w:r>
      <w:r w:rsidR="006D0652" w:rsidRPr="003E5B39">
        <w:t xml:space="preserve">Simply put, it is vital to know what older women perceive about health terms, in order to understand where to start in co-production with them of policymaking and intervention / services design. </w:t>
      </w:r>
      <w:r w:rsidR="001D37AA" w:rsidRPr="003E5B39">
        <w:rPr>
          <w:b/>
        </w:rPr>
        <w:br w:type="page"/>
      </w:r>
    </w:p>
    <w:p w14:paraId="16F31CB2" w14:textId="3CAD2E3E" w:rsidR="001D37AA" w:rsidRDefault="001D37AA" w:rsidP="008F1BC7">
      <w:pPr>
        <w:pStyle w:val="Heading1"/>
        <w:jc w:val="center"/>
        <w:rPr>
          <w:rFonts w:ascii="Arial" w:eastAsia="Arial" w:hAnsi="Arial" w:cs="Arial"/>
          <w:b/>
          <w:bCs/>
          <w:color w:val="auto"/>
          <w:sz w:val="24"/>
          <w:szCs w:val="24"/>
        </w:rPr>
      </w:pPr>
      <w:bookmarkStart w:id="93" w:name="_Toc118232359"/>
      <w:r w:rsidRPr="007471CA">
        <w:rPr>
          <w:rFonts w:ascii="Arial" w:eastAsia="Arial" w:hAnsi="Arial" w:cs="Arial"/>
          <w:b/>
          <w:bCs/>
          <w:color w:val="auto"/>
          <w:sz w:val="24"/>
          <w:szCs w:val="24"/>
        </w:rPr>
        <w:lastRenderedPageBreak/>
        <w:t>CHAPTER EIGHT</w:t>
      </w:r>
      <w:bookmarkEnd w:id="93"/>
    </w:p>
    <w:p w14:paraId="5AD3C5C2" w14:textId="66C26149" w:rsidR="002F09F5" w:rsidRDefault="002F09F5" w:rsidP="002F09F5">
      <w:pPr>
        <w:pStyle w:val="Heading1"/>
        <w:jc w:val="center"/>
        <w:rPr>
          <w:rFonts w:ascii="Arial" w:hAnsi="Arial" w:cs="Arial"/>
          <w:b/>
          <w:bCs/>
          <w:color w:val="auto"/>
          <w:sz w:val="24"/>
          <w:szCs w:val="24"/>
        </w:rPr>
      </w:pPr>
      <w:bookmarkStart w:id="94" w:name="_Toc118232360"/>
      <w:r>
        <w:rPr>
          <w:rFonts w:ascii="Arial" w:hAnsi="Arial" w:cs="Arial"/>
          <w:b/>
          <w:bCs/>
          <w:color w:val="auto"/>
          <w:sz w:val="24"/>
          <w:szCs w:val="24"/>
        </w:rPr>
        <w:t>FINDINGS AND ANALYSIS</w:t>
      </w:r>
      <w:bookmarkEnd w:id="94"/>
    </w:p>
    <w:p w14:paraId="4A1B19F1" w14:textId="0F98ACCE" w:rsidR="00D46F02" w:rsidRDefault="00D46F02" w:rsidP="0033686E">
      <w:pPr>
        <w:spacing w:after="0" w:line="480" w:lineRule="auto"/>
      </w:pPr>
    </w:p>
    <w:p w14:paraId="370F36D1" w14:textId="77777777" w:rsidR="00C836B6" w:rsidRDefault="00560B1C" w:rsidP="00823C8D">
      <w:pPr>
        <w:spacing w:after="0" w:line="480" w:lineRule="auto"/>
        <w:ind w:firstLine="720"/>
        <w:rPr>
          <w:rFonts w:cs="Arial"/>
          <w:szCs w:val="24"/>
        </w:rPr>
      </w:pPr>
      <w:r w:rsidRPr="00E905C0">
        <w:rPr>
          <w:rFonts w:cs="Arial"/>
          <w:szCs w:val="24"/>
        </w:rPr>
        <w:t xml:space="preserve">This research has found that </w:t>
      </w:r>
      <w:r>
        <w:rPr>
          <w:rFonts w:cs="Arial"/>
          <w:szCs w:val="24"/>
        </w:rPr>
        <w:t xml:space="preserve">despite differences in political affiliation, the women who participated in this study articulate similar opinions </w:t>
      </w:r>
      <w:r w:rsidRPr="00E905C0">
        <w:rPr>
          <w:rFonts w:cs="Arial"/>
          <w:szCs w:val="24"/>
        </w:rPr>
        <w:t>and desires about what they want and need regarding their health, even when they are</w:t>
      </w:r>
      <w:r>
        <w:rPr>
          <w:rFonts w:cs="Arial"/>
          <w:szCs w:val="24"/>
        </w:rPr>
        <w:t xml:space="preserve"> on</w:t>
      </w:r>
      <w:r w:rsidRPr="00E905C0">
        <w:rPr>
          <w:rFonts w:cs="Arial"/>
          <w:szCs w:val="24"/>
        </w:rPr>
        <w:t xml:space="preserve"> opposite sides of the political spectrum, and irrespective of similarities or differences in the social determinants of their health</w:t>
      </w:r>
      <w:r>
        <w:rPr>
          <w:rFonts w:cs="Arial"/>
          <w:szCs w:val="24"/>
        </w:rPr>
        <w:t>.</w:t>
      </w:r>
      <w:r w:rsidR="00823C8D">
        <w:rPr>
          <w:rFonts w:cs="Arial"/>
          <w:szCs w:val="24"/>
        </w:rPr>
        <w:t xml:space="preserve"> The most common areas of concern </w:t>
      </w:r>
      <w:r w:rsidR="00670511">
        <w:rPr>
          <w:rFonts w:cs="Arial"/>
          <w:szCs w:val="24"/>
        </w:rPr>
        <w:t>were</w:t>
      </w:r>
      <w:r w:rsidR="00C836B6">
        <w:rPr>
          <w:rFonts w:cs="Arial"/>
          <w:szCs w:val="24"/>
        </w:rPr>
        <w:t>:</w:t>
      </w:r>
    </w:p>
    <w:p w14:paraId="7211E833" w14:textId="77777777" w:rsidR="00C836B6" w:rsidRPr="0033686E" w:rsidRDefault="00670511" w:rsidP="00C836B6">
      <w:pPr>
        <w:pStyle w:val="ListParagraph"/>
        <w:numPr>
          <w:ilvl w:val="0"/>
          <w:numId w:val="19"/>
        </w:numPr>
        <w:spacing w:after="0" w:line="480" w:lineRule="auto"/>
        <w:rPr>
          <w:rFonts w:ascii="Arial" w:hAnsi="Arial" w:cs="Arial"/>
          <w:sz w:val="24"/>
          <w:szCs w:val="24"/>
        </w:rPr>
      </w:pPr>
      <w:r w:rsidRPr="0033686E">
        <w:rPr>
          <w:rFonts w:ascii="Arial" w:hAnsi="Arial" w:cs="Arial"/>
          <w:sz w:val="24"/>
          <w:szCs w:val="24"/>
        </w:rPr>
        <w:t xml:space="preserve">the systemic and individual discrimination and inequitable treatment </w:t>
      </w:r>
      <w:r w:rsidR="00C836B6" w:rsidRPr="0033686E">
        <w:rPr>
          <w:rFonts w:ascii="Arial" w:hAnsi="Arial" w:cs="Arial"/>
          <w:sz w:val="24"/>
          <w:szCs w:val="24"/>
        </w:rPr>
        <w:t xml:space="preserve">they face </w:t>
      </w:r>
      <w:r w:rsidR="00935F10" w:rsidRPr="0033686E">
        <w:rPr>
          <w:rFonts w:ascii="Arial" w:hAnsi="Arial" w:cs="Arial"/>
          <w:sz w:val="24"/>
          <w:szCs w:val="24"/>
        </w:rPr>
        <w:t xml:space="preserve">as older women in East Tennessee; </w:t>
      </w:r>
    </w:p>
    <w:p w14:paraId="02931FA9" w14:textId="1B98A87F" w:rsidR="00C836B6" w:rsidRPr="0033686E" w:rsidRDefault="002C7FDB" w:rsidP="00C836B6">
      <w:pPr>
        <w:pStyle w:val="ListParagraph"/>
        <w:numPr>
          <w:ilvl w:val="0"/>
          <w:numId w:val="19"/>
        </w:numPr>
        <w:spacing w:after="0" w:line="480" w:lineRule="auto"/>
        <w:rPr>
          <w:rFonts w:ascii="Arial" w:hAnsi="Arial" w:cs="Arial"/>
          <w:sz w:val="24"/>
          <w:szCs w:val="24"/>
        </w:rPr>
      </w:pPr>
      <w:r w:rsidRPr="0033686E">
        <w:rPr>
          <w:rFonts w:ascii="Arial" w:hAnsi="Arial" w:cs="Arial"/>
          <w:sz w:val="24"/>
          <w:szCs w:val="24"/>
        </w:rPr>
        <w:t xml:space="preserve">access to healthcare and </w:t>
      </w:r>
      <w:r w:rsidR="00FB1528" w:rsidRPr="0033686E">
        <w:rPr>
          <w:rFonts w:ascii="Arial" w:hAnsi="Arial" w:cs="Arial"/>
          <w:sz w:val="24"/>
          <w:szCs w:val="24"/>
        </w:rPr>
        <w:t>the systemic drivers related to healthcare access, including</w:t>
      </w:r>
      <w:r w:rsidR="00F24BD6" w:rsidRPr="0033686E">
        <w:rPr>
          <w:rFonts w:ascii="Arial" w:hAnsi="Arial" w:cs="Arial"/>
          <w:sz w:val="24"/>
          <w:szCs w:val="24"/>
        </w:rPr>
        <w:t xml:space="preserve">, but not limited to, </w:t>
      </w:r>
      <w:r w:rsidR="002D472D" w:rsidRPr="0033686E">
        <w:rPr>
          <w:rFonts w:ascii="Arial" w:hAnsi="Arial" w:cs="Arial"/>
          <w:sz w:val="24"/>
          <w:szCs w:val="24"/>
        </w:rPr>
        <w:t xml:space="preserve">economic, geopolitical, </w:t>
      </w:r>
      <w:r w:rsidR="00F24BD6" w:rsidRPr="0033686E">
        <w:rPr>
          <w:rFonts w:ascii="Arial" w:hAnsi="Arial" w:cs="Arial"/>
          <w:sz w:val="24"/>
          <w:szCs w:val="24"/>
        </w:rPr>
        <w:t>place-based</w:t>
      </w:r>
      <w:r w:rsidR="009D1F42">
        <w:rPr>
          <w:rFonts w:ascii="Arial" w:hAnsi="Arial" w:cs="Arial"/>
          <w:sz w:val="24"/>
          <w:szCs w:val="24"/>
        </w:rPr>
        <w:t xml:space="preserve"> </w:t>
      </w:r>
      <w:r w:rsidR="00F24BD6" w:rsidRPr="0033686E">
        <w:rPr>
          <w:rFonts w:ascii="Arial" w:hAnsi="Arial" w:cs="Arial"/>
          <w:sz w:val="24"/>
          <w:szCs w:val="24"/>
        </w:rPr>
        <w:t>/</w:t>
      </w:r>
      <w:r w:rsidR="009D1F42">
        <w:rPr>
          <w:rFonts w:ascii="Arial" w:hAnsi="Arial" w:cs="Arial"/>
          <w:sz w:val="24"/>
          <w:szCs w:val="24"/>
        </w:rPr>
        <w:t xml:space="preserve"> </w:t>
      </w:r>
      <w:r w:rsidR="00F24BD6" w:rsidRPr="0033686E">
        <w:rPr>
          <w:rFonts w:ascii="Arial" w:hAnsi="Arial" w:cs="Arial"/>
          <w:sz w:val="24"/>
          <w:szCs w:val="24"/>
        </w:rPr>
        <w:t>geographical, and discrimina</w:t>
      </w:r>
      <w:r w:rsidR="005D1215" w:rsidRPr="0033686E">
        <w:rPr>
          <w:rFonts w:ascii="Arial" w:hAnsi="Arial" w:cs="Arial"/>
          <w:sz w:val="24"/>
          <w:szCs w:val="24"/>
        </w:rPr>
        <w:t>tory determinants;</w:t>
      </w:r>
    </w:p>
    <w:p w14:paraId="319FC6D5" w14:textId="77777777" w:rsidR="002B22B4" w:rsidRDefault="005D1215" w:rsidP="00C836B6">
      <w:pPr>
        <w:pStyle w:val="ListParagraph"/>
        <w:numPr>
          <w:ilvl w:val="0"/>
          <w:numId w:val="19"/>
        </w:numPr>
        <w:spacing w:after="0" w:line="480" w:lineRule="auto"/>
        <w:rPr>
          <w:rFonts w:ascii="Arial" w:hAnsi="Arial" w:cs="Arial"/>
          <w:sz w:val="24"/>
          <w:szCs w:val="24"/>
        </w:rPr>
      </w:pPr>
      <w:r w:rsidRPr="0033686E">
        <w:rPr>
          <w:rFonts w:ascii="Arial" w:hAnsi="Arial" w:cs="Arial"/>
          <w:sz w:val="24"/>
          <w:szCs w:val="24"/>
        </w:rPr>
        <w:t xml:space="preserve"> </w:t>
      </w:r>
      <w:r w:rsidR="00510286" w:rsidRPr="0033686E">
        <w:rPr>
          <w:rFonts w:ascii="Arial" w:hAnsi="Arial" w:cs="Arial"/>
          <w:sz w:val="24"/>
          <w:szCs w:val="24"/>
        </w:rPr>
        <w:t>lack of health literacy, e.g., awareness of and education around health inequities</w:t>
      </w:r>
      <w:r w:rsidR="009A5422" w:rsidRPr="0033686E">
        <w:rPr>
          <w:rFonts w:ascii="Arial" w:hAnsi="Arial" w:cs="Arial"/>
          <w:sz w:val="24"/>
          <w:szCs w:val="24"/>
        </w:rPr>
        <w:t xml:space="preserve">; </w:t>
      </w:r>
    </w:p>
    <w:p w14:paraId="701AB062" w14:textId="7A9B447F" w:rsidR="00C836B6" w:rsidRPr="0033686E" w:rsidRDefault="009A5422" w:rsidP="00C836B6">
      <w:pPr>
        <w:pStyle w:val="ListParagraph"/>
        <w:numPr>
          <w:ilvl w:val="0"/>
          <w:numId w:val="19"/>
        </w:numPr>
        <w:spacing w:after="0" w:line="480" w:lineRule="auto"/>
        <w:rPr>
          <w:rFonts w:ascii="Arial" w:hAnsi="Arial" w:cs="Arial"/>
          <w:sz w:val="24"/>
          <w:szCs w:val="24"/>
        </w:rPr>
      </w:pPr>
      <w:r w:rsidRPr="0033686E">
        <w:rPr>
          <w:rFonts w:ascii="Arial" w:hAnsi="Arial" w:cs="Arial"/>
          <w:sz w:val="24"/>
          <w:szCs w:val="24"/>
        </w:rPr>
        <w:t>gender-bias in clinical care and health research tailored to older women</w:t>
      </w:r>
      <w:r w:rsidR="007D3CD6" w:rsidRPr="0033686E">
        <w:rPr>
          <w:rFonts w:ascii="Arial" w:hAnsi="Arial" w:cs="Arial"/>
          <w:sz w:val="24"/>
          <w:szCs w:val="24"/>
        </w:rPr>
        <w:t xml:space="preserve">; </w:t>
      </w:r>
    </w:p>
    <w:p w14:paraId="7DAB8B68" w14:textId="4D9ACDAD" w:rsidR="00C836B6" w:rsidRDefault="007D3CD6" w:rsidP="00C836B6">
      <w:pPr>
        <w:pStyle w:val="ListParagraph"/>
        <w:numPr>
          <w:ilvl w:val="0"/>
          <w:numId w:val="19"/>
        </w:numPr>
        <w:spacing w:after="0" w:line="480" w:lineRule="auto"/>
        <w:rPr>
          <w:rFonts w:ascii="Arial" w:hAnsi="Arial" w:cs="Arial"/>
          <w:sz w:val="24"/>
          <w:szCs w:val="24"/>
        </w:rPr>
      </w:pPr>
      <w:r w:rsidRPr="0033686E">
        <w:rPr>
          <w:rFonts w:ascii="Arial" w:hAnsi="Arial" w:cs="Arial"/>
          <w:sz w:val="24"/>
          <w:szCs w:val="24"/>
        </w:rPr>
        <w:t xml:space="preserve">and the geopolitical cultural norming in areas like East Tennessee that perpetuate </w:t>
      </w:r>
      <w:r w:rsidR="00052BE8" w:rsidRPr="0033686E">
        <w:rPr>
          <w:rFonts w:ascii="Arial" w:hAnsi="Arial" w:cs="Arial"/>
          <w:sz w:val="24"/>
          <w:szCs w:val="24"/>
        </w:rPr>
        <w:t xml:space="preserve">the development of </w:t>
      </w:r>
      <w:r w:rsidR="00100C1E" w:rsidRPr="0033686E">
        <w:rPr>
          <w:rFonts w:ascii="Arial" w:hAnsi="Arial" w:cs="Arial"/>
          <w:sz w:val="24"/>
          <w:szCs w:val="24"/>
        </w:rPr>
        <w:t>attitudes, beliefs, policies</w:t>
      </w:r>
      <w:r w:rsidR="003503C5">
        <w:rPr>
          <w:rFonts w:ascii="Arial" w:hAnsi="Arial" w:cs="Arial"/>
          <w:sz w:val="24"/>
          <w:szCs w:val="24"/>
        </w:rPr>
        <w:t>,</w:t>
      </w:r>
      <w:r w:rsidR="00100C1E" w:rsidRPr="0033686E">
        <w:rPr>
          <w:rFonts w:ascii="Arial" w:hAnsi="Arial" w:cs="Arial"/>
          <w:sz w:val="24"/>
          <w:szCs w:val="24"/>
        </w:rPr>
        <w:t xml:space="preserve"> and services regarding older women’s health</w:t>
      </w:r>
      <w:r w:rsidRPr="0033686E">
        <w:rPr>
          <w:rFonts w:ascii="Arial" w:hAnsi="Arial" w:cs="Arial"/>
          <w:sz w:val="24"/>
          <w:szCs w:val="24"/>
        </w:rPr>
        <w:t>.</w:t>
      </w:r>
      <w:r w:rsidR="00100C1E" w:rsidRPr="0033686E">
        <w:rPr>
          <w:rFonts w:ascii="Arial" w:hAnsi="Arial" w:cs="Arial"/>
          <w:sz w:val="24"/>
          <w:szCs w:val="24"/>
        </w:rPr>
        <w:t xml:space="preserve"> </w:t>
      </w:r>
    </w:p>
    <w:p w14:paraId="3A1AD1B4" w14:textId="536990E9" w:rsidR="003077C2" w:rsidRPr="003077C2" w:rsidRDefault="003077C2" w:rsidP="0033686E">
      <w:pPr>
        <w:spacing w:after="0" w:line="480" w:lineRule="auto"/>
        <w:ind w:firstLine="720"/>
        <w:rPr>
          <w:rFonts w:cs="Arial"/>
          <w:szCs w:val="24"/>
        </w:rPr>
      </w:pPr>
      <w:r w:rsidRPr="00424BD3">
        <w:rPr>
          <w:rFonts w:eastAsia="Arial" w:cs="Arial"/>
          <w:szCs w:val="24"/>
        </w:rPr>
        <w:t xml:space="preserve">As noted in the literature review, much research has been done on the preferences of older women and health inequities in relation to particular health conditions, social determinants such as housing, or older women as part of research on older people in general. Because little has been done in relation to older women’s health inequities and policy preferences, a review of the literature was expanded to </w:t>
      </w:r>
      <w:r w:rsidRPr="00424BD3">
        <w:rPr>
          <w:rFonts w:eastAsia="Arial" w:cs="Arial"/>
          <w:szCs w:val="24"/>
        </w:rPr>
        <w:lastRenderedPageBreak/>
        <w:t xml:space="preserve">capture general preferences themes arising across these areas. By far, most studies show that older women’s preferences, in all health circumstances, are to maintain their independence and agency, followed by other preferences such as quality of life over quantity of life, proximity to family in order to maintain relationships, co-partnerships with clinicians, financial independence, and safety (Dostalova, </w:t>
      </w:r>
      <w:r w:rsidR="00FC2F7D">
        <w:rPr>
          <w:rFonts w:eastAsia="Arial" w:cs="Arial"/>
          <w:szCs w:val="24"/>
        </w:rPr>
        <w:t>et al.</w:t>
      </w:r>
      <w:r w:rsidRPr="00424BD3">
        <w:rPr>
          <w:rFonts w:eastAsia="Arial" w:cs="Arial"/>
          <w:szCs w:val="24"/>
        </w:rPr>
        <w:t xml:space="preserve">, 2021; Teater &amp; Chonody, 2020; Barken, 2019; Darab, </w:t>
      </w:r>
      <w:r w:rsidR="00FC2F7D">
        <w:rPr>
          <w:rFonts w:eastAsia="Arial" w:cs="Arial"/>
          <w:szCs w:val="24"/>
        </w:rPr>
        <w:t>et al.</w:t>
      </w:r>
      <w:r w:rsidRPr="00424BD3">
        <w:rPr>
          <w:rFonts w:eastAsia="Arial" w:cs="Arial"/>
          <w:szCs w:val="24"/>
        </w:rPr>
        <w:t>, 2018). Some of these themes match this study’s participant</w:t>
      </w:r>
      <w:r>
        <w:rPr>
          <w:rFonts w:eastAsia="Arial" w:cs="Arial"/>
          <w:szCs w:val="24"/>
        </w:rPr>
        <w:t>s’</w:t>
      </w:r>
      <w:r w:rsidRPr="00424BD3">
        <w:rPr>
          <w:rFonts w:eastAsia="Arial" w:cs="Arial"/>
          <w:szCs w:val="24"/>
        </w:rPr>
        <w:t xml:space="preserve"> preferences</w:t>
      </w:r>
      <w:r>
        <w:rPr>
          <w:rFonts w:eastAsia="Arial" w:cs="Arial"/>
          <w:szCs w:val="24"/>
        </w:rPr>
        <w:t>.</w:t>
      </w:r>
    </w:p>
    <w:p w14:paraId="7E090B61" w14:textId="72D98E47" w:rsidR="00560B1C" w:rsidRPr="00C836B6" w:rsidRDefault="00100C1E" w:rsidP="0033686E">
      <w:pPr>
        <w:spacing w:after="0" w:line="480" w:lineRule="auto"/>
        <w:ind w:firstLine="720"/>
        <w:rPr>
          <w:rFonts w:cs="Arial"/>
          <w:szCs w:val="24"/>
        </w:rPr>
      </w:pPr>
      <w:r w:rsidRPr="00C836B6">
        <w:rPr>
          <w:rFonts w:cs="Arial"/>
          <w:szCs w:val="24"/>
        </w:rPr>
        <w:t xml:space="preserve">As can be seen throughout this chapter, </w:t>
      </w:r>
      <w:r w:rsidR="003B6004" w:rsidRPr="00C836B6">
        <w:rPr>
          <w:rFonts w:cs="Arial"/>
          <w:szCs w:val="24"/>
        </w:rPr>
        <w:t>these findings are interrelated</w:t>
      </w:r>
      <w:r w:rsidR="006306FD" w:rsidRPr="00C836B6">
        <w:rPr>
          <w:rFonts w:cs="Arial"/>
          <w:szCs w:val="24"/>
        </w:rPr>
        <w:t>, interdependent,</w:t>
      </w:r>
      <w:r w:rsidR="003B6004" w:rsidRPr="00C836B6">
        <w:rPr>
          <w:rFonts w:cs="Arial"/>
          <w:szCs w:val="24"/>
        </w:rPr>
        <w:t xml:space="preserve"> and intersectional, overlapping with one another. </w:t>
      </w:r>
      <w:r w:rsidR="00DB0FFB" w:rsidRPr="00C836B6">
        <w:rPr>
          <w:rFonts w:cs="Arial"/>
          <w:szCs w:val="24"/>
        </w:rPr>
        <w:t xml:space="preserve">This shows the nature of the difficulty in separating one determinant from another </w:t>
      </w:r>
      <w:r w:rsidR="006306FD" w:rsidRPr="00C836B6">
        <w:rPr>
          <w:rFonts w:cs="Arial"/>
          <w:szCs w:val="24"/>
        </w:rPr>
        <w:t xml:space="preserve">and, therefore, calls for a </w:t>
      </w:r>
      <w:r w:rsidR="00F03252" w:rsidRPr="00C836B6">
        <w:rPr>
          <w:rFonts w:cs="Arial"/>
          <w:szCs w:val="24"/>
        </w:rPr>
        <w:t>holistic</w:t>
      </w:r>
      <w:r w:rsidR="006306FD" w:rsidRPr="00C836B6">
        <w:rPr>
          <w:rFonts w:cs="Arial"/>
          <w:szCs w:val="24"/>
        </w:rPr>
        <w:t xml:space="preserve"> approach in translating </w:t>
      </w:r>
      <w:r w:rsidR="00460685" w:rsidRPr="00C836B6">
        <w:rPr>
          <w:rFonts w:cs="Arial"/>
          <w:szCs w:val="24"/>
        </w:rPr>
        <w:t>solutions into effective policy and interventions in mitigating the health inequities older women face.</w:t>
      </w:r>
    </w:p>
    <w:p w14:paraId="5AC67715" w14:textId="64CFEC93" w:rsidR="006408C9" w:rsidRDefault="006408C9" w:rsidP="0033686E">
      <w:pPr>
        <w:pStyle w:val="Heading2"/>
        <w:spacing w:before="0" w:line="480" w:lineRule="auto"/>
        <w:jc w:val="center"/>
        <w:rPr>
          <w:rFonts w:ascii="Arial" w:eastAsia="Arial" w:hAnsi="Arial" w:cs="Arial"/>
          <w:b/>
          <w:bCs/>
          <w:color w:val="auto"/>
          <w:sz w:val="24"/>
          <w:szCs w:val="24"/>
        </w:rPr>
      </w:pPr>
      <w:bookmarkStart w:id="95" w:name="_Toc118232361"/>
      <w:r w:rsidRPr="0033686E">
        <w:rPr>
          <w:rFonts w:ascii="Arial" w:eastAsia="Arial" w:hAnsi="Arial" w:cs="Arial"/>
          <w:b/>
          <w:bCs/>
          <w:color w:val="auto"/>
          <w:sz w:val="24"/>
          <w:szCs w:val="24"/>
        </w:rPr>
        <w:t xml:space="preserve">Systemic Discrimination and </w:t>
      </w:r>
      <w:r w:rsidR="00581EFF" w:rsidRPr="0033686E">
        <w:rPr>
          <w:rFonts w:ascii="Arial" w:eastAsia="Arial" w:hAnsi="Arial" w:cs="Arial"/>
          <w:b/>
          <w:bCs/>
          <w:color w:val="auto"/>
          <w:sz w:val="24"/>
          <w:szCs w:val="24"/>
        </w:rPr>
        <w:t>Inequitabl</w:t>
      </w:r>
      <w:r w:rsidR="00B10233" w:rsidRPr="0033686E">
        <w:rPr>
          <w:rFonts w:ascii="Arial" w:eastAsia="Arial" w:hAnsi="Arial" w:cs="Arial"/>
          <w:b/>
          <w:bCs/>
          <w:color w:val="auto"/>
          <w:sz w:val="24"/>
          <w:szCs w:val="24"/>
        </w:rPr>
        <w:t>e</w:t>
      </w:r>
      <w:r w:rsidRPr="0033686E">
        <w:rPr>
          <w:rFonts w:ascii="Arial" w:eastAsia="Arial" w:hAnsi="Arial" w:cs="Arial"/>
          <w:b/>
          <w:bCs/>
          <w:color w:val="auto"/>
          <w:sz w:val="24"/>
          <w:szCs w:val="24"/>
        </w:rPr>
        <w:t xml:space="preserve"> Treatment</w:t>
      </w:r>
      <w:bookmarkEnd w:id="95"/>
    </w:p>
    <w:p w14:paraId="6617A532" w14:textId="22F64996" w:rsidR="00531158" w:rsidRPr="00424BD3" w:rsidRDefault="006408C9" w:rsidP="000126EE">
      <w:pPr>
        <w:spacing w:after="0" w:line="480" w:lineRule="auto"/>
        <w:ind w:firstLine="720"/>
        <w:rPr>
          <w:rFonts w:cs="Arial"/>
          <w:szCs w:val="24"/>
        </w:rPr>
      </w:pPr>
      <w:r w:rsidRPr="00424BD3">
        <w:rPr>
          <w:rFonts w:cs="Arial"/>
          <w:szCs w:val="24"/>
        </w:rPr>
        <w:t>Systemic and individual discrimination in the forms of paternalism, sexism, racism, ageism, classism, and ableism against women, especially poor and</w:t>
      </w:r>
      <w:r w:rsidR="00583D98">
        <w:rPr>
          <w:rFonts w:cs="Arial"/>
          <w:szCs w:val="24"/>
        </w:rPr>
        <w:t xml:space="preserve"> </w:t>
      </w:r>
      <w:r w:rsidRPr="00424BD3">
        <w:rPr>
          <w:rFonts w:cs="Arial"/>
          <w:szCs w:val="24"/>
        </w:rPr>
        <w:t>/</w:t>
      </w:r>
      <w:r w:rsidR="00583D98">
        <w:rPr>
          <w:rFonts w:cs="Arial"/>
          <w:szCs w:val="24"/>
        </w:rPr>
        <w:t xml:space="preserve"> </w:t>
      </w:r>
      <w:r w:rsidRPr="00424BD3">
        <w:rPr>
          <w:rFonts w:cs="Arial"/>
          <w:szCs w:val="24"/>
        </w:rPr>
        <w:t>or (</w:t>
      </w:r>
      <w:r w:rsidR="00AD43BC" w:rsidRPr="00424BD3">
        <w:rPr>
          <w:rFonts w:cs="Arial"/>
          <w:szCs w:val="24"/>
        </w:rPr>
        <w:t>B</w:t>
      </w:r>
      <w:r w:rsidRPr="00424BD3">
        <w:rPr>
          <w:rFonts w:cs="Arial"/>
          <w:szCs w:val="24"/>
        </w:rPr>
        <w:t xml:space="preserve">lack, </w:t>
      </w:r>
      <w:r w:rsidR="00AD43BC" w:rsidRPr="00424BD3">
        <w:rPr>
          <w:rFonts w:cs="Arial"/>
          <w:szCs w:val="24"/>
        </w:rPr>
        <w:t>I</w:t>
      </w:r>
      <w:r w:rsidRPr="00424BD3">
        <w:rPr>
          <w:rFonts w:cs="Arial"/>
          <w:szCs w:val="24"/>
        </w:rPr>
        <w:t xml:space="preserve">ndigenous, and </w:t>
      </w:r>
      <w:r w:rsidR="00AD43BC" w:rsidRPr="00424BD3">
        <w:rPr>
          <w:rFonts w:cs="Arial"/>
          <w:szCs w:val="24"/>
        </w:rPr>
        <w:t>P</w:t>
      </w:r>
      <w:r w:rsidRPr="00424BD3">
        <w:rPr>
          <w:rFonts w:cs="Arial"/>
          <w:szCs w:val="24"/>
        </w:rPr>
        <w:t xml:space="preserve">eople </w:t>
      </w:r>
      <w:r w:rsidR="00AD43BC" w:rsidRPr="00424BD3">
        <w:rPr>
          <w:rFonts w:cs="Arial"/>
          <w:szCs w:val="24"/>
        </w:rPr>
        <w:t>O</w:t>
      </w:r>
      <w:r w:rsidRPr="00424BD3">
        <w:rPr>
          <w:rFonts w:cs="Arial"/>
          <w:szCs w:val="24"/>
        </w:rPr>
        <w:t xml:space="preserve">f </w:t>
      </w:r>
      <w:r w:rsidR="00AD43BC" w:rsidRPr="00424BD3">
        <w:rPr>
          <w:rFonts w:cs="Arial"/>
          <w:szCs w:val="24"/>
        </w:rPr>
        <w:t>C</w:t>
      </w:r>
      <w:r w:rsidRPr="00424BD3">
        <w:rPr>
          <w:rFonts w:cs="Arial"/>
          <w:szCs w:val="24"/>
        </w:rPr>
        <w:t>olor (BIPOC)</w:t>
      </w:r>
      <w:r w:rsidR="00092547">
        <w:rPr>
          <w:rFonts w:cs="Arial"/>
          <w:szCs w:val="24"/>
        </w:rPr>
        <w:t>)</w:t>
      </w:r>
      <w:r w:rsidRPr="00424BD3">
        <w:rPr>
          <w:rFonts w:cs="Arial"/>
          <w:szCs w:val="24"/>
        </w:rPr>
        <w:t xml:space="preserve"> women</w:t>
      </w:r>
      <w:r w:rsidR="00A869A3">
        <w:rPr>
          <w:rFonts w:cs="Arial"/>
          <w:szCs w:val="24"/>
        </w:rPr>
        <w:t>,</w:t>
      </w:r>
      <w:r w:rsidRPr="00424BD3">
        <w:rPr>
          <w:rFonts w:cs="Arial"/>
          <w:szCs w:val="24"/>
        </w:rPr>
        <w:t xml:space="preserve"> was the most stated concern by the women in this study. For many of the participants, this was perceived as profiling by clinical</w:t>
      </w:r>
      <w:r w:rsidR="00583D98">
        <w:rPr>
          <w:rFonts w:cs="Arial"/>
          <w:szCs w:val="24"/>
        </w:rPr>
        <w:t xml:space="preserve"> </w:t>
      </w:r>
      <w:r w:rsidRPr="00424BD3">
        <w:rPr>
          <w:rFonts w:cs="Arial"/>
          <w:szCs w:val="24"/>
        </w:rPr>
        <w:t>/</w:t>
      </w:r>
      <w:r w:rsidR="00583D98">
        <w:rPr>
          <w:rFonts w:cs="Arial"/>
          <w:szCs w:val="24"/>
        </w:rPr>
        <w:t xml:space="preserve"> </w:t>
      </w:r>
      <w:r w:rsidRPr="00424BD3">
        <w:rPr>
          <w:rFonts w:cs="Arial"/>
          <w:szCs w:val="24"/>
        </w:rPr>
        <w:t>medical staff or by legislators regarding their knowledge, capability and understanding of their own health and of health inequities</w:t>
      </w:r>
      <w:r w:rsidR="009E0630" w:rsidRPr="00424BD3">
        <w:rPr>
          <w:rFonts w:cs="Arial"/>
          <w:szCs w:val="24"/>
        </w:rPr>
        <w:t xml:space="preserve"> </w:t>
      </w:r>
      <w:r w:rsidR="009E0630" w:rsidRPr="00424BD3">
        <w:rPr>
          <w:rFonts w:cs="Arial"/>
          <w:szCs w:val="24"/>
        </w:rPr>
        <w:fldChar w:fldCharType="begin"/>
      </w:r>
      <w:r w:rsidR="00990F3A">
        <w:rPr>
          <w:rFonts w:cs="Arial"/>
          <w:szCs w:val="24"/>
        </w:rPr>
        <w:instrText xml:space="preserve"> ADDIN ZOTERO_ITEM CSL_CITATION {"citationID":"0ideyItx","properties":{"formattedCitation":"(Chrisler et al., 2016)","plainCitation":"(Chrisler et al., 2016)","noteIndex":0},"citationItems":[{"id":634,"uris":["http://zotero.org/users/4946941/items/X352X869"],"itemData":{"id":634,"type":"article-journal","container-title":"Journal of Social Issues","issue":"1","language":"en","page":"86–104","title":"Ageism can be hazardous to women's health: Ageism, sexism, and stereotypes of older women in the healthcare system","volume":"72","author":[{"family":"Chrisler","given":"J.C."},{"family":"Barney","given":"A."},{"family":"Palatino","given":"B."}],"issued":{"date-parts":[["2016"]]}}}],"schema":"https://github.com/citation-style-language/schema/raw/master/csl-citation.json"} </w:instrText>
      </w:r>
      <w:r w:rsidR="009E0630" w:rsidRPr="00424BD3">
        <w:rPr>
          <w:rFonts w:cs="Arial"/>
          <w:szCs w:val="24"/>
        </w:rPr>
        <w:fldChar w:fldCharType="separate"/>
      </w:r>
      <w:r w:rsidR="009E0630" w:rsidRPr="00424BD3">
        <w:rPr>
          <w:rFonts w:cs="Arial"/>
        </w:rPr>
        <w:t>(Chrisler et al., 2016)</w:t>
      </w:r>
      <w:r w:rsidR="009E0630" w:rsidRPr="00424BD3">
        <w:rPr>
          <w:rFonts w:cs="Arial"/>
          <w:szCs w:val="24"/>
        </w:rPr>
        <w:fldChar w:fldCharType="end"/>
      </w:r>
      <w:r w:rsidRPr="00424BD3">
        <w:rPr>
          <w:rFonts w:cs="Arial"/>
          <w:szCs w:val="24"/>
        </w:rPr>
        <w:t>.</w:t>
      </w:r>
      <w:r w:rsidR="006145D8">
        <w:rPr>
          <w:rFonts w:cs="Arial"/>
          <w:szCs w:val="24"/>
        </w:rPr>
        <w:t xml:space="preserve"> </w:t>
      </w:r>
      <w:r w:rsidR="00531158" w:rsidRPr="00424BD3">
        <w:rPr>
          <w:rFonts w:cs="Arial"/>
          <w:szCs w:val="24"/>
        </w:rPr>
        <w:t xml:space="preserve">This is in line with the answers provided by the women when asked about their definitions of health inequities </w:t>
      </w:r>
      <w:r w:rsidR="00085300" w:rsidRPr="00424BD3">
        <w:rPr>
          <w:rFonts w:cs="Arial"/>
          <w:szCs w:val="24"/>
        </w:rPr>
        <w:t xml:space="preserve">(see Chapter </w:t>
      </w:r>
      <w:r w:rsidR="00D2488D" w:rsidRPr="00424BD3">
        <w:rPr>
          <w:rFonts w:cs="Arial"/>
          <w:szCs w:val="24"/>
        </w:rPr>
        <w:t>Seven</w:t>
      </w:r>
      <w:r w:rsidR="00085300" w:rsidRPr="00424BD3">
        <w:rPr>
          <w:rFonts w:cs="Arial"/>
          <w:szCs w:val="24"/>
        </w:rPr>
        <w:t>)</w:t>
      </w:r>
      <w:r w:rsidR="00A25ADF" w:rsidRPr="00424BD3">
        <w:rPr>
          <w:rFonts w:cs="Arial"/>
          <w:szCs w:val="24"/>
        </w:rPr>
        <w:t xml:space="preserve"> and with the literature on this topic as cited in </w:t>
      </w:r>
      <w:r w:rsidR="00AF032E" w:rsidRPr="00424BD3">
        <w:rPr>
          <w:rFonts w:cs="Arial"/>
          <w:szCs w:val="24"/>
        </w:rPr>
        <w:t xml:space="preserve">the </w:t>
      </w:r>
      <w:r w:rsidR="004B6155" w:rsidRPr="00424BD3">
        <w:rPr>
          <w:rFonts w:cs="Arial"/>
          <w:szCs w:val="24"/>
        </w:rPr>
        <w:t>l</w:t>
      </w:r>
      <w:r w:rsidR="00A25ADF" w:rsidRPr="00424BD3">
        <w:rPr>
          <w:rFonts w:cs="Arial"/>
          <w:szCs w:val="24"/>
        </w:rPr>
        <w:t xml:space="preserve">iterature review </w:t>
      </w:r>
      <w:r w:rsidR="007B1606" w:rsidRPr="00424BD3">
        <w:rPr>
          <w:rFonts w:cs="Arial"/>
          <w:szCs w:val="24"/>
        </w:rPr>
        <w:fldChar w:fldCharType="begin"/>
      </w:r>
      <w:r w:rsidR="00D52B29">
        <w:rPr>
          <w:rFonts w:cs="Arial"/>
          <w:szCs w:val="24"/>
        </w:rPr>
        <w:instrText xml:space="preserve"> ADDIN ZOTERO_ITEM CSL_CITATION {"citationID":"cUEoKX2D","properties":{"formattedCitation":"(Arber, 2006; Bierman &amp; Clancy, 2001; CAB, 2017; Cruikshank, 2013; McGuire et al., 2008; Velez et al., 2019)","plainCitation":"(Arber, 2006; Bierman &amp; Clancy, 2001; CAB, 2017; Cruikshank, 2013; McGuire et al., 2008; Velez et al., 2019)","noteIndex":0},"citationItems":[{"id":583,"uris":["http://zotero.org/users/4946941/items/65XXARN7"],"itemData":{"id":583,"type":"chapter","container-title":"Ageing and diversity: Multiple pathways and cultural migrations","event-place":"Britol","page":"61-76","publisher":"Policy Press","publisher-place":"Britol","title":"Gender trajectories: How age and marital status influence patterns of gender inequality in later life","author":[{"family":"Arber","given":"Sara"}],"issued":{"date-parts":[["2006"]]}}},{"id":605,"uris":["http://zotero.org/users/4946941/items/I97EFADJ"],"itemData":{"id":605,"type":"article-journal","abstract":"Older women experience a high burden of chronic illness, disability, and comorbidity, and this burden is highest among socioeconomically disadvantaged and minority women. The consequences of a mismatch between the organization, delivery, and financing of health care for older women and their actual needs fall disproportionately on low-income and minority women. New sources of data, such as the Medicare Health Outcomes Survey, a new quality measure for Medicare+Choice plans, will provide valuable information to practitioners about the health and functioning of older women in general and about socioeconomically disadvantaged and minority women in particular. This information can be used to develop and implement interventions to improve the quality and outcomes of care for vulnerable subgroups of older women. There is cause for optimism that by improving the quality of clinical preventive services and the management of common chronic conditions and geriatric syndromes it will be possible to improve functional health outcomes, prevent or postpone disability, and extend active life expectancy for all older women while making progress toward eliminating health disparities among the most disadvantaged.","container-title":"Journal of the American Medical Women's Association (1972)","ISSN":"1551-8221","issue":"4","journalAbbreviation":"J Am Med Womens Assoc (1972)","language":"eng","note":"PMID: 11759783","page":"155-9, 188","source":"Europe PMC","title":"Health disparities among older women: identifying opportunities to improve quality of care and functional health outcomes","title-short":"Health disparities among older women","volume":"56","author":[{"family":"Bierman","given":"A S"},{"family":"Clancy","given":"C M"}],"issued":{"date-parts":[["2001",1,1]]}}},{"id":930,"uris":["http://zotero.org/users/4946941/items/YP85Q6HX"],"itemData":{"id":930,"type":"document","language":"https://www.ageing-better.org.uk/sites/default/files/2017-12/Inequalities%20insight%20report.pdf","publisher":"Centre for Ageing Better (CAB)","title":"Inequalities in Later Life. The issue and the implications for policy and practice.","author":[{"family":"CAB","given":""}],"issued":{"date-parts":[["2017"]]}}},{"id":642,"uris":["http://zotero.org/users/4946941/items/MU5IA34Q"],"itemData":{"id":642,"type":"book","language":"en","publisher":"Rowman &amp; Littlefield Publishers","title":"Learning to be old: Gender, culture, and aging","author":[{"family":"Cruikshank","given":"M."}],"issued":{"date-parts":[["2013"]]}}},{"id":731,"uris":["http://zotero.org/users/4946941/items/N6KN4GF3"],"itemData":{"id":731,"type":"article-journal","container-title":"Nursing &amp; Health Sciences","DOI":"10.1111/j.1442-2018.2007.00336.x","issue":"1","language":"en","page":"11–16","title":"Ageism revisited: A study measuring ageism in East Tennessee, USA","volume":"10","author":[{"family":"McGuire","given":"S.L."},{"family":"Klein","given":"D.A."},{"family":"Chen","given":"S.L."}],"issued":{"date-parts":[["2008"]]}}},{"id":854,"uris":["http://zotero.org/users/4946941/items/9LK9FFXH"],"itemData":{"id":854,"type":"article-journal","container-title":"Data in brief","language":"en","page":"103811","title":"Data on the association between age at natural menopause and physical function in older women from the International Mobility in Aging Study (IMIAS","volume":"23","author":[{"family":"Velez","given":"M.P."},{"family":"Rosendaal","given":"N."},{"family":"Alvarado","given":"B."},{"family":"Câmara","given":"S."},{"family":"Belanger","given":"E."},{"family":"Pirkle","given":"C.M."}],"issued":{"date-parts":[["2019"]]}}}],"schema":"https://github.com/citation-style-language/schema/raw/master/csl-citation.json"} </w:instrText>
      </w:r>
      <w:r w:rsidR="007B1606" w:rsidRPr="00424BD3">
        <w:rPr>
          <w:rFonts w:cs="Arial"/>
          <w:szCs w:val="24"/>
        </w:rPr>
        <w:fldChar w:fldCharType="separate"/>
      </w:r>
      <w:r w:rsidR="007B1606" w:rsidRPr="00424BD3">
        <w:rPr>
          <w:rFonts w:cs="Arial"/>
        </w:rPr>
        <w:t>(Arber, 2006; Bierman &amp; Clancy, 2001; CAB, 2017; Cruikshank, 2013; McGuire et al., 2008; Velez et al., 2019)</w:t>
      </w:r>
      <w:r w:rsidR="007B1606" w:rsidRPr="00424BD3">
        <w:rPr>
          <w:rFonts w:cs="Arial"/>
          <w:szCs w:val="24"/>
        </w:rPr>
        <w:fldChar w:fldCharType="end"/>
      </w:r>
      <w:r w:rsidR="00042313">
        <w:rPr>
          <w:rFonts w:cs="Arial"/>
          <w:szCs w:val="24"/>
        </w:rPr>
        <w:t>.</w:t>
      </w:r>
    </w:p>
    <w:p w14:paraId="42B160CB" w14:textId="7636BFDA" w:rsidR="006408C9" w:rsidRPr="00424BD3" w:rsidRDefault="006408C9" w:rsidP="000126EE">
      <w:pPr>
        <w:spacing w:after="0" w:line="480" w:lineRule="auto"/>
        <w:ind w:firstLine="720"/>
        <w:rPr>
          <w:rFonts w:cs="Arial"/>
          <w:szCs w:val="24"/>
        </w:rPr>
      </w:pPr>
      <w:r w:rsidRPr="00424BD3">
        <w:rPr>
          <w:rFonts w:cs="Arial"/>
          <w:szCs w:val="24"/>
        </w:rPr>
        <w:lastRenderedPageBreak/>
        <w:t>Peggy, who presents with white skin</w:t>
      </w:r>
      <w:r w:rsidR="003779AF" w:rsidRPr="00424BD3">
        <w:rPr>
          <w:rFonts w:cs="Arial"/>
          <w:szCs w:val="24"/>
        </w:rPr>
        <w:t xml:space="preserve"> but who did not mention her race or ethnicity</w:t>
      </w:r>
      <w:r w:rsidR="000B465C" w:rsidRPr="00424BD3">
        <w:rPr>
          <w:rFonts w:cs="Arial"/>
          <w:szCs w:val="24"/>
        </w:rPr>
        <w:t xml:space="preserve"> (</w:t>
      </w:r>
      <w:r w:rsidR="00DD1B01" w:rsidRPr="00424BD3">
        <w:rPr>
          <w:rFonts w:cs="Arial"/>
          <w:szCs w:val="24"/>
        </w:rPr>
        <w:t xml:space="preserve">again, I did not ask for participants </w:t>
      </w:r>
      <w:r w:rsidR="00E87B14" w:rsidRPr="00424BD3">
        <w:rPr>
          <w:rFonts w:cs="Arial"/>
          <w:szCs w:val="24"/>
        </w:rPr>
        <w:t>what they identify their race or ethn</w:t>
      </w:r>
      <w:r w:rsidR="0094722E" w:rsidRPr="00424BD3">
        <w:rPr>
          <w:rFonts w:cs="Arial"/>
          <w:szCs w:val="24"/>
        </w:rPr>
        <w:t>icity as)</w:t>
      </w:r>
      <w:r w:rsidRPr="00424BD3">
        <w:rPr>
          <w:rFonts w:cs="Arial"/>
          <w:szCs w:val="24"/>
        </w:rPr>
        <w:t xml:space="preserve">, talked about her perceptions of Tennessee’s gendered healthcare culture. When asked what she wanted policymakers to know, her concerns were around equal treatment for women, older people, and </w:t>
      </w:r>
      <w:r w:rsidR="000B45F9" w:rsidRPr="00424BD3">
        <w:rPr>
          <w:rFonts w:cs="Arial"/>
          <w:szCs w:val="24"/>
        </w:rPr>
        <w:t>BIPOC</w:t>
      </w:r>
      <w:r w:rsidRPr="00424BD3">
        <w:rPr>
          <w:rFonts w:cs="Arial"/>
          <w:szCs w:val="24"/>
        </w:rPr>
        <w:t xml:space="preserve"> people in relation to policymaking, clinical care, and interventions. She mentioned that policy- and decisionmakers should “listen to women, take more time to hear what they’re saying” and that they should treat everyone respectfully across the board, especially older Americans and “not just if they have a penis...and they're white.”</w:t>
      </w:r>
      <w:r w:rsidR="00DE431E">
        <w:rPr>
          <w:rFonts w:cs="Arial"/>
          <w:szCs w:val="24"/>
        </w:rPr>
        <w:t xml:space="preserve"> Anita echoed this sentiment when speaking of </w:t>
      </w:r>
      <w:r w:rsidRPr="00424BD3">
        <w:rPr>
          <w:rFonts w:cs="Arial"/>
          <w:szCs w:val="24"/>
        </w:rPr>
        <w:t xml:space="preserve">her need to establish a firm understanding of the policies and interventions affecting her, especially as they play out in the clinical setting, because of Tennessee’s </w:t>
      </w:r>
      <w:r w:rsidR="003D6356" w:rsidRPr="00424BD3">
        <w:rPr>
          <w:rFonts w:cs="Arial"/>
          <w:szCs w:val="24"/>
        </w:rPr>
        <w:t>inequitable</w:t>
      </w:r>
      <w:r w:rsidRPr="00424BD3">
        <w:rPr>
          <w:rFonts w:cs="Arial"/>
          <w:szCs w:val="24"/>
        </w:rPr>
        <w:t xml:space="preserve"> legislative treatment of her as a </w:t>
      </w:r>
      <w:r w:rsidR="00FC2790" w:rsidRPr="00424BD3">
        <w:rPr>
          <w:rFonts w:cs="Arial"/>
          <w:szCs w:val="24"/>
        </w:rPr>
        <w:t>B</w:t>
      </w:r>
      <w:r w:rsidRPr="00424BD3">
        <w:rPr>
          <w:rFonts w:cs="Arial"/>
          <w:szCs w:val="24"/>
        </w:rPr>
        <w:t>lack woman</w:t>
      </w:r>
      <w:r w:rsidR="000F1759">
        <w:rPr>
          <w:rFonts w:cs="Arial"/>
          <w:szCs w:val="24"/>
        </w:rPr>
        <w:t xml:space="preserve"> (see Anita’s comment </w:t>
      </w:r>
      <w:r w:rsidR="008534A5">
        <w:rPr>
          <w:rFonts w:cs="Arial"/>
          <w:szCs w:val="24"/>
        </w:rPr>
        <w:t>in Chapter Seven (</w:t>
      </w:r>
      <w:r w:rsidR="008534A5" w:rsidRPr="00720332">
        <w:rPr>
          <w:rFonts w:cs="Arial"/>
          <w:szCs w:val="24"/>
        </w:rPr>
        <w:t xml:space="preserve">page </w:t>
      </w:r>
      <w:r w:rsidR="0079222F" w:rsidRPr="00720332">
        <w:rPr>
          <w:rFonts w:cs="Arial"/>
          <w:szCs w:val="24"/>
        </w:rPr>
        <w:t>126</w:t>
      </w:r>
      <w:r w:rsidR="008534A5" w:rsidRPr="00720332">
        <w:rPr>
          <w:rFonts w:cs="Arial"/>
          <w:szCs w:val="24"/>
        </w:rPr>
        <w:t>)</w:t>
      </w:r>
      <w:r w:rsidR="000F1759" w:rsidRPr="00720332">
        <w:rPr>
          <w:rFonts w:cs="Arial"/>
          <w:szCs w:val="24"/>
        </w:rPr>
        <w:t>.</w:t>
      </w:r>
    </w:p>
    <w:p w14:paraId="38A343B8" w14:textId="166CE5A6" w:rsidR="006408C9" w:rsidRPr="00424BD3" w:rsidRDefault="00A82696" w:rsidP="007471CA">
      <w:pPr>
        <w:spacing w:after="0" w:line="480" w:lineRule="auto"/>
        <w:ind w:firstLine="720"/>
        <w:rPr>
          <w:rFonts w:cs="Arial"/>
          <w:szCs w:val="24"/>
        </w:rPr>
      </w:pPr>
      <w:r>
        <w:rPr>
          <w:rFonts w:cs="Arial"/>
          <w:szCs w:val="24"/>
        </w:rPr>
        <w:t>As noted at the start of this chapter, t</w:t>
      </w:r>
      <w:r w:rsidR="006408C9" w:rsidRPr="00424BD3">
        <w:rPr>
          <w:rFonts w:cs="Arial"/>
          <w:szCs w:val="24"/>
        </w:rPr>
        <w:t xml:space="preserve">he women in this study did not share the same political views, but they all perceived that living in Tennessee meant living where their policymakers were not making decisions that helped or supported them. Peggy said: “There’s no real protection for women…especially in this state” </w:t>
      </w:r>
      <w:r w:rsidR="00651267">
        <w:rPr>
          <w:rFonts w:cs="Arial"/>
          <w:szCs w:val="24"/>
        </w:rPr>
        <w:t>(</w:t>
      </w:r>
      <w:r w:rsidR="006408C9" w:rsidRPr="00424BD3">
        <w:rPr>
          <w:rFonts w:cs="Arial"/>
          <w:szCs w:val="24"/>
        </w:rPr>
        <w:t>referring to Tennessee</w:t>
      </w:r>
      <w:r w:rsidR="00651267">
        <w:rPr>
          <w:rFonts w:cs="Arial"/>
          <w:szCs w:val="24"/>
        </w:rPr>
        <w:t>)</w:t>
      </w:r>
      <w:r w:rsidR="00B1730E">
        <w:rPr>
          <w:rFonts w:cs="Arial"/>
          <w:szCs w:val="24"/>
        </w:rPr>
        <w:t xml:space="preserve">, and </w:t>
      </w:r>
      <w:r w:rsidR="006408C9" w:rsidRPr="00424BD3">
        <w:rPr>
          <w:rFonts w:cs="Arial"/>
          <w:szCs w:val="24"/>
        </w:rPr>
        <w:t xml:space="preserve">Barbara, who talked at length about her fears of lack of good nursing and care home facilities in her county, said: </w:t>
      </w:r>
    </w:p>
    <w:p w14:paraId="6A69CEC5" w14:textId="52C9FEF7" w:rsidR="006408C9" w:rsidRPr="00424BD3" w:rsidRDefault="006408C9" w:rsidP="000126EE">
      <w:pPr>
        <w:spacing w:after="0" w:line="480" w:lineRule="auto"/>
        <w:ind w:left="720"/>
        <w:rPr>
          <w:rFonts w:cs="Arial"/>
          <w:szCs w:val="24"/>
        </w:rPr>
      </w:pPr>
      <w:r w:rsidRPr="00424BD3">
        <w:rPr>
          <w:rFonts w:cs="Arial"/>
          <w:szCs w:val="24"/>
        </w:rPr>
        <w:t>“…I hope I never have to experience…getting to the end of life and not having any resources to take care of myself or anything because I don’t think Tennessee really takes good care of their elderly people.”</w:t>
      </w:r>
    </w:p>
    <w:p w14:paraId="3C0773D9" w14:textId="4A0DD037" w:rsidR="00447238" w:rsidRPr="00424BD3" w:rsidRDefault="004210FF" w:rsidP="000126EE">
      <w:pPr>
        <w:spacing w:after="0" w:line="480" w:lineRule="auto"/>
        <w:ind w:firstLine="720"/>
        <w:rPr>
          <w:rFonts w:eastAsia="Arial" w:cs="Arial"/>
          <w:szCs w:val="24"/>
        </w:rPr>
      </w:pPr>
      <w:r w:rsidRPr="00424BD3">
        <w:rPr>
          <w:rFonts w:eastAsia="Arial" w:cs="Arial"/>
          <w:szCs w:val="24"/>
        </w:rPr>
        <w:lastRenderedPageBreak/>
        <w:t xml:space="preserve">The women’s </w:t>
      </w:r>
      <w:r w:rsidR="00042043" w:rsidRPr="00424BD3">
        <w:rPr>
          <w:rFonts w:eastAsia="Arial" w:cs="Arial"/>
          <w:szCs w:val="24"/>
        </w:rPr>
        <w:t xml:space="preserve">comments show that they </w:t>
      </w:r>
      <w:r w:rsidR="00DC184E" w:rsidRPr="00424BD3">
        <w:rPr>
          <w:rFonts w:eastAsia="Arial" w:cs="Arial"/>
          <w:szCs w:val="24"/>
        </w:rPr>
        <w:t xml:space="preserve">understand that they </w:t>
      </w:r>
      <w:r w:rsidR="00114D59" w:rsidRPr="00424BD3">
        <w:rPr>
          <w:rFonts w:eastAsia="Arial" w:cs="Arial"/>
          <w:szCs w:val="24"/>
        </w:rPr>
        <w:t xml:space="preserve">have experienced and are </w:t>
      </w:r>
      <w:r w:rsidR="00DC184E" w:rsidRPr="00424BD3">
        <w:rPr>
          <w:rFonts w:eastAsia="Arial" w:cs="Arial"/>
          <w:szCs w:val="24"/>
        </w:rPr>
        <w:t xml:space="preserve">experiencing individual and systemic </w:t>
      </w:r>
      <w:r w:rsidR="00042043" w:rsidRPr="00424BD3">
        <w:rPr>
          <w:rFonts w:eastAsia="Arial" w:cs="Arial"/>
          <w:szCs w:val="24"/>
        </w:rPr>
        <w:t>discrimination</w:t>
      </w:r>
      <w:r w:rsidR="00DC184E" w:rsidRPr="00424BD3">
        <w:rPr>
          <w:rFonts w:eastAsia="Arial" w:cs="Arial"/>
          <w:szCs w:val="24"/>
        </w:rPr>
        <w:t xml:space="preserve">. </w:t>
      </w:r>
      <w:r w:rsidR="00D91F07" w:rsidRPr="00424BD3">
        <w:rPr>
          <w:rFonts w:eastAsia="Arial" w:cs="Arial"/>
          <w:szCs w:val="24"/>
        </w:rPr>
        <w:t>Anita consistently spoke throughout her</w:t>
      </w:r>
      <w:r w:rsidR="00496531" w:rsidRPr="00424BD3">
        <w:rPr>
          <w:rFonts w:eastAsia="Arial" w:cs="Arial"/>
          <w:szCs w:val="24"/>
        </w:rPr>
        <w:t xml:space="preserve"> interview about the impact that systemic racism has had on her health experiences and perceptions</w:t>
      </w:r>
      <w:r w:rsidR="00526E58" w:rsidRPr="00424BD3">
        <w:rPr>
          <w:rFonts w:eastAsia="Arial" w:cs="Arial"/>
          <w:szCs w:val="24"/>
        </w:rPr>
        <w:t xml:space="preserve">. </w:t>
      </w:r>
      <w:r w:rsidR="00496531" w:rsidRPr="00424BD3">
        <w:rPr>
          <w:rFonts w:eastAsia="Arial" w:cs="Arial"/>
          <w:szCs w:val="24"/>
        </w:rPr>
        <w:t>Peggy</w:t>
      </w:r>
      <w:r w:rsidR="00526E58" w:rsidRPr="00424BD3">
        <w:rPr>
          <w:rFonts w:eastAsia="Arial" w:cs="Arial"/>
          <w:szCs w:val="24"/>
        </w:rPr>
        <w:t xml:space="preserve"> </w:t>
      </w:r>
      <w:r w:rsidR="00496531" w:rsidRPr="00424BD3">
        <w:rPr>
          <w:rFonts w:eastAsia="Arial" w:cs="Arial"/>
          <w:szCs w:val="24"/>
        </w:rPr>
        <w:t xml:space="preserve">has worked in </w:t>
      </w:r>
      <w:r w:rsidR="006011A0" w:rsidRPr="00424BD3">
        <w:rPr>
          <w:rFonts w:eastAsia="Arial" w:cs="Arial"/>
          <w:szCs w:val="24"/>
        </w:rPr>
        <w:t xml:space="preserve">a position of </w:t>
      </w:r>
      <w:r w:rsidR="00CF2822" w:rsidRPr="00424BD3">
        <w:rPr>
          <w:rFonts w:eastAsia="Arial" w:cs="Arial"/>
          <w:szCs w:val="24"/>
        </w:rPr>
        <w:t>leadership and decision-making (and, therefore, power)</w:t>
      </w:r>
      <w:r w:rsidR="006011A0" w:rsidRPr="00424BD3">
        <w:rPr>
          <w:rFonts w:eastAsia="Arial" w:cs="Arial"/>
          <w:szCs w:val="24"/>
        </w:rPr>
        <w:t xml:space="preserve"> </w:t>
      </w:r>
      <w:r w:rsidR="00CF2822" w:rsidRPr="00424BD3">
        <w:rPr>
          <w:rFonts w:eastAsia="Arial" w:cs="Arial"/>
          <w:szCs w:val="24"/>
        </w:rPr>
        <w:t xml:space="preserve">in </w:t>
      </w:r>
      <w:r w:rsidR="00496531" w:rsidRPr="00424BD3">
        <w:rPr>
          <w:rFonts w:eastAsia="Arial" w:cs="Arial"/>
          <w:szCs w:val="24"/>
        </w:rPr>
        <w:t>healthcare most of her career</w:t>
      </w:r>
      <w:r w:rsidR="005E79C6" w:rsidRPr="00424BD3">
        <w:rPr>
          <w:rFonts w:eastAsia="Arial" w:cs="Arial"/>
          <w:szCs w:val="24"/>
        </w:rPr>
        <w:t xml:space="preserve">. Both of these women </w:t>
      </w:r>
      <w:r w:rsidR="00AC12A7" w:rsidRPr="00424BD3">
        <w:rPr>
          <w:rFonts w:eastAsia="Arial" w:cs="Arial"/>
          <w:szCs w:val="24"/>
        </w:rPr>
        <w:t>came</w:t>
      </w:r>
      <w:r w:rsidR="005E79C6" w:rsidRPr="00424BD3">
        <w:rPr>
          <w:rFonts w:eastAsia="Arial" w:cs="Arial"/>
          <w:szCs w:val="24"/>
        </w:rPr>
        <w:t xml:space="preserve"> from what could be called opposite ends of the </w:t>
      </w:r>
      <w:r w:rsidR="00602507" w:rsidRPr="00424BD3">
        <w:rPr>
          <w:rFonts w:eastAsia="Arial" w:cs="Arial"/>
          <w:szCs w:val="24"/>
        </w:rPr>
        <w:t xml:space="preserve">power dynamic in </w:t>
      </w:r>
      <w:r w:rsidR="005E79C6" w:rsidRPr="00424BD3">
        <w:rPr>
          <w:rFonts w:eastAsia="Arial" w:cs="Arial"/>
          <w:szCs w:val="24"/>
        </w:rPr>
        <w:t>clinical experience</w:t>
      </w:r>
      <w:r w:rsidR="00C3625C" w:rsidRPr="00424BD3">
        <w:rPr>
          <w:rFonts w:eastAsia="Arial" w:cs="Arial"/>
          <w:szCs w:val="24"/>
        </w:rPr>
        <w:t xml:space="preserve">, </w:t>
      </w:r>
      <w:r w:rsidR="005E79C6" w:rsidRPr="00424BD3">
        <w:rPr>
          <w:rFonts w:eastAsia="Arial" w:cs="Arial"/>
          <w:szCs w:val="24"/>
        </w:rPr>
        <w:t xml:space="preserve">yet have the same </w:t>
      </w:r>
      <w:r w:rsidR="00170D58" w:rsidRPr="00424BD3">
        <w:rPr>
          <w:rFonts w:eastAsia="Arial" w:cs="Arial"/>
          <w:szCs w:val="24"/>
        </w:rPr>
        <w:t xml:space="preserve">perception of </w:t>
      </w:r>
      <w:r w:rsidR="002A50E6" w:rsidRPr="00424BD3">
        <w:rPr>
          <w:rFonts w:eastAsia="Arial" w:cs="Arial"/>
          <w:szCs w:val="24"/>
        </w:rPr>
        <w:t xml:space="preserve">how older women, particularly women of color, receive </w:t>
      </w:r>
      <w:r w:rsidR="00DC0567" w:rsidRPr="00424BD3">
        <w:rPr>
          <w:rFonts w:eastAsia="Arial" w:cs="Arial"/>
          <w:szCs w:val="24"/>
        </w:rPr>
        <w:t>discriminat</w:t>
      </w:r>
      <w:r w:rsidR="002A50E6" w:rsidRPr="00424BD3">
        <w:rPr>
          <w:rFonts w:eastAsia="Arial" w:cs="Arial"/>
          <w:szCs w:val="24"/>
        </w:rPr>
        <w:t xml:space="preserve">ory </w:t>
      </w:r>
      <w:r w:rsidR="0014709F" w:rsidRPr="00424BD3">
        <w:rPr>
          <w:rFonts w:eastAsia="Arial" w:cs="Arial"/>
          <w:szCs w:val="24"/>
        </w:rPr>
        <w:t>treatment from clinicians and policymakers</w:t>
      </w:r>
      <w:r w:rsidR="00D11CA0" w:rsidRPr="00424BD3">
        <w:rPr>
          <w:rFonts w:eastAsia="Arial" w:cs="Arial"/>
          <w:szCs w:val="24"/>
        </w:rPr>
        <w:t>.</w:t>
      </w:r>
      <w:r w:rsidR="00602507" w:rsidRPr="00424BD3">
        <w:rPr>
          <w:rFonts w:eastAsia="Arial" w:cs="Arial"/>
          <w:szCs w:val="24"/>
        </w:rPr>
        <w:t xml:space="preserve"> </w:t>
      </w:r>
      <w:r w:rsidR="002328F9" w:rsidRPr="00424BD3">
        <w:rPr>
          <w:rFonts w:eastAsia="Arial" w:cs="Arial"/>
          <w:szCs w:val="24"/>
        </w:rPr>
        <w:t xml:space="preserve">Peggy’s experience is important because, although she </w:t>
      </w:r>
      <w:r w:rsidR="006328B4" w:rsidRPr="00424BD3">
        <w:rPr>
          <w:rFonts w:eastAsia="Arial" w:cs="Arial"/>
          <w:szCs w:val="24"/>
        </w:rPr>
        <w:t xml:space="preserve">has been a decision-maker </w:t>
      </w:r>
      <w:r w:rsidR="00D55CDE" w:rsidRPr="00424BD3">
        <w:rPr>
          <w:rFonts w:eastAsia="Arial" w:cs="Arial"/>
          <w:szCs w:val="24"/>
        </w:rPr>
        <w:t xml:space="preserve">for healthcare provision, she has also experienced gender-based discrimination as a </w:t>
      </w:r>
      <w:r w:rsidR="00F03252" w:rsidRPr="00424BD3">
        <w:rPr>
          <w:rFonts w:eastAsia="Arial" w:cs="Arial"/>
          <w:szCs w:val="24"/>
        </w:rPr>
        <w:t>patient.</w:t>
      </w:r>
      <w:r w:rsidR="00D55CDE" w:rsidRPr="00424BD3">
        <w:rPr>
          <w:rFonts w:eastAsia="Arial" w:cs="Arial"/>
          <w:szCs w:val="24"/>
        </w:rPr>
        <w:t xml:space="preserve"> </w:t>
      </w:r>
    </w:p>
    <w:p w14:paraId="2E9C9A78" w14:textId="1A41304D" w:rsidR="006408C9" w:rsidRPr="00424BD3" w:rsidRDefault="00B82379" w:rsidP="000126EE">
      <w:pPr>
        <w:spacing w:after="0" w:line="480" w:lineRule="auto"/>
        <w:ind w:firstLine="720"/>
        <w:rPr>
          <w:rFonts w:eastAsia="Arial" w:cs="Arial"/>
          <w:szCs w:val="24"/>
        </w:rPr>
      </w:pPr>
      <w:r w:rsidRPr="00424BD3">
        <w:rPr>
          <w:rFonts w:eastAsia="Arial" w:cs="Arial"/>
          <w:szCs w:val="24"/>
        </w:rPr>
        <w:t xml:space="preserve">Peggy and Barbara’s comments are just some of the comments made by the participants regarding their </w:t>
      </w:r>
      <w:r w:rsidR="00624BD7" w:rsidRPr="00424BD3">
        <w:rPr>
          <w:rFonts w:eastAsia="Arial" w:cs="Arial"/>
          <w:szCs w:val="24"/>
        </w:rPr>
        <w:t xml:space="preserve">concerns about how Tennessee’s state policymakers </w:t>
      </w:r>
      <w:r w:rsidR="00F53AEE" w:rsidRPr="00424BD3">
        <w:rPr>
          <w:rFonts w:eastAsia="Arial" w:cs="Arial"/>
          <w:szCs w:val="24"/>
        </w:rPr>
        <w:t>were not making decisions in favor of older women. Their perceptions confirm the</w:t>
      </w:r>
      <w:r w:rsidR="00DA0527" w:rsidRPr="00424BD3">
        <w:rPr>
          <w:rFonts w:eastAsia="Arial" w:cs="Arial"/>
          <w:szCs w:val="24"/>
        </w:rPr>
        <w:t xml:space="preserve"> arguments in Chapter Four regarding the negative impact of the geopolitical culture and policy-making environment in Tennessee / East Tennessee for older women. </w:t>
      </w:r>
      <w:r w:rsidR="00682D62" w:rsidRPr="00424BD3">
        <w:rPr>
          <w:rFonts w:eastAsia="Arial" w:cs="Arial"/>
          <w:szCs w:val="24"/>
        </w:rPr>
        <w:t xml:space="preserve">These women experienced </w:t>
      </w:r>
      <w:r w:rsidR="00E724F5" w:rsidRPr="00424BD3">
        <w:rPr>
          <w:rFonts w:eastAsia="Arial" w:cs="Arial"/>
          <w:szCs w:val="24"/>
        </w:rPr>
        <w:t>Tennessee</w:t>
      </w:r>
      <w:r w:rsidR="00CA4F69">
        <w:rPr>
          <w:rFonts w:eastAsia="Arial" w:cs="Arial"/>
          <w:szCs w:val="24"/>
        </w:rPr>
        <w:t xml:space="preserve">’s political </w:t>
      </w:r>
      <w:r w:rsidR="00E724F5" w:rsidRPr="00424BD3">
        <w:rPr>
          <w:rFonts w:eastAsia="Arial" w:cs="Arial"/>
          <w:szCs w:val="24"/>
        </w:rPr>
        <w:t xml:space="preserve">culture and </w:t>
      </w:r>
      <w:r w:rsidR="006C5F7D" w:rsidRPr="00424BD3">
        <w:rPr>
          <w:rFonts w:eastAsia="Arial" w:cs="Arial"/>
          <w:szCs w:val="24"/>
        </w:rPr>
        <w:t>policymakers</w:t>
      </w:r>
      <w:r w:rsidR="009E2162" w:rsidRPr="00424BD3">
        <w:rPr>
          <w:rFonts w:eastAsia="Arial" w:cs="Arial"/>
          <w:szCs w:val="24"/>
        </w:rPr>
        <w:t>’</w:t>
      </w:r>
      <w:r w:rsidR="00E724F5" w:rsidRPr="00424BD3">
        <w:rPr>
          <w:rFonts w:eastAsia="Arial" w:cs="Arial"/>
          <w:szCs w:val="24"/>
        </w:rPr>
        <w:t xml:space="preserve"> decisions </w:t>
      </w:r>
      <w:r w:rsidR="00984DDF" w:rsidRPr="00424BD3">
        <w:rPr>
          <w:rFonts w:eastAsia="Arial" w:cs="Arial"/>
          <w:szCs w:val="24"/>
        </w:rPr>
        <w:t xml:space="preserve">not only </w:t>
      </w:r>
      <w:r w:rsidR="00682D62" w:rsidRPr="00424BD3">
        <w:rPr>
          <w:rFonts w:eastAsia="Arial" w:cs="Arial"/>
          <w:szCs w:val="24"/>
        </w:rPr>
        <w:t>as discriminatory</w:t>
      </w:r>
      <w:r w:rsidR="00984DDF" w:rsidRPr="00424BD3">
        <w:rPr>
          <w:rFonts w:eastAsia="Arial" w:cs="Arial"/>
          <w:szCs w:val="24"/>
        </w:rPr>
        <w:t xml:space="preserve"> and </w:t>
      </w:r>
      <w:r w:rsidR="00E724F5" w:rsidRPr="00424BD3">
        <w:rPr>
          <w:rFonts w:eastAsia="Arial" w:cs="Arial"/>
          <w:szCs w:val="24"/>
        </w:rPr>
        <w:t xml:space="preserve">out of touch with their needs, </w:t>
      </w:r>
      <w:r w:rsidR="00984DDF" w:rsidRPr="00424BD3">
        <w:rPr>
          <w:rFonts w:eastAsia="Arial" w:cs="Arial"/>
          <w:szCs w:val="24"/>
        </w:rPr>
        <w:t xml:space="preserve">but as harmful to them. </w:t>
      </w:r>
      <w:r w:rsidR="006B6D9F" w:rsidRPr="00424BD3">
        <w:rPr>
          <w:rFonts w:eastAsia="Arial" w:cs="Arial"/>
          <w:szCs w:val="24"/>
        </w:rPr>
        <w:t xml:space="preserve">It was clear that </w:t>
      </w:r>
      <w:r w:rsidR="00735ED9" w:rsidRPr="00424BD3">
        <w:rPr>
          <w:rFonts w:eastAsia="Arial" w:cs="Arial"/>
          <w:szCs w:val="24"/>
        </w:rPr>
        <w:t xml:space="preserve">many of them </w:t>
      </w:r>
      <w:r w:rsidR="006B6D9F" w:rsidRPr="00424BD3">
        <w:rPr>
          <w:rFonts w:eastAsia="Arial" w:cs="Arial"/>
          <w:szCs w:val="24"/>
        </w:rPr>
        <w:t xml:space="preserve">worry about their own circumstances should they find themselves in need of resources, and that they do not feel they will get what they need </w:t>
      </w:r>
      <w:r w:rsidR="00735ED9" w:rsidRPr="00424BD3">
        <w:rPr>
          <w:rFonts w:eastAsia="Arial" w:cs="Arial"/>
          <w:szCs w:val="24"/>
        </w:rPr>
        <w:t>should that be the case</w:t>
      </w:r>
      <w:r w:rsidR="006E479D" w:rsidRPr="00424BD3">
        <w:rPr>
          <w:rFonts w:eastAsia="Arial" w:cs="Arial"/>
          <w:szCs w:val="24"/>
        </w:rPr>
        <w:t xml:space="preserve">. </w:t>
      </w:r>
      <w:r w:rsidR="000F7868" w:rsidRPr="00424BD3">
        <w:rPr>
          <w:rFonts w:eastAsia="Arial" w:cs="Arial"/>
          <w:szCs w:val="24"/>
        </w:rPr>
        <w:t xml:space="preserve">Like </w:t>
      </w:r>
      <w:r w:rsidR="00E552DA" w:rsidRPr="00424BD3">
        <w:rPr>
          <w:rFonts w:eastAsia="Arial" w:cs="Arial"/>
          <w:szCs w:val="24"/>
        </w:rPr>
        <w:t>many</w:t>
      </w:r>
      <w:r w:rsidR="000F7868" w:rsidRPr="00424BD3">
        <w:rPr>
          <w:rFonts w:eastAsia="Arial" w:cs="Arial"/>
          <w:szCs w:val="24"/>
        </w:rPr>
        <w:t xml:space="preserve"> of the findings in this study, the issue of </w:t>
      </w:r>
      <w:r w:rsidR="003D6356" w:rsidRPr="00424BD3">
        <w:rPr>
          <w:rFonts w:eastAsia="Arial" w:cs="Arial"/>
          <w:szCs w:val="24"/>
        </w:rPr>
        <w:t>inequitable</w:t>
      </w:r>
      <w:r w:rsidR="000F7868" w:rsidRPr="00424BD3">
        <w:rPr>
          <w:rFonts w:eastAsia="Arial" w:cs="Arial"/>
          <w:szCs w:val="24"/>
        </w:rPr>
        <w:t xml:space="preserve"> treatment is </w:t>
      </w:r>
      <w:r w:rsidR="00E552DA" w:rsidRPr="00424BD3">
        <w:rPr>
          <w:rFonts w:eastAsia="Arial" w:cs="Arial"/>
          <w:szCs w:val="24"/>
        </w:rPr>
        <w:t>intertwined with other findings, one of which</w:t>
      </w:r>
      <w:r w:rsidR="000F7868" w:rsidRPr="00424BD3">
        <w:rPr>
          <w:rFonts w:eastAsia="Arial" w:cs="Arial"/>
          <w:szCs w:val="24"/>
        </w:rPr>
        <w:t xml:space="preserve">, at least for these women, </w:t>
      </w:r>
      <w:r w:rsidR="00E552DA" w:rsidRPr="00424BD3">
        <w:rPr>
          <w:rFonts w:eastAsia="Arial" w:cs="Arial"/>
          <w:szCs w:val="24"/>
        </w:rPr>
        <w:t>is</w:t>
      </w:r>
      <w:r w:rsidR="000F7868" w:rsidRPr="00424BD3">
        <w:rPr>
          <w:rFonts w:eastAsia="Arial" w:cs="Arial"/>
          <w:szCs w:val="24"/>
        </w:rPr>
        <w:t xml:space="preserve"> </w:t>
      </w:r>
      <w:r w:rsidR="00E552DA" w:rsidRPr="00424BD3">
        <w:rPr>
          <w:rFonts w:eastAsia="Arial" w:cs="Arial"/>
          <w:szCs w:val="24"/>
        </w:rPr>
        <w:t>the issue of access.</w:t>
      </w:r>
    </w:p>
    <w:p w14:paraId="1B9238A2" w14:textId="19341675" w:rsidR="00CD2106" w:rsidRDefault="00CD2106" w:rsidP="00292FAC">
      <w:pPr>
        <w:pStyle w:val="Heading2"/>
        <w:spacing w:before="0" w:line="480" w:lineRule="auto"/>
        <w:jc w:val="center"/>
        <w:rPr>
          <w:rFonts w:ascii="Arial" w:eastAsia="Arial" w:hAnsi="Arial" w:cs="Arial"/>
          <w:b/>
          <w:bCs/>
          <w:color w:val="auto"/>
          <w:sz w:val="24"/>
          <w:szCs w:val="24"/>
        </w:rPr>
      </w:pPr>
      <w:bookmarkStart w:id="96" w:name="_Toc118232362"/>
      <w:r w:rsidRPr="00F17FEB">
        <w:rPr>
          <w:rFonts w:ascii="Arial" w:eastAsia="Arial" w:hAnsi="Arial" w:cs="Arial"/>
          <w:b/>
          <w:bCs/>
          <w:color w:val="auto"/>
          <w:sz w:val="24"/>
          <w:szCs w:val="24"/>
        </w:rPr>
        <w:lastRenderedPageBreak/>
        <w:t>Healthcare access</w:t>
      </w:r>
      <w:bookmarkEnd w:id="96"/>
    </w:p>
    <w:p w14:paraId="54789B82" w14:textId="6ECEC73F" w:rsidR="00EE2816" w:rsidRPr="00424BD3" w:rsidRDefault="00DC710F" w:rsidP="00292FAC">
      <w:pPr>
        <w:spacing w:after="0" w:line="480" w:lineRule="auto"/>
        <w:ind w:firstLine="720"/>
        <w:rPr>
          <w:rFonts w:eastAsia="Arial" w:cs="Arial"/>
          <w:szCs w:val="24"/>
        </w:rPr>
      </w:pPr>
      <w:r w:rsidRPr="00424BD3">
        <w:rPr>
          <w:rFonts w:eastAsia="Arial" w:cs="Arial"/>
          <w:szCs w:val="24"/>
        </w:rPr>
        <w:t xml:space="preserve">As discussed in earlier chapters, lack of access to healthcare is a major driver of health inequities </w:t>
      </w:r>
      <w:r w:rsidR="00D030BD" w:rsidRPr="00424BD3">
        <w:rPr>
          <w:rFonts w:eastAsia="Arial" w:cs="Arial"/>
          <w:szCs w:val="24"/>
        </w:rPr>
        <w:fldChar w:fldCharType="begin"/>
      </w:r>
      <w:r w:rsidR="009E4175">
        <w:rPr>
          <w:rFonts w:eastAsia="Arial" w:cs="Arial"/>
          <w:szCs w:val="24"/>
        </w:rPr>
        <w:instrText xml:space="preserve"> ADDIN ZOTERO_ITEM CSL_CITATION {"citationID":"z4kniXga","properties":{"formattedCitation":"(AHRQ, 2016; AMA, 2022; Cyr et al., 2019; Douthit et al., 2015; Lavizzo-Mourey et al., 2021; McMaughan et al., 2020; Ndugga &amp; Artiga, 2021; ODPHP, 2022; Trinh et al., 2017)","plainCitation":"(AHRQ, 2016; AMA, 2022; Cyr et al., 2019; Douthit et al., 2015; Lavizzo-Mourey et al., 2021; McMaughan et al., 2020; Ndugga &amp; Artiga, 2021; ODPHP, 2022; Trinh et al., 2017)","noteIndex":0},"citationItems":[{"id":1381,"uris":["http://zotero.org/users/4946941/items/W99EKHHB"],"itemData":{"id":1381,"type":"webpage","abstract":"This Access to Health Care chartbook is part of a family of documents and tools that support the National Healthcare Quality and Disparities Report (QDR). The QDR includes annual reports to Congress mandated in the Healthcare Research and Quality Act of 1999 (P.L. 106-129). This chartbook includes a summary of disparities across measures of access to health care from the QDR and figures illustrating select measures of access to health care. A PowerPoint version is also available that users can download for presentations.","container-title":"Agency for Healthcare Research and Quality (AHRQ)","genre":"U.S. Government","language":"en-us","title":"Chartbook on Access to Health Care","URL":"https://www.ahrq.gov/research/findings/nhqrdr/chartbooks/access/index.html","author":[{"family":"AHRQ","given":""}],"accessed":{"date-parts":[["2022",9,5]]},"issued":{"date-parts":[["2016",5]]}}},{"id":1379,"uris":["http://zotero.org/users/4946941/items/KQZPH2R8"],"itemData":{"id":1379,"type":"webpage","abstract":"Read about the AMA's goal to ensure that all communities across the United States receive equal access to quality health care.","container-title":"American Medical Association (AMA)","language":"en","title":"Reducing disparities in health care","URL":"https://www.ama-assn.org/delivering-care/patient-support-advocacy/reducing-disparities-health-care","author":[{"family":"AMA","given":""}],"accessed":{"date-parts":[["2022",9,5]]},"issued":{"date-parts":[["2022"]]}}},{"id":1360,"uris":["http://zotero.org/users/4946941/items/S2FJXZD6"],"itemData":{"id":1360,"type":"article-journal","abstract":"Access to healthcare is a poorly defined construct, with insufficient understanding of differences in facilitators and barriers between US urban versus rural specialty care. We summarize recent literature and expand upon a prior conceptual access framework, adapted here specifically to urban and rural specialty care.","container-title":"BMC Health Services Research","DOI":"10.1186/s12913-019-4815-5","ISSN":"1472-6963","issue":"1","journalAbbreviation":"BMC Health Services Research","page":"974","source":"BioMed Central","title":"Access to specialty healthcare in urban versus rural US populations: a systematic literature review","title-short":"Access to specialty healthcare in urban versus rural US populations","volume":"19","author":[{"family":"Cyr","given":"Melissa E."},{"family":"Etchin","given":"Anna G."},{"family":"Guthrie","given":"Barbara J."},{"family":"Benneyan","given":"James C."}],"issued":{"date-parts":[["2019",12,18]]}}},{"id":1363,"uris":["http://zotero.org/users/4946941/items/S6VICGXG"],"itemData":{"id":1363,"type":"article-journal","abstract":"Objectives\nTo review research published before and after the passage of the Patient Protection and Affordable Care Act (2010) examining barriers in seeking or accessing health care in rural populations in the USA.\nStudy design\nThis literature review was based on a comprehensive search for all literature researching rural health care provision and access in the USA.\nMethods\nPubmed, Proquest Allied Nursing and Health Literature, National Rural Health Association (NRHA) Resource Center and Google Scholar databases were searched using the Medical Subject Headings (MeSH) ‘Rural Health Services’ and ‘Rural Health.’ MeSH subtitle headings used were ‘USA,’ ‘utilization,’ ‘trends’ and ‘supply and distribution.’ Keywords added to the search parameters were ‘access,’ ‘rural’ and ‘health care.’ Searches in Google Scholar employed the phrases ‘health care disparities in the USA,’ inequalities in ‘health care in the USA,’ ‘health care in rural USA’ and ‘access to health care in rural USA.’ After eliminating non-relevant articles, 34 articles were included.\nResults\nSignificant differences in health care access between rural and urban areas exist. Reluctance to seek health care in rural areas was based on cultural and financial constraints, often compounded by a scarcity of services, a lack of trained physicians, insufficient public transport, and poor availability of broadband internet services. Rural residents were found to have poorer health, with rural areas having difficulty in attracting and retaining physicians, and maintaining health services on a par with their urban counterparts.\nConclusions\nRural and urban health care disparities require an ongoing program of reform with the aim to improve the provision of services, promote recruitment, training and career development of rural health care professionals, increase comprehensive health insurance coverage and engage rural residents and healthcare providers in health promotion.","container-title":"Public Health","DOI":"10.1016/j.puhe.2015.04.001","ISSN":"0033-3506","issue":"6","journalAbbreviation":"Public Health","language":"en","page":"611-620","source":"ScienceDirect","title":"Exposing some important barriers to health care access in the rural USA","volume":"129","author":[{"family":"Douthit","given":"N."},{"family":"Kiv","given":"S."},{"family":"Dwolatzky","given":"T."},{"family":"Biswas","given":"S."}],"issued":{"date-parts":[["2015",6,1]]}}},{"id":1356,"uris":["http://zotero.org/users/4946941/items/FIIR2YSJ"],"itemData":{"id":1356,"type":"article-journal","container-title":"New England Journal of Medicine","DOI":"10.1056/NEJMp2008628","ISSN":"0028-4793","issue":"18","note":"publisher: Massachusetts Medical Society\n_eprint: https://doi.org/10.1056/NEJMp2008628\nPMID: 33951376","page":"1681-1684","source":"Taylor and Francis+NEJM","title":"Understanding and Mitigating Health Inequities — Past, Current, and Future Directions","volume":"384","author":[{"family":"Lavizzo-Mourey","given":"Risa J."},{"family":"Besser","given":"Richard E."},{"family":"Williams","given":"David R."}],"issued":{"date-parts":[["2021",5,6]]}}},{"id":1358,"uris":["http://zotero.org/users/4946941/items/3IKZWZWK"],"itemData":{"id":1358,"type":"article-journal","abstract":"The rapid growth of the global aging population has raised attention to the health and healthcare needs of older adults. The purpose of this mini-review is to: (1) elucidate the complex factors affecting the relationship between chronological age, socio-economic status (SES), access to care, and healthy aging using a SES-focused framework; (2) present examples of interventions from across the globe; and (3) offer recommendations for research-guided action to remediate the trend of older age being associated with lower SES, lack of access to care, and poorer health outcomes. Evidence supports a relationship between SES and healthcare access as well as healthcare access and health outcomes for older adults. Because financial resources are proportional to health status, efforts are needed to support older adults and the burdened healthcare system with financial resources. This can be most effective with grassroots approaches and interventions to improve SES among older adults and through data-driven policy and systems change.","container-title":"Frontiers in Public Health","ISSN":"2296-2565","source":"Frontiers","title":"Socioeconomic Status and Access to Healthcare: Interrelated Drivers for Healthy Aging","title-short":"Socioeconomic Status and Access to Healthcare","URL":"https://www.frontiersin.org/articles/10.3389/fpubh.2020.00231","volume":"8","author":[{"family":"McMaughan","given":"Darcy Jones"},{"family":"Oloruntoba","given":"Oluyomi"},{"family":"Smith","given":"Matthew Lee"}],"accessed":{"date-parts":[["2022",9,4]]},"issued":{"date-parts":[["2020"]]}}},{"id":1374,"uris":["http://zotero.org/users/4946941/items/7D39ZAQL"],"itemData":{"id":1374,"type":"post-weblog","abstract":"Disparities in health and health care for people of color and underserved groups are longstanding challenges. The COVID-19 pandemic has exacerbated these disparities and heightened the importance o…","container-title":"Kaiser Family Foundation","language":"en-US","title":"Disparities in Health and Health Care: 5 Key Questions and Answers","title-short":"Disparities in Health and Health Care","URL":"https://www.kff.org/racial-equity-and-health-policy/issue-brief/disparities-in-health-and-health-care-5-key-question-and-answers/","author":[{"family":"Ndugga","given":"Nambi"},{"family":"Artiga","given":"Samantha"}],"accessed":{"date-parts":[["2022",9,5]]},"issued":{"date-parts":[["2021",5,11]]}}},{"id":1378,"uris":["http://zotero.org/users/4946941/items/XY56ZP2S"],"itemData":{"id":1378,"type":"webpage","container-title":"Office of Disease Prevention and Health Promotion (ODPHP)","genre":"U.S. Government","title":"Access to Health Services.","title-short":"HealthyPeople.gov","URL":"https://www.healthypeople.gov/2020/topics-objectives/topic/social-determinants-health/interventions-resources/access-to-health","author":[{"family":"ODPHP","given":""}],"accessed":{"date-parts":[["2022",9,5]]},"issued":{"date-parts":[["2022",2,6]]}}},{"id":1371,"uris":["http://zotero.org/users/4946941/items/BX9YUQRS"],"itemData":{"id":1371,"type":"article-journal","abstract":"Research has shown that sexual minorities (SMs) (e.g. lesbian, gay, and bisexual individuals), compared to their heterosexual counterparts, may engage in riskier health behaviors, are at higher risk of some adverse health outcomes, and are more likely to experience reduced health care access and utilization. However, few studies have examined how the interplay between race and sexual orientation impacts a range of health measures in a nationally representative sample of the U.S. population.","container-title":"BMC Public Health","DOI":"10.1186/s12889-017-4937-9","ISSN":"1471-2458","issue":"1","journalAbbreviation":"BMC Public Health","page":"964","source":"BioMed Central","title":"Health and healthcare disparities among U.S. women and men at the intersection of sexual orientation and race/ethnicity: a nationally representative cross-sectional study","title-short":"Health and healthcare disparities among U.S. women and men at the intersection of sexual orientation and race/ethnicity","volume":"17","author":[{"family":"Trinh","given":"Mai-Han"},{"family":"Agénor","given":"Madina"},{"family":"Austin","given":"S. Bryn"},{"family":"Jackson","given":"Chandra L."}],"issued":{"date-parts":[["2017",12,19]]}}}],"schema":"https://github.com/citation-style-language/schema/raw/master/csl-citation.json"} </w:instrText>
      </w:r>
      <w:r w:rsidR="00D030BD" w:rsidRPr="00424BD3">
        <w:rPr>
          <w:rFonts w:eastAsia="Arial" w:cs="Arial"/>
          <w:szCs w:val="24"/>
        </w:rPr>
        <w:fldChar w:fldCharType="separate"/>
      </w:r>
      <w:r w:rsidR="00AE4EEB" w:rsidRPr="00424BD3">
        <w:rPr>
          <w:rFonts w:cs="Arial"/>
        </w:rPr>
        <w:t>(AHRQ, 2016; AMA, 2022; Cyr et al., 2019; Douthit et al., 2015; Lavizzo-Mourey et al., 2021; McMaughan et al., 2020; Ndugga &amp; Artiga, 2021; ODPHP, 2022; Trinh et al., 2017)</w:t>
      </w:r>
      <w:r w:rsidR="00D030BD" w:rsidRPr="00424BD3">
        <w:rPr>
          <w:rFonts w:eastAsia="Arial" w:cs="Arial"/>
          <w:szCs w:val="24"/>
        </w:rPr>
        <w:fldChar w:fldCharType="end"/>
      </w:r>
      <w:r w:rsidRPr="00424BD3">
        <w:rPr>
          <w:rFonts w:eastAsia="Arial" w:cs="Arial"/>
          <w:szCs w:val="24"/>
        </w:rPr>
        <w:t xml:space="preserve"> and the </w:t>
      </w:r>
      <w:r w:rsidR="004F4B28" w:rsidRPr="00424BD3">
        <w:rPr>
          <w:rFonts w:eastAsia="Arial" w:cs="Arial"/>
          <w:szCs w:val="24"/>
        </w:rPr>
        <w:t>rights</w:t>
      </w:r>
      <w:r w:rsidRPr="00424BD3">
        <w:rPr>
          <w:rFonts w:eastAsia="Arial" w:cs="Arial"/>
          <w:szCs w:val="24"/>
        </w:rPr>
        <w:t xml:space="preserve"> of who has healthcare access, in the U.S., ha</w:t>
      </w:r>
      <w:r w:rsidR="00D77F36">
        <w:rPr>
          <w:rFonts w:eastAsia="Arial" w:cs="Arial"/>
          <w:szCs w:val="24"/>
        </w:rPr>
        <w:t>ve</w:t>
      </w:r>
      <w:r w:rsidRPr="00424BD3">
        <w:rPr>
          <w:rFonts w:eastAsia="Arial" w:cs="Arial"/>
          <w:szCs w:val="24"/>
        </w:rPr>
        <w:t xml:space="preserve"> been socially normed as a moral </w:t>
      </w:r>
      <w:r w:rsidR="00254E01" w:rsidRPr="00424BD3">
        <w:rPr>
          <w:rFonts w:eastAsia="Arial" w:cs="Arial"/>
          <w:szCs w:val="24"/>
        </w:rPr>
        <w:t xml:space="preserve">and financial </w:t>
      </w:r>
      <w:r w:rsidR="004F4B28" w:rsidRPr="00424BD3">
        <w:rPr>
          <w:rFonts w:eastAsia="Arial" w:cs="Arial"/>
          <w:szCs w:val="24"/>
        </w:rPr>
        <w:t xml:space="preserve">issue </w:t>
      </w:r>
      <w:r w:rsidR="004F4B28" w:rsidRPr="00424BD3">
        <w:rPr>
          <w:rFonts w:eastAsia="Arial" w:cs="Arial"/>
          <w:szCs w:val="24"/>
        </w:rPr>
        <w:fldChar w:fldCharType="begin"/>
      </w:r>
      <w:r w:rsidR="00990F3A">
        <w:rPr>
          <w:rFonts w:eastAsia="Arial" w:cs="Arial"/>
          <w:szCs w:val="24"/>
        </w:rPr>
        <w:instrText xml:space="preserve"> ADDIN ZOTERO_ITEM CSL_CITATION {"citationID":"xIyGfzd7","properties":{"formattedCitation":"(Hook &amp; Markus, 2020; Krieger, 1994, 2001; Yoder, 2002)","plainCitation":"(Hook &amp; Markus, 2020; Krieger, 1994, 2001; Yoder, 2002)","noteIndex":0},"citationItems":[{"id":889,"uris":["http://zotero.org/users/4946941/items/SDSZWP2C"],"itemData":{"id":889,"type":"article-journal","abstract":"The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Rose"}],"issued":{"date-parts":[["2020",5]]}}},{"id":905,"uris":["http://zotero.org/users/4946941/items/BFE7AEJK"],"itemData":{"id":905,"type":"article-journal","abstract":"‘Multiple causation’ is the canon of contemporary epidemiology, and its metaphor and model is the ‘web of causation.’ First articulated in a 1960 U.S. epidemiology textbook, the ‘web’ remains a widely accepted but poorly elaborated model, reflecting in part the contemporary stress on epidemiologic methods over epidemiologic theories of disease causation. This essay discusses the origins, features, and problems of the ‘web’, including its hidden reliance upon the framework of biomedical individualism to guide the choice of factors incorporated in the ‘web.’ Posing the question of the whereabouts of the putative ‘spider,’ the author examines several contemporary approaches to epidemiologic theory, including those which stress biological evolution and adaptation and those which emphasize the social production of disease. To better integrate biologic and social understandings of current and changing population patterns of health and disease, the essay proposes an ecosocial framework for developing epidemiologic theory. Features of this alternative approach are discussed, a preliminary image is offered, and debate is encouraged.","container-title":"Social Science &amp; Medicine","DOI":"10.1016/0277-9536(94)90202-X","ISSN":"0277-9536","issue":"7","journalAbbreviation":"Social Science &amp; Medicine","language":"en","page":"887-903","source":"ScienceDirect","title":"Epidemiology and the web of causation: Has anyone seen the spider?","title-short":"Epidemiology and the web of causation","volume":"39","author":[{"family":"Krieger","given":"Nancy"}],"issued":{"date-parts":[["1994",10,1]]}}},{"id":904,"uris":["http://zotero.org/users/4946941/items/FF5NBNQJ"],"itemData":{"id":904,"type":"article-journal","abstract":"‘Both thinking and facts are changeable, if only because changes in thinking manifest themselves in changed facts. Conversely, fundamentally new facts can be discovered only through new thinking.’ Ludwick Fleck (1935) Genesis and Development of a Scientific Fact.1,pp.50–51‘Once we recognize the state of the art is a social product, we are freer to look critically at the agenda of our science, its conceptual framework, and accepted methodologies, and to make conscious research choices.’ Richard Levins and Richard Lewontin (1987) The Dialectical Biologist.2,p.286","container-title":"International Journal of Epidemiology","DOI":"10.1093/ije/30.4.668","ISSN":"0300-5771","issue":"4","journalAbbreviation":"International Journal of Epidemiology","page":"668-677","source":"Silverchair","title":"Theories for social epidemiology in the 21st century: an ecosocial perspective","title-short":"Theories for social epidemiology in the 21st century","volume":"30","author":[{"family":"Krieger","given":"Nancy"}],"issued":{"date-parts":[["2001",8,1]]}}},{"id":895,"uris":["http://zotero.org/users/4946941/items/APN4V43D"],"itemData":{"id":895,"type":"article-journal","abstract":"Health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004F4B28" w:rsidRPr="00424BD3">
        <w:rPr>
          <w:rFonts w:eastAsia="Arial" w:cs="Arial"/>
          <w:szCs w:val="24"/>
        </w:rPr>
        <w:fldChar w:fldCharType="separate"/>
      </w:r>
      <w:r w:rsidR="004F4B28" w:rsidRPr="00424BD3">
        <w:rPr>
          <w:rFonts w:cs="Arial"/>
        </w:rPr>
        <w:t>(Hook &amp; Markus, 2020; Krieger, 1994, 2001; Yoder, 2002)</w:t>
      </w:r>
      <w:r w:rsidR="004F4B28" w:rsidRPr="00424BD3">
        <w:rPr>
          <w:rFonts w:eastAsia="Arial" w:cs="Arial"/>
          <w:szCs w:val="24"/>
        </w:rPr>
        <w:fldChar w:fldCharType="end"/>
      </w:r>
      <w:r w:rsidR="00254E01" w:rsidRPr="00424BD3">
        <w:rPr>
          <w:rFonts w:eastAsia="Arial" w:cs="Arial"/>
          <w:szCs w:val="24"/>
        </w:rPr>
        <w:t>.</w:t>
      </w:r>
      <w:r w:rsidR="00E571F8" w:rsidRPr="00424BD3">
        <w:rPr>
          <w:rFonts w:eastAsia="Arial" w:cs="Arial"/>
          <w:szCs w:val="24"/>
        </w:rPr>
        <w:t xml:space="preserve"> Moreover, </w:t>
      </w:r>
      <w:r w:rsidR="00AB3FDB" w:rsidRPr="00424BD3">
        <w:rPr>
          <w:rFonts w:eastAsia="Arial" w:cs="Arial"/>
          <w:szCs w:val="24"/>
        </w:rPr>
        <w:t xml:space="preserve">gender disparity </w:t>
      </w:r>
      <w:r w:rsidR="00D048F9" w:rsidRPr="00424BD3">
        <w:rPr>
          <w:rFonts w:eastAsia="Arial" w:cs="Arial"/>
          <w:szCs w:val="24"/>
        </w:rPr>
        <w:t xml:space="preserve">in </w:t>
      </w:r>
      <w:r w:rsidR="00DD4CF5" w:rsidRPr="00424BD3">
        <w:rPr>
          <w:rFonts w:eastAsia="Arial" w:cs="Arial"/>
          <w:szCs w:val="24"/>
        </w:rPr>
        <w:t xml:space="preserve">access to and quality of healthcare has been shown </w:t>
      </w:r>
      <w:r w:rsidR="009718ED" w:rsidRPr="00424BD3">
        <w:rPr>
          <w:rFonts w:eastAsia="Arial" w:cs="Arial"/>
          <w:szCs w:val="24"/>
        </w:rPr>
        <w:t xml:space="preserve">to </w:t>
      </w:r>
      <w:r w:rsidR="00D048F9" w:rsidRPr="00424BD3">
        <w:rPr>
          <w:rFonts w:eastAsia="Arial" w:cs="Arial"/>
          <w:szCs w:val="24"/>
        </w:rPr>
        <w:t xml:space="preserve">be associated with state-level sexism </w:t>
      </w:r>
      <w:r w:rsidR="00D048F9" w:rsidRPr="00424BD3">
        <w:rPr>
          <w:rFonts w:eastAsia="Arial" w:cs="Arial"/>
          <w:szCs w:val="24"/>
        </w:rPr>
        <w:fldChar w:fldCharType="begin"/>
      </w:r>
      <w:r w:rsidR="00990F3A">
        <w:rPr>
          <w:rFonts w:eastAsia="Arial" w:cs="Arial"/>
          <w:szCs w:val="24"/>
        </w:rPr>
        <w:instrText xml:space="preserve"> ADDIN ZOTERO_ITEM CSL_CITATION {"citationID":"7UXNKt7o","properties":{"formattedCitation":"(Rapp et al., 2022)","plainCitation":"(Rapp et al., 2022)","noteIndex":0},"citationItems":[{"id":1267,"uris":["http://zotero.org/users/4946941/items/H59NDUZK"],"itemData":{"id":1267,"type":"article-journal","abstract":"In this investigation, we examined the associations between state-level structural sexism—a multidimensional index of gender inequities across economic, political, and cultural domains of the gender system—and health care access and quality among women and men in the United States. We linked administrative data gauging state-level gender gaps in pay, employment, poverty, political representation, and policy protections to individual-level data on health care availability, affordability, and quality from the national Consumer Survey of Health Care Access (2014–2019; N = 24,250). Results show that higher state-level sexism is associated with greater inability to access needed health care and more barriers to affording care for women but not for men. Furthermore, contrary to our hypothesis, women residing in states with higher state-level sexism report better quality of care than women in states with lower levels of sexism. These findings implicate state-level sexism in perpetuating gender disparities in health care.","container-title":"Journal of Health and Social Behavior","DOI":"10.1177/00221465211058153","ISSN":"0022-1465","issue":"1","journalAbbreviation":"J Health Soc Behav","language":"en","note":"publisher: SAGE Publications Inc","page":"2-18","source":"SAGE Journals","title":"State–Level Sexism and Gender Disparities in Health Care Access and Quality in the United States","volume":"63","author":[{"family":"Rapp","given":"Kristen Schorpp"},{"family":"Volpe","given":"Vanessa V."},{"family":"Hale","given":"Tabitha L."},{"family":"Quartararo","given":"Dominique F."}],"issued":{"date-parts":[["2022",3,1]]}}}],"schema":"https://github.com/citation-style-language/schema/raw/master/csl-citation.json"} </w:instrText>
      </w:r>
      <w:r w:rsidR="00D048F9" w:rsidRPr="00424BD3">
        <w:rPr>
          <w:rFonts w:eastAsia="Arial" w:cs="Arial"/>
          <w:szCs w:val="24"/>
        </w:rPr>
        <w:fldChar w:fldCharType="separate"/>
      </w:r>
      <w:r w:rsidR="00D048F9" w:rsidRPr="00424BD3">
        <w:rPr>
          <w:rFonts w:cs="Arial"/>
        </w:rPr>
        <w:t>(Rapp et al., 2022)</w:t>
      </w:r>
      <w:r w:rsidR="00D048F9" w:rsidRPr="00424BD3">
        <w:rPr>
          <w:rFonts w:eastAsia="Arial" w:cs="Arial"/>
          <w:szCs w:val="24"/>
        </w:rPr>
        <w:fldChar w:fldCharType="end"/>
      </w:r>
      <w:r w:rsidR="00D048F9" w:rsidRPr="00424BD3">
        <w:rPr>
          <w:rFonts w:eastAsia="Arial" w:cs="Arial"/>
          <w:szCs w:val="24"/>
        </w:rPr>
        <w:t xml:space="preserve">, </w:t>
      </w:r>
      <w:r w:rsidR="008E35BE" w:rsidRPr="00424BD3">
        <w:rPr>
          <w:rFonts w:eastAsia="Arial" w:cs="Arial"/>
          <w:szCs w:val="24"/>
        </w:rPr>
        <w:t>an issue discussed in-depth regarding Tennessee in Chapter Four.</w:t>
      </w:r>
    </w:p>
    <w:p w14:paraId="49B47DD7" w14:textId="30022025" w:rsidR="00287BA5" w:rsidRDefault="008F649A" w:rsidP="000126EE">
      <w:pPr>
        <w:spacing w:after="0" w:line="480" w:lineRule="auto"/>
        <w:ind w:firstLine="720"/>
        <w:rPr>
          <w:rFonts w:cs="Arial"/>
          <w:szCs w:val="24"/>
        </w:rPr>
      </w:pPr>
      <w:r>
        <w:rPr>
          <w:rFonts w:eastAsia="Arial" w:cs="Arial"/>
          <w:szCs w:val="24"/>
        </w:rPr>
        <w:t xml:space="preserve">As noted </w:t>
      </w:r>
      <w:r w:rsidR="00DA33FB">
        <w:rPr>
          <w:rFonts w:eastAsia="Arial" w:cs="Arial"/>
          <w:szCs w:val="24"/>
        </w:rPr>
        <w:t>in Chapter Seven</w:t>
      </w:r>
      <w:r>
        <w:rPr>
          <w:rFonts w:eastAsia="Arial" w:cs="Arial"/>
          <w:szCs w:val="24"/>
        </w:rPr>
        <w:t xml:space="preserve"> when discussing their </w:t>
      </w:r>
      <w:r w:rsidR="00141BC1">
        <w:rPr>
          <w:rFonts w:eastAsia="Arial" w:cs="Arial"/>
          <w:szCs w:val="24"/>
        </w:rPr>
        <w:t>understandings of the definition of health inequities</w:t>
      </w:r>
      <w:r w:rsidR="0056583C">
        <w:rPr>
          <w:rFonts w:eastAsia="Arial" w:cs="Arial"/>
          <w:szCs w:val="24"/>
        </w:rPr>
        <w:t xml:space="preserve"> and </w:t>
      </w:r>
      <w:r w:rsidR="00287BA5" w:rsidRPr="00424BD3">
        <w:rPr>
          <w:rFonts w:eastAsia="Arial" w:cs="Arial"/>
          <w:szCs w:val="24"/>
        </w:rPr>
        <w:t>their perceptions of health inequities</w:t>
      </w:r>
      <w:r w:rsidR="0033064A">
        <w:rPr>
          <w:rFonts w:eastAsia="Arial" w:cs="Arial"/>
          <w:szCs w:val="24"/>
        </w:rPr>
        <w:t>,</w:t>
      </w:r>
      <w:r w:rsidR="00287BA5" w:rsidRPr="00424BD3">
        <w:rPr>
          <w:rFonts w:eastAsia="Arial" w:cs="Arial"/>
          <w:szCs w:val="24"/>
        </w:rPr>
        <w:t xml:space="preserve"> </w:t>
      </w:r>
      <w:r w:rsidR="007972AF" w:rsidRPr="00424BD3">
        <w:rPr>
          <w:rFonts w:eastAsia="Arial" w:cs="Arial"/>
          <w:szCs w:val="24"/>
        </w:rPr>
        <w:t>a</w:t>
      </w:r>
      <w:r w:rsidR="00287BA5" w:rsidRPr="00424BD3">
        <w:rPr>
          <w:rFonts w:eastAsia="Arial" w:cs="Arial"/>
          <w:szCs w:val="24"/>
        </w:rPr>
        <w:t>lmost all of the women mentioned lack of access - to healthy food</w:t>
      </w:r>
      <w:r w:rsidR="006721FF">
        <w:rPr>
          <w:rFonts w:eastAsia="Arial" w:cs="Arial"/>
          <w:szCs w:val="24"/>
        </w:rPr>
        <w:t xml:space="preserve"> </w:t>
      </w:r>
      <w:r w:rsidR="00287BA5" w:rsidRPr="00424BD3">
        <w:rPr>
          <w:rFonts w:eastAsia="Arial" w:cs="Arial"/>
          <w:szCs w:val="24"/>
        </w:rPr>
        <w:t>/</w:t>
      </w:r>
      <w:r w:rsidR="006721FF">
        <w:rPr>
          <w:rFonts w:eastAsia="Arial" w:cs="Arial"/>
          <w:szCs w:val="24"/>
        </w:rPr>
        <w:t xml:space="preserve"> </w:t>
      </w:r>
      <w:r w:rsidR="00287BA5" w:rsidRPr="00424BD3">
        <w:rPr>
          <w:rFonts w:eastAsia="Arial" w:cs="Arial"/>
          <w:szCs w:val="24"/>
        </w:rPr>
        <w:t>diet</w:t>
      </w:r>
      <w:r w:rsidR="006721FF">
        <w:rPr>
          <w:rFonts w:eastAsia="Arial" w:cs="Arial"/>
          <w:szCs w:val="24"/>
        </w:rPr>
        <w:t xml:space="preserve"> </w:t>
      </w:r>
      <w:r w:rsidR="00287BA5" w:rsidRPr="00424BD3">
        <w:rPr>
          <w:rFonts w:eastAsia="Arial" w:cs="Arial"/>
          <w:szCs w:val="24"/>
        </w:rPr>
        <w:t>/</w:t>
      </w:r>
      <w:r w:rsidR="006721FF">
        <w:rPr>
          <w:rFonts w:eastAsia="Arial" w:cs="Arial"/>
          <w:szCs w:val="24"/>
        </w:rPr>
        <w:t xml:space="preserve"> </w:t>
      </w:r>
      <w:r w:rsidR="00287BA5" w:rsidRPr="00424BD3">
        <w:rPr>
          <w:rFonts w:eastAsia="Arial" w:cs="Arial"/>
          <w:szCs w:val="24"/>
        </w:rPr>
        <w:t xml:space="preserve">nutrition; clinical care; affordable and equal costs; older-age employment; health education; living wages; employer provision or sufficient provision for health insurance; representative clinicians (race, gender); and appropriate place-based care (particularly rural care). </w:t>
      </w:r>
      <w:r w:rsidR="00287BA5" w:rsidRPr="00424BD3">
        <w:rPr>
          <w:rFonts w:cs="Arial"/>
          <w:szCs w:val="24"/>
        </w:rPr>
        <w:t>None of the women in this study qualify for TennCare, placing several of them in the “Medicare gap”. Only some of them can afford supplemental health insurance, leaving those who can’t without the ability to afford services they need. For these women, concerns around Tennessee’s funding of services (or lack of it) and refusal to expand federal services such as Medicaid contributed to their responses of access as their major concern of the health inequities they face.</w:t>
      </w:r>
    </w:p>
    <w:p w14:paraId="2A9848BD" w14:textId="6F7F611B" w:rsidR="001C3737" w:rsidRPr="00424BD3" w:rsidRDefault="0061019F" w:rsidP="000126EE">
      <w:pPr>
        <w:spacing w:after="0" w:line="480" w:lineRule="auto"/>
        <w:ind w:firstLine="720"/>
        <w:rPr>
          <w:rFonts w:cs="Arial"/>
          <w:szCs w:val="24"/>
        </w:rPr>
      </w:pPr>
      <w:r>
        <w:rPr>
          <w:rFonts w:cs="Arial"/>
          <w:szCs w:val="24"/>
        </w:rPr>
        <w:t xml:space="preserve">This includes </w:t>
      </w:r>
      <w:r w:rsidR="001C3737">
        <w:rPr>
          <w:rFonts w:cs="Arial"/>
          <w:szCs w:val="24"/>
        </w:rPr>
        <w:t xml:space="preserve">Ruth, </w:t>
      </w:r>
      <w:r w:rsidR="00DE1E29">
        <w:rPr>
          <w:rFonts w:cs="Arial"/>
          <w:szCs w:val="24"/>
        </w:rPr>
        <w:t>who, despite agreeing with the other women</w:t>
      </w:r>
      <w:r w:rsidR="00280277">
        <w:rPr>
          <w:rFonts w:cs="Arial"/>
          <w:szCs w:val="24"/>
        </w:rPr>
        <w:t xml:space="preserve">’s concerns around access, was also able to provide insights she experienced </w:t>
      </w:r>
      <w:r w:rsidR="00B80AFC">
        <w:rPr>
          <w:rFonts w:cs="Arial"/>
          <w:szCs w:val="24"/>
        </w:rPr>
        <w:t>while sitting</w:t>
      </w:r>
      <w:r w:rsidR="00895E04">
        <w:rPr>
          <w:rFonts w:cs="Arial"/>
          <w:szCs w:val="24"/>
        </w:rPr>
        <w:t xml:space="preserve"> </w:t>
      </w:r>
      <w:r w:rsidR="001C3737">
        <w:rPr>
          <w:rFonts w:cs="Arial"/>
          <w:szCs w:val="24"/>
        </w:rPr>
        <w:t xml:space="preserve">on a </w:t>
      </w:r>
      <w:r w:rsidR="001C3737">
        <w:rPr>
          <w:rFonts w:cs="Arial"/>
          <w:szCs w:val="24"/>
        </w:rPr>
        <w:lastRenderedPageBreak/>
        <w:t xml:space="preserve">major </w:t>
      </w:r>
      <w:r w:rsidR="00244B21">
        <w:rPr>
          <w:rFonts w:cs="Arial"/>
          <w:szCs w:val="24"/>
        </w:rPr>
        <w:t>local health-related board</w:t>
      </w:r>
      <w:r w:rsidR="00B80AFC">
        <w:rPr>
          <w:rFonts w:cs="Arial"/>
          <w:szCs w:val="24"/>
        </w:rPr>
        <w:t>. She</w:t>
      </w:r>
      <w:r w:rsidR="00244B21">
        <w:rPr>
          <w:rFonts w:cs="Arial"/>
          <w:szCs w:val="24"/>
        </w:rPr>
        <w:t xml:space="preserve"> </w:t>
      </w:r>
      <w:r w:rsidR="0033064A">
        <w:rPr>
          <w:rFonts w:cs="Arial"/>
          <w:szCs w:val="24"/>
        </w:rPr>
        <w:t xml:space="preserve">spoke about </w:t>
      </w:r>
      <w:r w:rsidR="008F649A">
        <w:rPr>
          <w:rFonts w:cs="Arial"/>
          <w:szCs w:val="24"/>
        </w:rPr>
        <w:t xml:space="preserve">seeing </w:t>
      </w:r>
      <w:r w:rsidR="00141BC1">
        <w:rPr>
          <w:rFonts w:cs="Arial"/>
          <w:szCs w:val="24"/>
        </w:rPr>
        <w:t xml:space="preserve">the issue of access from both an individual level and a provider / system level. She said: </w:t>
      </w:r>
    </w:p>
    <w:p w14:paraId="26E0E23B" w14:textId="2A472DFC" w:rsidR="00511AC9" w:rsidRDefault="00141BC1" w:rsidP="000126EE">
      <w:pPr>
        <w:spacing w:after="0" w:line="480" w:lineRule="auto"/>
        <w:ind w:left="720"/>
        <w:rPr>
          <w:rFonts w:eastAsia="Arial" w:cs="Arial"/>
          <w:szCs w:val="24"/>
        </w:rPr>
      </w:pPr>
      <w:r>
        <w:rPr>
          <w:rFonts w:cs="Arial"/>
          <w:szCs w:val="24"/>
        </w:rPr>
        <w:t>”</w:t>
      </w:r>
      <w:r w:rsidR="008A5EE5">
        <w:rPr>
          <w:rFonts w:eastAsia="Arial" w:cs="Arial"/>
          <w:szCs w:val="24"/>
        </w:rPr>
        <w:t>I</w:t>
      </w:r>
      <w:r w:rsidR="00511AC9" w:rsidRPr="00424BD3">
        <w:rPr>
          <w:rFonts w:eastAsia="Arial" w:cs="Arial"/>
          <w:szCs w:val="24"/>
        </w:rPr>
        <w:t xml:space="preserve">t's basically the inequality of not being able to get the care, or not being able to get there, to the care. </w:t>
      </w:r>
      <w:r w:rsidR="00270411">
        <w:rPr>
          <w:rFonts w:eastAsia="Arial" w:cs="Arial"/>
          <w:szCs w:val="24"/>
        </w:rPr>
        <w:t>[</w:t>
      </w:r>
      <w:r>
        <w:rPr>
          <w:rFonts w:eastAsia="Arial" w:cs="Arial"/>
          <w:szCs w:val="24"/>
        </w:rPr>
        <w:t>Local area</w:t>
      </w:r>
      <w:r w:rsidR="00511AC9" w:rsidRPr="00424BD3">
        <w:rPr>
          <w:rFonts w:eastAsia="Arial" w:cs="Arial"/>
          <w:szCs w:val="24"/>
        </w:rPr>
        <w:t>] has a pretty good safety net in place between the hospitals and...the health department, but it's not always easily accessible to everybody, nor do they necessarily know about...it being accessible</w:t>
      </w:r>
      <w:r w:rsidR="009350D7" w:rsidRPr="00424BD3" w:rsidDel="009350D7">
        <w:rPr>
          <w:rFonts w:eastAsia="Arial" w:cs="Arial"/>
          <w:szCs w:val="24"/>
        </w:rPr>
        <w:t xml:space="preserve"> </w:t>
      </w:r>
      <w:r w:rsidR="00846F77" w:rsidRPr="00424BD3">
        <w:rPr>
          <w:rFonts w:eastAsia="Arial" w:cs="Arial"/>
          <w:szCs w:val="24"/>
        </w:rPr>
        <w:t>…</w:t>
      </w:r>
      <w:r w:rsidR="00270411">
        <w:rPr>
          <w:rFonts w:eastAsia="Arial" w:cs="Arial"/>
          <w:szCs w:val="24"/>
        </w:rPr>
        <w:t>”</w:t>
      </w:r>
    </w:p>
    <w:p w14:paraId="7A0F8544" w14:textId="0265AA4B" w:rsidR="00141BC1" w:rsidRPr="00424BD3" w:rsidRDefault="00141BC1" w:rsidP="00895E04">
      <w:pPr>
        <w:spacing w:after="0" w:line="480" w:lineRule="auto"/>
        <w:ind w:firstLine="720"/>
        <w:rPr>
          <w:rFonts w:cs="Arial"/>
          <w:szCs w:val="24"/>
        </w:rPr>
      </w:pPr>
      <w:r>
        <w:rPr>
          <w:rFonts w:cs="Arial"/>
          <w:szCs w:val="24"/>
        </w:rPr>
        <w:t xml:space="preserve">Ruth’s comment illustrates not only the </w:t>
      </w:r>
      <w:r w:rsidR="00713EAD">
        <w:rPr>
          <w:rFonts w:cs="Arial"/>
          <w:szCs w:val="24"/>
        </w:rPr>
        <w:t xml:space="preserve">issues of lack of access in East Tennessee, but also the lack of awareness of services (health education) in the local areas amongst </w:t>
      </w:r>
      <w:r w:rsidR="00352729">
        <w:rPr>
          <w:rFonts w:cs="Arial"/>
          <w:szCs w:val="24"/>
        </w:rPr>
        <w:t>the residents. Often, at least amongst these women, lack of access went hand in hand with lack of awareness and health education.</w:t>
      </w:r>
    </w:p>
    <w:p w14:paraId="257362B7" w14:textId="63C47C22" w:rsidR="00CA79E5" w:rsidRDefault="00287BA5" w:rsidP="00CA79E5">
      <w:pPr>
        <w:spacing w:after="0" w:line="480" w:lineRule="auto"/>
        <w:ind w:firstLine="720"/>
        <w:rPr>
          <w:rFonts w:eastAsia="Arial" w:cs="Arial"/>
          <w:szCs w:val="24"/>
        </w:rPr>
      </w:pPr>
      <w:r w:rsidRPr="00424BD3">
        <w:rPr>
          <w:rFonts w:eastAsia="Arial" w:cs="Arial"/>
          <w:szCs w:val="24"/>
        </w:rPr>
        <w:t>Kathryn</w:t>
      </w:r>
      <w:r w:rsidR="00A86298">
        <w:rPr>
          <w:rFonts w:eastAsia="Arial" w:cs="Arial"/>
          <w:szCs w:val="24"/>
        </w:rPr>
        <w:t xml:space="preserve">, Mary, Ruth, and Sylvia, all spoke about the specific impacts </w:t>
      </w:r>
      <w:r w:rsidR="00625CC7">
        <w:rPr>
          <w:rFonts w:eastAsia="Arial" w:cs="Arial"/>
          <w:szCs w:val="24"/>
        </w:rPr>
        <w:t xml:space="preserve">some </w:t>
      </w:r>
      <w:r w:rsidR="008178DE">
        <w:rPr>
          <w:rFonts w:eastAsia="Arial" w:cs="Arial"/>
          <w:szCs w:val="24"/>
        </w:rPr>
        <w:t xml:space="preserve">older women suffer </w:t>
      </w:r>
      <w:r w:rsidR="00625CC7">
        <w:rPr>
          <w:rFonts w:eastAsia="Arial" w:cs="Arial"/>
          <w:szCs w:val="24"/>
        </w:rPr>
        <w:t xml:space="preserve">due to their </w:t>
      </w:r>
      <w:r w:rsidR="00A86298">
        <w:rPr>
          <w:rFonts w:eastAsia="Arial" w:cs="Arial"/>
          <w:szCs w:val="24"/>
        </w:rPr>
        <w:t>lack of access</w:t>
      </w:r>
      <w:r w:rsidR="008178DE">
        <w:rPr>
          <w:rFonts w:eastAsia="Arial" w:cs="Arial"/>
          <w:szCs w:val="24"/>
        </w:rPr>
        <w:t xml:space="preserve"> to healthcare</w:t>
      </w:r>
      <w:r w:rsidR="00B55B84">
        <w:rPr>
          <w:rFonts w:eastAsia="Arial" w:cs="Arial"/>
          <w:szCs w:val="24"/>
        </w:rPr>
        <w:t xml:space="preserve"> </w:t>
      </w:r>
      <w:r w:rsidR="00625CC7">
        <w:rPr>
          <w:rFonts w:eastAsia="Arial" w:cs="Arial"/>
          <w:szCs w:val="24"/>
        </w:rPr>
        <w:t>because of</w:t>
      </w:r>
      <w:r w:rsidR="00A86298">
        <w:rPr>
          <w:rFonts w:eastAsia="Arial" w:cs="Arial"/>
          <w:szCs w:val="24"/>
        </w:rPr>
        <w:t xml:space="preserve"> </w:t>
      </w:r>
      <w:r w:rsidR="00B55B84">
        <w:rPr>
          <w:rFonts w:eastAsia="Arial" w:cs="Arial"/>
          <w:szCs w:val="24"/>
        </w:rPr>
        <w:t xml:space="preserve">falling into </w:t>
      </w:r>
      <w:r w:rsidR="00A86298">
        <w:rPr>
          <w:rFonts w:eastAsia="Arial" w:cs="Arial"/>
          <w:szCs w:val="24"/>
        </w:rPr>
        <w:t xml:space="preserve">the Medicare gap or because the </w:t>
      </w:r>
      <w:r w:rsidR="00324FF6">
        <w:rPr>
          <w:rFonts w:eastAsia="Arial" w:cs="Arial"/>
          <w:szCs w:val="24"/>
        </w:rPr>
        <w:t>level of income they receive based on their social security contributions</w:t>
      </w:r>
      <w:r w:rsidR="00EC36F3">
        <w:rPr>
          <w:rFonts w:eastAsia="Arial" w:cs="Arial"/>
          <w:szCs w:val="24"/>
        </w:rPr>
        <w:t xml:space="preserve"> is insufficient</w:t>
      </w:r>
      <w:r w:rsidR="00324FF6">
        <w:rPr>
          <w:rFonts w:eastAsia="Arial" w:cs="Arial"/>
          <w:szCs w:val="24"/>
        </w:rPr>
        <w:t xml:space="preserve">. </w:t>
      </w:r>
    </w:p>
    <w:p w14:paraId="51F30A1D" w14:textId="601B2423" w:rsidR="002266C5" w:rsidRDefault="00324FF6" w:rsidP="00CA79E5">
      <w:pPr>
        <w:spacing w:after="0" w:line="480" w:lineRule="auto"/>
        <w:ind w:left="720"/>
        <w:rPr>
          <w:rFonts w:eastAsia="Arial" w:cs="Arial"/>
          <w:szCs w:val="24"/>
        </w:rPr>
      </w:pPr>
      <w:r>
        <w:rPr>
          <w:rFonts w:eastAsia="Arial" w:cs="Arial"/>
          <w:szCs w:val="24"/>
        </w:rPr>
        <w:t>Kathryn</w:t>
      </w:r>
      <w:r w:rsidR="00287BA5" w:rsidRPr="00424BD3">
        <w:rPr>
          <w:rFonts w:eastAsia="Arial" w:cs="Arial"/>
          <w:szCs w:val="24"/>
        </w:rPr>
        <w:t xml:space="preserve"> said:</w:t>
      </w:r>
      <w:r w:rsidR="00CA79E5">
        <w:rPr>
          <w:rFonts w:eastAsia="Arial" w:cs="Arial"/>
          <w:szCs w:val="24"/>
        </w:rPr>
        <w:t xml:space="preserve"> “</w:t>
      </w:r>
      <w:r w:rsidR="002266C5" w:rsidRPr="00424BD3">
        <w:rPr>
          <w:rFonts w:eastAsia="Arial" w:cs="Arial"/>
          <w:szCs w:val="24"/>
        </w:rPr>
        <w:t>I think there are plenty of women over 65</w:t>
      </w:r>
      <w:r w:rsidR="00815F08" w:rsidRPr="00424BD3">
        <w:rPr>
          <w:rFonts w:eastAsia="Arial" w:cs="Arial"/>
          <w:szCs w:val="24"/>
        </w:rPr>
        <w:t xml:space="preserve"> </w:t>
      </w:r>
      <w:r w:rsidR="002266C5" w:rsidRPr="00424BD3">
        <w:rPr>
          <w:rFonts w:eastAsia="Arial" w:cs="Arial"/>
          <w:szCs w:val="24"/>
        </w:rPr>
        <w:t>that don't make…much or nothing when they were in the workforce, and now they're on a pittance of social security, and that's not enough to afford health care...and Medicare doesn't cover everything. So</w:t>
      </w:r>
      <w:r w:rsidR="00815F08" w:rsidRPr="00424BD3">
        <w:rPr>
          <w:rFonts w:eastAsia="Arial" w:cs="Arial"/>
          <w:szCs w:val="24"/>
        </w:rPr>
        <w:t>,</w:t>
      </w:r>
      <w:r w:rsidR="002266C5" w:rsidRPr="00424BD3">
        <w:rPr>
          <w:rFonts w:eastAsia="Arial" w:cs="Arial"/>
          <w:szCs w:val="24"/>
        </w:rPr>
        <w:t xml:space="preserve"> I think that...there are women without enough income to...feed themselves healthfully and have access to other things that you can do to help your physical self.”</w:t>
      </w:r>
    </w:p>
    <w:p w14:paraId="49386BD1" w14:textId="2120FE0E" w:rsidR="009B1390" w:rsidRPr="00424BD3" w:rsidRDefault="00287BA5" w:rsidP="00872086">
      <w:pPr>
        <w:spacing w:after="0" w:line="480" w:lineRule="auto"/>
        <w:ind w:firstLine="720"/>
        <w:rPr>
          <w:rFonts w:cs="Arial"/>
          <w:szCs w:val="24"/>
        </w:rPr>
      </w:pPr>
      <w:r w:rsidRPr="00424BD3">
        <w:rPr>
          <w:rFonts w:cs="Arial"/>
          <w:szCs w:val="24"/>
        </w:rPr>
        <w:t>Mary</w:t>
      </w:r>
      <w:r w:rsidR="003F0C74" w:rsidRPr="00424BD3">
        <w:rPr>
          <w:rFonts w:cs="Arial"/>
          <w:szCs w:val="24"/>
        </w:rPr>
        <w:t xml:space="preserve"> said</w:t>
      </w:r>
      <w:r w:rsidR="00CA79E5">
        <w:rPr>
          <w:rFonts w:cs="Arial"/>
          <w:szCs w:val="24"/>
        </w:rPr>
        <w:t xml:space="preserve">, </w:t>
      </w:r>
      <w:r w:rsidRPr="00424BD3">
        <w:rPr>
          <w:rFonts w:cs="Arial"/>
          <w:szCs w:val="24"/>
        </w:rPr>
        <w:t>“…my heart goes out to women who are living on much less social security and... and [who are] taking care of somebody else because … they can't afford to...get somebody [to help</w:t>
      </w:r>
      <w:r w:rsidR="00BF731A" w:rsidRPr="00424BD3">
        <w:rPr>
          <w:rFonts w:cs="Arial"/>
          <w:szCs w:val="24"/>
        </w:rPr>
        <w:t>]</w:t>
      </w:r>
      <w:r w:rsidR="001B36A5">
        <w:rPr>
          <w:rFonts w:cs="Arial"/>
          <w:szCs w:val="24"/>
        </w:rPr>
        <w:t>.</w:t>
      </w:r>
      <w:r w:rsidR="008A5EE5">
        <w:rPr>
          <w:rFonts w:cs="Arial"/>
          <w:szCs w:val="24"/>
        </w:rPr>
        <w:t>”</w:t>
      </w:r>
      <w:r w:rsidR="009E4A74">
        <w:rPr>
          <w:rFonts w:cs="Arial"/>
          <w:szCs w:val="24"/>
        </w:rPr>
        <w:t xml:space="preserve"> </w:t>
      </w:r>
      <w:r w:rsidR="00447238" w:rsidRPr="00424BD3">
        <w:rPr>
          <w:rFonts w:cs="Arial"/>
          <w:szCs w:val="24"/>
        </w:rPr>
        <w:t xml:space="preserve">Sharon, having gone through the devastating, unexpected </w:t>
      </w:r>
      <w:r w:rsidR="00447238" w:rsidRPr="00424BD3">
        <w:rPr>
          <w:rFonts w:cs="Arial"/>
          <w:szCs w:val="24"/>
        </w:rPr>
        <w:lastRenderedPageBreak/>
        <w:t>losses of her mother and sister, expressed concerns about the impact of state legislative decision-making on access to care</w:t>
      </w:r>
      <w:r w:rsidR="00C74526">
        <w:rPr>
          <w:rFonts w:cs="Arial"/>
          <w:szCs w:val="24"/>
        </w:rPr>
        <w:t xml:space="preserve">, </w:t>
      </w:r>
      <w:r w:rsidR="00447238" w:rsidRPr="00424BD3">
        <w:rPr>
          <w:rFonts w:cs="Arial"/>
          <w:szCs w:val="24"/>
        </w:rPr>
        <w:t>“I’m just aware that …our state of Tennessee has not accepted care, the Medicaid expansion idea, and that’s causing hospitals to close.”</w:t>
      </w:r>
      <w:r w:rsidR="009E4A74">
        <w:rPr>
          <w:rFonts w:cs="Arial"/>
          <w:szCs w:val="24"/>
        </w:rPr>
        <w:t xml:space="preserve"> </w:t>
      </w:r>
      <w:r w:rsidR="00CA79E5">
        <w:rPr>
          <w:rFonts w:cs="Arial"/>
          <w:szCs w:val="24"/>
        </w:rPr>
        <w:t>S</w:t>
      </w:r>
      <w:r w:rsidR="009B1390" w:rsidRPr="00424BD3">
        <w:rPr>
          <w:rFonts w:cs="Arial"/>
          <w:szCs w:val="24"/>
        </w:rPr>
        <w:t>ylvia said</w:t>
      </w:r>
      <w:r w:rsidR="00CA79E5">
        <w:rPr>
          <w:rFonts w:cs="Arial"/>
          <w:szCs w:val="24"/>
        </w:rPr>
        <w:t xml:space="preserve">, </w:t>
      </w:r>
      <w:r w:rsidR="009B1390" w:rsidRPr="00424BD3">
        <w:rPr>
          <w:rFonts w:cs="Arial"/>
          <w:szCs w:val="24"/>
        </w:rPr>
        <w:t>"People should not have to leave their community to get [healthcare].". She also spoke about the need for Medicare and supplemental insurance to cover dental, eye and hearing costs, affordable prescription drugs, and adequate home health services</w:t>
      </w:r>
      <w:r w:rsidR="001A25B5">
        <w:rPr>
          <w:rFonts w:cs="Arial"/>
          <w:szCs w:val="24"/>
        </w:rPr>
        <w:t>,</w:t>
      </w:r>
      <w:r w:rsidR="009B1390" w:rsidRPr="00424BD3">
        <w:rPr>
          <w:rFonts w:cs="Arial"/>
          <w:szCs w:val="24"/>
        </w:rPr>
        <w:t xml:space="preserve"> "… they're very expensive and they're not covered…It's a huge financial burden”</w:t>
      </w:r>
      <w:r w:rsidR="001B36A5">
        <w:rPr>
          <w:rFonts w:cs="Arial"/>
          <w:szCs w:val="24"/>
        </w:rPr>
        <w:t>.</w:t>
      </w:r>
    </w:p>
    <w:p w14:paraId="600E8029" w14:textId="5937E5BB" w:rsidR="00C83187" w:rsidRPr="00424BD3" w:rsidRDefault="00C83187" w:rsidP="000126EE">
      <w:pPr>
        <w:spacing w:after="0" w:line="480" w:lineRule="auto"/>
        <w:ind w:firstLine="720"/>
        <w:rPr>
          <w:rFonts w:eastAsia="Arial" w:cs="Arial"/>
          <w:szCs w:val="24"/>
        </w:rPr>
      </w:pPr>
      <w:r w:rsidRPr="00424BD3">
        <w:rPr>
          <w:rFonts w:eastAsia="Arial" w:cs="Arial"/>
          <w:szCs w:val="24"/>
        </w:rPr>
        <w:t>Sylvia</w:t>
      </w:r>
      <w:r w:rsidR="00CC3934" w:rsidRPr="00424BD3">
        <w:rPr>
          <w:rFonts w:eastAsia="Arial" w:cs="Arial"/>
          <w:szCs w:val="24"/>
        </w:rPr>
        <w:t xml:space="preserve">’s response </w:t>
      </w:r>
      <w:r w:rsidR="00AA339E">
        <w:rPr>
          <w:rFonts w:eastAsia="Arial" w:cs="Arial"/>
          <w:szCs w:val="24"/>
        </w:rPr>
        <w:t>illustrates</w:t>
      </w:r>
      <w:r w:rsidR="00AA339E" w:rsidRPr="00424BD3">
        <w:rPr>
          <w:rFonts w:eastAsia="Arial" w:cs="Arial"/>
          <w:szCs w:val="24"/>
        </w:rPr>
        <w:t xml:space="preserve"> </w:t>
      </w:r>
      <w:r w:rsidR="00CC3934" w:rsidRPr="00424BD3">
        <w:rPr>
          <w:rFonts w:eastAsia="Arial" w:cs="Arial"/>
          <w:szCs w:val="24"/>
        </w:rPr>
        <w:t>the</w:t>
      </w:r>
      <w:r w:rsidR="00531500" w:rsidRPr="00424BD3">
        <w:rPr>
          <w:rFonts w:eastAsia="Arial" w:cs="Arial"/>
          <w:szCs w:val="24"/>
        </w:rPr>
        <w:t xml:space="preserve"> </w:t>
      </w:r>
      <w:r w:rsidR="00C45423" w:rsidRPr="00424BD3">
        <w:rPr>
          <w:rFonts w:eastAsia="Arial" w:cs="Arial"/>
          <w:szCs w:val="24"/>
        </w:rPr>
        <w:t>issue</w:t>
      </w:r>
      <w:r w:rsidR="00531500" w:rsidRPr="00424BD3">
        <w:rPr>
          <w:rFonts w:eastAsia="Arial" w:cs="Arial"/>
          <w:szCs w:val="24"/>
        </w:rPr>
        <w:t xml:space="preserve"> covered earlier in this dissertation </w:t>
      </w:r>
      <w:r w:rsidR="00A44246" w:rsidRPr="00424BD3">
        <w:rPr>
          <w:rFonts w:eastAsia="Arial" w:cs="Arial"/>
          <w:szCs w:val="24"/>
        </w:rPr>
        <w:t xml:space="preserve">regarding </w:t>
      </w:r>
      <w:r w:rsidR="00531500" w:rsidRPr="00424BD3">
        <w:rPr>
          <w:rFonts w:eastAsia="Arial" w:cs="Arial"/>
          <w:szCs w:val="24"/>
        </w:rPr>
        <w:t xml:space="preserve">the coverage ‘gap’ for Medicare </w:t>
      </w:r>
      <w:r w:rsidR="00CC3934" w:rsidRPr="00424BD3">
        <w:rPr>
          <w:rFonts w:eastAsia="Arial" w:cs="Arial"/>
          <w:szCs w:val="24"/>
        </w:rPr>
        <w:t>recipients</w:t>
      </w:r>
      <w:r w:rsidR="00531500" w:rsidRPr="00424BD3">
        <w:rPr>
          <w:rFonts w:eastAsia="Arial" w:cs="Arial"/>
          <w:szCs w:val="24"/>
        </w:rPr>
        <w:t xml:space="preserve"> who cannot afford </w:t>
      </w:r>
      <w:r w:rsidR="00CC3934" w:rsidRPr="00424BD3">
        <w:rPr>
          <w:rFonts w:eastAsia="Arial" w:cs="Arial"/>
          <w:szCs w:val="24"/>
        </w:rPr>
        <w:t xml:space="preserve">supplemental insurance or </w:t>
      </w:r>
      <w:r w:rsidR="00A44246" w:rsidRPr="00424BD3">
        <w:rPr>
          <w:rFonts w:eastAsia="Arial" w:cs="Arial"/>
          <w:szCs w:val="24"/>
        </w:rPr>
        <w:t xml:space="preserve">who do not receive </w:t>
      </w:r>
      <w:r w:rsidR="00420ED8" w:rsidRPr="00424BD3">
        <w:rPr>
          <w:rFonts w:eastAsia="Arial" w:cs="Arial"/>
          <w:szCs w:val="24"/>
        </w:rPr>
        <w:t xml:space="preserve">the parts of Medicare </w:t>
      </w:r>
      <w:r w:rsidR="00C7680D" w:rsidRPr="00424BD3">
        <w:rPr>
          <w:rFonts w:eastAsia="Arial" w:cs="Arial"/>
          <w:szCs w:val="24"/>
        </w:rPr>
        <w:t xml:space="preserve">which help to cover some costs related to the areas mentioned in Sylvia’s quote. </w:t>
      </w:r>
      <w:r w:rsidR="007B53D5" w:rsidRPr="00424BD3">
        <w:rPr>
          <w:rFonts w:eastAsia="Arial" w:cs="Arial"/>
          <w:szCs w:val="24"/>
        </w:rPr>
        <w:t xml:space="preserve">Like Kathryn, Sylvia also identifies </w:t>
      </w:r>
      <w:r w:rsidR="005254F9" w:rsidRPr="00424BD3">
        <w:rPr>
          <w:rFonts w:eastAsia="Arial" w:cs="Arial"/>
          <w:szCs w:val="24"/>
        </w:rPr>
        <w:t>geographic</w:t>
      </w:r>
      <w:r w:rsidR="002A0019" w:rsidRPr="00424BD3">
        <w:rPr>
          <w:rFonts w:eastAsia="Arial" w:cs="Arial"/>
          <w:szCs w:val="24"/>
        </w:rPr>
        <w:t xml:space="preserve"> / spatial </w:t>
      </w:r>
      <w:r w:rsidR="007B53D5" w:rsidRPr="00424BD3">
        <w:rPr>
          <w:rFonts w:eastAsia="Arial" w:cs="Arial"/>
          <w:szCs w:val="24"/>
        </w:rPr>
        <w:t xml:space="preserve">inequalities as a factor in </w:t>
      </w:r>
      <w:r w:rsidR="005475E4" w:rsidRPr="00424BD3">
        <w:rPr>
          <w:rFonts w:eastAsia="Arial" w:cs="Arial"/>
          <w:szCs w:val="24"/>
        </w:rPr>
        <w:t>the lack of access to healthcare in the U.S</w:t>
      </w:r>
      <w:r w:rsidR="00E2716B">
        <w:rPr>
          <w:rFonts w:eastAsia="Arial" w:cs="Arial"/>
          <w:szCs w:val="24"/>
        </w:rPr>
        <w:t>.</w:t>
      </w:r>
      <w:r w:rsidR="005475E4" w:rsidRPr="00424BD3">
        <w:rPr>
          <w:rFonts w:eastAsia="Arial" w:cs="Arial"/>
          <w:szCs w:val="24"/>
        </w:rPr>
        <w:t xml:space="preserve"> when she speaks of those who live in areas where healthcare is not available and </w:t>
      </w:r>
      <w:r w:rsidR="00A26394" w:rsidRPr="00424BD3">
        <w:rPr>
          <w:rFonts w:eastAsia="Arial" w:cs="Arial"/>
          <w:szCs w:val="24"/>
        </w:rPr>
        <w:t>who must travel to other areas to receive it. This is important not only because she identifies lack of access as an issue, but that affordability then becomes an issue for those who cannot afford to travel outside of their area.</w:t>
      </w:r>
    </w:p>
    <w:p w14:paraId="5F83E9C1" w14:textId="331C664F" w:rsidR="00A9418E" w:rsidRPr="00424BD3" w:rsidRDefault="001A6C36" w:rsidP="000126EE">
      <w:pPr>
        <w:spacing w:after="0" w:line="480" w:lineRule="auto"/>
        <w:ind w:firstLine="720"/>
        <w:rPr>
          <w:rFonts w:eastAsia="Arial" w:cs="Arial"/>
          <w:szCs w:val="24"/>
        </w:rPr>
      </w:pPr>
      <w:r w:rsidRPr="00424BD3">
        <w:rPr>
          <w:rFonts w:eastAsia="Arial" w:cs="Arial"/>
          <w:szCs w:val="24"/>
        </w:rPr>
        <w:t xml:space="preserve">In her response, </w:t>
      </w:r>
      <w:r w:rsidR="00A9418E" w:rsidRPr="00424BD3">
        <w:rPr>
          <w:rFonts w:eastAsia="Arial" w:cs="Arial"/>
          <w:szCs w:val="24"/>
        </w:rPr>
        <w:t>Kathryn</w:t>
      </w:r>
      <w:r w:rsidRPr="00424BD3">
        <w:rPr>
          <w:rFonts w:eastAsia="Arial" w:cs="Arial"/>
          <w:szCs w:val="24"/>
        </w:rPr>
        <w:t xml:space="preserve"> identified racial, economic, and spatial inequalities in her statement as the causes behind lack of access and affordability</w:t>
      </w:r>
      <w:r w:rsidR="00BF731A" w:rsidRPr="00424BD3">
        <w:rPr>
          <w:rFonts w:eastAsia="Arial" w:cs="Arial"/>
          <w:szCs w:val="24"/>
        </w:rPr>
        <w:t xml:space="preserve"> while Mary identified the </w:t>
      </w:r>
      <w:r w:rsidR="00C8684F" w:rsidRPr="00424BD3">
        <w:rPr>
          <w:rFonts w:eastAsia="Arial" w:cs="Arial"/>
          <w:szCs w:val="24"/>
        </w:rPr>
        <w:t xml:space="preserve">impact low income has on older women </w:t>
      </w:r>
      <w:r w:rsidR="00A9418E" w:rsidRPr="00424BD3">
        <w:rPr>
          <w:rFonts w:eastAsia="Arial" w:cs="Arial"/>
          <w:szCs w:val="24"/>
        </w:rPr>
        <w:t>and o</w:t>
      </w:r>
      <w:r w:rsidR="00E2716B">
        <w:rPr>
          <w:rFonts w:eastAsia="Arial" w:cs="Arial"/>
          <w:szCs w:val="24"/>
        </w:rPr>
        <w:t>n</w:t>
      </w:r>
      <w:r w:rsidR="00A9418E" w:rsidRPr="00424BD3">
        <w:rPr>
          <w:rFonts w:eastAsia="Arial" w:cs="Arial"/>
          <w:szCs w:val="24"/>
        </w:rPr>
        <w:t xml:space="preserve"> caregivers</w:t>
      </w:r>
      <w:r w:rsidRPr="00424BD3">
        <w:rPr>
          <w:rFonts w:eastAsia="Arial" w:cs="Arial"/>
          <w:szCs w:val="24"/>
        </w:rPr>
        <w:t>.</w:t>
      </w:r>
      <w:r w:rsidR="00A9418E" w:rsidRPr="00424BD3">
        <w:rPr>
          <w:rFonts w:eastAsia="Arial" w:cs="Arial"/>
          <w:szCs w:val="24"/>
        </w:rPr>
        <w:t xml:space="preserve"> Throughout the study, Kathryn consistently identifies </w:t>
      </w:r>
      <w:r w:rsidR="007F7963" w:rsidRPr="00424BD3">
        <w:rPr>
          <w:rFonts w:eastAsia="Arial" w:cs="Arial"/>
          <w:szCs w:val="24"/>
        </w:rPr>
        <w:t>component parts of the social determinants of health</w:t>
      </w:r>
      <w:r w:rsidR="0011732D" w:rsidRPr="00424BD3">
        <w:rPr>
          <w:rFonts w:eastAsia="Arial" w:cs="Arial"/>
          <w:szCs w:val="24"/>
        </w:rPr>
        <w:t>, and even refers to inequalities</w:t>
      </w:r>
      <w:r w:rsidR="00D03FC7" w:rsidRPr="00424BD3">
        <w:rPr>
          <w:rFonts w:eastAsia="Arial" w:cs="Arial"/>
          <w:szCs w:val="24"/>
        </w:rPr>
        <w:t xml:space="preserve">, showing she has some familiarity with the terminology. Mary’s response is notable </w:t>
      </w:r>
      <w:r w:rsidR="00631C7D" w:rsidRPr="00424BD3">
        <w:rPr>
          <w:rFonts w:eastAsia="Arial" w:cs="Arial"/>
          <w:szCs w:val="24"/>
        </w:rPr>
        <w:t xml:space="preserve">not only because of her identification of </w:t>
      </w:r>
      <w:r w:rsidR="00631C7D" w:rsidRPr="00424BD3">
        <w:rPr>
          <w:rFonts w:eastAsia="Arial" w:cs="Arial"/>
          <w:szCs w:val="24"/>
        </w:rPr>
        <w:lastRenderedPageBreak/>
        <w:t xml:space="preserve">socioeconomic status as a factor in </w:t>
      </w:r>
      <w:r w:rsidR="00BF3B63" w:rsidRPr="00424BD3">
        <w:rPr>
          <w:rFonts w:eastAsia="Arial" w:cs="Arial"/>
          <w:szCs w:val="24"/>
        </w:rPr>
        <w:t xml:space="preserve">lack of access and inability to afford healthcare or care resources, but </w:t>
      </w:r>
      <w:r w:rsidR="00CA4A95">
        <w:rPr>
          <w:rFonts w:eastAsia="Arial" w:cs="Arial"/>
          <w:szCs w:val="24"/>
        </w:rPr>
        <w:t xml:space="preserve">also </w:t>
      </w:r>
      <w:r w:rsidR="00D03FC7" w:rsidRPr="00424BD3">
        <w:rPr>
          <w:rFonts w:eastAsia="Arial" w:cs="Arial"/>
          <w:szCs w:val="24"/>
        </w:rPr>
        <w:t xml:space="preserve">because </w:t>
      </w:r>
      <w:r w:rsidR="00631C7D" w:rsidRPr="00424BD3">
        <w:rPr>
          <w:rFonts w:eastAsia="Arial" w:cs="Arial"/>
          <w:szCs w:val="24"/>
        </w:rPr>
        <w:t xml:space="preserve">she is openly concerned for caregivers like Kathryn, while Kathryn does not express this concern for herself. </w:t>
      </w:r>
      <w:r w:rsidR="00970909" w:rsidRPr="00424BD3">
        <w:rPr>
          <w:rFonts w:eastAsia="Arial" w:cs="Arial"/>
          <w:szCs w:val="24"/>
        </w:rPr>
        <w:t xml:space="preserve">Instead, Kathryn expresses concerns for other groups who cannot afford healthcare. </w:t>
      </w:r>
      <w:r w:rsidR="00BF3B63" w:rsidRPr="00424BD3">
        <w:rPr>
          <w:rFonts w:eastAsia="Arial" w:cs="Arial"/>
          <w:szCs w:val="24"/>
        </w:rPr>
        <w:t>Both Kathryn and Mary have experience</w:t>
      </w:r>
      <w:r w:rsidR="00794792" w:rsidRPr="00424BD3">
        <w:rPr>
          <w:rFonts w:eastAsia="Arial" w:cs="Arial"/>
          <w:szCs w:val="24"/>
        </w:rPr>
        <w:t>d</w:t>
      </w:r>
      <w:r w:rsidR="00BF3B63" w:rsidRPr="00424BD3">
        <w:rPr>
          <w:rFonts w:eastAsia="Arial" w:cs="Arial"/>
          <w:szCs w:val="24"/>
        </w:rPr>
        <w:t xml:space="preserve"> lack of access to healthcare </w:t>
      </w:r>
      <w:r w:rsidR="00794792" w:rsidRPr="00424BD3">
        <w:rPr>
          <w:rFonts w:eastAsia="Arial" w:cs="Arial"/>
          <w:szCs w:val="24"/>
        </w:rPr>
        <w:t>themselves</w:t>
      </w:r>
      <w:r w:rsidR="00BF3B63" w:rsidRPr="00424BD3">
        <w:rPr>
          <w:rFonts w:eastAsia="Arial" w:cs="Arial"/>
          <w:szCs w:val="24"/>
        </w:rPr>
        <w:t xml:space="preserve"> </w:t>
      </w:r>
      <w:r w:rsidR="00970909" w:rsidRPr="00424BD3">
        <w:rPr>
          <w:rFonts w:eastAsia="Arial" w:cs="Arial"/>
          <w:szCs w:val="24"/>
        </w:rPr>
        <w:t>due to affordability</w:t>
      </w:r>
      <w:r w:rsidR="00F66F79" w:rsidRPr="00424BD3">
        <w:rPr>
          <w:rFonts w:eastAsia="Arial" w:cs="Arial"/>
          <w:szCs w:val="24"/>
        </w:rPr>
        <w:t xml:space="preserve">. Their direct experience helps to confirm </w:t>
      </w:r>
      <w:r w:rsidR="00407490" w:rsidRPr="00424BD3">
        <w:rPr>
          <w:rFonts w:eastAsia="Arial" w:cs="Arial"/>
          <w:szCs w:val="24"/>
        </w:rPr>
        <w:t>that lived experience can inform a person’s perceptions or understandings of health inequities</w:t>
      </w:r>
      <w:r w:rsidR="00E96AFE" w:rsidRPr="00424BD3">
        <w:rPr>
          <w:rFonts w:eastAsia="Arial" w:cs="Arial"/>
          <w:szCs w:val="24"/>
        </w:rPr>
        <w:t xml:space="preserve">. </w:t>
      </w:r>
    </w:p>
    <w:p w14:paraId="76F2CB69" w14:textId="04DD1113" w:rsidR="00287BA5" w:rsidRPr="00424BD3" w:rsidRDefault="00287BA5" w:rsidP="000126EE">
      <w:pPr>
        <w:spacing w:after="0" w:line="480" w:lineRule="auto"/>
        <w:ind w:firstLine="720"/>
        <w:rPr>
          <w:rFonts w:cs="Arial"/>
          <w:color w:val="303030"/>
          <w:szCs w:val="24"/>
          <w:shd w:val="clear" w:color="auto" w:fill="FFFFFF"/>
        </w:rPr>
      </w:pPr>
      <w:r w:rsidRPr="00424BD3">
        <w:rPr>
          <w:rFonts w:cs="Arial"/>
          <w:szCs w:val="24"/>
        </w:rPr>
        <w:t>What these women have experienced and perceive confirms the established theories of discrimination, access and affordability as primary social determinants leading to health inequities (Link &amp; Phelan, 1995;</w:t>
      </w:r>
      <w:r w:rsidRPr="00424BD3">
        <w:rPr>
          <w:rFonts w:cs="Arial"/>
          <w:color w:val="222222"/>
          <w:szCs w:val="24"/>
          <w:shd w:val="clear" w:color="auto" w:fill="FFFFFF"/>
        </w:rPr>
        <w:t xml:space="preserve"> Phelan </w:t>
      </w:r>
      <w:r w:rsidR="00FC2F7D">
        <w:rPr>
          <w:rFonts w:cs="Arial"/>
          <w:color w:val="222222"/>
          <w:szCs w:val="24"/>
          <w:shd w:val="clear" w:color="auto" w:fill="FFFFFF"/>
        </w:rPr>
        <w:t>et al.</w:t>
      </w:r>
      <w:r w:rsidRPr="00424BD3">
        <w:rPr>
          <w:rFonts w:cs="Arial"/>
          <w:color w:val="222222"/>
          <w:szCs w:val="24"/>
          <w:shd w:val="clear" w:color="auto" w:fill="FFFFFF"/>
        </w:rPr>
        <w:t>, 2010</w:t>
      </w:r>
      <w:r w:rsidRPr="00424BD3">
        <w:rPr>
          <w:rFonts w:cs="Arial"/>
          <w:szCs w:val="24"/>
        </w:rPr>
        <w:t xml:space="preserve">). Their perceptions and recommendations also match the identification of intersectional discrimination, access and affordability as major areas in which governments, global health organizations, and health research bodies have long made recommendations and established policies, but that continue to fall short of older people’s needs (Burn, </w:t>
      </w:r>
      <w:r w:rsidR="00FC2F7D">
        <w:rPr>
          <w:rFonts w:cs="Arial"/>
          <w:szCs w:val="24"/>
        </w:rPr>
        <w:t>et al.</w:t>
      </w:r>
      <w:r w:rsidRPr="00424BD3">
        <w:rPr>
          <w:rFonts w:cs="Arial"/>
          <w:szCs w:val="24"/>
        </w:rPr>
        <w:t xml:space="preserve">, 2020; Gulliford, 2019; </w:t>
      </w:r>
      <w:r w:rsidRPr="00424BD3">
        <w:rPr>
          <w:rFonts w:cs="Arial"/>
          <w:color w:val="303030"/>
          <w:szCs w:val="24"/>
          <w:shd w:val="clear" w:color="auto" w:fill="FFFFFF"/>
        </w:rPr>
        <w:t xml:space="preserve">de Carvalho </w:t>
      </w:r>
      <w:r w:rsidR="00FC2F7D">
        <w:rPr>
          <w:rFonts w:cs="Arial"/>
          <w:color w:val="303030"/>
          <w:szCs w:val="24"/>
          <w:shd w:val="clear" w:color="auto" w:fill="FFFFFF"/>
        </w:rPr>
        <w:t>et al.</w:t>
      </w:r>
      <w:r w:rsidRPr="00424BD3">
        <w:rPr>
          <w:rFonts w:cs="Arial"/>
          <w:color w:val="303030"/>
          <w:szCs w:val="24"/>
          <w:shd w:val="clear" w:color="auto" w:fill="FFFFFF"/>
        </w:rPr>
        <w:t xml:space="preserve">, 2017). </w:t>
      </w:r>
    </w:p>
    <w:p w14:paraId="14DBCEA1" w14:textId="69943148" w:rsidR="00CD2106" w:rsidRDefault="00C45423" w:rsidP="00292FAC">
      <w:pPr>
        <w:pStyle w:val="Heading2"/>
        <w:spacing w:before="0" w:line="480" w:lineRule="auto"/>
        <w:jc w:val="center"/>
        <w:rPr>
          <w:rFonts w:ascii="Arial" w:eastAsia="Arial" w:hAnsi="Arial" w:cs="Arial"/>
          <w:b/>
          <w:bCs/>
          <w:color w:val="auto"/>
          <w:sz w:val="24"/>
          <w:szCs w:val="24"/>
        </w:rPr>
      </w:pPr>
      <w:bookmarkStart w:id="97" w:name="_Toc118232363"/>
      <w:r w:rsidRPr="00456FB2">
        <w:rPr>
          <w:rFonts w:ascii="Arial" w:eastAsia="Arial" w:hAnsi="Arial" w:cs="Arial"/>
          <w:b/>
          <w:bCs/>
          <w:color w:val="auto"/>
          <w:sz w:val="24"/>
          <w:szCs w:val="24"/>
        </w:rPr>
        <w:t>H</w:t>
      </w:r>
      <w:r w:rsidR="00CD2106" w:rsidRPr="00456FB2">
        <w:rPr>
          <w:rFonts w:ascii="Arial" w:eastAsia="Arial" w:hAnsi="Arial" w:cs="Arial"/>
          <w:b/>
          <w:bCs/>
          <w:color w:val="auto"/>
          <w:sz w:val="24"/>
          <w:szCs w:val="24"/>
        </w:rPr>
        <w:t>ealth</w:t>
      </w:r>
      <w:r w:rsidR="00B6193E" w:rsidRPr="00456FB2">
        <w:rPr>
          <w:rFonts w:ascii="Arial" w:eastAsia="Arial" w:hAnsi="Arial" w:cs="Arial"/>
          <w:b/>
          <w:bCs/>
          <w:color w:val="auto"/>
          <w:sz w:val="24"/>
          <w:szCs w:val="24"/>
        </w:rPr>
        <w:t xml:space="preserve"> Literacy</w:t>
      </w:r>
      <w:bookmarkEnd w:id="97"/>
    </w:p>
    <w:p w14:paraId="48BA5876" w14:textId="7C6CCEA9" w:rsidR="00CD2106" w:rsidRPr="00424BD3" w:rsidRDefault="00024610" w:rsidP="00292FAC">
      <w:pPr>
        <w:spacing w:after="0" w:line="480" w:lineRule="auto"/>
        <w:ind w:firstLine="720"/>
        <w:rPr>
          <w:rFonts w:eastAsia="Arial" w:cs="Arial"/>
          <w:szCs w:val="24"/>
        </w:rPr>
      </w:pPr>
      <w:r w:rsidRPr="00424BD3">
        <w:rPr>
          <w:rFonts w:eastAsia="Arial" w:cs="Arial"/>
          <w:szCs w:val="24"/>
        </w:rPr>
        <w:t xml:space="preserve">The findings of this study in relation to health literacy </w:t>
      </w:r>
      <w:r w:rsidR="00F86344">
        <w:rPr>
          <w:rFonts w:eastAsia="Arial" w:cs="Arial"/>
          <w:szCs w:val="24"/>
        </w:rPr>
        <w:t>are</w:t>
      </w:r>
      <w:r w:rsidRPr="00424BD3">
        <w:rPr>
          <w:rFonts w:eastAsia="Arial" w:cs="Arial"/>
          <w:szCs w:val="24"/>
        </w:rPr>
        <w:t xml:space="preserve"> that an </w:t>
      </w:r>
      <w:r w:rsidR="001B4512" w:rsidRPr="00424BD3">
        <w:rPr>
          <w:rFonts w:eastAsia="Arial" w:cs="Arial"/>
          <w:szCs w:val="24"/>
        </w:rPr>
        <w:t xml:space="preserve">interdisciplinary </w:t>
      </w:r>
      <w:r w:rsidR="008A638A" w:rsidRPr="00424BD3">
        <w:rPr>
          <w:rFonts w:eastAsia="Arial" w:cs="Arial"/>
          <w:szCs w:val="24"/>
        </w:rPr>
        <w:t>ecosocial</w:t>
      </w:r>
      <w:r w:rsidRPr="00424BD3">
        <w:rPr>
          <w:rFonts w:eastAsia="Arial" w:cs="Arial"/>
          <w:szCs w:val="24"/>
        </w:rPr>
        <w:t xml:space="preserve"> approach </w:t>
      </w:r>
      <w:r w:rsidR="00F22BF8" w:rsidRPr="00424BD3">
        <w:rPr>
          <w:rFonts w:eastAsia="Arial" w:cs="Arial"/>
          <w:szCs w:val="24"/>
        </w:rPr>
        <w:t xml:space="preserve">to understanding the women’s comments and silences about health literacy </w:t>
      </w:r>
      <w:r w:rsidRPr="00424BD3">
        <w:rPr>
          <w:rFonts w:eastAsia="Arial" w:cs="Arial"/>
          <w:szCs w:val="24"/>
        </w:rPr>
        <w:t>is needed</w:t>
      </w:r>
      <w:r w:rsidR="00BA1432" w:rsidRPr="00424BD3">
        <w:rPr>
          <w:rFonts w:eastAsia="Arial" w:cs="Arial"/>
          <w:szCs w:val="24"/>
        </w:rPr>
        <w:t xml:space="preserve"> </w:t>
      </w:r>
      <w:r w:rsidR="001B4512" w:rsidRPr="00424BD3">
        <w:rPr>
          <w:rFonts w:eastAsia="Arial" w:cs="Arial"/>
          <w:szCs w:val="24"/>
        </w:rPr>
        <w:fldChar w:fldCharType="begin"/>
      </w:r>
      <w:r w:rsidR="00990F3A">
        <w:rPr>
          <w:rFonts w:eastAsia="Arial" w:cs="Arial"/>
          <w:szCs w:val="24"/>
        </w:rPr>
        <w:instrText xml:space="preserve"> ADDIN ZOTERO_ITEM CSL_CITATION {"citationID":"EKGb97aZ","properties":{"formattedCitation":"(Sentell et al., 2020)","plainCitation":"(Sentell et al., 2020)","noteIndex":0},"citationItems":[{"id":1390,"uris":["http://zotero.org/users/4946941/items/SMUKK9FD"],"itemData":{"id":1390,"type":"article-journal","abstract":"As we write our editorial for a health literacy special issue in the midst of the international COVID-19 crisis, we take this opportunity to highlight the importance of individual, community, and population health literacy. We are not only in a “pandemic” but also an “infodemic”. Health literacy is more important than ever in the face of these global health threats, which have impacted outcomes across the levels of the socio-ecological model (SEM), including individual health behaviors, family relationships, organizational behavior, state policy-making, national mortality statistics, and the international economy in the span of weeks. Our special issue sought to pull together interdisciplinary threads guided by two principles. The first was defining health literacy as essential skills and situational resources needed for people to find, understand, evaluate, communicate, and use information and services in a variety of forms across various settings throughout their life course to promote health and wellbeing. The second was the idea that enhancing health literacy in populations and systems is critical to achieving health equity. In this time of public health need across traditional borders, the inter-sectoral and international perspectives of special issue articles are more urgent than ever. A greater understanding, appreciation, and application of health literacy can support policy action on multiple levels to address major public health challenges. Health literacy should be built deliberately as a population-level resource and community asset. We have summarized the set of articles in this special issue across the levels of the SEM, hoping their thoughtful considerations and interesting findings will help to support global health and wellness and inspire future research, policy, and practice in this global public health emergency and beyond.","container-title":"International Journal of Environmental Research and Public Health","DOI":"10.3390/ijerph17093010","ISSN":"1660-4601","issue":"9","language":"en","license":"http://creativecommons.org/licenses/by/3.0/","note":"number: 9\npublisher: Multidisciplinary Digital Publishing Institute","page":"3010","source":"www.mdpi.com","title":"Interdisciplinary Perspectives on Health Literacy Research Around the World: More Important Than Ever in a Time of COVID-19","title-short":"Interdisciplinary Perspectives on Health Literacy Research Around the World","volume":"17","author":[{"family":"Sentell","given":"Tetine"},{"family":"Vamos","given":"Sandra"},{"family":"Okan","given":"Orkan"}],"issued":{"date-parts":[["2020",1]]}}}],"schema":"https://github.com/citation-style-language/schema/raw/master/csl-citation.json"} </w:instrText>
      </w:r>
      <w:r w:rsidR="001B4512" w:rsidRPr="00424BD3">
        <w:rPr>
          <w:rFonts w:eastAsia="Arial" w:cs="Arial"/>
          <w:szCs w:val="24"/>
        </w:rPr>
        <w:fldChar w:fldCharType="separate"/>
      </w:r>
      <w:r w:rsidR="001B4512" w:rsidRPr="00424BD3">
        <w:rPr>
          <w:rFonts w:cs="Arial"/>
        </w:rPr>
        <w:t>(Sentell et al., 2020)</w:t>
      </w:r>
      <w:r w:rsidR="001B4512" w:rsidRPr="00424BD3">
        <w:rPr>
          <w:rFonts w:eastAsia="Arial" w:cs="Arial"/>
          <w:szCs w:val="24"/>
        </w:rPr>
        <w:fldChar w:fldCharType="end"/>
      </w:r>
      <w:r w:rsidRPr="00424BD3">
        <w:rPr>
          <w:rFonts w:eastAsia="Arial" w:cs="Arial"/>
          <w:szCs w:val="24"/>
        </w:rPr>
        <w:t xml:space="preserve">. </w:t>
      </w:r>
      <w:r w:rsidR="004D726E" w:rsidRPr="00424BD3">
        <w:rPr>
          <w:rFonts w:eastAsia="Arial" w:cs="Arial"/>
          <w:szCs w:val="24"/>
        </w:rPr>
        <w:t>This is because t</w:t>
      </w:r>
      <w:r w:rsidRPr="00424BD3">
        <w:rPr>
          <w:rFonts w:eastAsia="Arial" w:cs="Arial"/>
          <w:szCs w:val="24"/>
        </w:rPr>
        <w:t>he women in th</w:t>
      </w:r>
      <w:r w:rsidR="004D726E" w:rsidRPr="00424BD3">
        <w:rPr>
          <w:rFonts w:eastAsia="Arial" w:cs="Arial"/>
          <w:szCs w:val="24"/>
        </w:rPr>
        <w:t>is</w:t>
      </w:r>
      <w:r w:rsidRPr="00424BD3">
        <w:rPr>
          <w:rFonts w:eastAsia="Arial" w:cs="Arial"/>
          <w:szCs w:val="24"/>
        </w:rPr>
        <w:t xml:space="preserve"> study were born, lived, and worked in multiple places across the U.S. and abroad </w:t>
      </w:r>
      <w:r w:rsidR="00C86F79" w:rsidRPr="00424BD3">
        <w:rPr>
          <w:rFonts w:eastAsia="Arial" w:cs="Arial"/>
          <w:szCs w:val="24"/>
        </w:rPr>
        <w:t xml:space="preserve">which </w:t>
      </w:r>
      <w:r w:rsidR="004D726E" w:rsidRPr="00424BD3">
        <w:rPr>
          <w:rFonts w:eastAsia="Arial" w:cs="Arial"/>
          <w:szCs w:val="24"/>
        </w:rPr>
        <w:t>indicates</w:t>
      </w:r>
      <w:r w:rsidR="00C86F79" w:rsidRPr="00424BD3">
        <w:rPr>
          <w:rFonts w:eastAsia="Arial" w:cs="Arial"/>
          <w:szCs w:val="24"/>
        </w:rPr>
        <w:t xml:space="preserve"> that their health literacy </w:t>
      </w:r>
      <w:r w:rsidR="004D726E" w:rsidRPr="00424BD3">
        <w:rPr>
          <w:rFonts w:eastAsia="Arial" w:cs="Arial"/>
          <w:szCs w:val="24"/>
        </w:rPr>
        <w:t>may have been</w:t>
      </w:r>
      <w:r w:rsidR="00C86F79" w:rsidRPr="00424BD3">
        <w:rPr>
          <w:rFonts w:eastAsia="Arial" w:cs="Arial"/>
          <w:szCs w:val="24"/>
        </w:rPr>
        <w:t xml:space="preserve"> produced at macro-level</w:t>
      </w:r>
      <w:r w:rsidR="004D726E" w:rsidRPr="00424BD3">
        <w:rPr>
          <w:rFonts w:eastAsia="Arial" w:cs="Arial"/>
          <w:szCs w:val="24"/>
        </w:rPr>
        <w:t xml:space="preserve">. </w:t>
      </w:r>
      <w:r w:rsidR="00CD2106" w:rsidRPr="00424BD3">
        <w:rPr>
          <w:rFonts w:eastAsia="Arial" w:cs="Arial"/>
          <w:szCs w:val="24"/>
        </w:rPr>
        <w:t xml:space="preserve">Some mentioned systemic lack of healthcare education and knowledge both on the part of decision-makers and older women. </w:t>
      </w:r>
    </w:p>
    <w:p w14:paraId="54E13877" w14:textId="484D072F" w:rsidR="00CD2106" w:rsidRPr="00424BD3" w:rsidRDefault="00846F77" w:rsidP="000126EE">
      <w:pPr>
        <w:spacing w:after="0" w:line="480" w:lineRule="auto"/>
        <w:ind w:left="720"/>
        <w:rPr>
          <w:rFonts w:eastAsia="Arial" w:cs="Arial"/>
          <w:szCs w:val="24"/>
        </w:rPr>
      </w:pPr>
      <w:r w:rsidRPr="00424BD3">
        <w:rPr>
          <w:rFonts w:eastAsia="Arial" w:cs="Arial"/>
          <w:szCs w:val="24"/>
        </w:rPr>
        <w:lastRenderedPageBreak/>
        <w:t>Ruth said: “</w:t>
      </w:r>
      <w:r w:rsidR="00CD2106" w:rsidRPr="00424BD3">
        <w:rPr>
          <w:rFonts w:eastAsia="Arial" w:cs="Arial"/>
          <w:szCs w:val="24"/>
        </w:rPr>
        <w:t>The other thing is when...a lot of people just don't pay attention, and they don't have a lot of money, so they don't know about health care, and they don't know how to take care of themselves. I think one of the biggest problems that I see</w:t>
      </w:r>
      <w:r w:rsidR="00831677">
        <w:rPr>
          <w:rFonts w:eastAsia="Arial" w:cs="Arial"/>
          <w:szCs w:val="24"/>
        </w:rPr>
        <w:t>,</w:t>
      </w:r>
      <w:r w:rsidR="00CD2106" w:rsidRPr="00424BD3">
        <w:rPr>
          <w:rFonts w:eastAsia="Arial" w:cs="Arial"/>
          <w:szCs w:val="24"/>
        </w:rPr>
        <w:t xml:space="preserve"> too</w:t>
      </w:r>
      <w:r w:rsidR="00831677">
        <w:rPr>
          <w:rFonts w:eastAsia="Arial" w:cs="Arial"/>
          <w:szCs w:val="24"/>
        </w:rPr>
        <w:t>,</w:t>
      </w:r>
      <w:r w:rsidR="00CD2106" w:rsidRPr="00424BD3">
        <w:rPr>
          <w:rFonts w:eastAsia="Arial" w:cs="Arial"/>
          <w:szCs w:val="24"/>
        </w:rPr>
        <w:t xml:space="preserve"> with the health disparity is the schools…They have cut back on physical education, and I had </w:t>
      </w:r>
      <w:r w:rsidR="004E5A18" w:rsidRPr="00424BD3">
        <w:rPr>
          <w:rFonts w:eastAsia="Arial" w:cs="Arial"/>
          <w:szCs w:val="24"/>
        </w:rPr>
        <w:t>‘</w:t>
      </w:r>
      <w:r w:rsidR="00CD2106" w:rsidRPr="00424BD3">
        <w:rPr>
          <w:rFonts w:eastAsia="Arial" w:cs="Arial"/>
          <w:szCs w:val="24"/>
        </w:rPr>
        <w:t>phy</w:t>
      </w:r>
      <w:r w:rsidR="007A6DCB" w:rsidRPr="00424BD3">
        <w:rPr>
          <w:rFonts w:eastAsia="Arial" w:cs="Arial"/>
          <w:szCs w:val="24"/>
        </w:rPr>
        <w:t>s</w:t>
      </w:r>
      <w:r w:rsidR="00CD2106" w:rsidRPr="00424BD3">
        <w:rPr>
          <w:rFonts w:eastAsia="Arial" w:cs="Arial"/>
          <w:szCs w:val="24"/>
        </w:rPr>
        <w:t xml:space="preserve"> ed</w:t>
      </w:r>
      <w:r w:rsidR="004E5A18" w:rsidRPr="00424BD3">
        <w:rPr>
          <w:rFonts w:eastAsia="Arial" w:cs="Arial"/>
          <w:szCs w:val="24"/>
        </w:rPr>
        <w:t>’</w:t>
      </w:r>
      <w:r w:rsidR="00CD2106" w:rsidRPr="00424BD3">
        <w:rPr>
          <w:rFonts w:eastAsia="Arial" w:cs="Arial"/>
          <w:szCs w:val="24"/>
        </w:rPr>
        <w:t xml:space="preserve"> </w:t>
      </w:r>
      <w:r w:rsidR="004E5A18" w:rsidRPr="00424BD3">
        <w:rPr>
          <w:rFonts w:eastAsia="Arial" w:cs="Arial"/>
          <w:szCs w:val="24"/>
        </w:rPr>
        <w:t xml:space="preserve">[physical education] </w:t>
      </w:r>
      <w:r w:rsidR="00CD2106" w:rsidRPr="00424BD3">
        <w:rPr>
          <w:rFonts w:eastAsia="Arial" w:cs="Arial"/>
          <w:szCs w:val="24"/>
        </w:rPr>
        <w:t xml:space="preserve">in junior high and high school four days a week and the fifth day was health...classes. </w:t>
      </w:r>
      <w:r w:rsidR="00572860">
        <w:rPr>
          <w:rFonts w:eastAsia="Arial" w:cs="Arial"/>
          <w:szCs w:val="24"/>
        </w:rPr>
        <w:t>I</w:t>
      </w:r>
      <w:r w:rsidR="00CD2106" w:rsidRPr="00424BD3">
        <w:rPr>
          <w:rFonts w:eastAsia="Arial" w:cs="Arial"/>
          <w:szCs w:val="24"/>
        </w:rPr>
        <w:t>t's not just the lower income people that are suffering</w:t>
      </w:r>
      <w:r w:rsidR="00572860">
        <w:rPr>
          <w:rFonts w:eastAsia="Arial" w:cs="Arial"/>
          <w:szCs w:val="24"/>
        </w:rPr>
        <w:t>…</w:t>
      </w:r>
      <w:r w:rsidR="00CD2106" w:rsidRPr="00424BD3">
        <w:rPr>
          <w:rFonts w:eastAsia="Arial" w:cs="Arial"/>
          <w:szCs w:val="24"/>
        </w:rPr>
        <w:t xml:space="preserve"> it's...systemic. And then it comes into play later in life on that type of thing. There's only so much the medical care community can do, but education has got to go back and swing the pendulum back the other way. They're putting academics over phys ed, over physical well-being, and in health class, we learned good nutrition, had home ec (home economics)</w:t>
      </w:r>
      <w:r w:rsidR="00B614FB">
        <w:rPr>
          <w:rFonts w:eastAsia="Arial" w:cs="Arial"/>
          <w:szCs w:val="24"/>
        </w:rPr>
        <w:t>,</w:t>
      </w:r>
      <w:r w:rsidR="00CD2106" w:rsidRPr="00424BD3">
        <w:rPr>
          <w:rFonts w:eastAsia="Arial" w:cs="Arial"/>
          <w:szCs w:val="24"/>
        </w:rPr>
        <w:t xml:space="preserve"> learned good nutrition. They don't teach any of that anymore</w:t>
      </w:r>
      <w:r w:rsidR="00561C3C">
        <w:rPr>
          <w:rFonts w:eastAsia="Arial" w:cs="Arial"/>
          <w:szCs w:val="24"/>
        </w:rPr>
        <w:t>…</w:t>
      </w:r>
      <w:r w:rsidR="00CD2106" w:rsidRPr="00424BD3">
        <w:rPr>
          <w:rFonts w:eastAsia="Arial" w:cs="Arial"/>
          <w:szCs w:val="24"/>
        </w:rPr>
        <w:t xml:space="preserve"> so there's a lot of inequalities, all the way up the line, and part of it's to do with economics, but </w:t>
      </w:r>
      <w:r w:rsidR="0036335D">
        <w:rPr>
          <w:rFonts w:eastAsia="Arial" w:cs="Arial"/>
          <w:szCs w:val="24"/>
        </w:rPr>
        <w:t xml:space="preserve">part </w:t>
      </w:r>
      <w:r w:rsidR="00CD2106" w:rsidRPr="00424BD3">
        <w:rPr>
          <w:rFonts w:eastAsia="Arial" w:cs="Arial"/>
          <w:szCs w:val="24"/>
        </w:rPr>
        <w:t>of it's to do with education."</w:t>
      </w:r>
    </w:p>
    <w:p w14:paraId="32424818" w14:textId="42EDD93F" w:rsidR="005D29CD" w:rsidRDefault="007D3135" w:rsidP="000126EE">
      <w:pPr>
        <w:spacing w:after="0" w:line="480" w:lineRule="auto"/>
        <w:ind w:firstLine="720"/>
        <w:rPr>
          <w:rFonts w:eastAsia="Arial" w:cs="Arial"/>
          <w:szCs w:val="24"/>
        </w:rPr>
      </w:pPr>
      <w:r w:rsidRPr="00424BD3">
        <w:rPr>
          <w:rFonts w:eastAsia="Arial" w:cs="Arial"/>
          <w:szCs w:val="24"/>
        </w:rPr>
        <w:t xml:space="preserve">The inclusion of Ruth’s comment almost in entirety </w:t>
      </w:r>
      <w:r w:rsidR="00A46683" w:rsidRPr="00424BD3">
        <w:rPr>
          <w:rFonts w:eastAsia="Arial" w:cs="Arial"/>
          <w:szCs w:val="24"/>
        </w:rPr>
        <w:t xml:space="preserve">is because it shows the </w:t>
      </w:r>
      <w:r w:rsidR="003C6BA5" w:rsidRPr="00424BD3">
        <w:rPr>
          <w:rFonts w:eastAsia="Arial" w:cs="Arial"/>
          <w:szCs w:val="24"/>
        </w:rPr>
        <w:t xml:space="preserve">complicated nature of </w:t>
      </w:r>
      <w:r w:rsidR="00D474BB" w:rsidRPr="00424BD3">
        <w:rPr>
          <w:rFonts w:eastAsia="Arial" w:cs="Arial"/>
          <w:szCs w:val="24"/>
        </w:rPr>
        <w:t xml:space="preserve">how some of the women perceived </w:t>
      </w:r>
      <w:r w:rsidR="00EC2015" w:rsidRPr="00424BD3">
        <w:rPr>
          <w:rFonts w:eastAsia="Arial" w:cs="Arial"/>
          <w:szCs w:val="24"/>
        </w:rPr>
        <w:t xml:space="preserve">drivers of health inequities. Ruth </w:t>
      </w:r>
      <w:r w:rsidR="0064253A" w:rsidRPr="00424BD3">
        <w:rPr>
          <w:rFonts w:eastAsia="Arial" w:cs="Arial"/>
          <w:szCs w:val="24"/>
        </w:rPr>
        <w:t xml:space="preserve">understood that lack of health literacy (not knowing about healthcare, not knowing how to take care of oneself) was a part of health inequities. But </w:t>
      </w:r>
      <w:r w:rsidR="005179AC" w:rsidRPr="00424BD3">
        <w:rPr>
          <w:rFonts w:eastAsia="Arial" w:cs="Arial"/>
          <w:szCs w:val="24"/>
        </w:rPr>
        <w:t>Ruth</w:t>
      </w:r>
      <w:r w:rsidR="0064253A" w:rsidRPr="00424BD3">
        <w:rPr>
          <w:rFonts w:eastAsia="Arial" w:cs="Arial"/>
          <w:szCs w:val="24"/>
        </w:rPr>
        <w:t xml:space="preserve"> switched then to </w:t>
      </w:r>
      <w:r w:rsidR="00B6193E" w:rsidRPr="00424BD3">
        <w:rPr>
          <w:rFonts w:eastAsia="Arial" w:cs="Arial"/>
          <w:szCs w:val="24"/>
        </w:rPr>
        <w:t>a solution-oriented approach to solving the health literacy through reintroduction of physical education in the Tennessee school systems</w:t>
      </w:r>
      <w:r w:rsidR="00437A3F" w:rsidRPr="00424BD3">
        <w:rPr>
          <w:rFonts w:eastAsia="Arial" w:cs="Arial"/>
          <w:szCs w:val="24"/>
        </w:rPr>
        <w:t xml:space="preserve"> – placing physical education over academics</w:t>
      </w:r>
      <w:r w:rsidR="00B6193E" w:rsidRPr="00424BD3">
        <w:rPr>
          <w:rFonts w:eastAsia="Arial" w:cs="Arial"/>
          <w:szCs w:val="24"/>
        </w:rPr>
        <w:t xml:space="preserve">. </w:t>
      </w:r>
      <w:r w:rsidR="001E474E" w:rsidRPr="00424BD3">
        <w:rPr>
          <w:rFonts w:eastAsia="Arial" w:cs="Arial"/>
          <w:szCs w:val="24"/>
        </w:rPr>
        <w:t xml:space="preserve">However, </w:t>
      </w:r>
      <w:r w:rsidR="00A95C3D" w:rsidRPr="00424BD3">
        <w:rPr>
          <w:rFonts w:eastAsia="Arial" w:cs="Arial"/>
          <w:szCs w:val="24"/>
        </w:rPr>
        <w:t xml:space="preserve">Ruth’s referral to the removal of health education classes and home economics classes in today’s </w:t>
      </w:r>
      <w:r w:rsidR="00FF794B" w:rsidRPr="00424BD3">
        <w:rPr>
          <w:rFonts w:eastAsia="Arial" w:cs="Arial"/>
          <w:szCs w:val="24"/>
        </w:rPr>
        <w:t xml:space="preserve">Tennessee </w:t>
      </w:r>
      <w:r w:rsidR="00A95C3D" w:rsidRPr="00424BD3">
        <w:rPr>
          <w:rFonts w:eastAsia="Arial" w:cs="Arial"/>
          <w:szCs w:val="24"/>
        </w:rPr>
        <w:t>school system, and the impact that this may have had on</w:t>
      </w:r>
      <w:r w:rsidR="00437A3F" w:rsidRPr="00424BD3">
        <w:rPr>
          <w:rFonts w:eastAsia="Arial" w:cs="Arial"/>
          <w:szCs w:val="24"/>
        </w:rPr>
        <w:t xml:space="preserve"> (presum</w:t>
      </w:r>
      <w:r w:rsidR="00066BFF" w:rsidRPr="00424BD3">
        <w:rPr>
          <w:rFonts w:eastAsia="Arial" w:cs="Arial"/>
          <w:szCs w:val="24"/>
        </w:rPr>
        <w:t>ably)</w:t>
      </w:r>
      <w:r w:rsidR="00A95C3D" w:rsidRPr="00424BD3">
        <w:rPr>
          <w:rFonts w:eastAsia="Arial" w:cs="Arial"/>
          <w:szCs w:val="24"/>
        </w:rPr>
        <w:t xml:space="preserve"> </w:t>
      </w:r>
      <w:r w:rsidR="0057100E" w:rsidRPr="00424BD3">
        <w:rPr>
          <w:rFonts w:eastAsia="Arial" w:cs="Arial"/>
          <w:szCs w:val="24"/>
        </w:rPr>
        <w:t>young people</w:t>
      </w:r>
      <w:r w:rsidR="008342B8" w:rsidRPr="00424BD3">
        <w:rPr>
          <w:rFonts w:eastAsia="Arial" w:cs="Arial"/>
          <w:szCs w:val="24"/>
        </w:rPr>
        <w:t xml:space="preserve"> today, does speak to the removal of some </w:t>
      </w:r>
      <w:r w:rsidR="008342B8" w:rsidRPr="00424BD3">
        <w:rPr>
          <w:rFonts w:eastAsia="Arial" w:cs="Arial"/>
          <w:szCs w:val="24"/>
        </w:rPr>
        <w:lastRenderedPageBreak/>
        <w:t>prior avenues of health literacy provision</w:t>
      </w:r>
      <w:r w:rsidR="00FF794B" w:rsidRPr="00424BD3">
        <w:rPr>
          <w:rFonts w:eastAsia="Arial" w:cs="Arial"/>
          <w:szCs w:val="24"/>
        </w:rPr>
        <w:t xml:space="preserve"> in the state</w:t>
      </w:r>
      <w:r w:rsidR="008342B8" w:rsidRPr="00424BD3">
        <w:rPr>
          <w:rFonts w:eastAsia="Arial" w:cs="Arial"/>
          <w:szCs w:val="24"/>
        </w:rPr>
        <w:t xml:space="preserve">. </w:t>
      </w:r>
      <w:r w:rsidR="005D29CD" w:rsidRPr="00424BD3">
        <w:rPr>
          <w:rFonts w:eastAsia="Arial" w:cs="Arial"/>
          <w:szCs w:val="24"/>
        </w:rPr>
        <w:t xml:space="preserve">Nevertheless, </w:t>
      </w:r>
      <w:r w:rsidR="00340946">
        <w:rPr>
          <w:rFonts w:eastAsia="Arial" w:cs="Arial"/>
          <w:szCs w:val="24"/>
        </w:rPr>
        <w:t>Ruth’</w:t>
      </w:r>
      <w:r w:rsidR="00340946" w:rsidRPr="00424BD3">
        <w:rPr>
          <w:rFonts w:eastAsia="Arial" w:cs="Arial"/>
          <w:szCs w:val="24"/>
        </w:rPr>
        <w:t xml:space="preserve">s </w:t>
      </w:r>
      <w:r w:rsidR="005D29CD" w:rsidRPr="00424BD3">
        <w:rPr>
          <w:rFonts w:eastAsia="Arial" w:cs="Arial"/>
          <w:szCs w:val="24"/>
        </w:rPr>
        <w:t>comments reflect her awareness of the lack of health literacy she has encountered in those around her contributes to health inequities</w:t>
      </w:r>
      <w:r w:rsidR="00911FA2" w:rsidRPr="00424BD3">
        <w:rPr>
          <w:rFonts w:eastAsia="Arial" w:cs="Arial"/>
          <w:szCs w:val="24"/>
        </w:rPr>
        <w:t xml:space="preserve"> </w:t>
      </w:r>
      <w:r w:rsidR="005D29CD" w:rsidRPr="00424BD3">
        <w:rPr>
          <w:rFonts w:eastAsia="Arial" w:cs="Arial"/>
          <w:szCs w:val="24"/>
        </w:rPr>
        <w:t xml:space="preserve">and confirms the literature that health education and awareness is a driver of health inequities. </w:t>
      </w:r>
    </w:p>
    <w:p w14:paraId="72C893AE" w14:textId="75FB4772" w:rsidR="00CD2106" w:rsidRDefault="003417C6" w:rsidP="00287BBD">
      <w:pPr>
        <w:pStyle w:val="Heading2"/>
        <w:spacing w:before="0" w:line="480" w:lineRule="auto"/>
        <w:jc w:val="center"/>
        <w:rPr>
          <w:rFonts w:ascii="Arial" w:eastAsia="Arial" w:hAnsi="Arial" w:cs="Arial"/>
          <w:b/>
          <w:bCs/>
          <w:color w:val="auto"/>
          <w:sz w:val="24"/>
          <w:szCs w:val="24"/>
        </w:rPr>
      </w:pPr>
      <w:bookmarkStart w:id="98" w:name="_Toc118232364"/>
      <w:r w:rsidRPr="00456FB2">
        <w:rPr>
          <w:rFonts w:ascii="Arial" w:eastAsia="Arial" w:hAnsi="Arial" w:cs="Arial"/>
          <w:b/>
          <w:bCs/>
          <w:color w:val="auto"/>
          <w:sz w:val="24"/>
          <w:szCs w:val="24"/>
        </w:rPr>
        <w:t xml:space="preserve">Gender </w:t>
      </w:r>
      <w:r w:rsidR="00720332">
        <w:rPr>
          <w:rFonts w:ascii="Arial" w:eastAsia="Arial" w:hAnsi="Arial" w:cs="Arial"/>
          <w:b/>
          <w:bCs/>
          <w:color w:val="auto"/>
          <w:sz w:val="24"/>
          <w:szCs w:val="24"/>
        </w:rPr>
        <w:t>B</w:t>
      </w:r>
      <w:r w:rsidRPr="00456FB2">
        <w:rPr>
          <w:rFonts w:ascii="Arial" w:eastAsia="Arial" w:hAnsi="Arial" w:cs="Arial"/>
          <w:b/>
          <w:bCs/>
          <w:color w:val="auto"/>
          <w:sz w:val="24"/>
          <w:szCs w:val="24"/>
        </w:rPr>
        <w:t xml:space="preserve">ias in </w:t>
      </w:r>
      <w:r w:rsidR="00720332">
        <w:rPr>
          <w:rFonts w:ascii="Arial" w:eastAsia="Arial" w:hAnsi="Arial" w:cs="Arial"/>
          <w:b/>
          <w:bCs/>
          <w:color w:val="auto"/>
          <w:sz w:val="24"/>
          <w:szCs w:val="24"/>
        </w:rPr>
        <w:t>C</w:t>
      </w:r>
      <w:r w:rsidR="00CD2106" w:rsidRPr="00456FB2">
        <w:rPr>
          <w:rFonts w:ascii="Arial" w:eastAsia="Arial" w:hAnsi="Arial" w:cs="Arial"/>
          <w:b/>
          <w:bCs/>
          <w:color w:val="auto"/>
          <w:sz w:val="24"/>
          <w:szCs w:val="24"/>
        </w:rPr>
        <w:t xml:space="preserve">linical </w:t>
      </w:r>
      <w:r w:rsidR="00720332">
        <w:rPr>
          <w:rFonts w:ascii="Arial" w:eastAsia="Arial" w:hAnsi="Arial" w:cs="Arial"/>
          <w:b/>
          <w:bCs/>
          <w:color w:val="auto"/>
          <w:sz w:val="24"/>
          <w:szCs w:val="24"/>
        </w:rPr>
        <w:t>C</w:t>
      </w:r>
      <w:r w:rsidR="00CD2106" w:rsidRPr="00456FB2">
        <w:rPr>
          <w:rFonts w:ascii="Arial" w:eastAsia="Arial" w:hAnsi="Arial" w:cs="Arial"/>
          <w:b/>
          <w:bCs/>
          <w:color w:val="auto"/>
          <w:sz w:val="24"/>
          <w:szCs w:val="24"/>
        </w:rPr>
        <w:t xml:space="preserve">are and </w:t>
      </w:r>
      <w:r w:rsidR="00720332">
        <w:rPr>
          <w:rFonts w:ascii="Arial" w:eastAsia="Arial" w:hAnsi="Arial" w:cs="Arial"/>
          <w:b/>
          <w:bCs/>
          <w:color w:val="auto"/>
          <w:sz w:val="24"/>
          <w:szCs w:val="24"/>
        </w:rPr>
        <w:t>H</w:t>
      </w:r>
      <w:r w:rsidR="00CD2106" w:rsidRPr="00456FB2">
        <w:rPr>
          <w:rFonts w:ascii="Arial" w:eastAsia="Arial" w:hAnsi="Arial" w:cs="Arial"/>
          <w:b/>
          <w:bCs/>
          <w:color w:val="auto"/>
          <w:sz w:val="24"/>
          <w:szCs w:val="24"/>
        </w:rPr>
        <w:t xml:space="preserve">ealth </w:t>
      </w:r>
      <w:r w:rsidR="00720332">
        <w:rPr>
          <w:rFonts w:ascii="Arial" w:eastAsia="Arial" w:hAnsi="Arial" w:cs="Arial"/>
          <w:b/>
          <w:bCs/>
          <w:color w:val="auto"/>
          <w:sz w:val="24"/>
          <w:szCs w:val="24"/>
        </w:rPr>
        <w:t>R</w:t>
      </w:r>
      <w:r w:rsidR="00CD2106" w:rsidRPr="00456FB2">
        <w:rPr>
          <w:rFonts w:ascii="Arial" w:eastAsia="Arial" w:hAnsi="Arial" w:cs="Arial"/>
          <w:b/>
          <w:bCs/>
          <w:color w:val="auto"/>
          <w:sz w:val="24"/>
          <w:szCs w:val="24"/>
        </w:rPr>
        <w:t xml:space="preserve">esearch </w:t>
      </w:r>
      <w:r w:rsidR="00720332">
        <w:rPr>
          <w:rFonts w:ascii="Arial" w:eastAsia="Arial" w:hAnsi="Arial" w:cs="Arial"/>
          <w:b/>
          <w:bCs/>
          <w:color w:val="auto"/>
          <w:sz w:val="24"/>
          <w:szCs w:val="24"/>
        </w:rPr>
        <w:t>T</w:t>
      </w:r>
      <w:r w:rsidR="00CD2106" w:rsidRPr="00456FB2">
        <w:rPr>
          <w:rFonts w:ascii="Arial" w:eastAsia="Arial" w:hAnsi="Arial" w:cs="Arial"/>
          <w:b/>
          <w:bCs/>
          <w:color w:val="auto"/>
          <w:sz w:val="24"/>
          <w:szCs w:val="24"/>
        </w:rPr>
        <w:t xml:space="preserve">ailored to </w:t>
      </w:r>
      <w:r w:rsidRPr="00456FB2">
        <w:rPr>
          <w:rFonts w:ascii="Arial" w:eastAsia="Arial" w:hAnsi="Arial" w:cs="Arial"/>
          <w:b/>
          <w:bCs/>
          <w:color w:val="auto"/>
          <w:sz w:val="24"/>
          <w:szCs w:val="24"/>
        </w:rPr>
        <w:t>(</w:t>
      </w:r>
      <w:r w:rsidR="00E502BE">
        <w:rPr>
          <w:rFonts w:ascii="Arial" w:eastAsia="Arial" w:hAnsi="Arial" w:cs="Arial"/>
          <w:b/>
          <w:bCs/>
          <w:color w:val="auto"/>
          <w:sz w:val="24"/>
          <w:szCs w:val="24"/>
        </w:rPr>
        <w:t>O</w:t>
      </w:r>
      <w:r w:rsidR="00CD2106" w:rsidRPr="00456FB2">
        <w:rPr>
          <w:rFonts w:ascii="Arial" w:eastAsia="Arial" w:hAnsi="Arial" w:cs="Arial"/>
          <w:b/>
          <w:bCs/>
          <w:color w:val="auto"/>
          <w:sz w:val="24"/>
          <w:szCs w:val="24"/>
        </w:rPr>
        <w:t>lder</w:t>
      </w:r>
      <w:r w:rsidRPr="00456FB2">
        <w:rPr>
          <w:rFonts w:ascii="Arial" w:eastAsia="Arial" w:hAnsi="Arial" w:cs="Arial"/>
          <w:b/>
          <w:bCs/>
          <w:color w:val="auto"/>
          <w:sz w:val="24"/>
          <w:szCs w:val="24"/>
        </w:rPr>
        <w:t>)</w:t>
      </w:r>
      <w:r w:rsidR="00CD2106" w:rsidRPr="00456FB2">
        <w:rPr>
          <w:rFonts w:ascii="Arial" w:eastAsia="Arial" w:hAnsi="Arial" w:cs="Arial"/>
          <w:b/>
          <w:bCs/>
          <w:color w:val="auto"/>
          <w:sz w:val="24"/>
          <w:szCs w:val="24"/>
        </w:rPr>
        <w:t xml:space="preserve"> </w:t>
      </w:r>
      <w:r w:rsidR="00E502BE">
        <w:rPr>
          <w:rFonts w:ascii="Arial" w:eastAsia="Arial" w:hAnsi="Arial" w:cs="Arial"/>
          <w:b/>
          <w:bCs/>
          <w:color w:val="auto"/>
          <w:sz w:val="24"/>
          <w:szCs w:val="24"/>
        </w:rPr>
        <w:t>W</w:t>
      </w:r>
      <w:r w:rsidR="00CD2106" w:rsidRPr="00456FB2">
        <w:rPr>
          <w:rFonts w:ascii="Arial" w:eastAsia="Arial" w:hAnsi="Arial" w:cs="Arial"/>
          <w:b/>
          <w:bCs/>
          <w:color w:val="auto"/>
          <w:sz w:val="24"/>
          <w:szCs w:val="24"/>
        </w:rPr>
        <w:t>omen</w:t>
      </w:r>
      <w:bookmarkEnd w:id="98"/>
    </w:p>
    <w:p w14:paraId="0E1B37E2" w14:textId="24982F92" w:rsidR="005834F3" w:rsidRPr="00424BD3" w:rsidRDefault="0050091A" w:rsidP="00287BBD">
      <w:pPr>
        <w:spacing w:after="0" w:line="480" w:lineRule="auto"/>
        <w:ind w:firstLine="720"/>
        <w:rPr>
          <w:rFonts w:eastAsia="Arial" w:cs="Arial"/>
          <w:szCs w:val="24"/>
        </w:rPr>
      </w:pPr>
      <w:r w:rsidRPr="00424BD3">
        <w:rPr>
          <w:rFonts w:eastAsia="Arial" w:cs="Arial"/>
          <w:szCs w:val="24"/>
        </w:rPr>
        <w:t xml:space="preserve">The literature </w:t>
      </w:r>
      <w:r w:rsidR="00DB1799" w:rsidRPr="00424BD3">
        <w:rPr>
          <w:rFonts w:eastAsia="Arial" w:cs="Arial"/>
          <w:szCs w:val="24"/>
        </w:rPr>
        <w:t>confirms</w:t>
      </w:r>
      <w:r w:rsidR="00A535F0" w:rsidRPr="00424BD3">
        <w:rPr>
          <w:rFonts w:eastAsia="Arial" w:cs="Arial"/>
          <w:szCs w:val="24"/>
        </w:rPr>
        <w:t xml:space="preserve"> that gender-bias exists in clinical </w:t>
      </w:r>
      <w:r w:rsidR="00170032" w:rsidRPr="00424BD3">
        <w:rPr>
          <w:rFonts w:eastAsia="Arial" w:cs="Arial"/>
          <w:szCs w:val="24"/>
        </w:rPr>
        <w:t xml:space="preserve">diagnosis, </w:t>
      </w:r>
      <w:r w:rsidR="00E0034F" w:rsidRPr="00424BD3">
        <w:rPr>
          <w:rFonts w:eastAsia="Arial" w:cs="Arial"/>
          <w:szCs w:val="24"/>
        </w:rPr>
        <w:t xml:space="preserve">medical </w:t>
      </w:r>
      <w:r w:rsidR="00A535F0" w:rsidRPr="00424BD3">
        <w:rPr>
          <w:rFonts w:eastAsia="Arial" w:cs="Arial"/>
          <w:szCs w:val="24"/>
        </w:rPr>
        <w:t xml:space="preserve">care and </w:t>
      </w:r>
      <w:r w:rsidR="00E0034F" w:rsidRPr="00424BD3">
        <w:rPr>
          <w:rFonts w:eastAsia="Arial" w:cs="Arial"/>
          <w:szCs w:val="24"/>
        </w:rPr>
        <w:t>health</w:t>
      </w:r>
      <w:r w:rsidR="00A535F0" w:rsidRPr="00424BD3">
        <w:rPr>
          <w:rFonts w:eastAsia="Arial" w:cs="Arial"/>
          <w:szCs w:val="24"/>
        </w:rPr>
        <w:t xml:space="preserve"> research approaches to women</w:t>
      </w:r>
      <w:r w:rsidR="00336187" w:rsidRPr="00424BD3">
        <w:rPr>
          <w:rFonts w:eastAsia="Arial" w:cs="Arial"/>
          <w:szCs w:val="24"/>
        </w:rPr>
        <w:t xml:space="preserve"> </w:t>
      </w:r>
      <w:r w:rsidR="00CB4F79" w:rsidRPr="00424BD3">
        <w:rPr>
          <w:rFonts w:eastAsia="Arial" w:cs="Arial"/>
          <w:szCs w:val="24"/>
        </w:rPr>
        <w:fldChar w:fldCharType="begin"/>
      </w:r>
      <w:r w:rsidR="00990F3A">
        <w:rPr>
          <w:rFonts w:eastAsia="Arial" w:cs="Arial"/>
          <w:szCs w:val="24"/>
        </w:rPr>
        <w:instrText xml:space="preserve"> ADDIN ZOTERO_ITEM CSL_CITATION {"citationID":"MTOQrDSO","properties":{"formattedCitation":"(Alcalde-Rubio et al., 2020; Burrowes, 2021; Hui et al., 2020; K. A. Liu &amp; Mager, 2016; Maas &amp; Appelman, 2010; Mazure &amp; Jones, 2015; Reynolds et al., 2020; Rios et al., 2020; Salles et al., 2019)","plainCitation":"(Alcalde-Rubio et al., 2020; Burrowes, 2021; Hui et al., 2020; K. A. Liu &amp; Mager, 2016; Maas &amp; Appelman, 2010; Mazure &amp; Jones, 2015; Reynolds et al., 2020; Rios et al., 2020; Salles et al., 2019)","noteIndex":0},"citationItems":[{"id":1256,"uris":["http://zotero.org/users/4946941/items/N2W98IQ7"],"itemData":{"id":1256,"type":"article-journal","container-title":"International Journal for Equity in Health","DOI":"10.1186/s12939-020-01283-4","ISSN":"1475-9276","issue":"1","journalAbbreviation":"International Journal for Equity in Health","page":"166","source":"BioMed Central","title":"Gender disparities in clinical practice: are there any solutions? Scoping review of interventions to overcome or reduce gender bias in clinical practice","title-short":"Gender disparities in clinical practice","volume":"19","author":[{"family":"Alcalde-Rubio","given":"Lorena"},{"family":"Hernández-Aguado","given":"Ildefonso"},{"family":"Parker","given":"Lucy Anne"},{"family":"Bueno-Vergara","given":"Eduardo"},{"family":"Chilet-Rosell","given":"Elisa"}],"issued":{"date-parts":[["2020",9,22]]}}},{"id":1229,"uris":["http://zotero.org/users/4946941/items/CK4D9SMJ"],"itemData":{"id":1229,"type":"webpage","abstract":"The lack of recognition of sex differences in biology and medicine is a huge issue science has only recently begun to rectify.","container-title":"The Conversation","language":"en","title":"Gender bias in medicine and medical research is still putting women's health at risk","URL":"http://theconversation.com/gender-bias-in-medicine-and-medical-research-is-still-putting-womens-health-at-risk-156495","author":[{"family":"Burrowes","given":"Kelly"}],"accessed":{"date-parts":[["2022",8,30]]},"issued":{"date-parts":[["2021",3,7]]}}},{"id":1249,"uris":["http://zotero.org/users/4946941/items/YLNIQQII"],"itemData":{"id":1249,"type":"article-journal","abstract":"KEY POINTS\nFor more than a decade, women have predominated among Canadian medical school graduates, according to data from the Canadian Post-M.D. Education Registry (CAPER). Although, as a profession, medicine still sees pervasive discrimination that disadvantages certain groups over others, one","container-title":"CMAJ","DOI":"10.1503/cmaj.200286","ISSN":"0820-3946, 1488-2329","issue":"42","language":"en","license":"© 2020 Joule Inc. or its licensors","note":"publisher: CMAJ\nsection: Commentary\nPMID: 33077523","page":"E1269-E1270","source":"www.cmaj.ca","title":"Recognizing and addressing implicit gender bias in medicine","volume":"192","author":[{"family":"Hui","given":"Katrina"},{"family":"Sukhera","given":"Javeed"},{"family":"Vigod","given":"Simone"},{"family":"Taylor","given":"Valerie H."},{"family":"Zaheer","given":"Juveria"}],"issued":{"date-parts":[["2020",10,19]]}}},{"id":1243,"uris":["http://zotero.org/users/4946941/items/VZSL9DVV"],"itemData":{"id":1243,"type":"article-journal","abstract":"The importance of considering the differences between the male and female sex in clinical decision-making is crucial. However, it has been acknowledged in recent decades that clinical trials have not always adequately enrolled women or analyzed sex-specific differences in the data. As these deficiencies have hindered the progress of understanding women’s response to medications, agencies in the United States have worked towards the inclusion of women in clinical trials and appropriate analysis of sex-specific data from clinical trials. This review outlines the history and progress of women’s inclusion in clinical trials for prescription drugs and presents considerations for researchers, clinicians, and academicians on this issue.","container-title":"Pharmacy Practice","DOI":"10.18549/PharmPract.2016.01.708","ISSN":"1885-642X","issue":"1","journalAbbreviation":"Pharm Pract (Granada)","note":"PMID: 27011778\nPMCID: PMC4800017","page":"708","source":"PubMed Central","title":"Women’s involvement in clinical trials: historical perspective and future implications","title-short":"Women’s involvement in clinical trials","volume":"14","author":[{"family":"Liu","given":"Katherine A."},{"family":"Mager","given":"Natalie A. Dipietro"}],"issued":{"date-parts":[["2016"]]}}},{"id":1240,"uris":["http://zotero.org/users/4946941/items/FE74TJ3W"],"itemData":{"id":1240,"type":"article-journal","abstract":"Cardiovascular disease develops 7 to 10 years later in women than in men and is still the major cause of death in women. The risk of heart disease in women is often underestimated due to the misperception that females are ‘protected’ against cardiovascular disease. The under-recognition of heart disease and differences in clinical presentation in women lead to less aggressive treatment strategies and a lower representation of women in clinical trials. Furthermore, self-awareness in women and identification of their cardiovascular risk factors needs more attention, which should result in a better prevention of cardiovascular events. In this review we summarise the major issues that are important in the diagnosis and treatment of coronary heart disease in women. (Neth Heart J 2010;18:598–603.21301622)","container-title":"Netherlands Heart Journal","ISSN":"1568-5888","issue":"12","journalAbbreviation":"Neth Heart J","note":"PMID: 21301622\nPMCID: PMC3018605","page":"598-602","source":"PubMed Central","title":"Gender differences in coronary heart disease","volume":"18","author":[{"family":"Maas","given":"A.H.E.M."},{"family":"Appelman","given":"Y.E.A."}],"issued":{"date-parts":[["2010",12]]}}},{"id":1246,"uris":["http://zotero.org/users/4946941/items/RAL3NRAB"],"itemData":{"id":1246,"type":"article-journal","abstract":"Background\nThis paper chronicles attempts in the United States over the past 20 years to fully represent women in clinical trials and ensure the study of sex and gender in biomedical research. We maintain that productive science with the aim of serving the public health requires examining the influence of sex and gender on health outcomes.\n\nDiscussion\nThis section provides a historical perspective on the changes in recommendations and requirements of both the National Institutes of Health — the world’s largest single funder of biomedical research — and the U.S. Food and Drug Administration — the world’s most influential regulator of drugs and medical devices — for the acceptable conduct of research as it relates to sex and gender. We also cite all reports by the U.S. Institute of Medicine and the U.S. Congress’ General Accountability Office issued from 1990 to the present on the inclusion of sex and gender in research, and selected high-impact published studies that illustrate and document the paucity of, yet the need for, inclusion of females and consideration of sex and gender in research across an array of biomedical disciplines.\n\nSummary\nThe key message of this paper is that it has been 20 years since the first requirements to include women as well as men in clinical trials and analyze results by sex were mandated by a U.S. federal law, yet not nearly enough progress has been made. Recent signs of potential change in both policy and practice of scientific inquiry suggest much more progress may be within reach. However, awaiting a cultural shift to allow the study of sex and gender to be embraced is not seen as an effective strategy for change. Rather, specific instrumental recommendations are offered for how to include the study of sex and gender in research so as to increase our understanding and promotion of health for the benefit of all.","container-title":"BMC Women's Health","DOI":"10.1186/s12905-015-0251-9","ISSN":"1472-6874","journalAbbreviation":"BMC Womens Health","note":"PMID: 26503700\nPMCID: PMC4624369","page":"94","source":"PubMed Central","title":"Twenty years and still counting: including women as participants and studying sex and gender in biomedical research","title-short":"Twenty years and still counting","volume":"15","author":[{"family":"Mazure","given":"Carolyn M."},{"family":"Jones","given":"Daniel P."}],"issued":{"date-parts":[["2015",10,26]]}}},{"id":1238,"uris":["http://zotero.org/users/4946941/items/P25AKG8V"],"itemData":{"id":1238,"type":"article-journal","container-title":"Proceedings of the National Academy of Sciences","DOI":"10.1073/pnas.2014403117","issue":"48","note":"publisher: Proceedings of the National Academy of Sciences","page":"30324-30327","source":"pnas.org (Atypon)","title":"Matriliny reverses gender disparities in inflammation and hypertension among the Mosuo of China","volume":"117","author":[{"family":"Reynolds","given":"Adam Z."},{"family":"Wander","given":"Katherine"},{"family":"Sum","given":"Chun-Yi"},{"family":"Su","given":"Mingjie"},{"family":"Emery Thompson","given":"Melissa"},{"family":"Hooper","given":"Paul L."},{"family":"Li","given":"Hui"},{"family":"Shenk","given":"Mary K."},{"family":"Starkweather","given":"Kathrine E."},{"family":"Blumenfield","given":"Tami"},{"family":"Mattison","given":"Siobhán M."}],"issued":{"date-parts":[["2020",12]]}}},{"id":1260,"uris":["http://zotero.org/users/4946941/items/7ZNUN4P2"],"itemData":{"id":1260,"type":"paper-conference","abstract":"Gender bias in biomedical research can have an adverse impact on the health of real people. For example, there is evidence that heart disease-related funded research generally focuses on men. Health disparities can form between men and at-risk groups of women (i.e., elderly and low-income) if there is not an equal number of heart disease-related studies for both genders. In this paper, we study temporal bias in biomedical research articles by measuring gender differences in word embeddings. Speciﬁcally, we address multiple questions, including, How has gender bias changed over time in biomedical research, and what health-related concepts are the most biased? Overall, we ﬁnd that traditional gender stereotypes have reduced over time. However, we also ﬁnd that the embeddings of many medical conditions are as biased today as they were 60 years ago (e.g., concepts related to drug addiction and body dysmorphia).","container-title":"Proceedings of the 19th SIGBioMed Workshop on Biomedical Language Processing","DOI":"10.18653/v1/2020.bionlp-1.1","event-place":"Online","event-title":"Proceedings of the 19th SIGBioMed Workshop on Biomedical Language Processing","language":"en","page":"1-13","publisher":"Association for Computational Linguistics","publisher-place":"Online","source":"DOI.org (Crossref)","title":"Quantifying 60 Years of Gender Bias in Biomedical Research with Word Embeddings","URL":"https://www.aclweb.org/anthology/2020.bionlp-1.1","author":[{"family":"Rios","given":"Anthony"},{"family":"Joshi","given":"Reenam"},{"family":"Shin","given":"Hejin"}],"accessed":{"date-parts":[["2022",8,31]]},"issued":{"date-parts":[["2020"]]}}},{"id":1253,"uris":["http://zotero.org/users/4946941/items/ZLCSGKZQ"],"itemData":{"id":1253,"type":"article-journal","abstract":"The Implicit Association Test (IAT) is a validated tool used to measure implicit biases, which are mental associations shaped by one’s environment that influence interactions with others. Direct evidence of implicit gender biases about women in medicine has yet not been reported, but existing evidence is suggestive of subtle or hidden biases that affect women in medicine.To use data from IATs to assess (1) how health care professionals associate men and women with career and family and (2) how surgeons associate men and women with surgery and family medicine.This data review and cross-sectional study collected data from January 1, 2006, through December 31, 2017, from self-identified health care professionals taking the Gender-Career IAT hosted by Project Implicit to explore bias among self-identified health care professionals. A novel Gender-Specialty IAT was also tested at a national surgical meeting in October 2017. All health care professionals who completed the Gender-Career IAT were eligible for the first analysis. Surgeons of any age, gender, title, and country of origin at the meeting were eligible to participate in the second analysis. Data were analyzed from January 1, 2018, through March 31, 2019.Measure of implicit bias derived from reaction times on the IATs and a measure of explicit bias asked directly to participants.Almost 1 million IAT records from Project Implicit were reviewed, and 131 surgeons (64.9% men; mean [SD] age, 42.3 [11.5] years) were recruited to complete the Gender-Specialty IAT. Healthcare professionals (n = 42 991; 82.0% women; mean [SD] age, 32.7 [11.8] years) held implicit (mean [SD] D score, 0.41 [0.36]; Cohen d = 1.14) and explicit (mean [SD], 1.43 [1.85]; Cohen d = 0.77) biases associating men with career and women with family. Similarly, surgeons implicitly (mean [SD] D score, 0.28 [0.37]; Cohen d = 0.76) and explicitly (men: mean [SD], 1.27 [0.39]; Cohen d = 0.93; women: mean [SD], 0.73 [0.35]; Cohen d = 0.53) associated men with surgery and women with family medicine. There was broad evidence of consensus across social groups in implicit and explicit biases with one exception. Women in healthcare (mean [SD], 1.43 [1.86]; Cohen d = 0.77) and surgery (mean [SD], 0.73 [0.35]; Cohen d = 0.53) were less likely than men to explicitly associate men with career (B coefficient, −0.10; 95% CI, −0.15 to −0.04; P &amp;lt; .001) and surgery (B coefficient, −0.67; 95% CI, −1.21 to −0.13; P = .001) and women with family and family medicine.The main contribution of this work is an estimate of the extent of implicit gender bias within surgery. On both the Gender-Career IAT and the novel Gender-Specialty IAT, respondents had a tendency to associate men with career and surgery and women with family and family medicine. Awareness of the existence of implicit biases is an important first step toward minimizing their potential effect.","container-title":"JAMA Network Open","DOI":"10.1001/jamanetworkopen.2019.6545","ISSN":"2574-3805","issue":"7","journalAbbreviation":"JAMA Network Open","page":"e196545","source":"Silverchair","title":"Estimating Implicit and Explicit Gender Bias Among Health Care Professionals and Surgeons","volume":"2","author":[{"family":"Salles","given":"Arghavan"},{"family":"Awad","given":"Michael"},{"family":"Goldin","given":"Laurel"},{"family":"Krus","given":"Kelsey"},{"family":"Lee","given":"Jin Vivian"},{"family":"Schwabe","given":"Maria T."},{"family":"Lai","given":"Calvin K."}],"issued":{"date-parts":[["2019",7,5]]}}}],"schema":"https://github.com/citation-style-language/schema/raw/master/csl-citation.json"} </w:instrText>
      </w:r>
      <w:r w:rsidR="00CB4F79" w:rsidRPr="00424BD3">
        <w:rPr>
          <w:rFonts w:eastAsia="Arial" w:cs="Arial"/>
          <w:szCs w:val="24"/>
        </w:rPr>
        <w:fldChar w:fldCharType="separate"/>
      </w:r>
      <w:r w:rsidR="00EE27D6" w:rsidRPr="00424BD3">
        <w:rPr>
          <w:rFonts w:cs="Arial"/>
        </w:rPr>
        <w:t>(Alcalde-Rubio et al., 2020; Burrowes, 2021; Hui et al., 2020; K. A. Liu &amp; Mager, 2016; Maas &amp; Appelman, 2010; Mazure &amp; Jones, 2015; Reynolds et al., 2020; Rios et al., 2020; Salles et al., 2019)</w:t>
      </w:r>
      <w:r w:rsidR="00CB4F79" w:rsidRPr="00424BD3">
        <w:rPr>
          <w:rFonts w:eastAsia="Arial" w:cs="Arial"/>
          <w:szCs w:val="24"/>
        </w:rPr>
        <w:fldChar w:fldCharType="end"/>
      </w:r>
      <w:r w:rsidR="00A535F0" w:rsidRPr="00424BD3">
        <w:rPr>
          <w:rFonts w:eastAsia="Arial" w:cs="Arial"/>
          <w:szCs w:val="24"/>
        </w:rPr>
        <w:t xml:space="preserve">. This means that older women </w:t>
      </w:r>
      <w:r w:rsidR="00892315" w:rsidRPr="00424BD3">
        <w:rPr>
          <w:rFonts w:eastAsia="Arial" w:cs="Arial"/>
          <w:szCs w:val="24"/>
        </w:rPr>
        <w:t xml:space="preserve">face the double jeopardy of ageism and sexism in relation to </w:t>
      </w:r>
      <w:r w:rsidR="007F046D" w:rsidRPr="00424BD3">
        <w:rPr>
          <w:rFonts w:eastAsia="Arial" w:cs="Arial"/>
          <w:szCs w:val="24"/>
        </w:rPr>
        <w:t xml:space="preserve">healthcare interventions and research design which incorporate the unique needs of older women </w:t>
      </w:r>
      <w:r w:rsidR="0095005E" w:rsidRPr="00424BD3">
        <w:rPr>
          <w:rFonts w:eastAsia="Arial" w:cs="Arial"/>
          <w:szCs w:val="24"/>
        </w:rPr>
        <w:fldChar w:fldCharType="begin"/>
      </w:r>
      <w:r w:rsidR="00990F3A">
        <w:rPr>
          <w:rFonts w:eastAsia="Arial" w:cs="Arial"/>
          <w:szCs w:val="24"/>
        </w:rPr>
        <w:instrText xml:space="preserve"> ADDIN ZOTERO_ITEM CSL_CITATION {"citationID":"LTJDOTDc","properties":{"formattedCitation":"(Chrisler et al., 2016)","plainCitation":"(Chrisler et al., 2016)","noteIndex":0},"citationItems":[{"id":634,"uris":["http://zotero.org/users/4946941/items/X352X869"],"itemData":{"id":634,"type":"article-journal","container-title":"Journal of Social Issues","issue":"1","language":"en","page":"86–104","title":"Ageism can be hazardous to women's health: Ageism, sexism, and stereotypes of older women in the healthcare system","volume":"72","author":[{"family":"Chrisler","given":"J.C."},{"family":"Barney","given":"A."},{"family":"Palatino","given":"B."}],"issued":{"date-parts":[["2016"]]}}}],"schema":"https://github.com/citation-style-language/schema/raw/master/csl-citation.json"} </w:instrText>
      </w:r>
      <w:r w:rsidR="0095005E" w:rsidRPr="00424BD3">
        <w:rPr>
          <w:rFonts w:eastAsia="Arial" w:cs="Arial"/>
          <w:szCs w:val="24"/>
        </w:rPr>
        <w:fldChar w:fldCharType="separate"/>
      </w:r>
      <w:r w:rsidR="0095005E" w:rsidRPr="00424BD3">
        <w:rPr>
          <w:rFonts w:cs="Arial"/>
        </w:rPr>
        <w:t>(Chrisler et al., 2016)</w:t>
      </w:r>
      <w:r w:rsidR="0095005E" w:rsidRPr="00424BD3">
        <w:rPr>
          <w:rFonts w:eastAsia="Arial" w:cs="Arial"/>
          <w:szCs w:val="24"/>
        </w:rPr>
        <w:fldChar w:fldCharType="end"/>
      </w:r>
      <w:r w:rsidR="007F046D" w:rsidRPr="00424BD3">
        <w:rPr>
          <w:rFonts w:eastAsia="Arial" w:cs="Arial"/>
          <w:szCs w:val="24"/>
        </w:rPr>
        <w:t xml:space="preserve">. </w:t>
      </w:r>
      <w:r w:rsidR="00EA7695" w:rsidRPr="00424BD3">
        <w:rPr>
          <w:rFonts w:eastAsia="Arial" w:cs="Arial"/>
          <w:szCs w:val="24"/>
        </w:rPr>
        <w:t xml:space="preserve">Some of the women in this study were acutely aware of this. </w:t>
      </w:r>
      <w:r w:rsidR="00B103E6" w:rsidRPr="00424BD3">
        <w:rPr>
          <w:rFonts w:eastAsia="Arial" w:cs="Arial"/>
          <w:szCs w:val="24"/>
        </w:rPr>
        <w:t xml:space="preserve">Ecosocial theory </w:t>
      </w:r>
      <w:r w:rsidR="009310E4" w:rsidRPr="00424BD3">
        <w:rPr>
          <w:rFonts w:eastAsia="Arial" w:cs="Arial"/>
          <w:szCs w:val="24"/>
        </w:rPr>
        <w:t xml:space="preserve">captures </w:t>
      </w:r>
      <w:r w:rsidR="003C2535" w:rsidRPr="00424BD3">
        <w:rPr>
          <w:rFonts w:eastAsia="Arial" w:cs="Arial"/>
          <w:szCs w:val="24"/>
        </w:rPr>
        <w:t>g</w:t>
      </w:r>
      <w:r w:rsidR="00B103E6" w:rsidRPr="00424BD3">
        <w:rPr>
          <w:rFonts w:eastAsia="Arial" w:cs="Arial"/>
          <w:szCs w:val="24"/>
        </w:rPr>
        <w:t>ender bias in h</w:t>
      </w:r>
      <w:r w:rsidR="00F0335B" w:rsidRPr="00424BD3">
        <w:rPr>
          <w:rFonts w:eastAsia="Arial" w:cs="Arial"/>
          <w:szCs w:val="24"/>
        </w:rPr>
        <w:t xml:space="preserve">ealthcare provision and health research </w:t>
      </w:r>
      <w:r w:rsidR="003C2535" w:rsidRPr="00424BD3">
        <w:rPr>
          <w:rFonts w:eastAsia="Arial" w:cs="Arial"/>
          <w:szCs w:val="24"/>
        </w:rPr>
        <w:t xml:space="preserve">as a structural and systemic issue at all spatial levels </w:t>
      </w:r>
      <w:r w:rsidR="002813AD" w:rsidRPr="00424BD3">
        <w:rPr>
          <w:rFonts w:eastAsia="Arial" w:cs="Arial"/>
          <w:szCs w:val="24"/>
        </w:rPr>
        <w:fldChar w:fldCharType="begin"/>
      </w:r>
      <w:r w:rsidR="00990F3A">
        <w:rPr>
          <w:rFonts w:eastAsia="Arial" w:cs="Arial"/>
          <w:szCs w:val="24"/>
        </w:rPr>
        <w:instrText xml:space="preserve"> ADDIN ZOTERO_ITEM CSL_CITATION {"citationID":"r8ElsM48","properties":{"formattedCitation":"(Homan et al., 2021)","plainCitation":"(Homan et al., 2021)","noteIndex":0},"citationItems":[{"id":1207,"uris":["http://zotero.org/users/4946941/items/EFNGAZSB"],"itemData":{"id":1207,"type":"article-journal","abstract":"This article advances the field by integrating insights from intersectionality perspectives with the emerging literatures on structural racism and structural sexism—which point to promising new ways to measure systems of inequality at a macro level—to introduce a structural intersectionality approach to population health. We demonstrate an application of structural intersectionality using administrative data representing macrolevel structural racism, structural sexism, and income inequality in U.S. states linked to individual data from the Behavioral Risk Factor Surveillance System to estimate multilevel models (N = 420,644 individuals nested in 76 state-years) investigating how intersecting dimensions of structural oppression shape health. Analyses show that these structural inequalities: (1) vary considerably across U.S. states, (2) intersect in numerous ways but do not strongly or positively covary, (3) individually and jointly shape health, and (4) are most consistently associated with poor health for black women. We conclude by outlining an agenda for future research on structural intersectionality and health.","container-title":"Journal of Health and Social Behavior","DOI":"10.1177/00221465211032947","ISSN":"0022-1465","issue":"3","journalAbbreviation":"J Health Soc Behav","language":"en","note":"publisher: SAGE Publications Inc","page":"350-370","source":"SAGE Journals","title":"Structural Intersectionality as a New Direction for Health Disparities Research","volume":"62","author":[{"family":"Homan","given":"Patricia"},{"family":"Brown","given":"Tyson H."},{"family":"King","given":"Brittany"}],"issued":{"date-parts":[["2021",9,1]]}}}],"schema":"https://github.com/citation-style-language/schema/raw/master/csl-citation.json"} </w:instrText>
      </w:r>
      <w:r w:rsidR="002813AD" w:rsidRPr="00424BD3">
        <w:rPr>
          <w:rFonts w:eastAsia="Arial" w:cs="Arial"/>
          <w:szCs w:val="24"/>
        </w:rPr>
        <w:fldChar w:fldCharType="separate"/>
      </w:r>
      <w:r w:rsidR="002813AD" w:rsidRPr="00424BD3">
        <w:rPr>
          <w:rFonts w:cs="Arial"/>
        </w:rPr>
        <w:t>(Homan et al., 2021)</w:t>
      </w:r>
      <w:r w:rsidR="002813AD" w:rsidRPr="00424BD3">
        <w:rPr>
          <w:rFonts w:eastAsia="Arial" w:cs="Arial"/>
          <w:szCs w:val="24"/>
        </w:rPr>
        <w:fldChar w:fldCharType="end"/>
      </w:r>
      <w:r w:rsidR="006A6C8B">
        <w:rPr>
          <w:rFonts w:eastAsia="Arial" w:cs="Arial"/>
          <w:szCs w:val="24"/>
        </w:rPr>
        <w:t>.</w:t>
      </w:r>
    </w:p>
    <w:p w14:paraId="5FFEEE38" w14:textId="258E8E4C" w:rsidR="003417C6" w:rsidRPr="00424BD3" w:rsidRDefault="00670665" w:rsidP="003417C6">
      <w:pPr>
        <w:spacing w:after="0" w:line="480" w:lineRule="auto"/>
        <w:ind w:firstLine="720"/>
        <w:rPr>
          <w:rFonts w:eastAsia="Arial" w:cs="Arial"/>
          <w:szCs w:val="24"/>
        </w:rPr>
      </w:pPr>
      <w:r>
        <w:rPr>
          <w:rFonts w:eastAsia="Arial" w:cs="Arial"/>
          <w:szCs w:val="24"/>
        </w:rPr>
        <w:t xml:space="preserve">As noted earlier in </w:t>
      </w:r>
      <w:r w:rsidR="008C5EAD">
        <w:rPr>
          <w:rFonts w:eastAsia="Arial" w:cs="Arial"/>
          <w:szCs w:val="24"/>
        </w:rPr>
        <w:t>C</w:t>
      </w:r>
      <w:r>
        <w:rPr>
          <w:rFonts w:eastAsia="Arial" w:cs="Arial"/>
          <w:szCs w:val="24"/>
        </w:rPr>
        <w:t>hapter</w:t>
      </w:r>
      <w:r w:rsidR="008C5EAD">
        <w:rPr>
          <w:rFonts w:eastAsia="Arial" w:cs="Arial"/>
          <w:szCs w:val="24"/>
        </w:rPr>
        <w:t xml:space="preserve"> Seven</w:t>
      </w:r>
      <w:r>
        <w:rPr>
          <w:rFonts w:eastAsia="Arial" w:cs="Arial"/>
          <w:szCs w:val="24"/>
        </w:rPr>
        <w:t xml:space="preserve">, both Carolyn and Deborah identified gender-bias in cardiac care </w:t>
      </w:r>
      <w:r w:rsidR="00702E27">
        <w:rPr>
          <w:rFonts w:eastAsia="Arial" w:cs="Arial"/>
          <w:szCs w:val="24"/>
        </w:rPr>
        <w:t xml:space="preserve">as examples of gender-bias in clinical care. </w:t>
      </w:r>
      <w:r w:rsidR="003417C6" w:rsidRPr="00424BD3">
        <w:rPr>
          <w:rFonts w:eastAsia="Arial" w:cs="Arial"/>
          <w:szCs w:val="24"/>
        </w:rPr>
        <w:t xml:space="preserve">Deborah’s statement </w:t>
      </w:r>
      <w:r w:rsidR="006640BD" w:rsidRPr="001E3EB3">
        <w:rPr>
          <w:rFonts w:eastAsia="Arial" w:cs="Arial"/>
          <w:szCs w:val="24"/>
        </w:rPr>
        <w:t xml:space="preserve">(page </w:t>
      </w:r>
      <w:r w:rsidR="00D73056" w:rsidRPr="001E3EB3">
        <w:rPr>
          <w:rFonts w:eastAsia="Arial" w:cs="Arial"/>
          <w:szCs w:val="24"/>
        </w:rPr>
        <w:t>127</w:t>
      </w:r>
      <w:r w:rsidR="006640BD" w:rsidRPr="001E3EB3">
        <w:rPr>
          <w:rFonts w:eastAsia="Arial" w:cs="Arial"/>
          <w:szCs w:val="24"/>
        </w:rPr>
        <w:t>)</w:t>
      </w:r>
      <w:r w:rsidR="006640BD">
        <w:rPr>
          <w:rFonts w:eastAsia="Arial" w:cs="Arial"/>
          <w:szCs w:val="24"/>
        </w:rPr>
        <w:t xml:space="preserve"> </w:t>
      </w:r>
      <w:r w:rsidR="00702E27">
        <w:rPr>
          <w:rFonts w:eastAsia="Arial" w:cs="Arial"/>
          <w:szCs w:val="24"/>
        </w:rPr>
        <w:t xml:space="preserve">that </w:t>
      </w:r>
      <w:r w:rsidR="00D11AB4">
        <w:rPr>
          <w:rFonts w:eastAsia="Arial" w:cs="Arial"/>
          <w:szCs w:val="24"/>
        </w:rPr>
        <w:t xml:space="preserve">women’s heart issues were brushed off because women didn’t have the same symptoms related to heart disease as men do </w:t>
      </w:r>
      <w:r w:rsidR="003417C6" w:rsidRPr="00424BD3">
        <w:rPr>
          <w:rFonts w:eastAsia="Arial" w:cs="Arial"/>
          <w:szCs w:val="24"/>
        </w:rPr>
        <w:t xml:space="preserve">was a fantastic example of gender bias in clinical care, and she could not have stated it more effectively than if she had written it for a journal herself. Compare the statement from senior researcher, Kelly Burrowes in the March 7, 2021 edition of The Conversation </w:t>
      </w:r>
      <w:r w:rsidR="003417C6" w:rsidRPr="00424BD3">
        <w:rPr>
          <w:rFonts w:eastAsia="Arial" w:cs="Arial"/>
          <w:szCs w:val="24"/>
        </w:rPr>
        <w:fldChar w:fldCharType="begin"/>
      </w:r>
      <w:r w:rsidR="00990F3A">
        <w:rPr>
          <w:rFonts w:eastAsia="Arial" w:cs="Arial"/>
          <w:szCs w:val="24"/>
        </w:rPr>
        <w:instrText xml:space="preserve"> ADDIN ZOTERO_ITEM CSL_CITATION {"citationID":"gtHxHrOQ","properties":{"formattedCitation":"(Burrowes, 2021)","plainCitation":"(Burrowes, 2021)","noteIndex":0},"citationItems":[{"id":1229,"uris":["http://zotero.org/users/4946941/items/CK4D9SMJ"],"itemData":{"id":1229,"type":"webpage","abstract":"The lack of recognition of sex differences in biology and medicine is a huge issue science has only recently begun to rectify.","container-title":"The Conversation","language":"en","title":"Gender bias in medicine and medical research is still putting women's health at risk","URL":"http://theconversation.com/gender-bias-in-medicine-and-medical-research-is-still-putting-womens-health-at-risk-156495","author":[{"family":"Burrowes","given":"Kelly"}],"accessed":{"date-parts":[["2022",8,30]]},"issued":{"date-parts":[["2021",3,7]]}},"label":"page"}],"schema":"https://github.com/citation-style-language/schema/raw/master/csl-citation.json"} </w:instrText>
      </w:r>
      <w:r w:rsidR="003417C6" w:rsidRPr="00424BD3">
        <w:rPr>
          <w:rFonts w:eastAsia="Arial" w:cs="Arial"/>
          <w:szCs w:val="24"/>
        </w:rPr>
        <w:fldChar w:fldCharType="separate"/>
      </w:r>
      <w:r w:rsidR="003417C6" w:rsidRPr="00424BD3">
        <w:rPr>
          <w:rFonts w:cs="Arial"/>
        </w:rPr>
        <w:t>(Burrowes, 2021)</w:t>
      </w:r>
      <w:r w:rsidR="003417C6" w:rsidRPr="00424BD3">
        <w:rPr>
          <w:rFonts w:eastAsia="Arial" w:cs="Arial"/>
          <w:szCs w:val="24"/>
        </w:rPr>
        <w:fldChar w:fldCharType="end"/>
      </w:r>
      <w:r w:rsidR="003417C6" w:rsidRPr="00424BD3">
        <w:rPr>
          <w:rFonts w:eastAsia="Arial" w:cs="Arial"/>
          <w:szCs w:val="24"/>
        </w:rPr>
        <w:t>:</w:t>
      </w:r>
    </w:p>
    <w:p w14:paraId="6A33E9D9" w14:textId="77777777" w:rsidR="003417C6" w:rsidRPr="00424BD3" w:rsidRDefault="003417C6" w:rsidP="003417C6">
      <w:pPr>
        <w:spacing w:after="0" w:line="480" w:lineRule="auto"/>
        <w:ind w:left="720"/>
        <w:rPr>
          <w:rFonts w:eastAsia="Arial" w:cs="Arial"/>
          <w:szCs w:val="24"/>
        </w:rPr>
      </w:pPr>
      <w:r w:rsidRPr="00424BD3">
        <w:rPr>
          <w:rFonts w:eastAsia="Arial" w:cs="Arial"/>
          <w:szCs w:val="24"/>
        </w:rPr>
        <w:t xml:space="preserve">“Heart disease is another example where sex — or perhaps sexism — still plays a huge determining factor. Women are less likely to experience the “classic” </w:t>
      </w:r>
      <w:r w:rsidRPr="00424BD3">
        <w:rPr>
          <w:rFonts w:eastAsia="Arial" w:cs="Arial"/>
          <w:szCs w:val="24"/>
        </w:rPr>
        <w:lastRenderedPageBreak/>
        <w:t>symptoms of a heart attack — symptoms that were discovered in research led by men, in which most of the participants were men. But because the diagnosis method still favours male biology, many women experience a delayed diagnosis or a misdiagnosis. Women’s most common heart attack symptom, as with men, is chest pain or discomfort. But women are more likely than men to experience some of the other common symptoms, particularly shortness of breath, nausea, vomiting and back or jaw pain.”</w:t>
      </w:r>
    </w:p>
    <w:p w14:paraId="19CC8315" w14:textId="5B89D924" w:rsidR="007E1CF2" w:rsidRPr="00424BD3" w:rsidRDefault="007E1CF2" w:rsidP="002972EC">
      <w:pPr>
        <w:spacing w:after="0" w:line="480" w:lineRule="auto"/>
        <w:ind w:firstLine="720"/>
        <w:rPr>
          <w:rFonts w:eastAsia="Arial" w:cs="Arial"/>
          <w:szCs w:val="24"/>
        </w:rPr>
      </w:pPr>
      <w:r w:rsidRPr="00424BD3">
        <w:rPr>
          <w:rFonts w:eastAsia="Arial" w:cs="Arial"/>
          <w:szCs w:val="24"/>
        </w:rPr>
        <w:t>Deborah</w:t>
      </w:r>
      <w:r w:rsidR="00930B17" w:rsidRPr="00424BD3">
        <w:rPr>
          <w:rFonts w:eastAsia="Arial" w:cs="Arial"/>
          <w:szCs w:val="24"/>
        </w:rPr>
        <w:t xml:space="preserve"> also </w:t>
      </w:r>
      <w:r w:rsidR="006963C3" w:rsidRPr="00424BD3">
        <w:rPr>
          <w:rFonts w:eastAsia="Arial" w:cs="Arial"/>
          <w:szCs w:val="24"/>
        </w:rPr>
        <w:t>identified</w:t>
      </w:r>
      <w:r w:rsidR="00930B17" w:rsidRPr="00424BD3">
        <w:rPr>
          <w:rFonts w:eastAsia="Arial" w:cs="Arial"/>
          <w:szCs w:val="24"/>
        </w:rPr>
        <w:t xml:space="preserve"> racism </w:t>
      </w:r>
      <w:r w:rsidR="006963C3" w:rsidRPr="00424BD3">
        <w:rPr>
          <w:rFonts w:eastAsia="Arial" w:cs="Arial"/>
          <w:szCs w:val="24"/>
        </w:rPr>
        <w:t xml:space="preserve">as </w:t>
      </w:r>
      <w:r w:rsidR="00AD43D5" w:rsidRPr="00424BD3">
        <w:rPr>
          <w:rFonts w:eastAsia="Arial" w:cs="Arial"/>
          <w:szCs w:val="24"/>
        </w:rPr>
        <w:t xml:space="preserve">an issue </w:t>
      </w:r>
      <w:r w:rsidR="002972EC" w:rsidRPr="00424BD3">
        <w:rPr>
          <w:rFonts w:eastAsia="Arial" w:cs="Arial"/>
          <w:szCs w:val="24"/>
        </w:rPr>
        <w:t>in</w:t>
      </w:r>
      <w:r w:rsidR="004C2C21" w:rsidRPr="00424BD3">
        <w:rPr>
          <w:rFonts w:eastAsia="Arial" w:cs="Arial"/>
          <w:szCs w:val="24"/>
        </w:rPr>
        <w:t xml:space="preserve"> </w:t>
      </w:r>
      <w:r w:rsidR="00930B17" w:rsidRPr="00424BD3">
        <w:rPr>
          <w:rFonts w:eastAsia="Arial" w:cs="Arial"/>
          <w:szCs w:val="24"/>
        </w:rPr>
        <w:t xml:space="preserve">clinical care and health </w:t>
      </w:r>
      <w:r w:rsidR="00E81CA5" w:rsidRPr="00424BD3">
        <w:rPr>
          <w:rFonts w:eastAsia="Arial" w:cs="Arial"/>
          <w:szCs w:val="24"/>
        </w:rPr>
        <w:t>research</w:t>
      </w:r>
      <w:r w:rsidR="008C0592" w:rsidRPr="00424BD3">
        <w:rPr>
          <w:rFonts w:eastAsia="Arial" w:cs="Arial"/>
          <w:szCs w:val="24"/>
        </w:rPr>
        <w:t xml:space="preserve">. </w:t>
      </w:r>
      <w:r w:rsidR="008E4EA8" w:rsidRPr="00424BD3">
        <w:rPr>
          <w:rFonts w:eastAsia="Arial" w:cs="Arial"/>
          <w:szCs w:val="24"/>
        </w:rPr>
        <w:t>Deborah’s</w:t>
      </w:r>
      <w:r w:rsidR="00CC0508" w:rsidRPr="00424BD3">
        <w:rPr>
          <w:rFonts w:eastAsia="Arial" w:cs="Arial"/>
          <w:szCs w:val="24"/>
        </w:rPr>
        <w:t xml:space="preserve"> response prompted </w:t>
      </w:r>
      <w:r w:rsidR="00F87713">
        <w:rPr>
          <w:rFonts w:eastAsia="Arial" w:cs="Arial"/>
          <w:szCs w:val="24"/>
        </w:rPr>
        <w:t>me</w:t>
      </w:r>
      <w:r w:rsidR="00351BC0" w:rsidRPr="00424BD3">
        <w:rPr>
          <w:rFonts w:eastAsia="Arial" w:cs="Arial"/>
          <w:szCs w:val="24"/>
        </w:rPr>
        <w:t xml:space="preserve"> to</w:t>
      </w:r>
      <w:r w:rsidR="00CC0508" w:rsidRPr="00424BD3">
        <w:rPr>
          <w:rFonts w:eastAsia="Arial" w:cs="Arial"/>
          <w:szCs w:val="24"/>
        </w:rPr>
        <w:t xml:space="preserve"> </w:t>
      </w:r>
      <w:r w:rsidR="002F548D" w:rsidRPr="00424BD3">
        <w:rPr>
          <w:rFonts w:eastAsia="Arial" w:cs="Arial"/>
          <w:szCs w:val="24"/>
        </w:rPr>
        <w:t>examine her</w:t>
      </w:r>
      <w:r w:rsidR="00197C00" w:rsidRPr="00424BD3">
        <w:rPr>
          <w:rFonts w:eastAsia="Arial" w:cs="Arial"/>
          <w:szCs w:val="24"/>
        </w:rPr>
        <w:t xml:space="preserve"> interview </w:t>
      </w:r>
      <w:r w:rsidR="00164498" w:rsidRPr="00424BD3">
        <w:rPr>
          <w:rFonts w:eastAsia="Arial" w:cs="Arial"/>
          <w:szCs w:val="24"/>
        </w:rPr>
        <w:t>more closely</w:t>
      </w:r>
      <w:r w:rsidR="00304312" w:rsidRPr="00424BD3">
        <w:rPr>
          <w:rFonts w:eastAsia="Arial" w:cs="Arial"/>
          <w:szCs w:val="24"/>
        </w:rPr>
        <w:t xml:space="preserve"> and critically</w:t>
      </w:r>
      <w:r w:rsidR="00351BC0" w:rsidRPr="00424BD3">
        <w:rPr>
          <w:rFonts w:eastAsia="Arial" w:cs="Arial"/>
          <w:szCs w:val="24"/>
        </w:rPr>
        <w:t xml:space="preserve">. After review, </w:t>
      </w:r>
      <w:r w:rsidR="00DE692D" w:rsidRPr="00424BD3">
        <w:rPr>
          <w:rFonts w:eastAsia="Arial" w:cs="Arial"/>
          <w:szCs w:val="24"/>
        </w:rPr>
        <w:t xml:space="preserve">a comment she made </w:t>
      </w:r>
      <w:r w:rsidR="00C97F3B" w:rsidRPr="00424BD3">
        <w:rPr>
          <w:rFonts w:eastAsia="Arial" w:cs="Arial"/>
          <w:szCs w:val="24"/>
        </w:rPr>
        <w:t>when asked to define health inequities</w:t>
      </w:r>
      <w:r w:rsidR="00E50C94" w:rsidRPr="00424BD3">
        <w:rPr>
          <w:rFonts w:eastAsia="Arial" w:cs="Arial"/>
          <w:szCs w:val="24"/>
        </w:rPr>
        <w:t xml:space="preserve"> stood out, given </w:t>
      </w:r>
      <w:r w:rsidR="00C97F3B" w:rsidRPr="00424BD3">
        <w:rPr>
          <w:rFonts w:eastAsia="Arial" w:cs="Arial"/>
          <w:szCs w:val="24"/>
        </w:rPr>
        <w:t xml:space="preserve">just prior to her response about </w:t>
      </w:r>
      <w:r w:rsidR="002B0EAC" w:rsidRPr="00424BD3">
        <w:rPr>
          <w:rFonts w:eastAsia="Arial" w:cs="Arial"/>
          <w:szCs w:val="24"/>
        </w:rPr>
        <w:t>women and heart attacks:</w:t>
      </w:r>
    </w:p>
    <w:p w14:paraId="1A44A79F" w14:textId="50FE1924" w:rsidR="002B0EAC" w:rsidRPr="00424BD3" w:rsidRDefault="002B0EAC" w:rsidP="002972EC">
      <w:pPr>
        <w:spacing w:after="0" w:line="480" w:lineRule="auto"/>
        <w:ind w:firstLine="720"/>
        <w:rPr>
          <w:rFonts w:eastAsia="Arial" w:cs="Arial"/>
          <w:szCs w:val="24"/>
        </w:rPr>
      </w:pPr>
      <w:r w:rsidRPr="00424BD3">
        <w:rPr>
          <w:rFonts w:eastAsia="Arial" w:cs="Arial"/>
          <w:szCs w:val="24"/>
        </w:rPr>
        <w:t>“</w:t>
      </w:r>
      <w:r w:rsidR="00F44938" w:rsidRPr="00424BD3">
        <w:rPr>
          <w:rFonts w:eastAsia="Arial" w:cs="Arial"/>
          <w:szCs w:val="24"/>
        </w:rPr>
        <w:t>Well, I mean, I know</w:t>
      </w:r>
      <w:r w:rsidR="00B35F2C">
        <w:rPr>
          <w:rFonts w:eastAsia="Arial" w:cs="Arial"/>
          <w:szCs w:val="24"/>
        </w:rPr>
        <w:t>,</w:t>
      </w:r>
      <w:r w:rsidR="00F44938" w:rsidRPr="00424BD3">
        <w:rPr>
          <w:rFonts w:eastAsia="Arial" w:cs="Arial"/>
          <w:szCs w:val="24"/>
        </w:rPr>
        <w:t xml:space="preserve"> and then of course, it’s been in the news so, so much</w:t>
      </w:r>
      <w:r w:rsidR="004E540A">
        <w:rPr>
          <w:rFonts w:eastAsia="Arial" w:cs="Arial"/>
          <w:szCs w:val="24"/>
        </w:rPr>
        <w:t>,</w:t>
      </w:r>
      <w:r w:rsidR="00F44938" w:rsidRPr="00424BD3">
        <w:rPr>
          <w:rFonts w:eastAsia="Arial" w:cs="Arial"/>
          <w:szCs w:val="24"/>
        </w:rPr>
        <w:t xml:space="preserve"> and stuff that </w:t>
      </w:r>
      <w:r w:rsidR="00A97AFB">
        <w:rPr>
          <w:rFonts w:eastAsia="Arial" w:cs="Arial"/>
          <w:szCs w:val="24"/>
        </w:rPr>
        <w:t>…</w:t>
      </w:r>
      <w:r w:rsidR="00F44938" w:rsidRPr="00424BD3">
        <w:rPr>
          <w:rFonts w:eastAsia="Arial" w:cs="Arial"/>
          <w:szCs w:val="24"/>
        </w:rPr>
        <w:t>being black</w:t>
      </w:r>
      <w:r w:rsidR="00A97AFB">
        <w:rPr>
          <w:rFonts w:eastAsia="Arial" w:cs="Arial"/>
          <w:szCs w:val="24"/>
        </w:rPr>
        <w:t>,</w:t>
      </w:r>
      <w:r w:rsidR="00F44938" w:rsidRPr="00424BD3">
        <w:rPr>
          <w:rFonts w:eastAsia="Arial" w:cs="Arial"/>
          <w:szCs w:val="24"/>
        </w:rPr>
        <w:t xml:space="preserve"> you tend to have certain diseases and other things that maybe have not been caught even being a woman</w:t>
      </w:r>
      <w:r w:rsidR="00296378" w:rsidRPr="00424BD3">
        <w:rPr>
          <w:rFonts w:eastAsia="Arial" w:cs="Arial"/>
          <w:szCs w:val="24"/>
        </w:rPr>
        <w:t>…”</w:t>
      </w:r>
    </w:p>
    <w:p w14:paraId="465DE174" w14:textId="4F0A2C5B" w:rsidR="007E1CF2" w:rsidRDefault="00A55F55" w:rsidP="0096199D">
      <w:pPr>
        <w:spacing w:after="0" w:line="480" w:lineRule="auto"/>
        <w:ind w:firstLine="720"/>
        <w:rPr>
          <w:rFonts w:eastAsia="Arial" w:cs="Arial"/>
          <w:szCs w:val="24"/>
        </w:rPr>
      </w:pPr>
      <w:r w:rsidRPr="00424BD3">
        <w:rPr>
          <w:rFonts w:eastAsia="Arial" w:cs="Arial"/>
          <w:szCs w:val="24"/>
        </w:rPr>
        <w:t>The common ground</w:t>
      </w:r>
      <w:r w:rsidR="009E73C0" w:rsidRPr="00424BD3">
        <w:rPr>
          <w:rFonts w:eastAsia="Arial" w:cs="Arial"/>
          <w:szCs w:val="24"/>
        </w:rPr>
        <w:t xml:space="preserve"> </w:t>
      </w:r>
      <w:r w:rsidRPr="00424BD3">
        <w:rPr>
          <w:rFonts w:eastAsia="Arial" w:cs="Arial"/>
          <w:szCs w:val="24"/>
        </w:rPr>
        <w:t xml:space="preserve">between Carolyn and Deborah’s knowledge </w:t>
      </w:r>
      <w:r w:rsidR="00993235" w:rsidRPr="00424BD3">
        <w:rPr>
          <w:rFonts w:eastAsia="Arial" w:cs="Arial"/>
          <w:szCs w:val="24"/>
        </w:rPr>
        <w:t xml:space="preserve">is that both of them learned about </w:t>
      </w:r>
      <w:r w:rsidR="00415BE6" w:rsidRPr="00424BD3">
        <w:rPr>
          <w:rFonts w:eastAsia="Arial" w:cs="Arial"/>
          <w:szCs w:val="24"/>
        </w:rPr>
        <w:t xml:space="preserve">the disparity </w:t>
      </w:r>
      <w:r w:rsidR="001B4AEB" w:rsidRPr="00424BD3">
        <w:rPr>
          <w:rFonts w:eastAsia="Arial" w:cs="Arial"/>
          <w:szCs w:val="24"/>
        </w:rPr>
        <w:t xml:space="preserve">in </w:t>
      </w:r>
      <w:r w:rsidR="00415BE6" w:rsidRPr="00424BD3">
        <w:rPr>
          <w:rFonts w:eastAsia="Arial" w:cs="Arial"/>
          <w:szCs w:val="24"/>
        </w:rPr>
        <w:t xml:space="preserve">women’s cardiac health </w:t>
      </w:r>
      <w:r w:rsidR="008371E1" w:rsidRPr="00424BD3">
        <w:rPr>
          <w:rFonts w:eastAsia="Arial" w:cs="Arial"/>
          <w:szCs w:val="24"/>
        </w:rPr>
        <w:t xml:space="preserve">through an educational channel </w:t>
      </w:r>
      <w:r w:rsidR="00464946" w:rsidRPr="00424BD3">
        <w:rPr>
          <w:rFonts w:eastAsia="Arial" w:cs="Arial"/>
          <w:szCs w:val="24"/>
        </w:rPr>
        <w:t>–</w:t>
      </w:r>
      <w:r w:rsidR="008371E1" w:rsidRPr="00424BD3">
        <w:rPr>
          <w:rFonts w:eastAsia="Arial" w:cs="Arial"/>
          <w:szCs w:val="24"/>
        </w:rPr>
        <w:t xml:space="preserve"> </w:t>
      </w:r>
      <w:r w:rsidR="00464946" w:rsidRPr="00424BD3">
        <w:rPr>
          <w:rFonts w:eastAsia="Arial" w:cs="Arial"/>
          <w:szCs w:val="24"/>
        </w:rPr>
        <w:t xml:space="preserve">Deborah through the news and Carolyn through </w:t>
      </w:r>
      <w:r w:rsidR="0052460E" w:rsidRPr="00424BD3">
        <w:rPr>
          <w:rFonts w:eastAsia="Arial" w:cs="Arial"/>
          <w:szCs w:val="24"/>
        </w:rPr>
        <w:t>the nature of her work</w:t>
      </w:r>
      <w:r w:rsidR="00965B16" w:rsidRPr="00424BD3">
        <w:rPr>
          <w:rFonts w:eastAsia="Arial" w:cs="Arial"/>
          <w:szCs w:val="24"/>
        </w:rPr>
        <w:t xml:space="preserve"> in data collection. </w:t>
      </w:r>
      <w:r w:rsidR="003E0AB0" w:rsidRPr="00424BD3">
        <w:rPr>
          <w:rFonts w:eastAsia="Arial" w:cs="Arial"/>
          <w:szCs w:val="24"/>
        </w:rPr>
        <w:t xml:space="preserve">It is important to note as well that </w:t>
      </w:r>
      <w:r w:rsidR="00594055">
        <w:rPr>
          <w:rFonts w:eastAsia="Arial" w:cs="Arial"/>
          <w:szCs w:val="24"/>
        </w:rPr>
        <w:t xml:space="preserve">neither </w:t>
      </w:r>
      <w:r w:rsidR="00E0743C" w:rsidRPr="00424BD3">
        <w:rPr>
          <w:rFonts w:eastAsia="Arial" w:cs="Arial"/>
          <w:szCs w:val="24"/>
        </w:rPr>
        <w:t>wom</w:t>
      </w:r>
      <w:r w:rsidR="00594055">
        <w:rPr>
          <w:rFonts w:eastAsia="Arial" w:cs="Arial"/>
          <w:szCs w:val="24"/>
        </w:rPr>
        <w:t>a</w:t>
      </w:r>
      <w:r w:rsidR="00E0743C" w:rsidRPr="00424BD3">
        <w:rPr>
          <w:rFonts w:eastAsia="Arial" w:cs="Arial"/>
          <w:szCs w:val="24"/>
        </w:rPr>
        <w:t xml:space="preserve">n </w:t>
      </w:r>
      <w:r w:rsidR="00594055">
        <w:rPr>
          <w:rFonts w:eastAsia="Arial" w:cs="Arial"/>
          <w:szCs w:val="24"/>
        </w:rPr>
        <w:t>reported</w:t>
      </w:r>
      <w:r w:rsidR="00E0743C" w:rsidRPr="00424BD3">
        <w:rPr>
          <w:rFonts w:eastAsia="Arial" w:cs="Arial"/>
          <w:szCs w:val="24"/>
        </w:rPr>
        <w:t xml:space="preserve"> that they</w:t>
      </w:r>
      <w:r w:rsidR="00692376" w:rsidRPr="00424BD3">
        <w:rPr>
          <w:rFonts w:eastAsia="Arial" w:cs="Arial"/>
          <w:szCs w:val="24"/>
        </w:rPr>
        <w:t xml:space="preserve"> learned</w:t>
      </w:r>
      <w:r w:rsidR="00E0743C" w:rsidRPr="00424BD3">
        <w:rPr>
          <w:rFonts w:eastAsia="Arial" w:cs="Arial"/>
          <w:szCs w:val="24"/>
        </w:rPr>
        <w:t xml:space="preserve"> of gender-bias in clinical and health research </w:t>
      </w:r>
      <w:r w:rsidR="00692376" w:rsidRPr="00424BD3">
        <w:rPr>
          <w:rFonts w:eastAsia="Arial" w:cs="Arial"/>
          <w:szCs w:val="24"/>
        </w:rPr>
        <w:t xml:space="preserve">through their healthcare providers or their educational institutions. They learned through </w:t>
      </w:r>
      <w:r w:rsidR="008C4337" w:rsidRPr="00424BD3">
        <w:rPr>
          <w:rFonts w:eastAsia="Arial" w:cs="Arial"/>
          <w:szCs w:val="24"/>
        </w:rPr>
        <w:t xml:space="preserve">the use of news to share health data and reporting (press, </w:t>
      </w:r>
      <w:r w:rsidR="00850B8A" w:rsidRPr="00424BD3">
        <w:rPr>
          <w:rFonts w:eastAsia="Arial" w:cs="Arial"/>
          <w:szCs w:val="24"/>
        </w:rPr>
        <w:t>public relations</w:t>
      </w:r>
      <w:r w:rsidR="008C4337" w:rsidRPr="00424BD3">
        <w:rPr>
          <w:rFonts w:eastAsia="Arial" w:cs="Arial"/>
          <w:szCs w:val="24"/>
        </w:rPr>
        <w:t>, and journalism</w:t>
      </w:r>
      <w:r w:rsidR="00034075" w:rsidRPr="00424BD3">
        <w:rPr>
          <w:rFonts w:eastAsia="Arial" w:cs="Arial"/>
          <w:szCs w:val="24"/>
        </w:rPr>
        <w:t>, often used in health promotion</w:t>
      </w:r>
      <w:r w:rsidR="008C4337" w:rsidRPr="00424BD3">
        <w:rPr>
          <w:rFonts w:eastAsia="Arial" w:cs="Arial"/>
          <w:szCs w:val="24"/>
        </w:rPr>
        <w:t xml:space="preserve">) and </w:t>
      </w:r>
      <w:r w:rsidR="00476BCC" w:rsidRPr="00424BD3">
        <w:rPr>
          <w:rFonts w:eastAsia="Arial" w:cs="Arial"/>
          <w:szCs w:val="24"/>
        </w:rPr>
        <w:t xml:space="preserve">through </w:t>
      </w:r>
      <w:r w:rsidR="00034075" w:rsidRPr="00424BD3">
        <w:rPr>
          <w:rFonts w:eastAsia="Arial" w:cs="Arial"/>
          <w:szCs w:val="24"/>
        </w:rPr>
        <w:t>on-the-job learning. This speaks</w:t>
      </w:r>
      <w:r w:rsidR="000B440C" w:rsidRPr="00424BD3">
        <w:rPr>
          <w:rFonts w:eastAsia="Arial" w:cs="Arial"/>
          <w:szCs w:val="24"/>
        </w:rPr>
        <w:t xml:space="preserve"> </w:t>
      </w:r>
      <w:r w:rsidR="00701AD8" w:rsidRPr="00424BD3">
        <w:rPr>
          <w:rFonts w:eastAsia="Arial" w:cs="Arial"/>
          <w:szCs w:val="24"/>
        </w:rPr>
        <w:t xml:space="preserve">to </w:t>
      </w:r>
      <w:r w:rsidR="000B440C" w:rsidRPr="00424BD3">
        <w:rPr>
          <w:rFonts w:eastAsia="Arial" w:cs="Arial"/>
          <w:szCs w:val="24"/>
        </w:rPr>
        <w:t>Rowlands et al.’s</w:t>
      </w:r>
      <w:r w:rsidR="000B55F5" w:rsidRPr="00424BD3">
        <w:rPr>
          <w:rFonts w:eastAsia="Arial" w:cs="Arial"/>
          <w:szCs w:val="24"/>
        </w:rPr>
        <w:t xml:space="preserve"> </w:t>
      </w:r>
      <w:r w:rsidR="00B92E66" w:rsidRPr="00424BD3">
        <w:rPr>
          <w:rFonts w:eastAsia="Arial" w:cs="Arial"/>
          <w:szCs w:val="24"/>
        </w:rPr>
        <w:fldChar w:fldCharType="begin"/>
      </w:r>
      <w:r w:rsidR="00990F3A">
        <w:rPr>
          <w:rFonts w:eastAsia="Arial" w:cs="Arial"/>
          <w:szCs w:val="24"/>
        </w:rPr>
        <w:instrText xml:space="preserve"> ADDIN ZOTERO_ITEM CSL_CITATION {"citationID":"WatzQj8w","properties":{"formattedCitation":"(2018)","plainCitation":"(2018)","noteIndex":0},"citationItems":[{"id":1236,"uris":["http://zotero.org/users/4946941/items/47EVBRRY"],"itemData":{"id":1236,"type":"book","abstract":"Health literacy is gaining increasing attention as a means of promoting health. This evidence synthesis describes health literacy policies in the WHO European Region: their distribution, organizational levels, antecedents, actors, activities and outcomes, along with the factors influencing their effectiveness. Evidence was obtained by a scoping review of academic literature in English, Dutch and German and of grey literature in English, Dutch, German and Italian, supported by a Region-wide expert enquiry. Emerging findings were presented to representatives from 19 Member States of the Region to check for accuracy and omissions. The report highlights much good health literacy policy-related activity, mostly in the health and education sectors, and proposes areas for future development. Policy considerations to facilitate the sharing of good health literacy policy practice, the development of policy aims and activities across all societal areas, and the development of robust health literacy metrics to identify the need for and monitor effectiveness are presented.","call-number":"NBK525689","collection-title":"WHO Health Evidence Network Synthesis Reports","event-place":"Copenhagen","ISBN":"978-92-890-5319-8","language":"eng","license":"© World Health Organization 2018.","note":"PMID: 30230797","publisher":"WHO Regional Office for Europe","publisher-place":"Copenhagen","source":"PubMed","title":"What is the Evidence on Existing Policies and Linked Activities and their Effectiveness for Improving Health Literacy at National, Regional and Organizational Levels in the WHO European Region?","URL":"http://www.ncbi.nlm.nih.gov/books/NBK525689/","author":[{"family":"Rowlands","given":"Gillian"},{"family":"Russell","given":"Siân"},{"family":"O'Donnell","given":"Amy"},{"family":"Kaner","given":"Eileen"},{"family":"Trezona","given":"Anita"},{"family":"Rademakers","given":"Jany"},{"family":"Nutbeam","given":"Don"}],"accessed":{"date-parts":[["2022",8,30]]},"issued":{"date-parts":[["2018"]]}},"label":"page","suppress-author":true}],"schema":"https://github.com/citation-style-language/schema/raw/master/csl-citation.json"} </w:instrText>
      </w:r>
      <w:r w:rsidR="00B92E66" w:rsidRPr="00424BD3">
        <w:rPr>
          <w:rFonts w:eastAsia="Arial" w:cs="Arial"/>
          <w:szCs w:val="24"/>
        </w:rPr>
        <w:fldChar w:fldCharType="separate"/>
      </w:r>
      <w:r w:rsidR="000B55F5" w:rsidRPr="00424BD3">
        <w:rPr>
          <w:rFonts w:cs="Arial"/>
        </w:rPr>
        <w:t>(2018)</w:t>
      </w:r>
      <w:r w:rsidR="00B92E66" w:rsidRPr="00424BD3">
        <w:rPr>
          <w:rFonts w:eastAsia="Arial" w:cs="Arial"/>
          <w:szCs w:val="24"/>
        </w:rPr>
        <w:fldChar w:fldCharType="end"/>
      </w:r>
      <w:r w:rsidR="000B55F5" w:rsidRPr="00424BD3">
        <w:rPr>
          <w:rFonts w:eastAsia="Arial" w:cs="Arial"/>
          <w:szCs w:val="24"/>
        </w:rPr>
        <w:t xml:space="preserve"> </w:t>
      </w:r>
      <w:r w:rsidR="002B45E0" w:rsidRPr="00424BD3">
        <w:rPr>
          <w:rFonts w:eastAsia="Arial" w:cs="Arial"/>
          <w:szCs w:val="24"/>
        </w:rPr>
        <w:lastRenderedPageBreak/>
        <w:t xml:space="preserve">Health Literacy Policy Model </w:t>
      </w:r>
      <w:r w:rsidR="000B55F5" w:rsidRPr="00424BD3">
        <w:rPr>
          <w:rFonts w:eastAsia="Arial" w:cs="Arial"/>
          <w:szCs w:val="24"/>
        </w:rPr>
        <w:t>(as referenced in</w:t>
      </w:r>
      <w:r w:rsidR="00C0206F" w:rsidRPr="00424BD3">
        <w:rPr>
          <w:rFonts w:eastAsia="Arial" w:cs="Arial"/>
          <w:szCs w:val="24"/>
        </w:rPr>
        <w:t xml:space="preserve"> </w:t>
      </w:r>
      <w:r w:rsidR="00C0206F" w:rsidRPr="00424BD3">
        <w:rPr>
          <w:rFonts w:eastAsia="Arial" w:cs="Arial"/>
          <w:szCs w:val="24"/>
        </w:rPr>
        <w:fldChar w:fldCharType="begin"/>
      </w:r>
      <w:r w:rsidR="00990F3A">
        <w:rPr>
          <w:rFonts w:eastAsia="Arial" w:cs="Arial"/>
          <w:szCs w:val="24"/>
        </w:rPr>
        <w:instrText xml:space="preserve"> ADDIN ZOTERO_ITEM CSL_CITATION {"citationID":"TdjSGnJf","properties":{"formattedCitation":"(Dadaczynski et al., 2022)","plainCitation":"(Dadaczynski et al., 2022)","dontUpdate":true,"noteIndex":0},"citationItems":[{"id":1231,"uris":["http://zotero.org/users/4946941/items/QFDDX8RT"],"itemData":{"id":1231,"type":"article-journal","container-title":"Frontiers in Public Health","DOI":"10.3389/fpubh.2022.897717","ISSN":"2296-2565","journalAbbreviation":"Front. Public Health","page":"897717","source":"DOI.org (Crossref)","title":"Editorial: The Social-Ecological Context of Health Literacy","title-short":"Editorial","volume":"10","author":[{"family":"Dadaczynski","given":"Kevin"},{"family":"Sykes","given":"Susie"},{"family":"Bíró","given":"Éva"},{"family":"Kósa","given":"Karolina"}],"issued":{"date-parts":[["2022",4,26]]}}}],"schema":"https://github.com/citation-style-language/schema/raw/master/csl-citation.json"} </w:instrText>
      </w:r>
      <w:r w:rsidR="00C0206F" w:rsidRPr="00424BD3">
        <w:rPr>
          <w:rFonts w:eastAsia="Arial" w:cs="Arial"/>
          <w:szCs w:val="24"/>
        </w:rPr>
        <w:fldChar w:fldCharType="separate"/>
      </w:r>
      <w:r w:rsidR="00C0206F" w:rsidRPr="00424BD3">
        <w:rPr>
          <w:rFonts w:cs="Arial"/>
        </w:rPr>
        <w:t>Dadaczynski et al., 2022)</w:t>
      </w:r>
      <w:r w:rsidR="00C0206F" w:rsidRPr="00424BD3">
        <w:rPr>
          <w:rFonts w:eastAsia="Arial" w:cs="Arial"/>
          <w:szCs w:val="24"/>
        </w:rPr>
        <w:fldChar w:fldCharType="end"/>
      </w:r>
      <w:r w:rsidR="00C0206F" w:rsidRPr="00424BD3">
        <w:rPr>
          <w:rFonts w:eastAsia="Arial" w:cs="Arial"/>
          <w:szCs w:val="24"/>
        </w:rPr>
        <w:t xml:space="preserve"> </w:t>
      </w:r>
      <w:r w:rsidR="008D573D" w:rsidRPr="00424BD3">
        <w:rPr>
          <w:rFonts w:eastAsia="Arial" w:cs="Arial"/>
          <w:szCs w:val="24"/>
        </w:rPr>
        <w:t xml:space="preserve">of </w:t>
      </w:r>
      <w:r w:rsidR="008A638A" w:rsidRPr="00424BD3">
        <w:rPr>
          <w:rFonts w:eastAsia="Arial" w:cs="Arial"/>
          <w:szCs w:val="24"/>
        </w:rPr>
        <w:t>ecosocial</w:t>
      </w:r>
      <w:r w:rsidR="008D573D" w:rsidRPr="00424BD3">
        <w:rPr>
          <w:rFonts w:eastAsia="Arial" w:cs="Arial"/>
          <w:szCs w:val="24"/>
        </w:rPr>
        <w:t xml:space="preserve"> </w:t>
      </w:r>
      <w:r w:rsidR="000B55F5" w:rsidRPr="00424BD3">
        <w:rPr>
          <w:rFonts w:eastAsia="Arial" w:cs="Arial"/>
          <w:szCs w:val="24"/>
        </w:rPr>
        <w:t xml:space="preserve">societal levels and vectors </w:t>
      </w:r>
      <w:r w:rsidR="00C0206F" w:rsidRPr="00424BD3">
        <w:rPr>
          <w:rFonts w:eastAsia="Arial" w:cs="Arial"/>
          <w:szCs w:val="24"/>
        </w:rPr>
        <w:t>of</w:t>
      </w:r>
      <w:r w:rsidR="008D573D" w:rsidRPr="00424BD3">
        <w:rPr>
          <w:rFonts w:eastAsia="Arial" w:cs="Arial"/>
          <w:szCs w:val="24"/>
        </w:rPr>
        <w:t xml:space="preserve"> health literacy.</w:t>
      </w:r>
    </w:p>
    <w:p w14:paraId="6203A769" w14:textId="2602F2AC" w:rsidR="00CD2106" w:rsidRDefault="00CD2106" w:rsidP="00AD4D2C">
      <w:pPr>
        <w:pStyle w:val="Heading2"/>
        <w:spacing w:before="0" w:line="480" w:lineRule="auto"/>
        <w:jc w:val="center"/>
        <w:rPr>
          <w:rFonts w:ascii="Arial" w:eastAsia="Arial" w:hAnsi="Arial" w:cs="Arial"/>
          <w:b/>
          <w:bCs/>
          <w:color w:val="auto"/>
          <w:sz w:val="24"/>
          <w:szCs w:val="24"/>
        </w:rPr>
      </w:pPr>
      <w:bookmarkStart w:id="99" w:name="_Toc118232365"/>
      <w:r w:rsidRPr="00020BDF">
        <w:rPr>
          <w:rFonts w:ascii="Arial" w:eastAsia="Arial" w:hAnsi="Arial" w:cs="Arial"/>
          <w:b/>
          <w:bCs/>
          <w:color w:val="auto"/>
          <w:sz w:val="24"/>
          <w:szCs w:val="24"/>
        </w:rPr>
        <w:t xml:space="preserve">Geopolitical </w:t>
      </w:r>
      <w:r w:rsidR="005F1E83">
        <w:rPr>
          <w:rFonts w:ascii="Arial" w:eastAsia="Arial" w:hAnsi="Arial" w:cs="Arial"/>
          <w:b/>
          <w:bCs/>
          <w:color w:val="auto"/>
          <w:sz w:val="24"/>
          <w:szCs w:val="24"/>
        </w:rPr>
        <w:t>C</w:t>
      </w:r>
      <w:r w:rsidRPr="00020BDF">
        <w:rPr>
          <w:rFonts w:ascii="Arial" w:eastAsia="Arial" w:hAnsi="Arial" w:cs="Arial"/>
          <w:b/>
          <w:bCs/>
          <w:color w:val="auto"/>
          <w:sz w:val="24"/>
          <w:szCs w:val="24"/>
        </w:rPr>
        <w:t xml:space="preserve">ultural </w:t>
      </w:r>
      <w:r w:rsidR="005F1E83">
        <w:rPr>
          <w:rFonts w:ascii="Arial" w:eastAsia="Arial" w:hAnsi="Arial" w:cs="Arial"/>
          <w:b/>
          <w:bCs/>
          <w:color w:val="auto"/>
          <w:sz w:val="24"/>
          <w:szCs w:val="24"/>
        </w:rPr>
        <w:t>N</w:t>
      </w:r>
      <w:r w:rsidRPr="00020BDF">
        <w:rPr>
          <w:rFonts w:ascii="Arial" w:eastAsia="Arial" w:hAnsi="Arial" w:cs="Arial"/>
          <w:b/>
          <w:bCs/>
          <w:color w:val="auto"/>
          <w:sz w:val="24"/>
          <w:szCs w:val="24"/>
        </w:rPr>
        <w:t>orming</w:t>
      </w:r>
      <w:bookmarkEnd w:id="99"/>
    </w:p>
    <w:p w14:paraId="1A0D7C67" w14:textId="67EC05A7" w:rsidR="00CD2106" w:rsidRDefault="00CD2106" w:rsidP="00AD4D2C">
      <w:pPr>
        <w:spacing w:after="0" w:line="480" w:lineRule="auto"/>
        <w:ind w:firstLine="720"/>
        <w:rPr>
          <w:rFonts w:eastAsia="Arial" w:cs="Arial"/>
          <w:szCs w:val="24"/>
        </w:rPr>
      </w:pPr>
      <w:r w:rsidRPr="00424BD3">
        <w:rPr>
          <w:rFonts w:eastAsia="Arial" w:cs="Arial"/>
          <w:szCs w:val="24"/>
        </w:rPr>
        <w:t xml:space="preserve">Perhaps most difficult to </w:t>
      </w:r>
      <w:r w:rsidR="00CC7E6F">
        <w:rPr>
          <w:rFonts w:eastAsia="Arial" w:cs="Arial"/>
          <w:szCs w:val="24"/>
        </w:rPr>
        <w:t>examine</w:t>
      </w:r>
      <w:r w:rsidR="00CC7E6F" w:rsidRPr="00424BD3">
        <w:rPr>
          <w:rFonts w:eastAsia="Arial" w:cs="Arial"/>
          <w:szCs w:val="24"/>
        </w:rPr>
        <w:t xml:space="preserve"> </w:t>
      </w:r>
      <w:r w:rsidRPr="00424BD3">
        <w:rPr>
          <w:rFonts w:eastAsia="Arial" w:cs="Arial"/>
          <w:szCs w:val="24"/>
        </w:rPr>
        <w:t xml:space="preserve">is </w:t>
      </w:r>
      <w:r w:rsidR="00CC7E6F">
        <w:rPr>
          <w:rFonts w:eastAsia="Arial" w:cs="Arial"/>
          <w:szCs w:val="24"/>
        </w:rPr>
        <w:t>the</w:t>
      </w:r>
      <w:r w:rsidRPr="00424BD3">
        <w:rPr>
          <w:rFonts w:eastAsia="Arial" w:cs="Arial"/>
          <w:szCs w:val="24"/>
        </w:rPr>
        <w:t xml:space="preserve"> internalizing influence of the geopolitical environment on these women and their perceptions of what impacted their health and the health inequities they face. </w:t>
      </w:r>
      <w:r w:rsidR="00716406">
        <w:rPr>
          <w:rFonts w:eastAsia="Arial" w:cs="Arial"/>
          <w:szCs w:val="24"/>
        </w:rPr>
        <w:t xml:space="preserve">This could </w:t>
      </w:r>
      <w:r w:rsidR="00C966BA">
        <w:rPr>
          <w:rFonts w:eastAsia="Arial" w:cs="Arial"/>
          <w:szCs w:val="24"/>
        </w:rPr>
        <w:t xml:space="preserve">be seen in the women’s responses </w:t>
      </w:r>
      <w:r w:rsidR="00C0381D">
        <w:rPr>
          <w:rFonts w:eastAsia="Arial" w:cs="Arial"/>
          <w:szCs w:val="24"/>
        </w:rPr>
        <w:t>to the interview questions in various forms: fatalism</w:t>
      </w:r>
      <w:r w:rsidR="00CE4D74">
        <w:rPr>
          <w:rFonts w:eastAsia="Arial" w:cs="Arial"/>
          <w:szCs w:val="24"/>
        </w:rPr>
        <w:t xml:space="preserve">; </w:t>
      </w:r>
      <w:r w:rsidR="00C0381D">
        <w:rPr>
          <w:rFonts w:eastAsia="Arial" w:cs="Arial"/>
          <w:szCs w:val="24"/>
        </w:rPr>
        <w:t>pragmatism</w:t>
      </w:r>
      <w:r w:rsidR="00CE4D74">
        <w:rPr>
          <w:rFonts w:eastAsia="Arial" w:cs="Arial"/>
          <w:szCs w:val="24"/>
        </w:rPr>
        <w:t xml:space="preserve">; </w:t>
      </w:r>
      <w:r w:rsidR="00AE22AE">
        <w:rPr>
          <w:rFonts w:eastAsia="Arial" w:cs="Arial"/>
          <w:szCs w:val="24"/>
        </w:rPr>
        <w:t xml:space="preserve">stigmatizing of health anxieties </w:t>
      </w:r>
      <w:r w:rsidR="00CE4D74">
        <w:rPr>
          <w:rFonts w:eastAsia="Arial" w:cs="Arial"/>
          <w:szCs w:val="24"/>
        </w:rPr>
        <w:t xml:space="preserve">or health seeking </w:t>
      </w:r>
      <w:r w:rsidR="00EE4121">
        <w:rPr>
          <w:rFonts w:eastAsia="Arial" w:cs="Arial"/>
          <w:szCs w:val="24"/>
        </w:rPr>
        <w:t>behavior</w:t>
      </w:r>
      <w:r w:rsidR="00CE4D74">
        <w:rPr>
          <w:rFonts w:eastAsia="Arial" w:cs="Arial"/>
          <w:szCs w:val="24"/>
        </w:rPr>
        <w:t xml:space="preserve">; </w:t>
      </w:r>
      <w:r w:rsidR="00564890">
        <w:rPr>
          <w:rFonts w:eastAsia="Arial" w:cs="Arial"/>
          <w:szCs w:val="24"/>
        </w:rPr>
        <w:t xml:space="preserve">silences; misunderstandings or common political rhetoric about </w:t>
      </w:r>
      <w:r w:rsidR="00DA1769">
        <w:rPr>
          <w:rFonts w:eastAsia="Arial" w:cs="Arial"/>
          <w:szCs w:val="24"/>
        </w:rPr>
        <w:t>healthcare policies such as the ACA, and more.</w:t>
      </w:r>
    </w:p>
    <w:p w14:paraId="74B71DFD" w14:textId="77777777" w:rsidR="00A33A2B" w:rsidRPr="00424BD3" w:rsidRDefault="00CD2106" w:rsidP="000126EE">
      <w:pPr>
        <w:pStyle w:val="NormalWeb"/>
        <w:spacing w:before="0" w:beforeAutospacing="0" w:after="0" w:afterAutospacing="0" w:line="480" w:lineRule="auto"/>
        <w:ind w:firstLine="720"/>
      </w:pPr>
      <w:r w:rsidRPr="00424BD3">
        <w:rPr>
          <w:rFonts w:ascii="Arial" w:eastAsia="Arial" w:hAnsi="Arial" w:cs="Arial"/>
        </w:rPr>
        <w:t xml:space="preserve">Barbara, </w:t>
      </w:r>
      <w:r w:rsidR="00A33A2B" w:rsidRPr="00424BD3">
        <w:rPr>
          <w:rFonts w:ascii="Arial" w:hAnsi="Arial" w:cs="Arial"/>
          <w:color w:val="000000"/>
        </w:rPr>
        <w:t>who endured extreme adverse childhood events, including incarceration, and who understood that these events impacted her health, nevertheless, shared her (stigmatizing) thoughts regarding the health behavior she saw from people who had Type II diabetes:</w:t>
      </w:r>
    </w:p>
    <w:p w14:paraId="0DED8FF8" w14:textId="075A0508" w:rsidR="00CD2106" w:rsidRDefault="00CD2106" w:rsidP="000126EE">
      <w:pPr>
        <w:spacing w:after="0" w:line="480" w:lineRule="auto"/>
        <w:ind w:firstLine="720"/>
        <w:rPr>
          <w:rFonts w:eastAsia="Arial" w:cs="Arial"/>
          <w:szCs w:val="24"/>
        </w:rPr>
      </w:pPr>
      <w:r w:rsidRPr="00424BD3">
        <w:rPr>
          <w:rFonts w:eastAsia="Arial" w:cs="Arial"/>
          <w:szCs w:val="24"/>
        </w:rPr>
        <w:t>“I worked as a part-time person just for a little while after I retired at a drugstore and…I would see people come in, and…like diabetics and everything</w:t>
      </w:r>
      <w:r w:rsidR="007872A7">
        <w:rPr>
          <w:rFonts w:eastAsia="Arial" w:cs="Arial"/>
          <w:szCs w:val="24"/>
        </w:rPr>
        <w:t>,</w:t>
      </w:r>
      <w:r w:rsidRPr="00424BD3">
        <w:rPr>
          <w:rFonts w:eastAsia="Arial" w:cs="Arial"/>
          <w:szCs w:val="24"/>
        </w:rPr>
        <w:t xml:space="preserve"> and they'd be getting all this insulin and all this medicine…through this</w:t>
      </w:r>
      <w:r w:rsidR="007872A7">
        <w:rPr>
          <w:rFonts w:eastAsia="Arial" w:cs="Arial"/>
          <w:szCs w:val="24"/>
        </w:rPr>
        <w:t xml:space="preserve">. </w:t>
      </w:r>
      <w:r w:rsidR="002E1AE8">
        <w:rPr>
          <w:rFonts w:eastAsia="Arial" w:cs="Arial"/>
          <w:szCs w:val="24"/>
        </w:rPr>
        <w:t>I</w:t>
      </w:r>
      <w:r w:rsidRPr="00424BD3">
        <w:rPr>
          <w:rFonts w:eastAsia="Arial" w:cs="Arial"/>
          <w:szCs w:val="24"/>
        </w:rPr>
        <w:t>t's free, I'm assuming it was TennCare or something</w:t>
      </w:r>
      <w:r w:rsidR="002E1AE8">
        <w:rPr>
          <w:rFonts w:eastAsia="Arial" w:cs="Arial"/>
          <w:szCs w:val="24"/>
        </w:rPr>
        <w:t>,</w:t>
      </w:r>
      <w:r w:rsidRPr="00424BD3">
        <w:rPr>
          <w:rFonts w:eastAsia="Arial" w:cs="Arial"/>
          <w:szCs w:val="24"/>
        </w:rPr>
        <w:t xml:space="preserve"> and then...their baskets would be overloaded with Cokes and cookies and ice cream and all that stuff, and I'm thinking</w:t>
      </w:r>
      <w:r w:rsidR="008A0C11">
        <w:rPr>
          <w:rFonts w:eastAsia="Arial" w:cs="Arial"/>
          <w:szCs w:val="24"/>
        </w:rPr>
        <w:t xml:space="preserve">, </w:t>
      </w:r>
      <w:r w:rsidRPr="00424BD3">
        <w:rPr>
          <w:rFonts w:eastAsia="Arial" w:cs="Arial"/>
          <w:szCs w:val="24"/>
        </w:rPr>
        <w:t>"Did you not even have access to education on health care or do you not understand what drives your health</w:t>
      </w:r>
      <w:r w:rsidR="00D07BE3">
        <w:rPr>
          <w:rFonts w:eastAsia="Arial" w:cs="Arial"/>
          <w:szCs w:val="24"/>
        </w:rPr>
        <w:t>?”</w:t>
      </w:r>
      <w:r w:rsidR="008A0C11">
        <w:rPr>
          <w:rFonts w:eastAsia="Arial" w:cs="Arial"/>
          <w:szCs w:val="24"/>
        </w:rPr>
        <w:t>,</w:t>
      </w:r>
      <w:r w:rsidRPr="00424BD3">
        <w:rPr>
          <w:rFonts w:eastAsia="Arial" w:cs="Arial"/>
          <w:szCs w:val="24"/>
        </w:rPr>
        <w:t xml:space="preserve"> and so...that's always bothered me a lot.”</w:t>
      </w:r>
    </w:p>
    <w:p w14:paraId="2AC9A7BA" w14:textId="1707D918" w:rsidR="00952879" w:rsidRDefault="00691E3D" w:rsidP="000126EE">
      <w:pPr>
        <w:spacing w:after="0" w:line="480" w:lineRule="auto"/>
        <w:ind w:firstLine="720"/>
        <w:rPr>
          <w:rFonts w:eastAsia="Arial" w:cs="Arial"/>
          <w:szCs w:val="24"/>
        </w:rPr>
      </w:pPr>
      <w:r>
        <w:rPr>
          <w:rFonts w:eastAsia="Arial" w:cs="Arial"/>
          <w:szCs w:val="24"/>
        </w:rPr>
        <w:t xml:space="preserve">Barbara’s use of the phrase “what drives your health” illustrates her understanding that certain things impact our health, but the remainder of her comment illustrates, as has been common throughout this study, that </w:t>
      </w:r>
      <w:r w:rsidR="00722352">
        <w:rPr>
          <w:rFonts w:eastAsia="Arial" w:cs="Arial"/>
          <w:szCs w:val="24"/>
        </w:rPr>
        <w:t xml:space="preserve">Barbara perceives health </w:t>
      </w:r>
      <w:r w:rsidR="00722352">
        <w:rPr>
          <w:rFonts w:eastAsia="Arial" w:cs="Arial"/>
          <w:szCs w:val="24"/>
        </w:rPr>
        <w:lastRenderedPageBreak/>
        <w:t xml:space="preserve">behavior as the primary factor responsible for </w:t>
      </w:r>
      <w:r w:rsidR="004544B2">
        <w:rPr>
          <w:rFonts w:eastAsia="Arial" w:cs="Arial"/>
          <w:szCs w:val="24"/>
        </w:rPr>
        <w:t>ill health and disease.</w:t>
      </w:r>
      <w:r w:rsidR="00826670">
        <w:rPr>
          <w:rFonts w:eastAsia="Arial" w:cs="Arial"/>
          <w:szCs w:val="24"/>
        </w:rPr>
        <w:t xml:space="preserve">, Barbara’s comment </w:t>
      </w:r>
      <w:r w:rsidR="00B46B6A">
        <w:rPr>
          <w:rFonts w:eastAsia="Arial" w:cs="Arial"/>
          <w:szCs w:val="24"/>
        </w:rPr>
        <w:t xml:space="preserve">illustrates </w:t>
      </w:r>
      <w:r w:rsidR="00826670">
        <w:rPr>
          <w:rFonts w:eastAsia="Arial" w:cs="Arial"/>
          <w:szCs w:val="24"/>
        </w:rPr>
        <w:t>how</w:t>
      </w:r>
      <w:r w:rsidR="003B661C">
        <w:rPr>
          <w:rFonts w:eastAsia="Arial" w:cs="Arial"/>
          <w:szCs w:val="24"/>
        </w:rPr>
        <w:t xml:space="preserve"> </w:t>
      </w:r>
      <w:r w:rsidR="00C849EE">
        <w:rPr>
          <w:rFonts w:eastAsia="Arial" w:cs="Arial"/>
          <w:szCs w:val="24"/>
        </w:rPr>
        <w:t xml:space="preserve">the lack of knowledge (health literacy) around </w:t>
      </w:r>
      <w:r w:rsidR="003B661C">
        <w:rPr>
          <w:rFonts w:eastAsia="Arial" w:cs="Arial"/>
          <w:szCs w:val="24"/>
        </w:rPr>
        <w:t>health behavior</w:t>
      </w:r>
      <w:r w:rsidR="005404F0">
        <w:rPr>
          <w:rFonts w:eastAsia="Arial" w:cs="Arial"/>
          <w:szCs w:val="24"/>
        </w:rPr>
        <w:t xml:space="preserve">’s interrelationship with other social determinants of health </w:t>
      </w:r>
      <w:r w:rsidR="00CB36EC">
        <w:rPr>
          <w:rFonts w:eastAsia="Arial" w:cs="Arial"/>
          <w:szCs w:val="24"/>
        </w:rPr>
        <w:t xml:space="preserve">can not only be an example of one’s own lack of health literacy, but how </w:t>
      </w:r>
      <w:r w:rsidR="00982735">
        <w:rPr>
          <w:rFonts w:eastAsia="Arial" w:cs="Arial"/>
          <w:szCs w:val="24"/>
        </w:rPr>
        <w:t xml:space="preserve">perceptions can </w:t>
      </w:r>
      <w:r w:rsidR="00CB36EC">
        <w:rPr>
          <w:rFonts w:eastAsia="Arial" w:cs="Arial"/>
          <w:szCs w:val="24"/>
        </w:rPr>
        <w:t>be driven by geopolitical, social, and cultural norms</w:t>
      </w:r>
      <w:r w:rsidR="00B46B6A">
        <w:rPr>
          <w:rFonts w:eastAsia="Arial" w:cs="Arial"/>
          <w:szCs w:val="24"/>
        </w:rPr>
        <w:t xml:space="preserve"> (e.g., </w:t>
      </w:r>
      <w:r w:rsidR="00B65407">
        <w:rPr>
          <w:rFonts w:eastAsia="Arial" w:cs="Arial"/>
          <w:szCs w:val="24"/>
        </w:rPr>
        <w:t>health behavior</w:t>
      </w:r>
      <w:r w:rsidR="0018467B">
        <w:rPr>
          <w:rFonts w:eastAsia="Arial" w:cs="Arial"/>
          <w:szCs w:val="24"/>
        </w:rPr>
        <w:t xml:space="preserve"> change n</w:t>
      </w:r>
      <w:r w:rsidR="00B65407">
        <w:rPr>
          <w:rFonts w:eastAsia="Arial" w:cs="Arial"/>
          <w:szCs w:val="24"/>
        </w:rPr>
        <w:t>orms around</w:t>
      </w:r>
      <w:r w:rsidR="0018467B">
        <w:rPr>
          <w:rFonts w:eastAsia="Arial" w:cs="Arial"/>
          <w:szCs w:val="24"/>
        </w:rPr>
        <w:t xml:space="preserve"> </w:t>
      </w:r>
      <w:r w:rsidR="00740EA9">
        <w:rPr>
          <w:rFonts w:eastAsia="Arial" w:cs="Arial"/>
          <w:szCs w:val="24"/>
        </w:rPr>
        <w:t xml:space="preserve">Type II diabetes and diet alone, absent contextual structural and systemic drivers of </w:t>
      </w:r>
      <w:r w:rsidR="006C0A57">
        <w:rPr>
          <w:rFonts w:eastAsia="Arial" w:cs="Arial"/>
          <w:szCs w:val="24"/>
        </w:rPr>
        <w:t>diabetes).</w:t>
      </w:r>
    </w:p>
    <w:p w14:paraId="356DFB7B" w14:textId="7C33B152" w:rsidR="00DA1769" w:rsidRDefault="00D842E7" w:rsidP="000126EE">
      <w:pPr>
        <w:spacing w:after="0" w:line="480" w:lineRule="auto"/>
        <w:ind w:firstLine="720"/>
        <w:rPr>
          <w:rFonts w:eastAsia="Arial" w:cs="Arial"/>
          <w:szCs w:val="24"/>
        </w:rPr>
      </w:pPr>
      <w:r>
        <w:rPr>
          <w:rFonts w:eastAsia="Arial" w:cs="Arial"/>
          <w:szCs w:val="24"/>
        </w:rPr>
        <w:t>The effects of g</w:t>
      </w:r>
      <w:r w:rsidR="00DA1769">
        <w:rPr>
          <w:rFonts w:eastAsia="Arial" w:cs="Arial"/>
          <w:szCs w:val="24"/>
        </w:rPr>
        <w:t xml:space="preserve">eopolitical cultural norming </w:t>
      </w:r>
      <w:r w:rsidR="00EE4121">
        <w:rPr>
          <w:rFonts w:eastAsia="Arial" w:cs="Arial"/>
          <w:szCs w:val="24"/>
        </w:rPr>
        <w:t>were</w:t>
      </w:r>
      <w:r w:rsidR="00DA1769">
        <w:rPr>
          <w:rFonts w:eastAsia="Arial" w:cs="Arial"/>
          <w:szCs w:val="24"/>
        </w:rPr>
        <w:t xml:space="preserve"> also shown </w:t>
      </w:r>
      <w:r>
        <w:rPr>
          <w:rFonts w:eastAsia="Arial" w:cs="Arial"/>
          <w:szCs w:val="24"/>
        </w:rPr>
        <w:t xml:space="preserve">in the experiences Anita reported </w:t>
      </w:r>
      <w:r w:rsidR="008059F9">
        <w:rPr>
          <w:rFonts w:eastAsia="Arial" w:cs="Arial"/>
          <w:szCs w:val="24"/>
        </w:rPr>
        <w:t xml:space="preserve">about </w:t>
      </w:r>
      <w:r w:rsidR="00286D1E">
        <w:rPr>
          <w:rFonts w:eastAsia="Arial" w:cs="Arial"/>
          <w:szCs w:val="24"/>
        </w:rPr>
        <w:t>the segregated clinical care she received as a result of the geopolitical climate of the Jim Crow South</w:t>
      </w:r>
      <w:r w:rsidR="00C7508E">
        <w:rPr>
          <w:rFonts w:eastAsia="Arial" w:cs="Arial"/>
          <w:szCs w:val="24"/>
        </w:rPr>
        <w:t xml:space="preserve">. </w:t>
      </w:r>
      <w:r w:rsidR="005600C2">
        <w:rPr>
          <w:rFonts w:eastAsia="Arial" w:cs="Arial"/>
          <w:szCs w:val="24"/>
        </w:rPr>
        <w:t>This played out</w:t>
      </w:r>
      <w:r w:rsidR="00C7508E">
        <w:rPr>
          <w:rFonts w:eastAsia="Arial" w:cs="Arial"/>
          <w:szCs w:val="24"/>
        </w:rPr>
        <w:t xml:space="preserve"> in the women’s familial </w:t>
      </w:r>
      <w:r w:rsidR="003E51CB">
        <w:rPr>
          <w:rFonts w:eastAsia="Arial" w:cs="Arial"/>
          <w:szCs w:val="24"/>
        </w:rPr>
        <w:t xml:space="preserve">attitudes and beliefs about health, illness, and death, and healthcare itself, including such things as </w:t>
      </w:r>
      <w:r w:rsidR="00D84935">
        <w:rPr>
          <w:rFonts w:eastAsia="Arial" w:cs="Arial"/>
          <w:szCs w:val="24"/>
        </w:rPr>
        <w:t xml:space="preserve">parental </w:t>
      </w:r>
      <w:r w:rsidR="003E51CB">
        <w:rPr>
          <w:rFonts w:eastAsia="Arial" w:cs="Arial"/>
          <w:szCs w:val="24"/>
        </w:rPr>
        <w:t>withholding of care</w:t>
      </w:r>
      <w:r w:rsidR="00863EEE">
        <w:rPr>
          <w:rFonts w:eastAsia="Arial" w:cs="Arial"/>
          <w:szCs w:val="24"/>
        </w:rPr>
        <w:t xml:space="preserve">, </w:t>
      </w:r>
      <w:r w:rsidR="004B1C71">
        <w:rPr>
          <w:rFonts w:eastAsia="Arial" w:cs="Arial"/>
          <w:szCs w:val="24"/>
        </w:rPr>
        <w:t>familial silence rules around health,</w:t>
      </w:r>
      <w:r w:rsidR="00D15BEC">
        <w:rPr>
          <w:rFonts w:eastAsia="Arial" w:cs="Arial"/>
          <w:szCs w:val="24"/>
        </w:rPr>
        <w:t xml:space="preserve"> </w:t>
      </w:r>
      <w:r w:rsidR="00D84935">
        <w:rPr>
          <w:rFonts w:eastAsia="Arial" w:cs="Arial"/>
          <w:szCs w:val="24"/>
        </w:rPr>
        <w:t xml:space="preserve">and familial </w:t>
      </w:r>
      <w:r w:rsidR="00184C58">
        <w:rPr>
          <w:rFonts w:eastAsia="Arial" w:cs="Arial"/>
          <w:szCs w:val="24"/>
        </w:rPr>
        <w:t>misunderstandings of causes of death and illness. Some of the women’s response</w:t>
      </w:r>
      <w:r w:rsidR="00235296">
        <w:rPr>
          <w:rFonts w:eastAsia="Arial" w:cs="Arial"/>
          <w:szCs w:val="24"/>
        </w:rPr>
        <w:t>s</w:t>
      </w:r>
      <w:r w:rsidR="00184C58">
        <w:rPr>
          <w:rFonts w:eastAsia="Arial" w:cs="Arial"/>
          <w:szCs w:val="24"/>
        </w:rPr>
        <w:t xml:space="preserve"> showed that they had </w:t>
      </w:r>
      <w:r w:rsidR="00784BD4">
        <w:rPr>
          <w:rFonts w:eastAsia="Arial" w:cs="Arial"/>
          <w:szCs w:val="24"/>
        </w:rPr>
        <w:t>adopted these norms, while others showed that they were aware of their familial norms, and either had changed them in their own lives and t</w:t>
      </w:r>
      <w:r w:rsidR="000A2394">
        <w:rPr>
          <w:rFonts w:eastAsia="Arial" w:cs="Arial"/>
          <w:szCs w:val="24"/>
        </w:rPr>
        <w:t xml:space="preserve">heir children’s (generationally) or </w:t>
      </w:r>
      <w:r w:rsidR="00784BD4">
        <w:rPr>
          <w:rFonts w:eastAsia="Arial" w:cs="Arial"/>
          <w:szCs w:val="24"/>
        </w:rPr>
        <w:t>were working to break them.</w:t>
      </w:r>
      <w:r w:rsidR="00D15BEC">
        <w:rPr>
          <w:rFonts w:eastAsia="Arial" w:cs="Arial"/>
          <w:szCs w:val="24"/>
        </w:rPr>
        <w:t xml:space="preserve"> </w:t>
      </w:r>
    </w:p>
    <w:p w14:paraId="0AD94AC7" w14:textId="495E5D04" w:rsidR="00DE6970" w:rsidRDefault="00DE6970" w:rsidP="000126EE">
      <w:pPr>
        <w:spacing w:after="0" w:line="480" w:lineRule="auto"/>
        <w:ind w:firstLine="720"/>
        <w:rPr>
          <w:rFonts w:eastAsia="Arial" w:cs="Arial"/>
          <w:szCs w:val="24"/>
        </w:rPr>
      </w:pPr>
      <w:r>
        <w:rPr>
          <w:rFonts w:eastAsia="Arial" w:cs="Arial"/>
          <w:szCs w:val="24"/>
        </w:rPr>
        <w:t xml:space="preserve">Most of </w:t>
      </w:r>
      <w:r w:rsidR="00235296">
        <w:rPr>
          <w:rFonts w:eastAsia="Arial" w:cs="Arial"/>
          <w:szCs w:val="24"/>
        </w:rPr>
        <w:t xml:space="preserve">the </w:t>
      </w:r>
      <w:r>
        <w:rPr>
          <w:rFonts w:eastAsia="Arial" w:cs="Arial"/>
          <w:szCs w:val="24"/>
        </w:rPr>
        <w:t xml:space="preserve">women were, as is discussed in the next section on policies and interventions, aware of the impact of Tennessee’s geopolitical norming environment on </w:t>
      </w:r>
      <w:r w:rsidR="009D1CDF">
        <w:rPr>
          <w:rFonts w:eastAsia="Arial" w:cs="Arial"/>
          <w:szCs w:val="24"/>
        </w:rPr>
        <w:t xml:space="preserve">certain policies that affect them (such as Medicaid expansion) </w:t>
      </w:r>
      <w:r w:rsidR="006A185D">
        <w:rPr>
          <w:rFonts w:eastAsia="Arial" w:cs="Arial"/>
          <w:szCs w:val="24"/>
        </w:rPr>
        <w:t xml:space="preserve">and on the policymakers and decisionmakers in Tennessee making those decisions. </w:t>
      </w:r>
    </w:p>
    <w:p w14:paraId="690BE158" w14:textId="3764BFD5" w:rsidR="00CD2106" w:rsidRDefault="00CD2106" w:rsidP="005943AE">
      <w:pPr>
        <w:pStyle w:val="Heading2"/>
        <w:spacing w:before="0" w:line="480" w:lineRule="auto"/>
        <w:jc w:val="center"/>
        <w:rPr>
          <w:rFonts w:ascii="Arial" w:eastAsia="Arial" w:hAnsi="Arial" w:cs="Arial"/>
          <w:b/>
          <w:bCs/>
          <w:color w:val="auto"/>
          <w:sz w:val="24"/>
          <w:szCs w:val="24"/>
        </w:rPr>
      </w:pPr>
      <w:bookmarkStart w:id="100" w:name="_Toc118232366"/>
      <w:r w:rsidRPr="004960FE">
        <w:rPr>
          <w:rFonts w:ascii="Arial" w:eastAsia="Arial" w:hAnsi="Arial" w:cs="Arial"/>
          <w:b/>
          <w:bCs/>
          <w:color w:val="auto"/>
          <w:sz w:val="24"/>
          <w:szCs w:val="24"/>
        </w:rPr>
        <w:t>Policies and Interventions</w:t>
      </w:r>
      <w:bookmarkEnd w:id="100"/>
    </w:p>
    <w:p w14:paraId="2F618431" w14:textId="36397CA9" w:rsidR="0016094A" w:rsidRPr="00424BD3" w:rsidRDefault="00CD2106" w:rsidP="005943AE">
      <w:pPr>
        <w:spacing w:after="0" w:line="480" w:lineRule="auto"/>
        <w:ind w:firstLine="720"/>
        <w:rPr>
          <w:rFonts w:eastAsia="Arial" w:cs="Arial"/>
          <w:szCs w:val="24"/>
        </w:rPr>
      </w:pPr>
      <w:r w:rsidRPr="00424BD3">
        <w:rPr>
          <w:rFonts w:eastAsia="Arial" w:cs="Arial"/>
          <w:szCs w:val="24"/>
        </w:rPr>
        <w:t xml:space="preserve">A major aim of the study was to add to existing literature via a qualitative, critical health geographies lens by examining whether similarities or differences exist in current federal, state, and local policies and interventions affecting health equity compared to </w:t>
      </w:r>
      <w:r w:rsidRPr="00424BD3">
        <w:rPr>
          <w:rFonts w:eastAsia="Arial" w:cs="Arial"/>
          <w:szCs w:val="24"/>
        </w:rPr>
        <w:lastRenderedPageBreak/>
        <w:t xml:space="preserve">the perceptions and experiences of older women in East Tennessee. </w:t>
      </w:r>
      <w:r w:rsidR="0016094A" w:rsidRPr="00424BD3">
        <w:rPr>
          <w:rFonts w:eastAsia="Arial" w:cs="Arial"/>
          <w:szCs w:val="24"/>
        </w:rPr>
        <w:t>When asked if they knew specific federal, state</w:t>
      </w:r>
      <w:r w:rsidR="0016094A">
        <w:rPr>
          <w:rFonts w:eastAsia="Arial" w:cs="Arial"/>
          <w:szCs w:val="24"/>
        </w:rPr>
        <w:t>,</w:t>
      </w:r>
      <w:r w:rsidR="0016094A" w:rsidRPr="00424BD3">
        <w:rPr>
          <w:rFonts w:eastAsia="Arial" w:cs="Arial"/>
          <w:szCs w:val="24"/>
        </w:rPr>
        <w:t xml:space="preserve"> or local policies or interventions enacted for and impacting older women, their answers regularly showed that they were unaware of these. </w:t>
      </w:r>
    </w:p>
    <w:p w14:paraId="4B190592" w14:textId="03DB7E8C" w:rsidR="0016094A" w:rsidRPr="00424BD3" w:rsidRDefault="0016094A" w:rsidP="0016094A">
      <w:pPr>
        <w:spacing w:after="0" w:line="480" w:lineRule="auto"/>
        <w:ind w:firstLine="720"/>
        <w:rPr>
          <w:rFonts w:eastAsia="Arial" w:cs="Arial"/>
          <w:szCs w:val="24"/>
        </w:rPr>
      </w:pPr>
      <w:r w:rsidRPr="00424BD3">
        <w:rPr>
          <w:rFonts w:eastAsia="Arial" w:cs="Arial"/>
          <w:szCs w:val="24"/>
        </w:rPr>
        <w:t>Deborah said: “I don’t know if I know a whole bunch of laws…”</w:t>
      </w:r>
      <w:r>
        <w:rPr>
          <w:rFonts w:eastAsia="Arial" w:cs="Arial"/>
          <w:szCs w:val="24"/>
        </w:rPr>
        <w:t xml:space="preserve"> while </w:t>
      </w:r>
      <w:r w:rsidRPr="00424BD3">
        <w:rPr>
          <w:rFonts w:eastAsia="Arial" w:cs="Arial"/>
          <w:szCs w:val="24"/>
        </w:rPr>
        <w:t>Carolyn said: "Well, this may take a minute for me to think about because I'm just going over 65 by a year, and I…haven't [sighs], I can't think of any</w:t>
      </w:r>
      <w:r>
        <w:rPr>
          <w:rFonts w:eastAsia="Arial" w:cs="Arial"/>
          <w:szCs w:val="24"/>
        </w:rPr>
        <w:t>,</w:t>
      </w:r>
      <w:r w:rsidR="004E5BD7">
        <w:rPr>
          <w:rFonts w:eastAsia="Arial" w:cs="Arial"/>
          <w:szCs w:val="24"/>
        </w:rPr>
        <w:t>”</w:t>
      </w:r>
      <w:r>
        <w:rPr>
          <w:rFonts w:eastAsia="Arial" w:cs="Arial"/>
          <w:szCs w:val="24"/>
        </w:rPr>
        <w:t xml:space="preserve"> and </w:t>
      </w:r>
      <w:r w:rsidRPr="00424BD3">
        <w:rPr>
          <w:rFonts w:eastAsia="Arial" w:cs="Arial"/>
          <w:szCs w:val="24"/>
        </w:rPr>
        <w:t>Margaret, when asked if she knew any policies or interventions affecting older women asked me what those were (not in jest) to which I replied “I can’t tell you. I want you to tell me.”</w:t>
      </w:r>
    </w:p>
    <w:p w14:paraId="19F78D9B" w14:textId="6E678954" w:rsidR="0016094A" w:rsidRPr="00424BD3" w:rsidRDefault="0016094A" w:rsidP="0016094A">
      <w:pPr>
        <w:spacing w:after="0" w:line="480" w:lineRule="auto"/>
        <w:ind w:firstLine="720"/>
        <w:rPr>
          <w:rFonts w:eastAsia="Arial" w:cs="Arial"/>
          <w:szCs w:val="24"/>
        </w:rPr>
      </w:pPr>
      <w:r w:rsidRPr="00424BD3">
        <w:rPr>
          <w:rFonts w:eastAsia="Arial" w:cs="Arial"/>
          <w:szCs w:val="24"/>
        </w:rPr>
        <w:t>When participants did identify policies, the Affordable Care Act (ACA), sometimes referred to colloquially as “Obamacare”, Medicare,</w:t>
      </w:r>
      <w:r>
        <w:rPr>
          <w:rFonts w:eastAsia="Arial" w:cs="Arial"/>
          <w:szCs w:val="24"/>
        </w:rPr>
        <w:t xml:space="preserve"> </w:t>
      </w:r>
      <w:r w:rsidRPr="00424BD3">
        <w:rPr>
          <w:rFonts w:eastAsia="Arial" w:cs="Arial"/>
          <w:szCs w:val="24"/>
        </w:rPr>
        <w:t xml:space="preserve">and Medicaid were the most identified. All participants but one felt the ACA was beneficial at the federal level, but that state level policies worked to restrict additional benefits offered by the federal government. Of particular concern were those affecting Medicaid expansion, Medicare additional coverage benefits, income and the working and retired poor, </w:t>
      </w:r>
      <w:r w:rsidR="00E90A64">
        <w:rPr>
          <w:rFonts w:eastAsia="Arial" w:cs="Arial"/>
          <w:szCs w:val="24"/>
        </w:rPr>
        <w:t xml:space="preserve">and </w:t>
      </w:r>
      <w:r w:rsidRPr="00424BD3">
        <w:rPr>
          <w:rFonts w:eastAsia="Arial" w:cs="Arial"/>
          <w:szCs w:val="24"/>
        </w:rPr>
        <w:t xml:space="preserve">the need for policies relating to better clinician education on older women. </w:t>
      </w:r>
    </w:p>
    <w:p w14:paraId="4900256F" w14:textId="1D02BF23" w:rsidR="0016094A" w:rsidRPr="00424BD3" w:rsidRDefault="0016094A" w:rsidP="0016094A">
      <w:pPr>
        <w:spacing w:after="0" w:line="480" w:lineRule="auto"/>
        <w:ind w:firstLine="720"/>
        <w:rPr>
          <w:rFonts w:eastAsia="Arial" w:cs="Arial"/>
          <w:szCs w:val="24"/>
        </w:rPr>
      </w:pPr>
      <w:r w:rsidRPr="00424BD3">
        <w:rPr>
          <w:rFonts w:eastAsia="Arial" w:cs="Arial"/>
          <w:szCs w:val="24"/>
        </w:rPr>
        <w:t xml:space="preserve">This is important because most of the women usually mentioned only one state policy or intervention - the lack of Medicaid expansion - and no local policies or interventions. Some of the women needed a number of services – support and respite for being a caregiver of a spouse and the subsequent loss of employment income (and social security income), support for finding retirement-based employment, assistance with Medicare-gap medical bills and other care bills in light of recent hospital and rehabilitation facility stays, and more. Yet, none of them mentioned that they knew of </w:t>
      </w:r>
      <w:r w:rsidRPr="00424BD3">
        <w:rPr>
          <w:rFonts w:eastAsia="Arial" w:cs="Arial"/>
          <w:szCs w:val="24"/>
        </w:rPr>
        <w:lastRenderedPageBreak/>
        <w:t>services available through the East Tennessee Human Resource Agency (ETHRA) or any other state or local agencies. In fact, when asked what they felt caused their health outcomes or the health and mortality outcomes of their family members, the most common causes they cited were health behavior, lifestyle choice, and individual responsibility, irrespective of the fact that they had spoken in other parts of their interview about the discrimination, lack of accessible and affordable healthcare, and their state and county geopolitical environment.</w:t>
      </w:r>
    </w:p>
    <w:p w14:paraId="20AA0B51" w14:textId="77777777" w:rsidR="0016094A" w:rsidRPr="00424BD3" w:rsidRDefault="0016094A" w:rsidP="0016094A">
      <w:pPr>
        <w:spacing w:after="0" w:line="480" w:lineRule="auto"/>
        <w:ind w:firstLine="720"/>
        <w:rPr>
          <w:rFonts w:eastAsia="Arial" w:cs="Arial"/>
          <w:szCs w:val="24"/>
        </w:rPr>
      </w:pPr>
      <w:r w:rsidRPr="00424BD3">
        <w:rPr>
          <w:rFonts w:eastAsia="Arial" w:cs="Arial"/>
          <w:szCs w:val="24"/>
        </w:rPr>
        <w:t>There may be additional reasons the women may not have mentioned these policies and interventions, if they were aware of them. This is of additional concern because internalization of geopolitical or cultural norms may lead to unintended propagation of the very policies and interventions which are ineffective in reducing the health inequities they endure (Akguloglu &amp; Con Wright, 2021; Cardona, 2021). While this cannot be definitely said about the cohort of the women in the study, it must be considered.</w:t>
      </w:r>
    </w:p>
    <w:p w14:paraId="07D0D14D" w14:textId="15FE37E6" w:rsidR="00CD2106" w:rsidRPr="00424BD3" w:rsidRDefault="00CD2106" w:rsidP="004D5DA6">
      <w:pPr>
        <w:spacing w:after="0" w:line="480" w:lineRule="auto"/>
        <w:ind w:firstLine="720"/>
        <w:rPr>
          <w:rFonts w:eastAsia="Arial" w:cs="Arial"/>
          <w:szCs w:val="24"/>
        </w:rPr>
      </w:pPr>
      <w:r w:rsidRPr="00424BD3">
        <w:rPr>
          <w:rFonts w:eastAsia="Arial" w:cs="Arial"/>
          <w:szCs w:val="24"/>
        </w:rPr>
        <w:t xml:space="preserve">The study has </w:t>
      </w:r>
      <w:r w:rsidR="00290A87" w:rsidRPr="00424BD3">
        <w:rPr>
          <w:rFonts w:eastAsia="Arial" w:cs="Arial"/>
          <w:szCs w:val="24"/>
        </w:rPr>
        <w:t xml:space="preserve">confirmed </w:t>
      </w:r>
      <w:r w:rsidR="00675879" w:rsidRPr="00424BD3">
        <w:rPr>
          <w:rFonts w:eastAsia="Arial" w:cs="Arial"/>
          <w:szCs w:val="24"/>
        </w:rPr>
        <w:t xml:space="preserve">previous research </w:t>
      </w:r>
      <w:r w:rsidRPr="00424BD3">
        <w:rPr>
          <w:rFonts w:eastAsia="Arial" w:cs="Arial"/>
          <w:szCs w:val="24"/>
        </w:rPr>
        <w:t>that</w:t>
      </w:r>
      <w:r w:rsidR="00AE7D3C" w:rsidRPr="00424BD3">
        <w:rPr>
          <w:rFonts w:eastAsia="Arial" w:cs="Arial"/>
          <w:szCs w:val="24"/>
        </w:rPr>
        <w:t xml:space="preserve"> states</w:t>
      </w:r>
      <w:r w:rsidR="00675879" w:rsidRPr="00424BD3">
        <w:rPr>
          <w:rFonts w:eastAsia="Arial" w:cs="Arial"/>
          <w:szCs w:val="24"/>
        </w:rPr>
        <w:t xml:space="preserve"> and other geopolitical areas</w:t>
      </w:r>
      <w:r w:rsidR="00AE7D3C" w:rsidRPr="00424BD3">
        <w:rPr>
          <w:rFonts w:eastAsia="Arial" w:cs="Arial"/>
          <w:szCs w:val="24"/>
        </w:rPr>
        <w:t>, like</w:t>
      </w:r>
      <w:r w:rsidRPr="00424BD3">
        <w:rPr>
          <w:rFonts w:eastAsia="Arial" w:cs="Arial"/>
          <w:szCs w:val="24"/>
        </w:rPr>
        <w:t xml:space="preserve"> Tennessee</w:t>
      </w:r>
      <w:r w:rsidR="00AE7D3C" w:rsidRPr="00424BD3">
        <w:rPr>
          <w:rFonts w:eastAsia="Arial" w:cs="Arial"/>
          <w:szCs w:val="24"/>
        </w:rPr>
        <w:t>,</w:t>
      </w:r>
      <w:r w:rsidRPr="00424BD3">
        <w:rPr>
          <w:rFonts w:eastAsia="Arial" w:cs="Arial"/>
          <w:szCs w:val="24"/>
        </w:rPr>
        <w:t xml:space="preserve"> that implement neoliberal, highly conservative, and / or faith-based legislation, hinder federally enacted policies intended to support older women</w:t>
      </w:r>
      <w:r w:rsidR="00BC7276" w:rsidRPr="00424BD3">
        <w:rPr>
          <w:rFonts w:eastAsia="Arial" w:cs="Arial"/>
          <w:szCs w:val="24"/>
        </w:rPr>
        <w:t xml:space="preserve"> </w:t>
      </w:r>
      <w:r w:rsidR="00BC7276" w:rsidRPr="00424BD3">
        <w:rPr>
          <w:rFonts w:eastAsia="Arial" w:cs="Arial"/>
          <w:szCs w:val="24"/>
        </w:rPr>
        <w:fldChar w:fldCharType="begin"/>
      </w:r>
      <w:r w:rsidR="00990F3A">
        <w:rPr>
          <w:rFonts w:eastAsia="Arial" w:cs="Arial"/>
          <w:szCs w:val="24"/>
        </w:rPr>
        <w:instrText xml:space="preserve"> ADDIN ZOTERO_ITEM CSL_CITATION {"citationID":"6lKdCNVF","properties":{"formattedCitation":"(Baru &amp; Mohan, 2018; Sager &amp; Bentele, 2016; Townsend et al., 2020)","plainCitation":"(Baru &amp; Mohan, 2018; Sager &amp; Bentele, 2016; Townsend et al., 2020)","noteIndex":0},"citationItems":[{"id":594,"uris":["http://zotero.org/users/4946941/items/CQCFCSS3"],"itemData":{"id":594,"type":"article-journal","abstract":"In this paper, we draw upon and build on three presentations which were part of the plenary session on ‘Structural Drivers of Health Inequities’ at the National Conference on Health Inequities in India: Transformative Research for Action, organised by the Achutha Menon Centre for Health Science Studies in Trivandrum, India. The three presentations discussed the influential role played by globalisation and neoliberalism in shaping economic, social and political relationships across developed and developing countries. The paper further argues that the twin process of globalisation and liberalisation have been important drivers of health inequities. The first segment of the paper attempts a broader conceptualisation of neoliberalism beyond the economic realm. Using Stephanie Lee Mudge’s conceptualisation (Soc Econ Rev 6:703–3, 2008) we have analysed how the political, bureaucratic and intellectual domains of neoliberalism have intersected and redefined the role of state and commercialised health services leading to inequities. Neoliberal ideas have reconfigured the role and changed the priorities of non-governmental organisations resulting in a fracture within this movement. n the second segment, we focus on the rise of American philanthro-capitalism, and how the two major foundations, the Rockefeller Foundation (early twentieth century) and the Bill and Melinda Gates Foundation (twenty-first century), have shaped the ideology of institutions engaged in international health and influenced the global health agenda. We discuss how the activities of philanthro-capitalists have transformed the architecture of health governance through their top-down organisational culture and deficit of structures to ensure accountability. The third and final segment of the paper focuses on how neoliberalism as a political project and cultural movement has forged alliances with conservative politics and religious fundamentalisms, resulting in negative consequences for women and other marginalised groups. These alliances have resulted in the control of women’s bodies and contributed to the reversal of hard-won rights for health and gender justice in many parts of the world.","container-title":"Health Research Policy and Systems","DOI":"10.1186/s12961-018-0365-2","ISSN":"1478-4505","issue":"1","journalAbbreviation":"Health Res Policy Sys","language":"en","page":"91","source":"Springer Link","title":"Globalisation and neoliberalism as structural drivers of health inequities","volume":"16","author":[{"family":"Baru","given":"Rama V."},{"family":"Mohan","given":"Malu"}],"issued":{"date-parts":[["2018",10,9]]}}},{"id":790,"uris":["http://zotero.org/users/4946941/items/QABZMU9B"],"itemData":{"id":790,"type":"article-journal","container-title":"Religions","DOI":"10.3390/rel7060071","issue":"6","language":"en","page":"71","title":"Coopting the state: The conservative evangelical movement and state-level institutionalization, passage, and diffusion of faith-based initiatives","volume":"7","author":[{"family":"Sager","given":"R."},{"family":"Bentele","given":"K."}],"issued":{"date-parts":[["2016"]]}}},{"id":835,"uris":["http://zotero.org/users/4946941/items/6XKWZ5EC"],"itemData":{"id":835,"type":"article-journal","container-title":"BMJ open","DOI":"10.1136/bmjopen-2020-040180","issue":"11","language":"en","page":"040180","title":"Advancing a health equity agenda across multiple policy domains: a qualitative policy analysis of social, trade and welfare policy","volume":"10","author":[{"family":"Townsend","given":"B."},{"family":"Friel","given":"S."},{"family":"Freeman","given":"T."},{"family":"Schram","given":"A."},{"family":"Strazdins","given":"L."},{"family":"Labonte","given":"R."},{"family":"Mackean","given":"T."},{"family":"Baum","given":"F."}],"issued":{"date-parts":[["2020"]]}}}],"schema":"https://github.com/citation-style-language/schema/raw/master/csl-citation.json"} </w:instrText>
      </w:r>
      <w:r w:rsidR="00BC7276" w:rsidRPr="00424BD3">
        <w:rPr>
          <w:rFonts w:eastAsia="Arial" w:cs="Arial"/>
          <w:szCs w:val="24"/>
        </w:rPr>
        <w:fldChar w:fldCharType="separate"/>
      </w:r>
      <w:r w:rsidR="00E926FD" w:rsidRPr="00424BD3">
        <w:rPr>
          <w:rFonts w:cs="Arial"/>
        </w:rPr>
        <w:t>(Baru &amp; Mohan, 2018; Sager &amp; Bentele, 2016; Townsend et al., 2020)</w:t>
      </w:r>
      <w:r w:rsidR="00BC7276" w:rsidRPr="00424BD3">
        <w:rPr>
          <w:rFonts w:eastAsia="Arial" w:cs="Arial"/>
          <w:szCs w:val="24"/>
        </w:rPr>
        <w:fldChar w:fldCharType="end"/>
      </w:r>
      <w:r w:rsidR="004D5DA6" w:rsidRPr="00424BD3">
        <w:rPr>
          <w:rFonts w:eastAsia="Arial" w:cs="Arial"/>
          <w:szCs w:val="24"/>
        </w:rPr>
        <w:t xml:space="preserve">. </w:t>
      </w:r>
      <w:r w:rsidRPr="00424BD3">
        <w:rPr>
          <w:rFonts w:eastAsia="Arial" w:cs="Arial"/>
          <w:szCs w:val="24"/>
        </w:rPr>
        <w:t>Th</w:t>
      </w:r>
      <w:r w:rsidR="00EA1DA1">
        <w:rPr>
          <w:rFonts w:eastAsia="Arial" w:cs="Arial"/>
          <w:szCs w:val="24"/>
        </w:rPr>
        <w:t>e</w:t>
      </w:r>
      <w:r w:rsidRPr="00424BD3">
        <w:rPr>
          <w:rFonts w:eastAsia="Arial" w:cs="Arial"/>
          <w:szCs w:val="24"/>
        </w:rPr>
        <w:t>s</w:t>
      </w:r>
      <w:r w:rsidR="00EA1DA1">
        <w:rPr>
          <w:rFonts w:eastAsia="Arial" w:cs="Arial"/>
          <w:szCs w:val="24"/>
        </w:rPr>
        <w:t>e</w:t>
      </w:r>
      <w:r w:rsidRPr="00424BD3">
        <w:rPr>
          <w:rFonts w:eastAsia="Arial" w:cs="Arial"/>
          <w:szCs w:val="24"/>
        </w:rPr>
        <w:t xml:space="preserve"> </w:t>
      </w:r>
      <w:r w:rsidR="00144F50">
        <w:rPr>
          <w:rFonts w:eastAsia="Arial" w:cs="Arial"/>
          <w:szCs w:val="24"/>
        </w:rPr>
        <w:t>findings</w:t>
      </w:r>
      <w:r w:rsidRPr="00424BD3">
        <w:rPr>
          <w:rFonts w:eastAsia="Arial" w:cs="Arial"/>
          <w:szCs w:val="24"/>
        </w:rPr>
        <w:t xml:space="preserve"> </w:t>
      </w:r>
      <w:r w:rsidR="00E4271E">
        <w:rPr>
          <w:rFonts w:eastAsia="Arial" w:cs="Arial"/>
          <w:szCs w:val="24"/>
        </w:rPr>
        <w:t xml:space="preserve">show </w:t>
      </w:r>
      <w:r w:rsidRPr="00424BD3">
        <w:rPr>
          <w:rFonts w:eastAsia="Arial" w:cs="Arial"/>
          <w:szCs w:val="24"/>
        </w:rPr>
        <w:t>large differences between what older women want and need, and the policies and in</w:t>
      </w:r>
      <w:r w:rsidR="00AE7D3C" w:rsidRPr="00424BD3">
        <w:rPr>
          <w:rFonts w:eastAsia="Arial" w:cs="Arial"/>
          <w:szCs w:val="24"/>
        </w:rPr>
        <w:t>ter</w:t>
      </w:r>
      <w:r w:rsidRPr="00424BD3">
        <w:rPr>
          <w:rFonts w:eastAsia="Arial" w:cs="Arial"/>
          <w:szCs w:val="24"/>
        </w:rPr>
        <w:t xml:space="preserve">ventions enacted at state and local level. The women in this study cited concerns about the differences in what policies and interventions are there to support them, specifically at federal level, and what their realities of this support is in East Tennessee. </w:t>
      </w:r>
    </w:p>
    <w:p w14:paraId="70FA32C3" w14:textId="671181F2" w:rsidR="00CD2106" w:rsidRPr="00424BD3" w:rsidRDefault="008E7508" w:rsidP="000126EE">
      <w:pPr>
        <w:spacing w:after="0" w:line="480" w:lineRule="auto"/>
        <w:ind w:firstLine="720"/>
        <w:rPr>
          <w:rFonts w:eastAsia="Arial" w:cs="Arial"/>
          <w:szCs w:val="24"/>
        </w:rPr>
      </w:pPr>
      <w:r w:rsidRPr="00424BD3">
        <w:rPr>
          <w:rFonts w:eastAsia="Arial" w:cs="Arial"/>
          <w:szCs w:val="24"/>
        </w:rPr>
        <w:lastRenderedPageBreak/>
        <w:t>The women’s responses show</w:t>
      </w:r>
      <w:r w:rsidR="007E1B22" w:rsidRPr="00424BD3">
        <w:rPr>
          <w:rFonts w:eastAsia="Arial" w:cs="Arial"/>
          <w:szCs w:val="24"/>
        </w:rPr>
        <w:t xml:space="preserve"> that </w:t>
      </w:r>
      <w:r w:rsidR="00CD2106" w:rsidRPr="00424BD3">
        <w:rPr>
          <w:rFonts w:eastAsia="Arial" w:cs="Arial"/>
          <w:szCs w:val="24"/>
        </w:rPr>
        <w:t xml:space="preserve">place has deeply impacted the experiences and perceptions of the participants. If these women lived in states, including other southern central Appalachian states, that did not have highly misogynistic, patriarchal, neoliberal (and historically Jim Crow-based) cultures that impact legislative decision-making, or if Tennessee had accepted federal funding options (such as Medicaid expansion), and had enacted policies and interventions that specifically prioritized older women’s health, their experiences and perceptions of health inequities </w:t>
      </w:r>
      <w:r w:rsidR="00EA1DA1">
        <w:rPr>
          <w:rFonts w:eastAsia="Arial" w:cs="Arial"/>
          <w:szCs w:val="24"/>
        </w:rPr>
        <w:t>may</w:t>
      </w:r>
      <w:r w:rsidR="00CD2106" w:rsidRPr="00424BD3">
        <w:rPr>
          <w:rFonts w:eastAsia="Arial" w:cs="Arial"/>
          <w:szCs w:val="24"/>
        </w:rPr>
        <w:t xml:space="preserve"> be very different</w:t>
      </w:r>
      <w:r w:rsidR="00F26726">
        <w:rPr>
          <w:rFonts w:eastAsia="Arial" w:cs="Arial"/>
          <w:szCs w:val="24"/>
        </w:rPr>
        <w:t xml:space="preserve"> </w:t>
      </w:r>
      <w:r w:rsidR="00214FDB">
        <w:rPr>
          <w:rFonts w:eastAsia="Arial" w:cs="Arial"/>
          <w:szCs w:val="24"/>
        </w:rPr>
        <w:fldChar w:fldCharType="begin"/>
      </w:r>
      <w:r w:rsidR="00990F3A">
        <w:rPr>
          <w:rFonts w:eastAsia="Arial" w:cs="Arial"/>
          <w:szCs w:val="24"/>
        </w:rPr>
        <w:instrText xml:space="preserve"> ADDIN ZOTERO_ITEM CSL_CITATION {"citationID":"MWLveBiv","properties":{"formattedCitation":"(Montez, 2020)","plainCitation":"(Montez, 2020)","noteIndex":0},"citationItems":[{"id":741,"uris":["http://zotero.org/users/4946941/items/9BHLNLPM"],"itemData":{"id":741,"type":"article-journal","container-title":"Milbank Q","DOI":"10.1111/1468-0009.12482","issue":"4","language":"en","page":"1033–1052","title":"US state polarization, policymaking power, and population health","volume":"98","author":[{"family":"Montez","given":"J.K."}],"issued":{"date-parts":[["2020"]]}}}],"schema":"https://github.com/citation-style-language/schema/raw/master/csl-citation.json"} </w:instrText>
      </w:r>
      <w:r w:rsidR="00214FDB">
        <w:rPr>
          <w:rFonts w:eastAsia="Arial" w:cs="Arial"/>
          <w:szCs w:val="24"/>
        </w:rPr>
        <w:fldChar w:fldCharType="separate"/>
      </w:r>
      <w:r w:rsidR="00214FDB" w:rsidRPr="00214FDB">
        <w:rPr>
          <w:rFonts w:cs="Arial"/>
        </w:rPr>
        <w:t>(Montez, 2020)</w:t>
      </w:r>
      <w:r w:rsidR="00214FDB">
        <w:rPr>
          <w:rFonts w:eastAsia="Arial" w:cs="Arial"/>
          <w:szCs w:val="24"/>
        </w:rPr>
        <w:fldChar w:fldCharType="end"/>
      </w:r>
      <w:r w:rsidR="00CD2106" w:rsidRPr="00424BD3">
        <w:rPr>
          <w:rFonts w:eastAsia="Arial" w:cs="Arial"/>
          <w:szCs w:val="24"/>
        </w:rPr>
        <w:t>.</w:t>
      </w:r>
    </w:p>
    <w:p w14:paraId="497A6118" w14:textId="6572F0D0" w:rsidR="00CD2106" w:rsidRPr="00424BD3" w:rsidRDefault="00CD2106" w:rsidP="000126EE">
      <w:pPr>
        <w:spacing w:after="0" w:line="480" w:lineRule="auto"/>
        <w:ind w:firstLine="720"/>
        <w:rPr>
          <w:rFonts w:eastAsia="Arial" w:cs="Arial"/>
          <w:szCs w:val="24"/>
        </w:rPr>
      </w:pPr>
      <w:r w:rsidRPr="00424BD3">
        <w:rPr>
          <w:rFonts w:eastAsia="Arial" w:cs="Arial"/>
          <w:szCs w:val="24"/>
        </w:rPr>
        <w:t>Tennessee’s state and East Tennessee’s local-level policies and interventions particularly fall short for those older women in the funding gaps that aren’t provided for by legislation such as the Older Americans Act, and while there may be some regional affinity in these findings, a look at the literature shows that this may be the case for other states (and countries) with highly neoliberal, patriarchal, evangelically conservative and libertarian led legislatures</w:t>
      </w:r>
      <w:r w:rsidR="00136B6F" w:rsidRPr="00424BD3">
        <w:rPr>
          <w:rFonts w:eastAsia="Arial" w:cs="Arial"/>
          <w:szCs w:val="24"/>
        </w:rPr>
        <w:t xml:space="preserve"> </w:t>
      </w:r>
      <w:r w:rsidR="00136B6F" w:rsidRPr="00424BD3">
        <w:rPr>
          <w:rFonts w:eastAsia="Arial" w:cs="Arial"/>
          <w:szCs w:val="24"/>
        </w:rPr>
        <w:fldChar w:fldCharType="begin"/>
      </w:r>
      <w:r w:rsidR="00990F3A">
        <w:rPr>
          <w:rFonts w:eastAsia="Arial" w:cs="Arial"/>
          <w:szCs w:val="24"/>
        </w:rPr>
        <w:instrText xml:space="preserve"> ADDIN ZOTERO_ITEM CSL_CITATION {"citationID":"ygCMJFy1","properties":{"formattedCitation":"(Baru &amp; Mohan, 2018; Sager &amp; Bentele, 2016; Townsend et al., 2020)","plainCitation":"(Baru &amp; Mohan, 2018; Sager &amp; Bentele, 2016; Townsend et al., 2020)","noteIndex":0},"citationItems":[{"id":594,"uris":["http://zotero.org/users/4946941/items/CQCFCSS3"],"itemData":{"id":594,"type":"article-journal","abstract":"In this paper, we draw upon and build on three presentations which were part of the plenary session on ‘Structural Drivers of Health Inequities’ at the National Conference on Health Inequities in India: Transformative Research for Action, organised by the Achutha Menon Centre for Health Science Studies in Trivandrum, India. The three presentations discussed the influential role played by globalisation and neoliberalism in shaping economic, social and political relationships across developed and developing countries. The paper further argues that the twin process of globalisation and liberalisation have been important drivers of health inequities. The first segment of the paper attempts a broader conceptualisation of neoliberalism beyond the economic realm. Using Stephanie Lee Mudge’s conceptualisation (Soc Econ Rev 6:703–3, 2008) we have analysed how the political, bureaucratic and intellectual domains of neoliberalism have intersected and redefined the role of state and commercialised health services leading to inequities. Neoliberal ideas have reconfigured the role and changed the priorities of non-governmental organisations resulting in a fracture within this movement. n the second segment, we focus on the rise of American philanthro-capitalism, and how the two major foundations, the Rockefeller Foundation (early twentieth century) and the Bill and Melinda Gates Foundation (twenty-first century), have shaped the ideology of institutions engaged in international health and influenced the global health agenda. We discuss how the activities of philanthro-capitalists have transformed the architecture of health governance through their top-down organisational culture and deficit of structures to ensure accountability. The third and final segment of the paper focuses on how neoliberalism as a political project and cultural movement has forged alliances with conservative politics and religious fundamentalisms, resulting in negative consequences for women and other marginalised groups. These alliances have resulted in the control of women’s bodies and contributed to the reversal of hard-won rights for health and gender justice in many parts of the world.","container-title":"Health Research Policy and Systems","DOI":"10.1186/s12961-018-0365-2","ISSN":"1478-4505","issue":"1","journalAbbreviation":"Health Res Policy Sys","language":"en","page":"91","source":"Springer Link","title":"Globalisation and neoliberalism as structural drivers of health inequities","volume":"16","author":[{"family":"Baru","given":"Rama V."},{"family":"Mohan","given":"Malu"}],"issued":{"date-parts":[["2018",10,9]]}}},{"id":790,"uris":["http://zotero.org/users/4946941/items/QABZMU9B"],"itemData":{"id":790,"type":"article-journal","container-title":"Religions","DOI":"10.3390/rel7060071","issue":"6","language":"en","page":"71","title":"Coopting the state: The conservative evangelical movement and state-level institutionalization, passage, and diffusion of faith-based initiatives","volume":"7","author":[{"family":"Sager","given":"R."},{"family":"Bentele","given":"K."}],"issued":{"date-parts":[["2016"]]}}},{"id":835,"uris":["http://zotero.org/users/4946941/items/6XKWZ5EC"],"itemData":{"id":835,"type":"article-journal","container-title":"BMJ open","DOI":"10.1136/bmjopen-2020-040180","issue":"11","language":"en","page":"040180","title":"Advancing a health equity agenda across multiple policy domains: a qualitative policy analysis of social, trade and welfare policy","volume":"10","author":[{"family":"Townsend","given":"B."},{"family":"Friel","given":"S."},{"family":"Freeman","given":"T."},{"family":"Schram","given":"A."},{"family":"Strazdins","given":"L."},{"family":"Labonte","given":"R."},{"family":"Mackean","given":"T."},{"family":"Baum","given":"F."}],"issued":{"date-parts":[["2020"]]}}}],"schema":"https://github.com/citation-style-language/schema/raw/master/csl-citation.json"} </w:instrText>
      </w:r>
      <w:r w:rsidR="00136B6F" w:rsidRPr="00424BD3">
        <w:rPr>
          <w:rFonts w:eastAsia="Arial" w:cs="Arial"/>
          <w:szCs w:val="24"/>
        </w:rPr>
        <w:fldChar w:fldCharType="separate"/>
      </w:r>
      <w:r w:rsidR="00136B6F" w:rsidRPr="00424BD3">
        <w:rPr>
          <w:rFonts w:cs="Arial"/>
        </w:rPr>
        <w:t>(Baru &amp; Mohan, 2018; Sager &amp; Bentele, 2016; Townsend et al., 2020)</w:t>
      </w:r>
      <w:r w:rsidR="00136B6F" w:rsidRPr="00424BD3">
        <w:rPr>
          <w:rFonts w:eastAsia="Arial" w:cs="Arial"/>
          <w:szCs w:val="24"/>
        </w:rPr>
        <w:fldChar w:fldCharType="end"/>
      </w:r>
      <w:r w:rsidRPr="00424BD3">
        <w:rPr>
          <w:rFonts w:eastAsia="Arial" w:cs="Arial"/>
          <w:szCs w:val="24"/>
        </w:rPr>
        <w:t>. Where federal services and funding are available in local counties and municipalities, Tennessee’s constitutional mandate to annually balance the budget constrains the consistency of comprehensive service availability. In other words, services may be available and may be geared to reach those most in need, but not all of those in need. This disproportionately impacts older women, especially the oldest of old, and those who fall in the funding gaps (such as the Medicare coverage gap) providing them less access and affordability (Cortis, 2012). Women like Kathryn, who had to give up her job to care for her husband, know this well.</w:t>
      </w:r>
    </w:p>
    <w:p w14:paraId="76EBB21A" w14:textId="7136A0DC" w:rsidR="00CD2106" w:rsidRPr="00424BD3" w:rsidRDefault="00CD2106" w:rsidP="000126EE">
      <w:pPr>
        <w:spacing w:after="0" w:line="480" w:lineRule="auto"/>
        <w:ind w:firstLine="720"/>
        <w:rPr>
          <w:rFonts w:eastAsia="Arial" w:cs="Arial"/>
          <w:szCs w:val="24"/>
        </w:rPr>
      </w:pPr>
      <w:r w:rsidRPr="00424BD3">
        <w:rPr>
          <w:rFonts w:eastAsia="Arial" w:cs="Arial"/>
          <w:szCs w:val="24"/>
        </w:rPr>
        <w:lastRenderedPageBreak/>
        <w:t xml:space="preserve">For those policies and acts that allow for states to decide how to spend allocated funds and in which services will be invested, older women are forced into an unwelcome game of ‘place roulette’. This means that they must make decisions about which state in which to live based upon the services they may receive. </w:t>
      </w:r>
      <w:r w:rsidR="00B62335" w:rsidRPr="00424BD3">
        <w:rPr>
          <w:rFonts w:cs="Arial"/>
          <w:color w:val="000000"/>
        </w:rPr>
        <w:t>Of course, many older women, like the women in this study, have financial, familial, or other concerns which prohibit them from relocating to states that invest more heavily in services for older people.</w:t>
      </w:r>
      <w:r w:rsidR="003E428A" w:rsidRPr="00424BD3">
        <w:rPr>
          <w:rFonts w:eastAsia="Arial" w:cs="Arial"/>
          <w:szCs w:val="24"/>
        </w:rPr>
        <w:t xml:space="preserve"> </w:t>
      </w:r>
      <w:r w:rsidRPr="00424BD3">
        <w:rPr>
          <w:rFonts w:eastAsia="Arial" w:cs="Arial"/>
          <w:szCs w:val="24"/>
        </w:rPr>
        <w:t xml:space="preserve">This means that they may have left a state which </w:t>
      </w:r>
      <w:r w:rsidR="003E428A" w:rsidRPr="00424BD3">
        <w:rPr>
          <w:rFonts w:eastAsia="Arial" w:cs="Arial"/>
          <w:szCs w:val="24"/>
        </w:rPr>
        <w:t>had accepted relevant</w:t>
      </w:r>
      <w:r w:rsidRPr="00424BD3">
        <w:rPr>
          <w:rFonts w:eastAsia="Arial" w:cs="Arial"/>
          <w:szCs w:val="24"/>
        </w:rPr>
        <w:t xml:space="preserve"> </w:t>
      </w:r>
      <w:r w:rsidR="003E428A" w:rsidRPr="00424BD3">
        <w:rPr>
          <w:rFonts w:eastAsia="Arial" w:cs="Arial"/>
          <w:szCs w:val="24"/>
        </w:rPr>
        <w:t>federal expansion funds</w:t>
      </w:r>
      <w:r w:rsidRPr="00424BD3">
        <w:rPr>
          <w:rFonts w:eastAsia="Arial" w:cs="Arial"/>
          <w:szCs w:val="24"/>
        </w:rPr>
        <w:t xml:space="preserve"> or </w:t>
      </w:r>
      <w:r w:rsidR="003E428A" w:rsidRPr="00424BD3">
        <w:rPr>
          <w:rFonts w:eastAsia="Arial" w:cs="Arial"/>
          <w:szCs w:val="24"/>
        </w:rPr>
        <w:t xml:space="preserve">offered them more older-age </w:t>
      </w:r>
      <w:r w:rsidRPr="00424BD3">
        <w:rPr>
          <w:rFonts w:eastAsia="Arial" w:cs="Arial"/>
          <w:szCs w:val="24"/>
        </w:rPr>
        <w:t>state resources and support than they currently receive in East Tennessee. Many of the women in the study indicated that, at the time of their decision to relocate, the impact of the differences in services and resources available to them w</w:t>
      </w:r>
      <w:r w:rsidR="00B057CF">
        <w:rPr>
          <w:rFonts w:eastAsia="Arial" w:cs="Arial"/>
          <w:szCs w:val="24"/>
        </w:rPr>
        <w:t>as</w:t>
      </w:r>
      <w:r w:rsidRPr="00424BD3">
        <w:rPr>
          <w:rFonts w:eastAsia="Arial" w:cs="Arial"/>
          <w:szCs w:val="24"/>
        </w:rPr>
        <w:t xml:space="preserve"> not part of their decision-making. Their needs for relocating to (or back to) Tennessee ranged from childhood moves due to parental job transfers, to taking up job offers of their own, to being with Tennessee-based spouses, aging parents or other family in need. Knowing what a state provided for them as they age was not a consideration.</w:t>
      </w:r>
    </w:p>
    <w:p w14:paraId="0D5F5934" w14:textId="001FE2C5" w:rsidR="00CD2106" w:rsidRPr="00424BD3" w:rsidRDefault="00CD2106" w:rsidP="00C54284">
      <w:pPr>
        <w:spacing w:after="0" w:line="480" w:lineRule="auto"/>
        <w:ind w:left="720"/>
        <w:rPr>
          <w:rFonts w:eastAsia="Arial" w:cs="Arial"/>
          <w:szCs w:val="24"/>
        </w:rPr>
      </w:pPr>
      <w:r w:rsidRPr="00424BD3">
        <w:rPr>
          <w:rFonts w:eastAsia="Arial" w:cs="Arial"/>
          <w:szCs w:val="24"/>
        </w:rPr>
        <w:t>Some felt that even without knowing specific policies or interventions, the current policies and interventions were unacceptable</w:t>
      </w:r>
      <w:r w:rsidR="000D27D7" w:rsidRPr="00424BD3">
        <w:rPr>
          <w:rFonts w:eastAsia="Arial" w:cs="Arial"/>
          <w:szCs w:val="24"/>
        </w:rPr>
        <w:t xml:space="preserve"> and did not meet their needs.</w:t>
      </w:r>
      <w:r w:rsidR="006057AF">
        <w:rPr>
          <w:rFonts w:eastAsia="Arial" w:cs="Arial"/>
          <w:szCs w:val="24"/>
        </w:rPr>
        <w:t xml:space="preserve"> </w:t>
      </w:r>
      <w:r w:rsidRPr="00424BD3">
        <w:rPr>
          <w:rFonts w:eastAsia="Arial" w:cs="Arial"/>
          <w:szCs w:val="24"/>
        </w:rPr>
        <w:t>Deborah said</w:t>
      </w:r>
      <w:r w:rsidR="008A0C11">
        <w:rPr>
          <w:rFonts w:eastAsia="Arial" w:cs="Arial"/>
          <w:szCs w:val="24"/>
        </w:rPr>
        <w:t xml:space="preserve">, </w:t>
      </w:r>
      <w:r w:rsidRPr="00424BD3">
        <w:rPr>
          <w:rFonts w:eastAsia="Arial" w:cs="Arial"/>
          <w:szCs w:val="24"/>
        </w:rPr>
        <w:t>“I just know that…whatever’s provided through Medicare, I’m sure it could be better</w:t>
      </w:r>
      <w:r w:rsidR="008A0C11">
        <w:rPr>
          <w:rFonts w:eastAsia="Arial" w:cs="Arial"/>
          <w:szCs w:val="24"/>
        </w:rPr>
        <w:t>,</w:t>
      </w:r>
      <w:r w:rsidRPr="00424BD3">
        <w:rPr>
          <w:rFonts w:eastAsia="Arial" w:cs="Arial"/>
          <w:szCs w:val="24"/>
        </w:rPr>
        <w:t>”</w:t>
      </w:r>
      <w:r w:rsidR="006057AF">
        <w:rPr>
          <w:rFonts w:eastAsia="Arial" w:cs="Arial"/>
          <w:szCs w:val="24"/>
        </w:rPr>
        <w:t xml:space="preserve"> and </w:t>
      </w:r>
      <w:r w:rsidRPr="00424BD3">
        <w:rPr>
          <w:rFonts w:eastAsia="Arial" w:cs="Arial"/>
          <w:szCs w:val="24"/>
        </w:rPr>
        <w:t>Peggy simply said</w:t>
      </w:r>
      <w:r w:rsidR="00E108B5">
        <w:rPr>
          <w:rFonts w:eastAsia="Arial" w:cs="Arial"/>
          <w:szCs w:val="24"/>
        </w:rPr>
        <w:t xml:space="preserve">, </w:t>
      </w:r>
      <w:r w:rsidRPr="00424BD3">
        <w:rPr>
          <w:rFonts w:eastAsia="Arial" w:cs="Arial"/>
          <w:szCs w:val="24"/>
        </w:rPr>
        <w:t>“They suck,” while Margaret echoed that sentiment</w:t>
      </w:r>
      <w:r w:rsidR="00F54AB6">
        <w:rPr>
          <w:rFonts w:eastAsia="Arial" w:cs="Arial"/>
          <w:szCs w:val="24"/>
        </w:rPr>
        <w:t xml:space="preserve">, </w:t>
      </w:r>
      <w:r w:rsidRPr="00424BD3">
        <w:rPr>
          <w:rFonts w:eastAsia="Arial" w:cs="Arial"/>
          <w:szCs w:val="24"/>
        </w:rPr>
        <w:t>“They’re rotten.”</w:t>
      </w:r>
    </w:p>
    <w:p w14:paraId="5AC63C1D" w14:textId="18D0FBB9" w:rsidR="00396CEA" w:rsidRPr="00424BD3" w:rsidRDefault="00396CEA" w:rsidP="00D25552">
      <w:pPr>
        <w:spacing w:after="0" w:line="480" w:lineRule="auto"/>
        <w:ind w:firstLine="720"/>
        <w:rPr>
          <w:rFonts w:eastAsia="Arial" w:cs="Arial"/>
          <w:szCs w:val="24"/>
        </w:rPr>
      </w:pPr>
      <w:r w:rsidRPr="00424BD3">
        <w:rPr>
          <w:rFonts w:eastAsia="Arial" w:cs="Arial"/>
          <w:szCs w:val="24"/>
        </w:rPr>
        <w:t>It is of note that although they did not</w:t>
      </w:r>
      <w:r w:rsidR="00027082" w:rsidRPr="00424BD3">
        <w:rPr>
          <w:rFonts w:eastAsia="Arial" w:cs="Arial"/>
          <w:szCs w:val="24"/>
        </w:rPr>
        <w:t xml:space="preserve"> discuss which policies or interventions to which they were referring, other than Medicare, they felt they could be improved, or </w:t>
      </w:r>
      <w:r w:rsidR="00D25552" w:rsidRPr="00424BD3">
        <w:rPr>
          <w:rFonts w:eastAsia="Arial" w:cs="Arial"/>
          <w:szCs w:val="24"/>
        </w:rPr>
        <w:t xml:space="preserve">simply felt they were very poor. While the women do offer recommendations on how </w:t>
      </w:r>
      <w:r w:rsidR="00D25552" w:rsidRPr="00424BD3">
        <w:rPr>
          <w:rFonts w:eastAsia="Arial" w:cs="Arial"/>
          <w:szCs w:val="24"/>
        </w:rPr>
        <w:lastRenderedPageBreak/>
        <w:t>policies and interventions can be improved, it is important to</w:t>
      </w:r>
      <w:r w:rsidR="002C59AD" w:rsidRPr="00424BD3">
        <w:rPr>
          <w:rFonts w:eastAsia="Arial" w:cs="Arial"/>
          <w:szCs w:val="24"/>
        </w:rPr>
        <w:t xml:space="preserve"> recognize that it may be difficult to improve specific policies and interventions without the women’s knowledge of them</w:t>
      </w:r>
      <w:r w:rsidR="0012207E" w:rsidRPr="00424BD3">
        <w:rPr>
          <w:rFonts w:eastAsia="Arial" w:cs="Arial"/>
          <w:szCs w:val="24"/>
        </w:rPr>
        <w:t xml:space="preserve">. What the women seem to </w:t>
      </w:r>
      <w:r w:rsidR="000F0095" w:rsidRPr="00424BD3">
        <w:rPr>
          <w:rFonts w:eastAsia="Arial" w:cs="Arial"/>
          <w:szCs w:val="24"/>
        </w:rPr>
        <w:t xml:space="preserve">be saying is that whether or not they know of specific policies and </w:t>
      </w:r>
      <w:r w:rsidR="00EE4121" w:rsidRPr="00424BD3">
        <w:rPr>
          <w:rFonts w:eastAsia="Arial" w:cs="Arial"/>
          <w:szCs w:val="24"/>
        </w:rPr>
        <w:t>interventions they</w:t>
      </w:r>
      <w:r w:rsidR="000F0095" w:rsidRPr="00424BD3">
        <w:rPr>
          <w:rFonts w:eastAsia="Arial" w:cs="Arial"/>
          <w:szCs w:val="24"/>
        </w:rPr>
        <w:t xml:space="preserve"> feel that </w:t>
      </w:r>
      <w:r w:rsidR="00922D23">
        <w:rPr>
          <w:rFonts w:eastAsia="Arial" w:cs="Arial"/>
          <w:szCs w:val="24"/>
        </w:rPr>
        <w:t>that many policy and intervention</w:t>
      </w:r>
      <w:r w:rsidR="00742960">
        <w:rPr>
          <w:rFonts w:eastAsia="Arial" w:cs="Arial"/>
          <w:szCs w:val="24"/>
        </w:rPr>
        <w:t xml:space="preserve"> </w:t>
      </w:r>
      <w:r w:rsidR="000F0095" w:rsidRPr="00424BD3">
        <w:rPr>
          <w:rFonts w:eastAsia="Arial" w:cs="Arial"/>
          <w:szCs w:val="24"/>
        </w:rPr>
        <w:t xml:space="preserve">outcomes are not helpful to them. </w:t>
      </w:r>
    </w:p>
    <w:p w14:paraId="1DEDD996" w14:textId="2E6A2B7E" w:rsidR="00CD2106" w:rsidRPr="00424BD3" w:rsidRDefault="008B74B2" w:rsidP="000126EE">
      <w:pPr>
        <w:spacing w:after="0" w:line="480" w:lineRule="auto"/>
        <w:ind w:firstLine="720"/>
        <w:rPr>
          <w:rFonts w:eastAsia="Arial" w:cs="Arial"/>
          <w:szCs w:val="24"/>
        </w:rPr>
      </w:pPr>
      <w:r w:rsidRPr="00424BD3">
        <w:rPr>
          <w:rFonts w:eastAsia="Arial" w:cs="Arial"/>
          <w:szCs w:val="24"/>
        </w:rPr>
        <w:t>Some</w:t>
      </w:r>
      <w:r w:rsidR="00CD2106" w:rsidRPr="00424BD3">
        <w:rPr>
          <w:rFonts w:eastAsia="Arial" w:cs="Arial"/>
          <w:szCs w:val="24"/>
        </w:rPr>
        <w:t xml:space="preserve"> felt that policymakers were </w:t>
      </w:r>
      <w:r w:rsidR="006630B7" w:rsidRPr="00424BD3">
        <w:rPr>
          <w:rFonts w:eastAsia="Arial" w:cs="Arial"/>
          <w:szCs w:val="24"/>
        </w:rPr>
        <w:t xml:space="preserve">the </w:t>
      </w:r>
      <w:r w:rsidR="00CD2106" w:rsidRPr="00424BD3">
        <w:rPr>
          <w:rFonts w:eastAsia="Arial" w:cs="Arial"/>
          <w:szCs w:val="24"/>
        </w:rPr>
        <w:t>problem, rather than</w:t>
      </w:r>
      <w:r w:rsidR="00CC1C74">
        <w:rPr>
          <w:rFonts w:eastAsia="Arial" w:cs="Arial"/>
          <w:szCs w:val="24"/>
        </w:rPr>
        <w:t xml:space="preserve"> just</w:t>
      </w:r>
      <w:r w:rsidR="00CD2106" w:rsidRPr="00424BD3">
        <w:rPr>
          <w:rFonts w:eastAsia="Arial" w:cs="Arial"/>
          <w:szCs w:val="24"/>
        </w:rPr>
        <w:t xml:space="preserve"> the policies themselves.</w:t>
      </w:r>
      <w:r w:rsidRPr="00424BD3">
        <w:rPr>
          <w:rFonts w:eastAsia="Arial" w:cs="Arial"/>
          <w:szCs w:val="24"/>
        </w:rPr>
        <w:t xml:space="preserve"> </w:t>
      </w:r>
      <w:r w:rsidR="00CC1C74">
        <w:rPr>
          <w:rFonts w:eastAsia="Arial" w:cs="Arial"/>
          <w:szCs w:val="24"/>
        </w:rPr>
        <w:t xml:space="preserve">The </w:t>
      </w:r>
      <w:r w:rsidR="003B1557">
        <w:rPr>
          <w:rFonts w:eastAsia="Arial" w:cs="Arial"/>
          <w:szCs w:val="24"/>
        </w:rPr>
        <w:t>section below breaks down a large response from Ruth regarding this</w:t>
      </w:r>
      <w:r w:rsidR="002460B3">
        <w:rPr>
          <w:rFonts w:eastAsia="Arial" w:cs="Arial"/>
          <w:szCs w:val="24"/>
        </w:rPr>
        <w:t xml:space="preserve"> perception.</w:t>
      </w:r>
    </w:p>
    <w:p w14:paraId="3F088D6F" w14:textId="4D30AAFF" w:rsidR="009F39B9" w:rsidRDefault="00CD2106" w:rsidP="000126EE">
      <w:pPr>
        <w:spacing w:after="0" w:line="480" w:lineRule="auto"/>
        <w:ind w:left="720"/>
        <w:rPr>
          <w:rFonts w:eastAsia="Arial" w:cs="Arial"/>
          <w:szCs w:val="24"/>
        </w:rPr>
      </w:pPr>
      <w:r w:rsidRPr="00424BD3">
        <w:rPr>
          <w:rFonts w:eastAsia="Arial" w:cs="Arial"/>
          <w:szCs w:val="24"/>
        </w:rPr>
        <w:t>Ruth said: “Well, it…mainly worries me that…politicians who know nothing about medicine are making these laws, and when they did Obamacare, they didn’t consult with the insurance industry o</w:t>
      </w:r>
      <w:r w:rsidR="004E0DCE">
        <w:rPr>
          <w:rFonts w:eastAsia="Arial" w:cs="Arial"/>
          <w:szCs w:val="24"/>
        </w:rPr>
        <w:t>r</w:t>
      </w:r>
      <w:r w:rsidRPr="00424BD3">
        <w:rPr>
          <w:rFonts w:eastAsia="Arial" w:cs="Arial"/>
          <w:szCs w:val="24"/>
        </w:rPr>
        <w:t xml:space="preserve"> the medical industry. They just decided they were going to do that</w:t>
      </w:r>
      <w:r w:rsidR="009F39B9">
        <w:rPr>
          <w:rFonts w:eastAsia="Arial" w:cs="Arial"/>
          <w:szCs w:val="24"/>
        </w:rPr>
        <w:t>…”</w:t>
      </w:r>
    </w:p>
    <w:p w14:paraId="78469525" w14:textId="40C5CD6E" w:rsidR="009F39B9" w:rsidRDefault="009F39B9" w:rsidP="00F701C4">
      <w:pPr>
        <w:spacing w:after="0" w:line="480" w:lineRule="auto"/>
        <w:ind w:firstLine="720"/>
        <w:rPr>
          <w:rFonts w:eastAsia="Arial" w:cs="Arial"/>
          <w:szCs w:val="24"/>
        </w:rPr>
      </w:pPr>
      <w:r w:rsidRPr="00424BD3">
        <w:rPr>
          <w:rFonts w:eastAsia="Arial" w:cs="Arial"/>
          <w:szCs w:val="24"/>
        </w:rPr>
        <w:t>Ruth</w:t>
      </w:r>
      <w:r w:rsidR="00F701C4">
        <w:rPr>
          <w:rFonts w:eastAsia="Arial" w:cs="Arial"/>
          <w:szCs w:val="24"/>
        </w:rPr>
        <w:t>’s</w:t>
      </w:r>
      <w:r w:rsidRPr="00424BD3">
        <w:rPr>
          <w:rFonts w:eastAsia="Arial" w:cs="Arial"/>
          <w:szCs w:val="24"/>
        </w:rPr>
        <w:t xml:space="preserve"> </w:t>
      </w:r>
      <w:r>
        <w:rPr>
          <w:rFonts w:eastAsia="Arial" w:cs="Arial"/>
          <w:szCs w:val="24"/>
        </w:rPr>
        <w:t>comment</w:t>
      </w:r>
      <w:r w:rsidRPr="00424BD3">
        <w:rPr>
          <w:rFonts w:eastAsia="Arial" w:cs="Arial"/>
          <w:szCs w:val="24"/>
        </w:rPr>
        <w:t xml:space="preserve"> that the ACA was enacted by politicians without any input from the insurance or medical industries, which is untrue, but shows Ruth’s perceptions of how that health policy and legislation was formed</w:t>
      </w:r>
      <w:r w:rsidR="003B1557">
        <w:rPr>
          <w:rFonts w:eastAsia="Arial" w:cs="Arial"/>
          <w:szCs w:val="24"/>
        </w:rPr>
        <w:t xml:space="preserve"> by policymakers</w:t>
      </w:r>
      <w:r w:rsidR="009E4524">
        <w:rPr>
          <w:rFonts w:eastAsia="Arial" w:cs="Arial"/>
          <w:szCs w:val="24"/>
        </w:rPr>
        <w:t xml:space="preserve"> without regard to their </w:t>
      </w:r>
      <w:r w:rsidR="00742960">
        <w:rPr>
          <w:rFonts w:eastAsia="Arial" w:cs="Arial"/>
          <w:szCs w:val="24"/>
        </w:rPr>
        <w:t>constituents</w:t>
      </w:r>
      <w:r w:rsidRPr="00424BD3">
        <w:rPr>
          <w:rFonts w:eastAsia="Arial" w:cs="Arial"/>
          <w:szCs w:val="24"/>
        </w:rPr>
        <w:t xml:space="preserve"> and reflects a common misconception among many people in the U.S. </w:t>
      </w:r>
      <w:r w:rsidRPr="00424BD3">
        <w:rPr>
          <w:rFonts w:eastAsia="Arial" w:cs="Arial"/>
          <w:szCs w:val="24"/>
        </w:rPr>
        <w:fldChar w:fldCharType="begin"/>
      </w:r>
      <w:r w:rsidR="00990F3A">
        <w:rPr>
          <w:rFonts w:eastAsia="Arial" w:cs="Arial"/>
          <w:szCs w:val="24"/>
        </w:rPr>
        <w:instrText xml:space="preserve"> ADDIN ZOTERO_ITEM CSL_CITATION {"citationID":"zMmWvuYF","properties":{"formattedCitation":"(G. M. Li et al., 2022)","plainCitation":"(G. M. Li et al., 2022)","noteIndex":0},"citationItems":[{"id":1385,"uris":["http://zotero.org/users/4946941/items/KNC8L7E2"],"itemData":{"id":1385,"type":"article-journal","abstract":"How do people form their attitudes toward complex policy issues? Although there has long been an assumption that people consider the various components of those issues and come to an overall assessment, a growing body of recent work has instead suggested that people may reach summary judgments as a function of heuristic cues and goal-oriented rationalizations. This study examines how well a component-based model fits Americans’ evaluations of the Patient Protection and Affordable Care Act of 2010, an important and highly contentious piece of legislation that contained several constituent parts. Despite strong partisan disagreement about the law, we find that Democrats and Republicans both appear to evaluate the law as a function of their beliefs and what the law would do as well as their confidence in those beliefs. This finding implies that correcting misperceptions and increasing awareness of the components of legislation have the potential to change attitudes.","container-title":"The ANNALS of the American Academy of Political and Social Science","DOI":"10.1177/00027162221098020","ISSN":"0002-7162","issue":"1","journalAbbreviation":"The ANNALS of the American Academy of Political and Social Science","language":"en","note":"publisher: SAGE Publications Inc","page":"41-54","source":"SAGE Journals","title":"Americans’ Attitudes toward the Affordable Care Act: What Role Do Beliefs Play?","title-short":"Americans’ Attitudes toward the Affordable Care Act","volume":"700","author":[{"family":"Li","given":"Gabriel Miao"},{"family":"Pasek","given":"Josh"},{"family":"Krosnick","given":"Jon A."},{"family":"Stark","given":"Tobias H."},{"family":"Agiesta","given":"Jennifer"},{"family":"Sood","given":"Gaurav"},{"family":"Tompson","given":"Trevor"},{"family":"Gross","given":"Wendy"}],"issued":{"date-parts":[["2022",3,1]]}}}],"schema":"https://github.com/citation-style-language/schema/raw/master/csl-citation.json"} </w:instrText>
      </w:r>
      <w:r w:rsidRPr="00424BD3">
        <w:rPr>
          <w:rFonts w:eastAsia="Arial" w:cs="Arial"/>
          <w:szCs w:val="24"/>
        </w:rPr>
        <w:fldChar w:fldCharType="separate"/>
      </w:r>
      <w:r w:rsidRPr="00424BD3">
        <w:rPr>
          <w:rFonts w:cs="Arial"/>
        </w:rPr>
        <w:t>(G. M. Li et al., 2022)</w:t>
      </w:r>
      <w:r w:rsidRPr="00424BD3">
        <w:rPr>
          <w:rFonts w:eastAsia="Arial" w:cs="Arial"/>
          <w:szCs w:val="24"/>
        </w:rPr>
        <w:fldChar w:fldCharType="end"/>
      </w:r>
      <w:r w:rsidRPr="00424BD3">
        <w:rPr>
          <w:rFonts w:eastAsia="Arial" w:cs="Arial"/>
          <w:szCs w:val="24"/>
        </w:rPr>
        <w:t>.</w:t>
      </w:r>
    </w:p>
    <w:p w14:paraId="1A9C2F3F" w14:textId="624B4D32" w:rsidR="009F39B9" w:rsidRDefault="009F39B9" w:rsidP="000126EE">
      <w:pPr>
        <w:spacing w:after="0" w:line="480" w:lineRule="auto"/>
        <w:ind w:left="720"/>
        <w:rPr>
          <w:rFonts w:eastAsia="Arial" w:cs="Arial"/>
          <w:szCs w:val="24"/>
        </w:rPr>
      </w:pPr>
      <w:r>
        <w:rPr>
          <w:rFonts w:eastAsia="Arial" w:cs="Arial"/>
          <w:szCs w:val="24"/>
        </w:rPr>
        <w:t>She continued, “</w:t>
      </w:r>
      <w:r w:rsidR="00CD2106" w:rsidRPr="00424BD3">
        <w:rPr>
          <w:rFonts w:eastAsia="Arial" w:cs="Arial"/>
          <w:szCs w:val="24"/>
        </w:rPr>
        <w:t>I’m doing</w:t>
      </w:r>
      <w:r w:rsidR="008B74B2" w:rsidRPr="00424BD3">
        <w:rPr>
          <w:rFonts w:eastAsia="Arial" w:cs="Arial"/>
          <w:szCs w:val="24"/>
        </w:rPr>
        <w:t xml:space="preserve"> [sic]</w:t>
      </w:r>
      <w:r w:rsidR="00A13C0B" w:rsidRPr="00424BD3">
        <w:rPr>
          <w:rFonts w:eastAsia="Arial" w:cs="Arial"/>
          <w:szCs w:val="24"/>
        </w:rPr>
        <w:t xml:space="preserve"> [applying for]</w:t>
      </w:r>
      <w:r w:rsidR="00CD2106" w:rsidRPr="00424BD3">
        <w:rPr>
          <w:rFonts w:eastAsia="Arial" w:cs="Arial"/>
          <w:szCs w:val="24"/>
        </w:rPr>
        <w:t xml:space="preserve"> Obamacare for [</w:t>
      </w:r>
      <w:r w:rsidR="00A977CF">
        <w:rPr>
          <w:rFonts w:eastAsia="Arial" w:cs="Arial"/>
          <w:szCs w:val="24"/>
        </w:rPr>
        <w:t xml:space="preserve">her </w:t>
      </w:r>
      <w:r w:rsidR="008A4DE1">
        <w:rPr>
          <w:rFonts w:eastAsia="Arial" w:cs="Arial"/>
          <w:szCs w:val="24"/>
        </w:rPr>
        <w:t>child</w:t>
      </w:r>
      <w:r w:rsidR="008A4DE1" w:rsidRPr="00424BD3">
        <w:rPr>
          <w:rFonts w:eastAsia="Arial" w:cs="Arial"/>
          <w:szCs w:val="24"/>
        </w:rPr>
        <w:t>]</w:t>
      </w:r>
      <w:r w:rsidR="00CD2106" w:rsidRPr="00424BD3">
        <w:rPr>
          <w:rFonts w:eastAsia="Arial" w:cs="Arial"/>
          <w:szCs w:val="24"/>
        </w:rPr>
        <w:t>…and it’s expensive. It’s not affordable, and…they use it…as an excuse not to cover certain things. I mean, it’s better than nothing."</w:t>
      </w:r>
    </w:p>
    <w:p w14:paraId="73818335" w14:textId="6F4CFC7A" w:rsidR="009F39B9" w:rsidRDefault="009F39B9" w:rsidP="00742960">
      <w:pPr>
        <w:spacing w:after="0" w:line="480" w:lineRule="auto"/>
        <w:ind w:firstLine="720"/>
        <w:rPr>
          <w:rFonts w:eastAsia="Arial" w:cs="Arial"/>
          <w:szCs w:val="24"/>
        </w:rPr>
      </w:pPr>
      <w:r w:rsidRPr="00424BD3">
        <w:rPr>
          <w:rFonts w:eastAsia="Arial" w:cs="Arial"/>
          <w:szCs w:val="24"/>
        </w:rPr>
        <w:t xml:space="preserve">Ruth has also been undergoing the process of applying </w:t>
      </w:r>
      <w:r w:rsidR="00FA629E">
        <w:rPr>
          <w:rFonts w:eastAsia="Arial" w:cs="Arial"/>
          <w:szCs w:val="24"/>
        </w:rPr>
        <w:t xml:space="preserve">for </w:t>
      </w:r>
      <w:r w:rsidRPr="00424BD3">
        <w:rPr>
          <w:rFonts w:eastAsia="Arial" w:cs="Arial"/>
          <w:szCs w:val="24"/>
        </w:rPr>
        <w:t xml:space="preserve">insurance through the </w:t>
      </w:r>
      <w:r w:rsidR="006E24DD">
        <w:rPr>
          <w:rFonts w:eastAsia="Arial" w:cs="Arial"/>
          <w:szCs w:val="24"/>
        </w:rPr>
        <w:t>ACA</w:t>
      </w:r>
      <w:r w:rsidRPr="00424BD3">
        <w:rPr>
          <w:rFonts w:eastAsia="Arial" w:cs="Arial"/>
          <w:szCs w:val="24"/>
        </w:rPr>
        <w:t xml:space="preserve"> for her child and has found it unlikeable and expensive because </w:t>
      </w:r>
      <w:r w:rsidR="00E732D3">
        <w:rPr>
          <w:rFonts w:eastAsia="Arial" w:cs="Arial"/>
          <w:szCs w:val="24"/>
        </w:rPr>
        <w:t xml:space="preserve">her </w:t>
      </w:r>
      <w:r w:rsidR="00382F95">
        <w:rPr>
          <w:rFonts w:eastAsia="Arial" w:cs="Arial"/>
          <w:szCs w:val="24"/>
        </w:rPr>
        <w:t>child</w:t>
      </w:r>
      <w:r w:rsidR="00382F95" w:rsidRPr="00424BD3">
        <w:rPr>
          <w:rFonts w:eastAsia="Arial" w:cs="Arial"/>
          <w:szCs w:val="24"/>
        </w:rPr>
        <w:t xml:space="preserve"> falls</w:t>
      </w:r>
      <w:r w:rsidRPr="00424BD3">
        <w:rPr>
          <w:rFonts w:eastAsia="Arial" w:cs="Arial"/>
          <w:szCs w:val="24"/>
        </w:rPr>
        <w:t xml:space="preserve"> into the category that does not qualify for ACA subsidies. Ruth finds herself in the difficult </w:t>
      </w:r>
      <w:r w:rsidRPr="00424BD3">
        <w:rPr>
          <w:rFonts w:eastAsia="Arial" w:cs="Arial"/>
          <w:szCs w:val="24"/>
        </w:rPr>
        <w:lastRenderedPageBreak/>
        <w:t xml:space="preserve">position of not having insurance provision available for her child because she chose not to have </w:t>
      </w:r>
      <w:r w:rsidR="006A584D">
        <w:rPr>
          <w:rFonts w:eastAsia="Arial" w:cs="Arial"/>
          <w:szCs w:val="24"/>
        </w:rPr>
        <w:t>health</w:t>
      </w:r>
      <w:r w:rsidRPr="00424BD3">
        <w:rPr>
          <w:rFonts w:eastAsia="Arial" w:cs="Arial"/>
          <w:szCs w:val="24"/>
        </w:rPr>
        <w:t xml:space="preserve"> insurance prior to retirement and</w:t>
      </w:r>
      <w:r w:rsidR="00AE1293">
        <w:rPr>
          <w:rFonts w:eastAsia="Arial" w:cs="Arial"/>
          <w:szCs w:val="24"/>
        </w:rPr>
        <w:t>,</w:t>
      </w:r>
      <w:r w:rsidRPr="00424BD3">
        <w:rPr>
          <w:rFonts w:eastAsia="Arial" w:cs="Arial"/>
          <w:szCs w:val="24"/>
        </w:rPr>
        <w:t xml:space="preserve"> therefore</w:t>
      </w:r>
      <w:r w:rsidR="00AE1293">
        <w:rPr>
          <w:rFonts w:eastAsia="Arial" w:cs="Arial"/>
          <w:szCs w:val="24"/>
        </w:rPr>
        <w:t>,</w:t>
      </w:r>
      <w:r w:rsidRPr="00424BD3">
        <w:rPr>
          <w:rFonts w:eastAsia="Arial" w:cs="Arial"/>
          <w:szCs w:val="24"/>
        </w:rPr>
        <w:t xml:space="preserve"> did not have coverage for her child, but also because her own coverage now comes through Medicare, of which her child cannot qualify. </w:t>
      </w:r>
      <w:r w:rsidR="00E74457">
        <w:rPr>
          <w:rFonts w:eastAsia="Arial" w:cs="Arial"/>
          <w:szCs w:val="24"/>
        </w:rPr>
        <w:t xml:space="preserve">Had she purchased insurance, even though she herself transitioned to Medicare, she could have potentially continued insurance payments for her child until her child reached a certain age. </w:t>
      </w:r>
      <w:r w:rsidRPr="00424BD3">
        <w:rPr>
          <w:rFonts w:eastAsia="Arial" w:cs="Arial"/>
          <w:szCs w:val="24"/>
        </w:rPr>
        <w:t xml:space="preserve">Still, this coverage gap </w:t>
      </w:r>
      <w:r w:rsidR="00C14893">
        <w:rPr>
          <w:rFonts w:eastAsia="Arial" w:cs="Arial"/>
          <w:szCs w:val="24"/>
        </w:rPr>
        <w:t>is</w:t>
      </w:r>
      <w:r w:rsidRPr="00424BD3">
        <w:rPr>
          <w:rFonts w:eastAsia="Arial" w:cs="Arial"/>
          <w:szCs w:val="24"/>
        </w:rPr>
        <w:t xml:space="preserve"> the most common complaint by those opposed to the ACA</w:t>
      </w:r>
      <w:r w:rsidR="00AF66C7">
        <w:rPr>
          <w:rFonts w:eastAsia="Arial" w:cs="Arial"/>
          <w:szCs w:val="24"/>
        </w:rPr>
        <w:t xml:space="preserve">, </w:t>
      </w:r>
      <w:r w:rsidR="009A154B">
        <w:rPr>
          <w:rFonts w:eastAsia="Arial" w:cs="Arial"/>
          <w:szCs w:val="24"/>
        </w:rPr>
        <w:t xml:space="preserve">and </w:t>
      </w:r>
      <w:r w:rsidR="00AF66C7">
        <w:rPr>
          <w:rFonts w:eastAsia="Arial" w:cs="Arial"/>
          <w:szCs w:val="24"/>
        </w:rPr>
        <w:t>reflect</w:t>
      </w:r>
      <w:r w:rsidR="009A154B">
        <w:rPr>
          <w:rFonts w:eastAsia="Arial" w:cs="Arial"/>
          <w:szCs w:val="24"/>
        </w:rPr>
        <w:t>s</w:t>
      </w:r>
      <w:r w:rsidR="00AF66C7">
        <w:rPr>
          <w:rFonts w:eastAsia="Arial" w:cs="Arial"/>
          <w:szCs w:val="24"/>
        </w:rPr>
        <w:t xml:space="preserve"> </w:t>
      </w:r>
      <w:r w:rsidR="009A154B">
        <w:rPr>
          <w:rFonts w:eastAsia="Arial" w:cs="Arial"/>
          <w:szCs w:val="24"/>
        </w:rPr>
        <w:t>particular beliefs about policymakers</w:t>
      </w:r>
      <w:r w:rsidR="00FF0937">
        <w:rPr>
          <w:rFonts w:eastAsia="Arial" w:cs="Arial"/>
          <w:szCs w:val="24"/>
        </w:rPr>
        <w:t>’ decision-making in relation to healthcare provision in the United States</w:t>
      </w:r>
      <w:r w:rsidRPr="00424BD3">
        <w:rPr>
          <w:rFonts w:eastAsia="Arial" w:cs="Arial"/>
          <w:szCs w:val="24"/>
        </w:rPr>
        <w:t xml:space="preserve"> </w:t>
      </w:r>
      <w:r w:rsidRPr="00424BD3">
        <w:rPr>
          <w:rFonts w:eastAsia="Arial" w:cs="Arial"/>
          <w:szCs w:val="24"/>
        </w:rPr>
        <w:fldChar w:fldCharType="begin"/>
      </w:r>
      <w:r w:rsidR="00990F3A">
        <w:rPr>
          <w:rFonts w:eastAsia="Arial" w:cs="Arial"/>
          <w:szCs w:val="24"/>
        </w:rPr>
        <w:instrText xml:space="preserve"> ADDIN ZOTERO_ITEM CSL_CITATION {"citationID":"idLA3ZQE","properties":{"formattedCitation":"(Kirzinger et al., 2022)","plainCitation":"(Kirzinger et al., 2022)","noteIndex":0},"citationItems":[{"id":1383,"uris":["http://zotero.org/users/4946941/items/UGIWEJ5K"],"itemData":{"id":1383,"type":"post-weblog","abstract":"This compiles key polling data examining the favorability of the Affordable Care Act and its provisions, including protections for people with pre-existing conditions and the impact of the law on f…","container-title":"Kaiser Family Foundation","language":"en-US","title":"5 Charts About Public Opinion on the Affordable Care Act","URL":"https://www.kff.org/health-reform/poll-finding/5-charts-about-public-opinion-on-the-affordable-care-act-and-the-supreme-court/","author":[{"family":"Kirzinger","given":"Ashley"},{"family":"Montero","given":"Alex"},{"family":"Brodie","given":"Mollyann"}],"accessed":{"date-parts":[["2022",9,5]]},"issued":{"date-parts":[["2022",4,14]]}}}],"schema":"https://github.com/citation-style-language/schema/raw/master/csl-citation.json"} </w:instrText>
      </w:r>
      <w:r w:rsidRPr="00424BD3">
        <w:rPr>
          <w:rFonts w:eastAsia="Arial" w:cs="Arial"/>
          <w:szCs w:val="24"/>
        </w:rPr>
        <w:fldChar w:fldCharType="separate"/>
      </w:r>
      <w:r w:rsidRPr="00424BD3">
        <w:rPr>
          <w:rFonts w:cs="Arial"/>
        </w:rPr>
        <w:t>(Kirzinger et al., 2022)</w:t>
      </w:r>
      <w:r w:rsidRPr="00424BD3">
        <w:rPr>
          <w:rFonts w:eastAsia="Arial" w:cs="Arial"/>
          <w:szCs w:val="24"/>
        </w:rPr>
        <w:fldChar w:fldCharType="end"/>
      </w:r>
      <w:r w:rsidRPr="00424BD3">
        <w:rPr>
          <w:rFonts w:eastAsia="Arial" w:cs="Arial"/>
          <w:szCs w:val="24"/>
        </w:rPr>
        <w:t>.</w:t>
      </w:r>
      <w:r w:rsidR="00C14893">
        <w:rPr>
          <w:rFonts w:eastAsia="Arial" w:cs="Arial"/>
          <w:szCs w:val="24"/>
        </w:rPr>
        <w:t xml:space="preserve"> </w:t>
      </w:r>
      <w:r w:rsidR="004B653B">
        <w:rPr>
          <w:rFonts w:eastAsia="Arial" w:cs="Arial"/>
          <w:szCs w:val="24"/>
        </w:rPr>
        <w:t>Ruth continued, “</w:t>
      </w:r>
      <w:r w:rsidR="00CD2106" w:rsidRPr="00424BD3">
        <w:rPr>
          <w:rFonts w:eastAsia="Arial" w:cs="Arial"/>
          <w:szCs w:val="24"/>
        </w:rPr>
        <w:t>I think what</w:t>
      </w:r>
      <w:r w:rsidR="00C14893">
        <w:rPr>
          <w:rFonts w:eastAsia="Arial" w:cs="Arial"/>
          <w:szCs w:val="24"/>
        </w:rPr>
        <w:t>’</w:t>
      </w:r>
      <w:r w:rsidR="00CD2106" w:rsidRPr="00424BD3">
        <w:rPr>
          <w:rFonts w:eastAsia="Arial" w:cs="Arial"/>
          <w:szCs w:val="24"/>
        </w:rPr>
        <w:t>s going to happen...is that it</w:t>
      </w:r>
      <w:r w:rsidR="00C14893">
        <w:rPr>
          <w:rFonts w:eastAsia="Arial" w:cs="Arial"/>
          <w:szCs w:val="24"/>
        </w:rPr>
        <w:t>’</w:t>
      </w:r>
      <w:r w:rsidR="00CD2106" w:rsidRPr="00424BD3">
        <w:rPr>
          <w:rFonts w:eastAsia="Arial" w:cs="Arial"/>
          <w:szCs w:val="24"/>
        </w:rPr>
        <w:t>s going to be like Britain, where you limit care for the elderly, and I don</w:t>
      </w:r>
      <w:r w:rsidR="00C14893">
        <w:rPr>
          <w:rFonts w:eastAsia="Arial" w:cs="Arial"/>
          <w:szCs w:val="24"/>
        </w:rPr>
        <w:t>’</w:t>
      </w:r>
      <w:r w:rsidR="00CD2106" w:rsidRPr="00424BD3">
        <w:rPr>
          <w:rFonts w:eastAsia="Arial" w:cs="Arial"/>
          <w:szCs w:val="24"/>
        </w:rPr>
        <w:t>t like that trend...going that way, I guess, because I</w:t>
      </w:r>
      <w:r w:rsidR="00C14893">
        <w:rPr>
          <w:rFonts w:eastAsia="Arial" w:cs="Arial"/>
          <w:szCs w:val="24"/>
        </w:rPr>
        <w:t>’</w:t>
      </w:r>
      <w:r w:rsidR="00CD2106" w:rsidRPr="00424BD3">
        <w:rPr>
          <w:rFonts w:eastAsia="Arial" w:cs="Arial"/>
          <w:szCs w:val="24"/>
        </w:rPr>
        <w:t>m getting older, but [laughs] I didn</w:t>
      </w:r>
      <w:r w:rsidR="00C14893">
        <w:rPr>
          <w:rFonts w:eastAsia="Arial" w:cs="Arial"/>
          <w:szCs w:val="24"/>
        </w:rPr>
        <w:t>’</w:t>
      </w:r>
      <w:r w:rsidR="00CD2106" w:rsidRPr="00424BD3">
        <w:rPr>
          <w:rFonts w:eastAsia="Arial" w:cs="Arial"/>
          <w:szCs w:val="24"/>
        </w:rPr>
        <w:t>t like that trend previously before...I reached this age, so I</w:t>
      </w:r>
      <w:r w:rsidR="00C14893">
        <w:rPr>
          <w:rFonts w:eastAsia="Arial" w:cs="Arial"/>
          <w:szCs w:val="24"/>
        </w:rPr>
        <w:t>’</w:t>
      </w:r>
      <w:r w:rsidR="00CD2106" w:rsidRPr="00424BD3">
        <w:rPr>
          <w:rFonts w:eastAsia="Arial" w:cs="Arial"/>
          <w:szCs w:val="24"/>
        </w:rPr>
        <w:t>m not happy with it.</w:t>
      </w:r>
      <w:r w:rsidR="00C14893">
        <w:rPr>
          <w:rFonts w:eastAsia="Arial" w:cs="Arial"/>
          <w:szCs w:val="24"/>
        </w:rPr>
        <w:t>”</w:t>
      </w:r>
      <w:r w:rsidR="00CD2106" w:rsidRPr="00424BD3">
        <w:rPr>
          <w:rFonts w:eastAsia="Arial" w:cs="Arial"/>
          <w:szCs w:val="24"/>
        </w:rPr>
        <w:t xml:space="preserve"> </w:t>
      </w:r>
    </w:p>
    <w:p w14:paraId="4D83C11E" w14:textId="6958CA60" w:rsidR="002B5BDF" w:rsidRDefault="004B653B" w:rsidP="007471CA">
      <w:pPr>
        <w:spacing w:after="0" w:line="480" w:lineRule="auto"/>
        <w:ind w:firstLine="720"/>
        <w:rPr>
          <w:rFonts w:eastAsia="Arial" w:cs="Arial"/>
          <w:szCs w:val="24"/>
        </w:rPr>
      </w:pPr>
      <w:r w:rsidRPr="00424BD3">
        <w:rPr>
          <w:rFonts w:eastAsia="Arial" w:cs="Arial"/>
          <w:szCs w:val="24"/>
        </w:rPr>
        <w:t xml:space="preserve">Ruth shares her beliefs and attitude about the UK’s version of universal healthcare, specifically regarding limiting care for older people, a fear that is factually based as it is for all countries </w:t>
      </w:r>
      <w:r w:rsidRPr="00424BD3">
        <w:rPr>
          <w:rFonts w:eastAsia="Arial" w:cs="Arial"/>
          <w:szCs w:val="24"/>
        </w:rPr>
        <w:fldChar w:fldCharType="begin"/>
      </w:r>
      <w:r w:rsidR="00990F3A">
        <w:rPr>
          <w:rFonts w:eastAsia="Arial" w:cs="Arial"/>
          <w:szCs w:val="24"/>
        </w:rPr>
        <w:instrText xml:space="preserve"> ADDIN ZOTERO_ITEM CSL_CITATION {"citationID":"oND9EtzK","properties":{"formattedCitation":"(E. Klein, 2020)","plainCitation":"(E. Klein, 2020)","noteIndex":0},"citationItems":[{"id":1386,"uris":["http://zotero.org/users/4946941/items/UGT9HXPU"],"itemData":{"id":1386,"type":"webpage","abstract":"The UK has one of the most equitable health care systems in the world. Here’s how.","container-title":"Vox","language":"en","title":"In the UK’s health system, rationing isn’t a dirty word","URL":"https://www.vox.com/2020/1/28/21074386/health-care-rationing-britain-nhs-nice-medicare-for-all","author":[{"family":"Klein","given":"Ezra"}],"accessed":{"date-parts":[["2022",9,5]]},"issued":{"date-parts":[["2020",1,28]]}}}],"schema":"https://github.com/citation-style-language/schema/raw/master/csl-citation.json"} </w:instrText>
      </w:r>
      <w:r w:rsidRPr="00424BD3">
        <w:rPr>
          <w:rFonts w:eastAsia="Arial" w:cs="Arial"/>
          <w:szCs w:val="24"/>
        </w:rPr>
        <w:fldChar w:fldCharType="separate"/>
      </w:r>
      <w:r w:rsidRPr="00424BD3">
        <w:rPr>
          <w:rFonts w:cs="Arial"/>
        </w:rPr>
        <w:t>(E. Klein, 2020)</w:t>
      </w:r>
      <w:r w:rsidRPr="00424BD3">
        <w:rPr>
          <w:rFonts w:eastAsia="Arial" w:cs="Arial"/>
          <w:szCs w:val="24"/>
        </w:rPr>
        <w:fldChar w:fldCharType="end"/>
      </w:r>
      <w:r w:rsidRPr="00424BD3">
        <w:rPr>
          <w:rFonts w:eastAsia="Arial" w:cs="Arial"/>
          <w:szCs w:val="24"/>
        </w:rPr>
        <w:t>, and confirms the research on many Americans</w:t>
      </w:r>
      <w:r w:rsidR="00FF6C1D">
        <w:rPr>
          <w:rFonts w:eastAsia="Arial" w:cs="Arial"/>
          <w:szCs w:val="24"/>
        </w:rPr>
        <w:t>’</w:t>
      </w:r>
      <w:r w:rsidRPr="00424BD3">
        <w:rPr>
          <w:rFonts w:eastAsia="Arial" w:cs="Arial"/>
          <w:szCs w:val="24"/>
        </w:rPr>
        <w:t xml:space="preserve"> distrust in government </w:t>
      </w:r>
      <w:r w:rsidR="003B6917">
        <w:rPr>
          <w:rFonts w:eastAsia="Arial" w:cs="Arial"/>
          <w:szCs w:val="24"/>
        </w:rPr>
        <w:t xml:space="preserve">(and policymakers) </w:t>
      </w:r>
      <w:r w:rsidRPr="00424BD3">
        <w:rPr>
          <w:rFonts w:eastAsia="Arial" w:cs="Arial"/>
          <w:szCs w:val="24"/>
        </w:rPr>
        <w:t xml:space="preserve">oversight of health, even though care rationing exists in the U.S. healthcare system itself </w:t>
      </w:r>
      <w:r w:rsidRPr="00424BD3">
        <w:rPr>
          <w:rFonts w:eastAsia="Arial" w:cs="Arial"/>
          <w:szCs w:val="24"/>
        </w:rPr>
        <w:fldChar w:fldCharType="begin"/>
      </w:r>
      <w:r w:rsidR="00990F3A">
        <w:rPr>
          <w:rFonts w:eastAsia="Arial" w:cs="Arial"/>
          <w:szCs w:val="24"/>
        </w:rPr>
        <w:instrText xml:space="preserve"> ADDIN ZOTERO_ITEM CSL_CITATION {"citationID":"mzxOemuP","properties":{"formattedCitation":"(Hook &amp; Markus, 2020; Yoder, 2002)","plainCitation":"(Hook &amp; Markus, 2020; Yoder, 2002)","noteIndex":0},"citationItems":[{"id":889,"uris":["http://zotero.org/users/4946941/items/SDSZWP2C"],"itemData":{"id":889,"type":"article-journal","abstract":"The United States suffers high rates of preventable lifestyle disease despite widespread calls for people to take responsibility for their health. The United States also stands out in its rejection of government action to guide industry practices and consumer choices. Why? We examine how deeply rooted cultural narratives about “free choice” and “personal responsibility” infuse policymaking, advertising, media, social norms, and individual attitudes about health in the United States. We argue that these narratives contribute to ill health in the United States: They encourage stress and worry over health, blame and stigmatization of the unhealthy, widened health disparities, and the failure to adopt policies that could save lives. Psychologists can play a major role in expanding narratives about health so that they include the role of personal choice and responsibility but also reflect current science about the physical, social, and cultural drivers of health. These broader narratives can be used to promote a more comprehensive understanding of health and to better inform the design, communication, and implementation of effective health-supportive policies.","container-title":"Perspectives on Psychological Science","DOI":"10.1177/1745691619896252","ISSN":"1745-6916, 1745-6924","issue":"3","journalAbbreviation":"Perspect Psychol Sci","language":"en","page":"643-664","source":"DOI.org (Crossref)","title":"Health in the United States: Are Appeals to Choice and Personal Responsibility Making Americans Sick?","title-short":"Health in the United States","volume":"15","author":[{"family":"Hook","given":"Cayce J."},{"family":"Markus","given":"Hazel Rose"}],"issued":{"date-parts":[["2020",5]]}}},{"id":895,"uris":["http://zotero.org/users/4946941/items/APN4V43D"],"itemData":{"id":895,"type":"article-journal","abstract":"Health policy sometimes hinges on claims about the responsibility borne by people or corporations for health outcomes. We don't want these claims to be arbitrary, so we construe them as discoveries of plain fact. But we're mistaken. They are interwoven with our values and social institutions. Recognizing that they are allows us to debate them more honestly and thoroughly.","container-title":"Hastings Center Report","DOI":"10.2307/3528519","ISSN":"1552-146X","issue":"2","language":"en","note":"_eprint: https://onlinelibrary.wiley.com/doi/pdf/10.2307/3528519","page":"22-31","source":"Wiley Online Library","title":"Individual Responsibility for Health: Decision, not Discovery","title-short":"Individual Responsibility for Health","volume":"32","author":[{"family":"Yoder","given":"Scot D."}],"issued":{"date-parts":[["2002"]]}}}],"schema":"https://github.com/citation-style-language/schema/raw/master/csl-citation.json"} </w:instrText>
      </w:r>
      <w:r w:rsidRPr="00424BD3">
        <w:rPr>
          <w:rFonts w:eastAsia="Arial" w:cs="Arial"/>
          <w:szCs w:val="24"/>
        </w:rPr>
        <w:fldChar w:fldCharType="separate"/>
      </w:r>
      <w:r w:rsidRPr="00424BD3">
        <w:rPr>
          <w:rFonts w:cs="Arial"/>
        </w:rPr>
        <w:t>(Hook &amp; Markus, 2020; Yoder, 2002)</w:t>
      </w:r>
      <w:r w:rsidRPr="00424BD3">
        <w:rPr>
          <w:rFonts w:eastAsia="Arial" w:cs="Arial"/>
          <w:szCs w:val="24"/>
        </w:rPr>
        <w:fldChar w:fldCharType="end"/>
      </w:r>
      <w:r w:rsidRPr="00424BD3">
        <w:rPr>
          <w:rFonts w:eastAsia="Arial" w:cs="Arial"/>
          <w:szCs w:val="24"/>
        </w:rPr>
        <w:t>.</w:t>
      </w:r>
      <w:r w:rsidR="00B24243">
        <w:rPr>
          <w:rFonts w:eastAsia="Arial" w:cs="Arial"/>
          <w:szCs w:val="24"/>
        </w:rPr>
        <w:t xml:space="preserve"> She said, “</w:t>
      </w:r>
      <w:r w:rsidR="002F1385">
        <w:rPr>
          <w:rFonts w:eastAsia="Arial" w:cs="Arial"/>
          <w:szCs w:val="24"/>
        </w:rPr>
        <w:t>T</w:t>
      </w:r>
      <w:r w:rsidR="00CD2106" w:rsidRPr="00424BD3">
        <w:rPr>
          <w:rFonts w:eastAsia="Arial" w:cs="Arial"/>
          <w:szCs w:val="24"/>
        </w:rPr>
        <w:t>hen my brother read through the Obamacare [sic], and only half of it has to do with medicine, the rest of it is pork-barreling as usual.</w:t>
      </w:r>
      <w:r w:rsidR="002F1385">
        <w:rPr>
          <w:rFonts w:eastAsia="Arial" w:cs="Arial"/>
          <w:szCs w:val="24"/>
        </w:rPr>
        <w:t xml:space="preserve">” </w:t>
      </w:r>
      <w:r>
        <w:rPr>
          <w:rFonts w:eastAsia="Arial" w:cs="Arial"/>
          <w:szCs w:val="24"/>
        </w:rPr>
        <w:t>Interesting</w:t>
      </w:r>
      <w:r w:rsidR="00F95FB8">
        <w:rPr>
          <w:rFonts w:eastAsia="Arial" w:cs="Arial"/>
          <w:szCs w:val="24"/>
        </w:rPr>
        <w:t>ly</w:t>
      </w:r>
      <w:r>
        <w:rPr>
          <w:rFonts w:eastAsia="Arial" w:cs="Arial"/>
          <w:szCs w:val="24"/>
        </w:rPr>
        <w:t xml:space="preserve">, </w:t>
      </w:r>
      <w:r w:rsidRPr="00424BD3">
        <w:rPr>
          <w:rFonts w:eastAsia="Arial" w:cs="Arial"/>
          <w:szCs w:val="24"/>
        </w:rPr>
        <w:t>Ruth did not mention that she read the ACA documentation, only that her brother did.</w:t>
      </w:r>
      <w:r w:rsidR="00F95FB8">
        <w:rPr>
          <w:rFonts w:eastAsia="Arial" w:cs="Arial"/>
          <w:szCs w:val="24"/>
        </w:rPr>
        <w:t xml:space="preserve"> </w:t>
      </w:r>
    </w:p>
    <w:p w14:paraId="7564D90B" w14:textId="77777777" w:rsidR="002B5BDF" w:rsidRDefault="004B653B" w:rsidP="007471CA">
      <w:pPr>
        <w:spacing w:after="0" w:line="480" w:lineRule="auto"/>
        <w:ind w:firstLine="720"/>
        <w:rPr>
          <w:rFonts w:eastAsia="Arial" w:cs="Arial"/>
          <w:szCs w:val="24"/>
        </w:rPr>
      </w:pPr>
      <w:r>
        <w:rPr>
          <w:rFonts w:eastAsia="Arial" w:cs="Arial"/>
          <w:szCs w:val="24"/>
        </w:rPr>
        <w:t xml:space="preserve">She continues, </w:t>
      </w:r>
    </w:p>
    <w:p w14:paraId="48C12416" w14:textId="0EB94A52" w:rsidR="00CD2106" w:rsidRPr="00424BD3" w:rsidRDefault="004B653B" w:rsidP="00595129">
      <w:pPr>
        <w:spacing w:after="0" w:line="480" w:lineRule="auto"/>
        <w:ind w:left="720"/>
        <w:rPr>
          <w:rFonts w:eastAsia="Arial" w:cs="Arial"/>
          <w:szCs w:val="24"/>
        </w:rPr>
      </w:pPr>
      <w:r>
        <w:rPr>
          <w:rFonts w:eastAsia="Arial" w:cs="Arial"/>
          <w:szCs w:val="24"/>
        </w:rPr>
        <w:t>“</w:t>
      </w:r>
      <w:r w:rsidR="00CD2106" w:rsidRPr="00424BD3">
        <w:rPr>
          <w:rFonts w:eastAsia="Arial" w:cs="Arial"/>
          <w:szCs w:val="24"/>
        </w:rPr>
        <w:t xml:space="preserve">I just don't think they're on the right track at all, you know. People think that they're helping out, that the politicians are helping them, and they're not, they're </w:t>
      </w:r>
      <w:r w:rsidR="00CD2106" w:rsidRPr="00424BD3">
        <w:rPr>
          <w:rFonts w:eastAsia="Arial" w:cs="Arial"/>
          <w:szCs w:val="24"/>
        </w:rPr>
        <w:lastRenderedPageBreak/>
        <w:t>hurting them. You've got to have a multi-approach [sic] from many different angles. You can't just do it from one end which the politicians are trying to do, and they're only trying to do it to get votes. Put them on our health care system, and then they'll make changes that are beneficial. I mean, they don't have to put up with what we're putting up with, and, I don't know, it's just, I don't see it getting any better because I don't see the politicians really working for us.”</w:t>
      </w:r>
    </w:p>
    <w:p w14:paraId="18D5D8BD" w14:textId="144FAF8D" w:rsidR="002266C5" w:rsidRPr="00424BD3" w:rsidRDefault="002D1743" w:rsidP="00D92423">
      <w:pPr>
        <w:spacing w:after="0" w:line="480" w:lineRule="auto"/>
        <w:ind w:firstLine="720"/>
        <w:rPr>
          <w:rFonts w:eastAsia="Arial" w:cs="Arial"/>
          <w:szCs w:val="24"/>
        </w:rPr>
      </w:pPr>
      <w:r w:rsidRPr="00424BD3">
        <w:rPr>
          <w:rFonts w:eastAsia="Arial" w:cs="Arial"/>
          <w:szCs w:val="24"/>
        </w:rPr>
        <w:t>Ruth</w:t>
      </w:r>
      <w:r w:rsidR="008A14FA" w:rsidRPr="00424BD3">
        <w:rPr>
          <w:rFonts w:eastAsia="Arial" w:cs="Arial"/>
          <w:szCs w:val="24"/>
        </w:rPr>
        <w:t xml:space="preserve">’s comment </w:t>
      </w:r>
      <w:r w:rsidR="0086438C" w:rsidRPr="00424BD3">
        <w:rPr>
          <w:rFonts w:eastAsia="Arial" w:cs="Arial"/>
          <w:szCs w:val="24"/>
        </w:rPr>
        <w:t xml:space="preserve">shows </w:t>
      </w:r>
      <w:r w:rsidR="008640DF" w:rsidRPr="00424BD3">
        <w:rPr>
          <w:rFonts w:eastAsia="Arial" w:cs="Arial"/>
          <w:szCs w:val="24"/>
        </w:rPr>
        <w:t xml:space="preserve">how </w:t>
      </w:r>
      <w:r w:rsidR="00FB42D5" w:rsidRPr="00424BD3">
        <w:rPr>
          <w:rFonts w:eastAsia="Arial" w:cs="Arial"/>
          <w:szCs w:val="24"/>
        </w:rPr>
        <w:t xml:space="preserve">conflicting </w:t>
      </w:r>
      <w:r w:rsidR="00254354" w:rsidRPr="00424BD3">
        <w:rPr>
          <w:rFonts w:eastAsia="Arial" w:cs="Arial"/>
          <w:szCs w:val="24"/>
        </w:rPr>
        <w:t>the</w:t>
      </w:r>
      <w:r w:rsidR="0086438C" w:rsidRPr="00424BD3">
        <w:rPr>
          <w:rFonts w:eastAsia="Arial" w:cs="Arial"/>
          <w:szCs w:val="24"/>
        </w:rPr>
        <w:t xml:space="preserve"> </w:t>
      </w:r>
      <w:r w:rsidR="00F56B9F" w:rsidRPr="00424BD3">
        <w:rPr>
          <w:rFonts w:eastAsia="Arial" w:cs="Arial"/>
          <w:szCs w:val="24"/>
        </w:rPr>
        <w:t xml:space="preserve">internal </w:t>
      </w:r>
      <w:r w:rsidR="006500A1" w:rsidRPr="00424BD3">
        <w:rPr>
          <w:rFonts w:eastAsia="Arial" w:cs="Arial"/>
          <w:szCs w:val="24"/>
        </w:rPr>
        <w:t>and external dich</w:t>
      </w:r>
      <w:r w:rsidR="00DD4A44" w:rsidRPr="00424BD3">
        <w:rPr>
          <w:rFonts w:eastAsia="Arial" w:cs="Arial"/>
          <w:szCs w:val="24"/>
        </w:rPr>
        <w:t>o</w:t>
      </w:r>
      <w:r w:rsidR="006500A1" w:rsidRPr="00424BD3">
        <w:rPr>
          <w:rFonts w:eastAsia="Arial" w:cs="Arial"/>
          <w:szCs w:val="24"/>
        </w:rPr>
        <w:t xml:space="preserve">tomy of </w:t>
      </w:r>
      <w:r w:rsidR="00DD4A44" w:rsidRPr="00424BD3">
        <w:rPr>
          <w:rFonts w:eastAsia="Arial" w:cs="Arial"/>
          <w:szCs w:val="24"/>
        </w:rPr>
        <w:t>perceptions of health inequities</w:t>
      </w:r>
      <w:r w:rsidR="00254354" w:rsidRPr="00424BD3">
        <w:rPr>
          <w:rFonts w:eastAsia="Arial" w:cs="Arial"/>
          <w:szCs w:val="24"/>
        </w:rPr>
        <w:t xml:space="preserve"> can be</w:t>
      </w:r>
      <w:r w:rsidR="0096010B">
        <w:rPr>
          <w:rFonts w:eastAsia="Arial" w:cs="Arial"/>
          <w:szCs w:val="24"/>
        </w:rPr>
        <w:t xml:space="preserve"> and the role of policymakers and decisionmakers in shaping </w:t>
      </w:r>
      <w:r w:rsidR="001332E8">
        <w:rPr>
          <w:rFonts w:eastAsia="Arial" w:cs="Arial"/>
          <w:szCs w:val="24"/>
        </w:rPr>
        <w:t>policies and interventions which impact health inequities</w:t>
      </w:r>
      <w:r w:rsidR="00254354" w:rsidRPr="00424BD3">
        <w:rPr>
          <w:rFonts w:eastAsia="Arial" w:cs="Arial"/>
          <w:szCs w:val="24"/>
        </w:rPr>
        <w:t xml:space="preserve">. For Ruth, this </w:t>
      </w:r>
      <w:r w:rsidR="00BE7718">
        <w:rPr>
          <w:rFonts w:eastAsia="Arial" w:cs="Arial"/>
          <w:szCs w:val="24"/>
        </w:rPr>
        <w:t xml:space="preserve">dichotomy </w:t>
      </w:r>
      <w:r w:rsidR="00254354" w:rsidRPr="00424BD3">
        <w:rPr>
          <w:rFonts w:eastAsia="Arial" w:cs="Arial"/>
          <w:szCs w:val="24"/>
        </w:rPr>
        <w:t xml:space="preserve">encompassed </w:t>
      </w:r>
      <w:r w:rsidR="00716085" w:rsidRPr="00424BD3">
        <w:rPr>
          <w:rFonts w:eastAsia="Arial" w:cs="Arial"/>
          <w:szCs w:val="24"/>
        </w:rPr>
        <w:t xml:space="preserve">working </w:t>
      </w:r>
      <w:r w:rsidR="00AE0F79" w:rsidRPr="00424BD3">
        <w:rPr>
          <w:rFonts w:eastAsia="Arial" w:cs="Arial"/>
          <w:szCs w:val="24"/>
        </w:rPr>
        <w:t>in healthcare for most of her life</w:t>
      </w:r>
      <w:r w:rsidR="00B04321" w:rsidRPr="00424BD3">
        <w:rPr>
          <w:rFonts w:eastAsia="Arial" w:cs="Arial"/>
          <w:szCs w:val="24"/>
        </w:rPr>
        <w:t xml:space="preserve">; </w:t>
      </w:r>
      <w:r w:rsidR="00716085" w:rsidRPr="00424BD3">
        <w:rPr>
          <w:rFonts w:eastAsia="Arial" w:cs="Arial"/>
          <w:szCs w:val="24"/>
        </w:rPr>
        <w:t>running</w:t>
      </w:r>
      <w:r w:rsidR="00F46BBB" w:rsidRPr="00424BD3">
        <w:rPr>
          <w:rFonts w:eastAsia="Arial" w:cs="Arial"/>
          <w:szCs w:val="24"/>
        </w:rPr>
        <w:t xml:space="preserve"> her own healthcare services business for</w:t>
      </w:r>
      <w:r w:rsidR="00716085" w:rsidRPr="00424BD3">
        <w:rPr>
          <w:rFonts w:eastAsia="Arial" w:cs="Arial"/>
          <w:szCs w:val="24"/>
        </w:rPr>
        <w:t xml:space="preserve"> </w:t>
      </w:r>
      <w:r w:rsidR="00F46BBB" w:rsidRPr="00424BD3">
        <w:rPr>
          <w:rFonts w:eastAsia="Arial" w:cs="Arial"/>
          <w:szCs w:val="24"/>
        </w:rPr>
        <w:t>many years</w:t>
      </w:r>
      <w:r w:rsidR="00B04321" w:rsidRPr="00424BD3">
        <w:rPr>
          <w:rFonts w:eastAsia="Arial" w:cs="Arial"/>
          <w:szCs w:val="24"/>
        </w:rPr>
        <w:t xml:space="preserve">; </w:t>
      </w:r>
      <w:r w:rsidR="00716085" w:rsidRPr="00424BD3">
        <w:rPr>
          <w:rFonts w:eastAsia="Arial" w:cs="Arial"/>
          <w:szCs w:val="24"/>
        </w:rPr>
        <w:t>refusing</w:t>
      </w:r>
      <w:r w:rsidR="00F46BBB" w:rsidRPr="00424BD3">
        <w:rPr>
          <w:rFonts w:eastAsia="Arial" w:cs="Arial"/>
          <w:szCs w:val="24"/>
        </w:rPr>
        <w:t xml:space="preserve"> to </w:t>
      </w:r>
      <w:r w:rsidR="00BA4583" w:rsidRPr="00424BD3">
        <w:rPr>
          <w:rFonts w:eastAsia="Arial" w:cs="Arial"/>
          <w:szCs w:val="24"/>
        </w:rPr>
        <w:t>purchase</w:t>
      </w:r>
      <w:r w:rsidR="00B04321" w:rsidRPr="00424BD3">
        <w:rPr>
          <w:rFonts w:eastAsia="Arial" w:cs="Arial"/>
          <w:szCs w:val="24"/>
        </w:rPr>
        <w:t xml:space="preserve"> insurance for herself</w:t>
      </w:r>
      <w:r w:rsidR="00F46BBB" w:rsidRPr="00424BD3">
        <w:rPr>
          <w:rFonts w:eastAsia="Arial" w:cs="Arial"/>
          <w:szCs w:val="24"/>
        </w:rPr>
        <w:t>, saying she refused to pay insurance companies</w:t>
      </w:r>
      <w:r w:rsidR="005E5D45" w:rsidRPr="00424BD3">
        <w:rPr>
          <w:rFonts w:eastAsia="Arial" w:cs="Arial"/>
          <w:szCs w:val="24"/>
        </w:rPr>
        <w:t>, which affected her access to healthcare</w:t>
      </w:r>
      <w:r w:rsidR="00B04321" w:rsidRPr="00424BD3">
        <w:rPr>
          <w:rFonts w:eastAsia="Arial" w:cs="Arial"/>
          <w:szCs w:val="24"/>
        </w:rPr>
        <w:t xml:space="preserve">; </w:t>
      </w:r>
      <w:r w:rsidR="00F90240" w:rsidRPr="00424BD3">
        <w:rPr>
          <w:rFonts w:eastAsia="Arial" w:cs="Arial"/>
          <w:szCs w:val="24"/>
        </w:rPr>
        <w:t xml:space="preserve">and then </w:t>
      </w:r>
      <w:r w:rsidR="00B04321" w:rsidRPr="00424BD3">
        <w:rPr>
          <w:rFonts w:eastAsia="Arial" w:cs="Arial"/>
          <w:szCs w:val="24"/>
        </w:rPr>
        <w:t>sitting</w:t>
      </w:r>
      <w:r w:rsidR="0018063D" w:rsidRPr="00424BD3">
        <w:rPr>
          <w:rFonts w:eastAsia="Arial" w:cs="Arial"/>
          <w:szCs w:val="24"/>
        </w:rPr>
        <w:t xml:space="preserve"> on the board of a healthcare organization, which she says has</w:t>
      </w:r>
      <w:r w:rsidR="009D23AA" w:rsidRPr="00424BD3">
        <w:rPr>
          <w:rFonts w:eastAsia="Arial" w:cs="Arial"/>
          <w:szCs w:val="24"/>
        </w:rPr>
        <w:t xml:space="preserve"> </w:t>
      </w:r>
      <w:r w:rsidR="00A205F9" w:rsidRPr="00424BD3">
        <w:rPr>
          <w:rFonts w:eastAsia="Arial" w:cs="Arial"/>
          <w:szCs w:val="24"/>
        </w:rPr>
        <w:t xml:space="preserve">opened up </w:t>
      </w:r>
      <w:r w:rsidR="009D23AA" w:rsidRPr="00424BD3">
        <w:rPr>
          <w:rFonts w:eastAsia="Arial" w:cs="Arial"/>
          <w:szCs w:val="24"/>
        </w:rPr>
        <w:t xml:space="preserve">her understanding of healthcare </w:t>
      </w:r>
      <w:r w:rsidR="00A205F9" w:rsidRPr="00424BD3">
        <w:rPr>
          <w:rFonts w:eastAsia="Arial" w:cs="Arial"/>
          <w:szCs w:val="24"/>
        </w:rPr>
        <w:t xml:space="preserve">provision </w:t>
      </w:r>
      <w:r w:rsidR="00FF3E48" w:rsidRPr="00424BD3">
        <w:rPr>
          <w:rFonts w:eastAsia="Arial" w:cs="Arial"/>
          <w:szCs w:val="24"/>
        </w:rPr>
        <w:t xml:space="preserve">from </w:t>
      </w:r>
      <w:r w:rsidR="00213967" w:rsidRPr="00424BD3">
        <w:rPr>
          <w:rFonts w:eastAsia="Arial" w:cs="Arial"/>
          <w:szCs w:val="24"/>
        </w:rPr>
        <w:t>service providers’ points of view</w:t>
      </w:r>
      <w:r w:rsidR="00F90240" w:rsidRPr="00424BD3">
        <w:rPr>
          <w:rFonts w:eastAsia="Arial" w:cs="Arial"/>
          <w:szCs w:val="24"/>
        </w:rPr>
        <w:t xml:space="preserve"> rather than just </w:t>
      </w:r>
      <w:r w:rsidR="00AE15B4" w:rsidRPr="00424BD3">
        <w:rPr>
          <w:rFonts w:eastAsia="Arial" w:cs="Arial"/>
          <w:szCs w:val="24"/>
        </w:rPr>
        <w:t>viewing health provision and health inequities from her own perspective</w:t>
      </w:r>
      <w:r w:rsidR="008640DF" w:rsidRPr="00424BD3">
        <w:rPr>
          <w:rFonts w:eastAsia="Arial" w:cs="Arial"/>
          <w:szCs w:val="24"/>
        </w:rPr>
        <w:t xml:space="preserve">. </w:t>
      </w:r>
      <w:r w:rsidR="00BE7718">
        <w:rPr>
          <w:rFonts w:eastAsia="Arial" w:cs="Arial"/>
          <w:szCs w:val="24"/>
        </w:rPr>
        <w:t xml:space="preserve">Ruth’s responses </w:t>
      </w:r>
      <w:r w:rsidR="005421D0">
        <w:rPr>
          <w:rFonts w:eastAsia="Arial" w:cs="Arial"/>
          <w:szCs w:val="24"/>
        </w:rPr>
        <w:t>illustrate</w:t>
      </w:r>
      <w:r w:rsidR="00BE7718">
        <w:rPr>
          <w:rFonts w:eastAsia="Arial" w:cs="Arial"/>
          <w:szCs w:val="24"/>
        </w:rPr>
        <w:t xml:space="preserve"> just how </w:t>
      </w:r>
      <w:r w:rsidR="005421D0">
        <w:rPr>
          <w:rFonts w:eastAsia="Arial" w:cs="Arial"/>
          <w:szCs w:val="24"/>
        </w:rPr>
        <w:t>conflict</w:t>
      </w:r>
      <w:r w:rsidR="00BF0B7D">
        <w:rPr>
          <w:rFonts w:eastAsia="Arial" w:cs="Arial"/>
          <w:szCs w:val="24"/>
        </w:rPr>
        <w:t xml:space="preserve">ed but interrelated the issue of health inequities is for older women (and others) in East Tennessee. </w:t>
      </w:r>
      <w:r w:rsidR="00392DBD" w:rsidRPr="00424BD3">
        <w:rPr>
          <w:rFonts w:eastAsia="Arial" w:cs="Arial"/>
          <w:szCs w:val="24"/>
        </w:rPr>
        <w:t xml:space="preserve">Finally, </w:t>
      </w:r>
      <w:r w:rsidR="002F1385">
        <w:rPr>
          <w:rFonts w:eastAsia="Arial" w:cs="Arial"/>
          <w:szCs w:val="24"/>
        </w:rPr>
        <w:t>w</w:t>
      </w:r>
      <w:r w:rsidR="00D26029" w:rsidRPr="00424BD3">
        <w:rPr>
          <w:rFonts w:eastAsia="Arial" w:cs="Arial"/>
          <w:szCs w:val="24"/>
        </w:rPr>
        <w:t xml:space="preserve">hat is important is that Ruth, like all of the women in this study, </w:t>
      </w:r>
      <w:r w:rsidR="00F613AE">
        <w:rPr>
          <w:rFonts w:eastAsia="Arial" w:cs="Arial"/>
          <w:szCs w:val="24"/>
        </w:rPr>
        <w:t>is</w:t>
      </w:r>
      <w:r w:rsidR="00927C21" w:rsidRPr="00424BD3">
        <w:rPr>
          <w:rFonts w:eastAsia="Arial" w:cs="Arial"/>
          <w:szCs w:val="24"/>
        </w:rPr>
        <w:t xml:space="preserve"> afraid of what will happen to </w:t>
      </w:r>
      <w:r w:rsidR="004938AC">
        <w:rPr>
          <w:rFonts w:eastAsia="Arial" w:cs="Arial"/>
          <w:szCs w:val="24"/>
        </w:rPr>
        <w:t>her</w:t>
      </w:r>
      <w:r w:rsidR="00F613AE">
        <w:rPr>
          <w:rFonts w:eastAsia="Arial" w:cs="Arial"/>
          <w:szCs w:val="24"/>
        </w:rPr>
        <w:t xml:space="preserve"> as she</w:t>
      </w:r>
      <w:r w:rsidR="00927C21" w:rsidRPr="00424BD3">
        <w:rPr>
          <w:rFonts w:eastAsia="Arial" w:cs="Arial"/>
          <w:szCs w:val="24"/>
        </w:rPr>
        <w:t xml:space="preserve"> age</w:t>
      </w:r>
      <w:r w:rsidR="00F613AE">
        <w:rPr>
          <w:rFonts w:eastAsia="Arial" w:cs="Arial"/>
          <w:szCs w:val="24"/>
        </w:rPr>
        <w:t>s</w:t>
      </w:r>
      <w:r w:rsidR="00927C21" w:rsidRPr="00424BD3">
        <w:rPr>
          <w:rFonts w:eastAsia="Arial" w:cs="Arial"/>
          <w:szCs w:val="24"/>
        </w:rPr>
        <w:t xml:space="preserve">, and these fears may be shaping </w:t>
      </w:r>
      <w:r w:rsidR="00F613AE">
        <w:rPr>
          <w:rFonts w:eastAsia="Arial" w:cs="Arial"/>
          <w:szCs w:val="24"/>
        </w:rPr>
        <w:t>her (and their)</w:t>
      </w:r>
      <w:r w:rsidR="00F613AE" w:rsidRPr="00424BD3">
        <w:rPr>
          <w:rFonts w:eastAsia="Arial" w:cs="Arial"/>
          <w:szCs w:val="24"/>
        </w:rPr>
        <w:t xml:space="preserve"> </w:t>
      </w:r>
      <w:r w:rsidR="00927C21" w:rsidRPr="00424BD3">
        <w:rPr>
          <w:rFonts w:eastAsia="Arial" w:cs="Arial"/>
          <w:szCs w:val="24"/>
        </w:rPr>
        <w:t xml:space="preserve">perceptions </w:t>
      </w:r>
      <w:r w:rsidR="006078C5" w:rsidRPr="00424BD3">
        <w:rPr>
          <w:rFonts w:eastAsia="Arial" w:cs="Arial"/>
          <w:szCs w:val="24"/>
        </w:rPr>
        <w:t xml:space="preserve">of </w:t>
      </w:r>
      <w:r w:rsidR="006A7606" w:rsidRPr="00424BD3">
        <w:rPr>
          <w:rFonts w:eastAsia="Arial" w:cs="Arial"/>
          <w:szCs w:val="24"/>
        </w:rPr>
        <w:t>policies, interventions and policymakers.</w:t>
      </w:r>
      <w:r w:rsidR="007C03F5" w:rsidRPr="00424BD3">
        <w:rPr>
          <w:rFonts w:eastAsia="Arial" w:cs="Arial"/>
          <w:szCs w:val="24"/>
        </w:rPr>
        <w:t xml:space="preserve"> Moreover,</w:t>
      </w:r>
      <w:r w:rsidR="006A7606" w:rsidRPr="00424BD3">
        <w:rPr>
          <w:rFonts w:eastAsia="Arial" w:cs="Arial"/>
          <w:szCs w:val="24"/>
        </w:rPr>
        <w:t xml:space="preserve"> Ruth’s </w:t>
      </w:r>
      <w:r w:rsidR="007C03F5" w:rsidRPr="00424BD3">
        <w:rPr>
          <w:rFonts w:eastAsia="Arial" w:cs="Arial"/>
          <w:szCs w:val="24"/>
        </w:rPr>
        <w:t>statement</w:t>
      </w:r>
      <w:r w:rsidR="006A7606" w:rsidRPr="00424BD3">
        <w:rPr>
          <w:rFonts w:eastAsia="Arial" w:cs="Arial"/>
          <w:szCs w:val="24"/>
        </w:rPr>
        <w:t xml:space="preserve"> that health policies and interventions require a multi-pronged approach</w:t>
      </w:r>
      <w:r w:rsidR="007C03F5" w:rsidRPr="00424BD3">
        <w:rPr>
          <w:rFonts w:eastAsia="Arial" w:cs="Arial"/>
          <w:szCs w:val="24"/>
        </w:rPr>
        <w:t xml:space="preserve"> – what might </w:t>
      </w:r>
      <w:r w:rsidR="008960A8" w:rsidRPr="00424BD3">
        <w:rPr>
          <w:rFonts w:eastAsia="Arial" w:cs="Arial"/>
          <w:szCs w:val="24"/>
        </w:rPr>
        <w:t xml:space="preserve">be </w:t>
      </w:r>
      <w:r w:rsidR="007C03F5" w:rsidRPr="00424BD3">
        <w:rPr>
          <w:rFonts w:eastAsia="Arial" w:cs="Arial"/>
          <w:szCs w:val="24"/>
        </w:rPr>
        <w:t>call</w:t>
      </w:r>
      <w:r w:rsidR="008960A8" w:rsidRPr="00424BD3">
        <w:rPr>
          <w:rFonts w:eastAsia="Arial" w:cs="Arial"/>
          <w:szCs w:val="24"/>
        </w:rPr>
        <w:t>ed</w:t>
      </w:r>
      <w:r w:rsidR="007C03F5" w:rsidRPr="00424BD3">
        <w:rPr>
          <w:rFonts w:eastAsia="Arial" w:cs="Arial"/>
          <w:szCs w:val="24"/>
        </w:rPr>
        <w:t xml:space="preserve"> a</w:t>
      </w:r>
      <w:r w:rsidR="00E57555" w:rsidRPr="00424BD3">
        <w:rPr>
          <w:rFonts w:eastAsia="Arial" w:cs="Arial"/>
          <w:szCs w:val="24"/>
        </w:rPr>
        <w:t>n intersectional approach – is exactly what those researching and working in health inequities</w:t>
      </w:r>
      <w:r w:rsidR="00180165" w:rsidRPr="00424BD3">
        <w:rPr>
          <w:rFonts w:eastAsia="Arial" w:cs="Arial"/>
          <w:szCs w:val="24"/>
        </w:rPr>
        <w:t xml:space="preserve"> call for</w:t>
      </w:r>
      <w:r w:rsidR="00E94C56" w:rsidRPr="00424BD3">
        <w:rPr>
          <w:rFonts w:eastAsia="Arial" w:cs="Arial"/>
          <w:szCs w:val="24"/>
        </w:rPr>
        <w:t>, including what this study calls for</w:t>
      </w:r>
      <w:r w:rsidR="00180165" w:rsidRPr="00424BD3">
        <w:rPr>
          <w:rFonts w:eastAsia="Arial" w:cs="Arial"/>
          <w:szCs w:val="24"/>
        </w:rPr>
        <w:t>.</w:t>
      </w:r>
    </w:p>
    <w:p w14:paraId="7359593E" w14:textId="13DA4920" w:rsidR="00CD2106" w:rsidRDefault="009D7E46" w:rsidP="003C2AB5">
      <w:pPr>
        <w:spacing w:after="0" w:line="480" w:lineRule="auto"/>
        <w:ind w:firstLine="720"/>
        <w:rPr>
          <w:rFonts w:eastAsia="Arial" w:cs="Arial"/>
          <w:szCs w:val="24"/>
        </w:rPr>
      </w:pPr>
      <w:r>
        <w:rPr>
          <w:rFonts w:eastAsia="Arial" w:cs="Arial"/>
          <w:szCs w:val="24"/>
        </w:rPr>
        <w:lastRenderedPageBreak/>
        <w:t>I</w:t>
      </w:r>
      <w:r w:rsidR="00982BF3">
        <w:rPr>
          <w:rFonts w:eastAsia="Arial" w:cs="Arial"/>
          <w:szCs w:val="24"/>
        </w:rPr>
        <w:t xml:space="preserve">n opposition to Ruth, </w:t>
      </w:r>
      <w:r>
        <w:rPr>
          <w:rFonts w:eastAsia="Arial" w:cs="Arial"/>
          <w:szCs w:val="24"/>
        </w:rPr>
        <w:t xml:space="preserve">Sylvia </w:t>
      </w:r>
      <w:r w:rsidR="00982BF3">
        <w:rPr>
          <w:rFonts w:eastAsia="Arial" w:cs="Arial"/>
          <w:szCs w:val="24"/>
        </w:rPr>
        <w:t>spoke about</w:t>
      </w:r>
      <w:r w:rsidR="00AA0946">
        <w:rPr>
          <w:rFonts w:eastAsia="Arial" w:cs="Arial"/>
          <w:szCs w:val="24"/>
        </w:rPr>
        <w:t xml:space="preserve"> the positive impact the ACA has had </w:t>
      </w:r>
      <w:r w:rsidR="00301B3D">
        <w:rPr>
          <w:rFonts w:eastAsia="Arial" w:cs="Arial"/>
          <w:szCs w:val="24"/>
        </w:rPr>
        <w:t xml:space="preserve">on </w:t>
      </w:r>
      <w:r w:rsidR="004B37A2">
        <w:rPr>
          <w:rFonts w:eastAsia="Arial" w:cs="Arial"/>
          <w:szCs w:val="24"/>
        </w:rPr>
        <w:t xml:space="preserve">her and </w:t>
      </w:r>
      <w:r w:rsidR="00AA0946">
        <w:rPr>
          <w:rFonts w:eastAsia="Arial" w:cs="Arial"/>
          <w:szCs w:val="24"/>
        </w:rPr>
        <w:t xml:space="preserve">on women </w:t>
      </w:r>
      <w:r w:rsidR="004B37A2">
        <w:rPr>
          <w:rFonts w:eastAsia="Arial" w:cs="Arial"/>
          <w:szCs w:val="24"/>
        </w:rPr>
        <w:t xml:space="preserve">in general </w:t>
      </w:r>
      <w:r w:rsidR="00AA0946">
        <w:rPr>
          <w:rFonts w:eastAsia="Arial" w:cs="Arial"/>
          <w:szCs w:val="24"/>
        </w:rPr>
        <w:t xml:space="preserve">with the </w:t>
      </w:r>
      <w:r w:rsidR="00D4597C">
        <w:rPr>
          <w:rFonts w:eastAsia="Arial" w:cs="Arial"/>
          <w:szCs w:val="24"/>
        </w:rPr>
        <w:t>removal of pre-existing conditions clauses</w:t>
      </w:r>
      <w:r w:rsidR="00D92610">
        <w:rPr>
          <w:rFonts w:eastAsia="Arial" w:cs="Arial"/>
          <w:szCs w:val="24"/>
        </w:rPr>
        <w:t xml:space="preserve">, </w:t>
      </w:r>
      <w:r w:rsidR="00D4597C">
        <w:rPr>
          <w:rFonts w:eastAsia="Arial" w:cs="Arial"/>
          <w:szCs w:val="24"/>
        </w:rPr>
        <w:t xml:space="preserve">the removal of </w:t>
      </w:r>
      <w:r w:rsidR="004B37A2">
        <w:rPr>
          <w:rFonts w:eastAsia="Arial" w:cs="Arial"/>
          <w:szCs w:val="24"/>
        </w:rPr>
        <w:t>gender-based insurance premiums</w:t>
      </w:r>
      <w:r w:rsidR="00D92610">
        <w:rPr>
          <w:rFonts w:eastAsia="Arial" w:cs="Arial"/>
          <w:szCs w:val="24"/>
        </w:rPr>
        <w:t xml:space="preserve">, </w:t>
      </w:r>
      <w:r w:rsidR="00786950">
        <w:rPr>
          <w:rFonts w:eastAsia="Arial" w:cs="Arial"/>
          <w:szCs w:val="24"/>
        </w:rPr>
        <w:t>benefits,</w:t>
      </w:r>
      <w:r w:rsidR="00D92610">
        <w:rPr>
          <w:rFonts w:eastAsia="Arial" w:cs="Arial"/>
          <w:szCs w:val="24"/>
        </w:rPr>
        <w:t xml:space="preserve"> and services</w:t>
      </w:r>
      <w:r w:rsidR="004B37A2">
        <w:rPr>
          <w:rFonts w:eastAsia="Arial" w:cs="Arial"/>
          <w:szCs w:val="24"/>
        </w:rPr>
        <w:t xml:space="preserve">. </w:t>
      </w:r>
      <w:r w:rsidR="00786950">
        <w:rPr>
          <w:rFonts w:eastAsia="Arial" w:cs="Arial"/>
          <w:szCs w:val="24"/>
        </w:rPr>
        <w:t>She also spoke about her awareness of</w:t>
      </w:r>
      <w:r w:rsidR="00DB6834">
        <w:rPr>
          <w:rFonts w:eastAsia="Arial" w:cs="Arial"/>
          <w:szCs w:val="24"/>
        </w:rPr>
        <w:t xml:space="preserve"> </w:t>
      </w:r>
      <w:r w:rsidR="00786950">
        <w:rPr>
          <w:rFonts w:eastAsia="Arial" w:cs="Arial"/>
          <w:szCs w:val="24"/>
        </w:rPr>
        <w:t xml:space="preserve">two </w:t>
      </w:r>
      <w:r w:rsidR="00776195">
        <w:rPr>
          <w:rFonts w:eastAsia="Arial" w:cs="Arial"/>
          <w:szCs w:val="24"/>
        </w:rPr>
        <w:t xml:space="preserve">state policies that she felt were </w:t>
      </w:r>
      <w:r w:rsidR="00161F14">
        <w:rPr>
          <w:rFonts w:eastAsia="Arial" w:cs="Arial"/>
          <w:szCs w:val="24"/>
        </w:rPr>
        <w:t xml:space="preserve">currently or could </w:t>
      </w:r>
      <w:r w:rsidR="00776195">
        <w:rPr>
          <w:rFonts w:eastAsia="Arial" w:cs="Arial"/>
          <w:szCs w:val="24"/>
        </w:rPr>
        <w:t xml:space="preserve">impact </w:t>
      </w:r>
      <w:r w:rsidR="00AD2651">
        <w:rPr>
          <w:rFonts w:eastAsia="Arial" w:cs="Arial"/>
          <w:szCs w:val="24"/>
        </w:rPr>
        <w:t xml:space="preserve">both younger and older </w:t>
      </w:r>
      <w:r w:rsidR="00776195">
        <w:rPr>
          <w:rFonts w:eastAsia="Arial" w:cs="Arial"/>
          <w:szCs w:val="24"/>
        </w:rPr>
        <w:t xml:space="preserve">women </w:t>
      </w:r>
      <w:r w:rsidR="00161F14">
        <w:rPr>
          <w:rFonts w:eastAsia="Arial" w:cs="Arial"/>
          <w:szCs w:val="24"/>
        </w:rPr>
        <w:t>at the time of the interview</w:t>
      </w:r>
      <w:r w:rsidR="002F38B0">
        <w:rPr>
          <w:rFonts w:eastAsia="Arial" w:cs="Arial"/>
          <w:szCs w:val="24"/>
        </w:rPr>
        <w:t xml:space="preserve">, </w:t>
      </w:r>
      <w:r w:rsidR="00786950">
        <w:rPr>
          <w:rFonts w:eastAsia="Arial" w:cs="Arial"/>
          <w:szCs w:val="24"/>
        </w:rPr>
        <w:t xml:space="preserve">one </w:t>
      </w:r>
      <w:r w:rsidR="00E75043">
        <w:rPr>
          <w:rFonts w:eastAsia="Arial" w:cs="Arial"/>
          <w:szCs w:val="24"/>
        </w:rPr>
        <w:t>regarding</w:t>
      </w:r>
      <w:r w:rsidR="0096391F">
        <w:rPr>
          <w:rFonts w:eastAsia="Arial" w:cs="Arial"/>
          <w:szCs w:val="24"/>
        </w:rPr>
        <w:t xml:space="preserve"> </w:t>
      </w:r>
      <w:r w:rsidR="00161F14">
        <w:rPr>
          <w:rFonts w:eastAsia="Arial" w:cs="Arial"/>
          <w:szCs w:val="24"/>
        </w:rPr>
        <w:t xml:space="preserve">the potential </w:t>
      </w:r>
      <w:r w:rsidR="0096391F">
        <w:rPr>
          <w:rFonts w:eastAsia="Arial" w:cs="Arial"/>
          <w:szCs w:val="24"/>
        </w:rPr>
        <w:t xml:space="preserve">overturn of Roe v Wade and the subsequent enaction of </w:t>
      </w:r>
      <w:r w:rsidR="004938AC">
        <w:rPr>
          <w:rFonts w:eastAsia="Arial" w:cs="Arial"/>
          <w:szCs w:val="24"/>
        </w:rPr>
        <w:t>Tennessee’s Roe</w:t>
      </w:r>
      <w:r w:rsidR="00EE3EC5">
        <w:rPr>
          <w:rFonts w:eastAsia="Arial" w:cs="Arial"/>
          <w:szCs w:val="24"/>
        </w:rPr>
        <w:t xml:space="preserve"> v Wa</w:t>
      </w:r>
      <w:r w:rsidR="00F613AE">
        <w:rPr>
          <w:rFonts w:eastAsia="Arial" w:cs="Arial"/>
          <w:szCs w:val="24"/>
        </w:rPr>
        <w:t>d</w:t>
      </w:r>
      <w:r w:rsidR="00EE3EC5">
        <w:rPr>
          <w:rFonts w:eastAsia="Arial" w:cs="Arial"/>
          <w:szCs w:val="24"/>
        </w:rPr>
        <w:t xml:space="preserve">e </w:t>
      </w:r>
      <w:r w:rsidR="0096391F">
        <w:rPr>
          <w:rFonts w:eastAsia="Arial" w:cs="Arial"/>
          <w:szCs w:val="24"/>
        </w:rPr>
        <w:t xml:space="preserve">highly restrictive </w:t>
      </w:r>
      <w:r w:rsidR="00776195">
        <w:rPr>
          <w:rFonts w:eastAsia="Arial" w:cs="Arial"/>
          <w:szCs w:val="24"/>
        </w:rPr>
        <w:t xml:space="preserve">abortion </w:t>
      </w:r>
      <w:r w:rsidR="00AD2651">
        <w:rPr>
          <w:rFonts w:eastAsia="Arial" w:cs="Arial"/>
          <w:szCs w:val="24"/>
        </w:rPr>
        <w:t>legislation</w:t>
      </w:r>
      <w:r w:rsidR="007F6EEF" w:rsidRPr="00846A04">
        <w:rPr>
          <w:rStyle w:val="FootnoteReference"/>
        </w:rPr>
        <w:footnoteReference w:id="14"/>
      </w:r>
      <w:r w:rsidR="00AD2651">
        <w:rPr>
          <w:rFonts w:eastAsia="Arial" w:cs="Arial"/>
          <w:szCs w:val="24"/>
        </w:rPr>
        <w:t xml:space="preserve"> </w:t>
      </w:r>
      <w:r w:rsidR="00EE3EC5">
        <w:rPr>
          <w:rFonts w:eastAsia="Arial" w:cs="Arial"/>
          <w:szCs w:val="24"/>
        </w:rPr>
        <w:t xml:space="preserve">and </w:t>
      </w:r>
      <w:r w:rsidR="00C828A8">
        <w:rPr>
          <w:rFonts w:eastAsia="Arial" w:cs="Arial"/>
          <w:szCs w:val="24"/>
        </w:rPr>
        <w:t xml:space="preserve">Tennessee’s refusal to expand Medicaid. </w:t>
      </w:r>
      <w:r w:rsidR="00174EDC">
        <w:rPr>
          <w:rFonts w:eastAsia="Arial" w:cs="Arial"/>
          <w:szCs w:val="24"/>
        </w:rPr>
        <w:t>She said, “</w:t>
      </w:r>
      <w:r w:rsidR="00CD2106" w:rsidRPr="00424BD3">
        <w:rPr>
          <w:rFonts w:eastAsia="Arial" w:cs="Arial"/>
          <w:szCs w:val="24"/>
        </w:rPr>
        <w:t>where [a] state really hurts</w:t>
      </w:r>
      <w:r w:rsidR="002F38B0">
        <w:rPr>
          <w:rFonts w:eastAsia="Arial" w:cs="Arial"/>
          <w:szCs w:val="24"/>
        </w:rPr>
        <w:t>…</w:t>
      </w:r>
      <w:r w:rsidR="00CD2106" w:rsidRPr="00424BD3">
        <w:rPr>
          <w:rFonts w:eastAsia="Arial" w:cs="Arial"/>
          <w:szCs w:val="24"/>
        </w:rPr>
        <w:t xml:space="preserve"> women right now is the lack of expansion of Medicaid because there's a lot of uninsured people, and a lot of people who really need to be on TennCare who don't have health insurance</w:t>
      </w:r>
      <w:r w:rsidR="006426C9">
        <w:rPr>
          <w:rFonts w:eastAsia="Arial" w:cs="Arial"/>
          <w:szCs w:val="24"/>
        </w:rPr>
        <w:t>.”</w:t>
      </w:r>
    </w:p>
    <w:p w14:paraId="71CEEB91" w14:textId="201CFC7E" w:rsidR="00174EDC" w:rsidRPr="00424BD3" w:rsidRDefault="00B861B5" w:rsidP="0041324C">
      <w:pPr>
        <w:spacing w:after="0" w:line="480" w:lineRule="auto"/>
        <w:ind w:firstLine="720"/>
        <w:rPr>
          <w:rFonts w:eastAsia="Arial" w:cs="Arial"/>
          <w:szCs w:val="24"/>
        </w:rPr>
      </w:pPr>
      <w:r>
        <w:rPr>
          <w:rFonts w:eastAsia="Arial" w:cs="Arial"/>
          <w:szCs w:val="24"/>
        </w:rPr>
        <w:t xml:space="preserve">Sylvia’s comments reflect many of the women’s </w:t>
      </w:r>
      <w:r w:rsidR="00351C09">
        <w:rPr>
          <w:rFonts w:eastAsia="Arial" w:cs="Arial"/>
          <w:szCs w:val="24"/>
        </w:rPr>
        <w:t xml:space="preserve">comments regarding their perceptions of and knowledge about local, state, and federal policies and interventions. </w:t>
      </w:r>
      <w:r w:rsidR="00BB3F03">
        <w:rPr>
          <w:rFonts w:eastAsia="Arial" w:cs="Arial"/>
          <w:szCs w:val="24"/>
        </w:rPr>
        <w:t>While they were in direct opposition to Ruth’s perceptions about the ACA, she</w:t>
      </w:r>
      <w:r w:rsidR="00D6285B">
        <w:rPr>
          <w:rFonts w:eastAsia="Arial" w:cs="Arial"/>
          <w:szCs w:val="24"/>
        </w:rPr>
        <w:t>, like</w:t>
      </w:r>
      <w:r w:rsidR="00BB3F03">
        <w:rPr>
          <w:rFonts w:eastAsia="Arial" w:cs="Arial"/>
          <w:szCs w:val="24"/>
        </w:rPr>
        <w:t xml:space="preserve"> Ruth and most of the women</w:t>
      </w:r>
      <w:r w:rsidR="00D6285B">
        <w:rPr>
          <w:rFonts w:eastAsia="Arial" w:cs="Arial"/>
          <w:szCs w:val="24"/>
        </w:rPr>
        <w:t>,</w:t>
      </w:r>
      <w:r w:rsidR="00BB3F03">
        <w:rPr>
          <w:rFonts w:eastAsia="Arial" w:cs="Arial"/>
          <w:szCs w:val="24"/>
        </w:rPr>
        <w:t xml:space="preserve"> expressed concerned about the two policies </w:t>
      </w:r>
      <w:r w:rsidR="00FF19F6">
        <w:rPr>
          <w:rFonts w:eastAsia="Arial" w:cs="Arial"/>
          <w:szCs w:val="24"/>
        </w:rPr>
        <w:t xml:space="preserve">areas </w:t>
      </w:r>
      <w:r w:rsidR="00BB3F03">
        <w:rPr>
          <w:rFonts w:eastAsia="Arial" w:cs="Arial"/>
          <w:szCs w:val="24"/>
        </w:rPr>
        <w:t>they were most aware of</w:t>
      </w:r>
      <w:r w:rsidR="003C2AB5">
        <w:rPr>
          <w:rFonts w:eastAsia="Arial" w:cs="Arial"/>
          <w:szCs w:val="24"/>
        </w:rPr>
        <w:t xml:space="preserve"> </w:t>
      </w:r>
      <w:r w:rsidR="00CF5CBC">
        <w:rPr>
          <w:rFonts w:eastAsia="Arial" w:cs="Arial"/>
          <w:szCs w:val="24"/>
        </w:rPr>
        <w:t xml:space="preserve">– </w:t>
      </w:r>
      <w:r w:rsidR="005939B6">
        <w:rPr>
          <w:rFonts w:eastAsia="Arial" w:cs="Arial"/>
          <w:szCs w:val="24"/>
        </w:rPr>
        <w:t xml:space="preserve">the possibility of </w:t>
      </w:r>
      <w:r w:rsidR="00CF5CBC">
        <w:rPr>
          <w:rFonts w:eastAsia="Arial" w:cs="Arial"/>
          <w:szCs w:val="24"/>
        </w:rPr>
        <w:t xml:space="preserve">restrictive </w:t>
      </w:r>
      <w:r w:rsidR="00BB3F03">
        <w:rPr>
          <w:rFonts w:eastAsia="Arial" w:cs="Arial"/>
          <w:szCs w:val="24"/>
        </w:rPr>
        <w:t xml:space="preserve">abortion </w:t>
      </w:r>
      <w:r w:rsidR="00CF5CBC">
        <w:rPr>
          <w:rFonts w:eastAsia="Arial" w:cs="Arial"/>
          <w:szCs w:val="24"/>
        </w:rPr>
        <w:t xml:space="preserve">legislation </w:t>
      </w:r>
      <w:r w:rsidR="00BB3F03">
        <w:rPr>
          <w:rFonts w:eastAsia="Arial" w:cs="Arial"/>
          <w:szCs w:val="24"/>
        </w:rPr>
        <w:t xml:space="preserve">and </w:t>
      </w:r>
      <w:r w:rsidR="005939B6">
        <w:rPr>
          <w:rFonts w:eastAsia="Arial" w:cs="Arial"/>
          <w:szCs w:val="24"/>
        </w:rPr>
        <w:t xml:space="preserve">the current </w:t>
      </w:r>
      <w:r w:rsidR="00BB3F03">
        <w:rPr>
          <w:rFonts w:eastAsia="Arial" w:cs="Arial"/>
          <w:szCs w:val="24"/>
        </w:rPr>
        <w:t>lack of Medicaid expansion</w:t>
      </w:r>
      <w:r w:rsidR="00F14A39">
        <w:rPr>
          <w:rFonts w:eastAsia="Arial" w:cs="Arial"/>
          <w:szCs w:val="24"/>
        </w:rPr>
        <w:t xml:space="preserve"> in Tennessee</w:t>
      </w:r>
      <w:r w:rsidR="00BB3F03">
        <w:rPr>
          <w:rFonts w:eastAsia="Arial" w:cs="Arial"/>
          <w:szCs w:val="24"/>
        </w:rPr>
        <w:t xml:space="preserve">. </w:t>
      </w:r>
      <w:r w:rsidR="00D51A46">
        <w:rPr>
          <w:rFonts w:eastAsia="Arial" w:cs="Arial"/>
          <w:szCs w:val="24"/>
        </w:rPr>
        <w:t xml:space="preserve">Sylvia’s </w:t>
      </w:r>
      <w:r w:rsidR="000763CF">
        <w:rPr>
          <w:rFonts w:eastAsia="Arial" w:cs="Arial"/>
          <w:szCs w:val="24"/>
        </w:rPr>
        <w:t xml:space="preserve">concerns about Tennessee’s abortion legislation </w:t>
      </w:r>
      <w:r w:rsidR="00D51A46">
        <w:rPr>
          <w:rFonts w:eastAsia="Arial" w:cs="Arial"/>
          <w:szCs w:val="24"/>
        </w:rPr>
        <w:t xml:space="preserve">illustrate that </w:t>
      </w:r>
      <w:r w:rsidR="00FF19F6">
        <w:rPr>
          <w:rFonts w:eastAsia="Arial" w:cs="Arial"/>
          <w:szCs w:val="24"/>
        </w:rPr>
        <w:t xml:space="preserve">some </w:t>
      </w:r>
      <w:r w:rsidR="00D51A46">
        <w:rPr>
          <w:rFonts w:eastAsia="Arial" w:cs="Arial"/>
          <w:szCs w:val="24"/>
        </w:rPr>
        <w:t xml:space="preserve">older women </w:t>
      </w:r>
      <w:r w:rsidR="00FF19F6">
        <w:rPr>
          <w:rFonts w:eastAsia="Arial" w:cs="Arial"/>
          <w:szCs w:val="24"/>
        </w:rPr>
        <w:t xml:space="preserve">may </w:t>
      </w:r>
      <w:r w:rsidR="00217AFC">
        <w:rPr>
          <w:rFonts w:eastAsia="Arial" w:cs="Arial"/>
          <w:szCs w:val="24"/>
        </w:rPr>
        <w:t xml:space="preserve">recognize that gender inequity </w:t>
      </w:r>
      <w:r w:rsidR="00C3367B">
        <w:rPr>
          <w:rFonts w:eastAsia="Arial" w:cs="Arial"/>
          <w:szCs w:val="24"/>
        </w:rPr>
        <w:t xml:space="preserve">starts early in life for women and that </w:t>
      </w:r>
      <w:r w:rsidR="00A84D59">
        <w:rPr>
          <w:rFonts w:eastAsia="Arial" w:cs="Arial"/>
          <w:szCs w:val="24"/>
        </w:rPr>
        <w:t>tackling their own health inequities must include tackling the health inequities younger women face as well</w:t>
      </w:r>
      <w:r w:rsidR="00AD7E1F">
        <w:rPr>
          <w:rFonts w:eastAsia="Arial" w:cs="Arial"/>
          <w:szCs w:val="24"/>
        </w:rPr>
        <w:t>.</w:t>
      </w:r>
    </w:p>
    <w:p w14:paraId="18C31D96" w14:textId="00900A06" w:rsidR="00CD2106" w:rsidRPr="00424BD3" w:rsidRDefault="002F1385" w:rsidP="000126EE">
      <w:pPr>
        <w:pStyle w:val="Heading2"/>
        <w:spacing w:before="0" w:line="480" w:lineRule="auto"/>
        <w:jc w:val="center"/>
        <w:rPr>
          <w:rFonts w:ascii="Arial" w:eastAsia="Arial" w:hAnsi="Arial" w:cs="Arial"/>
          <w:b/>
          <w:bCs/>
          <w:color w:val="auto"/>
          <w:sz w:val="24"/>
          <w:szCs w:val="24"/>
        </w:rPr>
      </w:pPr>
      <w:bookmarkStart w:id="101" w:name="_Toc118232367"/>
      <w:r>
        <w:rPr>
          <w:rFonts w:ascii="Arial" w:eastAsia="Arial" w:hAnsi="Arial" w:cs="Arial"/>
          <w:b/>
          <w:bCs/>
          <w:color w:val="auto"/>
          <w:sz w:val="24"/>
          <w:szCs w:val="24"/>
        </w:rPr>
        <w:t>Conclusion</w:t>
      </w:r>
      <w:bookmarkEnd w:id="101"/>
    </w:p>
    <w:p w14:paraId="0EBA248B" w14:textId="08FC6F73" w:rsidR="007342CE" w:rsidRPr="00424BD3" w:rsidRDefault="007342CE" w:rsidP="007342CE">
      <w:pPr>
        <w:spacing w:after="0" w:line="480" w:lineRule="auto"/>
        <w:ind w:firstLine="720"/>
        <w:rPr>
          <w:rFonts w:cs="Arial"/>
          <w:szCs w:val="24"/>
        </w:rPr>
      </w:pPr>
      <w:r w:rsidRPr="00424BD3">
        <w:rPr>
          <w:rFonts w:cs="Arial"/>
          <w:szCs w:val="24"/>
        </w:rPr>
        <w:t xml:space="preserve">The </w:t>
      </w:r>
      <w:r w:rsidR="00C83F35">
        <w:rPr>
          <w:rFonts w:cs="Arial"/>
          <w:szCs w:val="24"/>
        </w:rPr>
        <w:t>findings</w:t>
      </w:r>
      <w:r w:rsidRPr="00424BD3">
        <w:rPr>
          <w:rFonts w:cs="Arial"/>
          <w:szCs w:val="24"/>
        </w:rPr>
        <w:t xml:space="preserve"> show that the participants grew up in an environment of silences around health, healthcare</w:t>
      </w:r>
      <w:r w:rsidR="00273FE6">
        <w:rPr>
          <w:rFonts w:cs="Arial"/>
          <w:szCs w:val="24"/>
        </w:rPr>
        <w:t>,</w:t>
      </w:r>
      <w:r w:rsidRPr="00424BD3">
        <w:rPr>
          <w:rFonts w:cs="Arial"/>
          <w:szCs w:val="24"/>
        </w:rPr>
        <w:t xml:space="preserve"> and mortality (or death). These silences were familial</w:t>
      </w:r>
      <w:r w:rsidR="00A52345" w:rsidRPr="00424BD3">
        <w:rPr>
          <w:rFonts w:cs="Arial"/>
          <w:szCs w:val="24"/>
        </w:rPr>
        <w:t>ly</w:t>
      </w:r>
      <w:r w:rsidRPr="00424BD3">
        <w:rPr>
          <w:rFonts w:cs="Arial"/>
          <w:szCs w:val="24"/>
        </w:rPr>
        <w:t xml:space="preserve">, </w:t>
      </w:r>
      <w:r w:rsidRPr="00424BD3">
        <w:rPr>
          <w:rFonts w:cs="Arial"/>
          <w:szCs w:val="24"/>
        </w:rPr>
        <w:lastRenderedPageBreak/>
        <w:t>social</w:t>
      </w:r>
      <w:r w:rsidR="004D6D08" w:rsidRPr="00424BD3">
        <w:rPr>
          <w:rFonts w:cs="Arial"/>
          <w:szCs w:val="24"/>
        </w:rPr>
        <w:t>l</w:t>
      </w:r>
      <w:r w:rsidRPr="00424BD3">
        <w:rPr>
          <w:rFonts w:cs="Arial"/>
          <w:szCs w:val="24"/>
        </w:rPr>
        <w:t>y, and cultural</w:t>
      </w:r>
      <w:r w:rsidR="004D6D08" w:rsidRPr="00424BD3">
        <w:rPr>
          <w:rFonts w:cs="Arial"/>
          <w:szCs w:val="24"/>
        </w:rPr>
        <w:t>ly</w:t>
      </w:r>
      <w:r w:rsidRPr="00424BD3">
        <w:rPr>
          <w:rFonts w:cs="Arial"/>
          <w:szCs w:val="24"/>
        </w:rPr>
        <w:t xml:space="preserve"> constructed, most often resulting in the reinforcement </w:t>
      </w:r>
      <w:r w:rsidR="00A52345" w:rsidRPr="00424BD3">
        <w:rPr>
          <w:rFonts w:cs="Arial"/>
          <w:szCs w:val="24"/>
        </w:rPr>
        <w:t xml:space="preserve">of </w:t>
      </w:r>
      <w:r w:rsidR="00786CBC" w:rsidRPr="00424BD3">
        <w:rPr>
          <w:rFonts w:cs="Arial"/>
          <w:szCs w:val="24"/>
        </w:rPr>
        <w:t xml:space="preserve">young people </w:t>
      </w:r>
      <w:r w:rsidRPr="00424BD3">
        <w:rPr>
          <w:rFonts w:cs="Arial"/>
          <w:szCs w:val="24"/>
        </w:rPr>
        <w:t xml:space="preserve">not learning or thinking about health or death. The absence of open discussion or challenges to normed health </w:t>
      </w:r>
      <w:r w:rsidR="00927FFC" w:rsidRPr="00424BD3">
        <w:rPr>
          <w:rFonts w:cs="Arial"/>
          <w:szCs w:val="24"/>
        </w:rPr>
        <w:t>messages</w:t>
      </w:r>
      <w:r w:rsidRPr="00424BD3">
        <w:rPr>
          <w:rFonts w:cs="Arial"/>
          <w:szCs w:val="24"/>
        </w:rPr>
        <w:t xml:space="preserve"> may have helped to ‘open the door’ for inculcation of the perception that individual responsibility and lifestyle behavior were the primary causal factors of their and their familial health and mortality outcomes. Their perceptions of their own childhood illnesses and the family illnesses and deaths they witnessed as children support this argument. Some </w:t>
      </w:r>
      <w:r w:rsidR="00927FFC" w:rsidRPr="00424BD3">
        <w:rPr>
          <w:rFonts w:cs="Arial"/>
          <w:szCs w:val="24"/>
        </w:rPr>
        <w:t>internalized</w:t>
      </w:r>
      <w:r w:rsidRPr="00424BD3">
        <w:rPr>
          <w:rFonts w:cs="Arial"/>
          <w:szCs w:val="24"/>
        </w:rPr>
        <w:t xml:space="preserve"> the norms </w:t>
      </w:r>
      <w:r w:rsidR="004938AC">
        <w:rPr>
          <w:rFonts w:cs="Arial"/>
          <w:szCs w:val="24"/>
        </w:rPr>
        <w:t xml:space="preserve">in which </w:t>
      </w:r>
      <w:r w:rsidRPr="00424BD3">
        <w:rPr>
          <w:rFonts w:cs="Arial"/>
          <w:szCs w:val="24"/>
        </w:rPr>
        <w:t xml:space="preserve">they were steeped, some understood the genealogical (and genetic) factors involved, and some were prompted to change their attitudes and beliefs toward health. But all were focused on what their or other individual responsibility factors were involved in their perceptions and on what changes they could make themselves, as ‘responsible individuals’, to mitigate health and mortality outcomes. </w:t>
      </w:r>
    </w:p>
    <w:p w14:paraId="1618A3C4" w14:textId="183FF6E2" w:rsidR="007342CE" w:rsidRPr="00424BD3" w:rsidRDefault="007342CE" w:rsidP="007342CE">
      <w:pPr>
        <w:spacing w:after="0" w:line="480" w:lineRule="auto"/>
        <w:ind w:firstLine="720"/>
        <w:rPr>
          <w:rFonts w:cs="Arial"/>
          <w:szCs w:val="24"/>
        </w:rPr>
      </w:pPr>
      <w:r w:rsidRPr="00424BD3">
        <w:rPr>
          <w:rFonts w:cs="Arial"/>
          <w:szCs w:val="24"/>
        </w:rPr>
        <w:t xml:space="preserve">As the study pushed beyond the immediate relationships that influenced their perceptions, the </w:t>
      </w:r>
      <w:r w:rsidR="00144F50">
        <w:rPr>
          <w:rFonts w:cs="Arial"/>
          <w:szCs w:val="24"/>
        </w:rPr>
        <w:t>findings</w:t>
      </w:r>
      <w:r w:rsidRPr="00424BD3">
        <w:rPr>
          <w:rFonts w:cs="Arial"/>
          <w:szCs w:val="24"/>
        </w:rPr>
        <w:t xml:space="preserve"> were mixed. The women varied in their understandings of the chosen health definitions listed above, with some remaining fixed in health behavior and individualist understandings, while others perceived some wider social determinants, norms, and systemic factors (such as societal influence, system discrimination and gender-based </w:t>
      </w:r>
      <w:r w:rsidR="003D6356" w:rsidRPr="00424BD3">
        <w:rPr>
          <w:rFonts w:cs="Arial"/>
          <w:szCs w:val="24"/>
        </w:rPr>
        <w:t>inequitable</w:t>
      </w:r>
      <w:r w:rsidRPr="00424BD3">
        <w:rPr>
          <w:rFonts w:cs="Arial"/>
          <w:szCs w:val="24"/>
        </w:rPr>
        <w:t xml:space="preserve"> treatment, lack of access, and lack of gender-based health research) involved in the way they viewed health inequities, good and poor health, healthy life expectancy and well-being. Half of the women were unsure or unaware of any policies or interventions, health or otherwise, related to women aged 65 years and over. Several were more aware of certain policies related to younger women, particularly around pregnancy and reproductive rights. This made sense given that the </w:t>
      </w:r>
      <w:r w:rsidR="007E6A83">
        <w:rPr>
          <w:rFonts w:cs="Arial"/>
          <w:szCs w:val="24"/>
        </w:rPr>
        <w:lastRenderedPageBreak/>
        <w:t>concerns many of the women had regarding the potential</w:t>
      </w:r>
      <w:r w:rsidR="007E6A83" w:rsidRPr="00424BD3">
        <w:rPr>
          <w:rFonts w:cs="Arial"/>
          <w:szCs w:val="24"/>
        </w:rPr>
        <w:t xml:space="preserve"> </w:t>
      </w:r>
      <w:r w:rsidRPr="00424BD3">
        <w:rPr>
          <w:rFonts w:cs="Arial"/>
          <w:szCs w:val="24"/>
        </w:rPr>
        <w:t xml:space="preserve">reversal of Roe v Wade at the time of the interviews. Some were aware of Medicare policies, particularly the Tennessee state legislature’s refusal to accept Medicare expansion. </w:t>
      </w:r>
    </w:p>
    <w:p w14:paraId="4A4F63AE" w14:textId="77777777" w:rsidR="007342CE" w:rsidRPr="00424BD3" w:rsidRDefault="007342CE" w:rsidP="007342CE">
      <w:pPr>
        <w:spacing w:after="0" w:line="480" w:lineRule="auto"/>
        <w:ind w:firstLine="720"/>
        <w:rPr>
          <w:rFonts w:cs="Arial"/>
          <w:szCs w:val="24"/>
        </w:rPr>
      </w:pPr>
      <w:r w:rsidRPr="00424BD3">
        <w:rPr>
          <w:rFonts w:cs="Arial"/>
          <w:szCs w:val="24"/>
        </w:rPr>
        <w:t xml:space="preserve">Their healthcare provision and insurance services experiences were also mixed. A common theme regarding these experiences is related to the way clinicians and providers treated them, and how they took control of those experiences at the individual engagement level (micro level). If they had received what they perceived to be poor care, they refused to return to that provider, chose to confront the provider, or chose to participate in a knowledge exchange session with a provider prior to making treatment choices. It must be noted that their perceptions about their healthcare and insurance experiences may have been influenced by their conscious or subconscious normed attitudes and beliefs about any of the other drivers in this study. Likewise, participants equated the healthcare experiences they had in a given location (state, city, town) as representative of those locations having ‘bad’ or ‘good’ healthcare. </w:t>
      </w:r>
    </w:p>
    <w:p w14:paraId="62AFDD01" w14:textId="42CDA09C" w:rsidR="007342CE" w:rsidRPr="00424BD3" w:rsidRDefault="007342CE" w:rsidP="007342CE">
      <w:pPr>
        <w:spacing w:after="0" w:line="480" w:lineRule="auto"/>
        <w:ind w:firstLine="720"/>
        <w:rPr>
          <w:rFonts w:cs="Arial"/>
          <w:szCs w:val="24"/>
        </w:rPr>
      </w:pPr>
      <w:r w:rsidRPr="00424BD3">
        <w:rPr>
          <w:rFonts w:cs="Arial"/>
          <w:szCs w:val="24"/>
        </w:rPr>
        <w:t>For self and familial health outcomes and inequities, some felt place mattered and some did not. As stated earlier in this chapter, this is concerning as they may attribute their experiences to solely micro-level interactions, and this may help or hinder their continued engagement in healthcare and</w:t>
      </w:r>
      <w:r w:rsidR="00546AAA">
        <w:rPr>
          <w:rFonts w:cs="Arial"/>
          <w:szCs w:val="24"/>
        </w:rPr>
        <w:t xml:space="preserve"> </w:t>
      </w:r>
      <w:r w:rsidRPr="00424BD3">
        <w:rPr>
          <w:rFonts w:cs="Arial"/>
          <w:szCs w:val="24"/>
        </w:rPr>
        <w:t>/</w:t>
      </w:r>
      <w:r w:rsidR="00546AAA">
        <w:rPr>
          <w:rFonts w:cs="Arial"/>
          <w:szCs w:val="24"/>
        </w:rPr>
        <w:t xml:space="preserve"> </w:t>
      </w:r>
      <w:r w:rsidRPr="00424BD3">
        <w:rPr>
          <w:rFonts w:cs="Arial"/>
          <w:szCs w:val="24"/>
        </w:rPr>
        <w:t xml:space="preserve">or insurance services and certainly in the policymaking and election processes. Participant perceptions build their responses, beliefs, and attitudes about health and health inequities, and, likewise, their beliefs, attitudes, and responses are built by their experiences of social and familial norms. In some cases, this led to participant perpetuation of health-related stigmatized norms (e.g., calling others hypochondriacs). </w:t>
      </w:r>
    </w:p>
    <w:p w14:paraId="0FBE648E" w14:textId="77777777" w:rsidR="007342CE" w:rsidRPr="00424BD3" w:rsidRDefault="007342CE" w:rsidP="007342CE">
      <w:pPr>
        <w:spacing w:after="0" w:line="480" w:lineRule="auto"/>
        <w:ind w:firstLine="720"/>
        <w:rPr>
          <w:rFonts w:cs="Arial"/>
          <w:szCs w:val="24"/>
        </w:rPr>
      </w:pPr>
      <w:r w:rsidRPr="00424BD3">
        <w:rPr>
          <w:rFonts w:cs="Arial"/>
          <w:szCs w:val="24"/>
        </w:rPr>
        <w:lastRenderedPageBreak/>
        <w:t xml:space="preserve">Finally, although the participants may have not been aware of specific policies or interventions impacting their health or are unable to define or unsure about specific health-related terms, they nonetheless identified those policies and interventions as inadequate to meet their health needs and wants. This research has found that when the participants were unable to define health terms or identify policies, most attempted to create definitions from component parts which may make up a definition or be part of a policy. Often, they did not differentiate between policymakers and clinicians in regard to speaking of how they were treated or wished to be treated. This is important to note because both policymakers and clinicians are figures of authority, and while both have power over the lives of older women, these participants saw clinicians in a more deeply personal light, holding them responsible to a degree for the decisions made by legislators. </w:t>
      </w:r>
    </w:p>
    <w:p w14:paraId="75C2CF29" w14:textId="77777777" w:rsidR="008F4BCD" w:rsidRPr="00424BD3" w:rsidRDefault="008F4BCD" w:rsidP="000126EE">
      <w:pPr>
        <w:spacing w:after="0" w:line="480" w:lineRule="auto"/>
        <w:rPr>
          <w:rFonts w:cs="Arial"/>
          <w:szCs w:val="24"/>
        </w:rPr>
      </w:pPr>
      <w:r w:rsidRPr="00424BD3">
        <w:rPr>
          <w:rFonts w:cs="Arial"/>
          <w:szCs w:val="24"/>
        </w:rPr>
        <w:br w:type="page"/>
      </w:r>
    </w:p>
    <w:p w14:paraId="717BC03A" w14:textId="0E9F75C8" w:rsidR="005215EC" w:rsidRPr="00424BD3" w:rsidRDefault="008844E4" w:rsidP="005215EC">
      <w:pPr>
        <w:pStyle w:val="Heading1"/>
        <w:spacing w:before="0" w:line="480" w:lineRule="auto"/>
        <w:jc w:val="center"/>
        <w:rPr>
          <w:rFonts w:ascii="Arial" w:hAnsi="Arial" w:cs="Arial"/>
          <w:b/>
          <w:bCs/>
          <w:color w:val="auto"/>
          <w:sz w:val="24"/>
          <w:szCs w:val="24"/>
        </w:rPr>
      </w:pPr>
      <w:bookmarkStart w:id="102" w:name="_Toc118232368"/>
      <w:r w:rsidRPr="00424BD3">
        <w:rPr>
          <w:rFonts w:ascii="Arial" w:hAnsi="Arial" w:cs="Arial"/>
          <w:b/>
          <w:bCs/>
          <w:color w:val="auto"/>
          <w:sz w:val="24"/>
          <w:szCs w:val="24"/>
        </w:rPr>
        <w:lastRenderedPageBreak/>
        <w:t xml:space="preserve">CHAPTER </w:t>
      </w:r>
      <w:r w:rsidR="001D37AA">
        <w:rPr>
          <w:rFonts w:ascii="Arial" w:hAnsi="Arial" w:cs="Arial"/>
          <w:b/>
          <w:bCs/>
          <w:color w:val="auto"/>
          <w:sz w:val="24"/>
          <w:szCs w:val="24"/>
        </w:rPr>
        <w:t>NINE</w:t>
      </w:r>
      <w:bookmarkEnd w:id="102"/>
      <w:r w:rsidR="001D37AA" w:rsidRPr="00424BD3">
        <w:rPr>
          <w:rFonts w:ascii="Arial" w:hAnsi="Arial" w:cs="Arial"/>
          <w:b/>
          <w:bCs/>
          <w:color w:val="auto"/>
          <w:sz w:val="24"/>
          <w:szCs w:val="24"/>
        </w:rPr>
        <w:t xml:space="preserve"> </w:t>
      </w:r>
    </w:p>
    <w:p w14:paraId="26E14C63" w14:textId="47E4A6C5" w:rsidR="008844E4" w:rsidRPr="00424BD3" w:rsidRDefault="00F36CD6" w:rsidP="005215EC">
      <w:pPr>
        <w:pStyle w:val="Heading1"/>
        <w:spacing w:before="0" w:line="480" w:lineRule="auto"/>
        <w:jc w:val="center"/>
        <w:rPr>
          <w:rFonts w:ascii="Arial" w:hAnsi="Arial" w:cs="Arial"/>
          <w:b/>
          <w:bCs/>
          <w:color w:val="auto"/>
          <w:sz w:val="24"/>
          <w:szCs w:val="24"/>
        </w:rPr>
      </w:pPr>
      <w:bookmarkStart w:id="103" w:name="_Toc118232369"/>
      <w:r w:rsidRPr="00424BD3">
        <w:rPr>
          <w:rFonts w:ascii="Arial" w:hAnsi="Arial" w:cs="Arial"/>
          <w:b/>
          <w:bCs/>
          <w:color w:val="auto"/>
          <w:sz w:val="24"/>
          <w:szCs w:val="24"/>
        </w:rPr>
        <w:t xml:space="preserve">DISCUSSION AND </w:t>
      </w:r>
      <w:r w:rsidR="008844E4" w:rsidRPr="00424BD3">
        <w:rPr>
          <w:rFonts w:ascii="Arial" w:hAnsi="Arial" w:cs="Arial"/>
          <w:b/>
          <w:bCs/>
          <w:color w:val="auto"/>
          <w:sz w:val="24"/>
          <w:szCs w:val="24"/>
        </w:rPr>
        <w:t>CONCLUSION</w:t>
      </w:r>
      <w:bookmarkEnd w:id="103"/>
    </w:p>
    <w:p w14:paraId="2C3C3C25" w14:textId="77777777" w:rsidR="008844E4" w:rsidRPr="00424BD3" w:rsidRDefault="008844E4" w:rsidP="000126EE">
      <w:pPr>
        <w:spacing w:after="0" w:line="480" w:lineRule="auto"/>
        <w:jc w:val="center"/>
        <w:rPr>
          <w:rFonts w:cs="Arial"/>
          <w:b/>
          <w:szCs w:val="24"/>
        </w:rPr>
      </w:pPr>
    </w:p>
    <w:p w14:paraId="1DDC2A8A" w14:textId="03B6B128" w:rsidR="008844E4" w:rsidRPr="00424BD3" w:rsidRDefault="00BB052F" w:rsidP="000126EE">
      <w:pPr>
        <w:spacing w:after="0" w:line="480" w:lineRule="auto"/>
        <w:ind w:firstLine="720"/>
        <w:rPr>
          <w:rFonts w:cs="Arial"/>
          <w:szCs w:val="24"/>
        </w:rPr>
      </w:pPr>
      <w:r>
        <w:rPr>
          <w:rFonts w:cs="Arial"/>
          <w:szCs w:val="24"/>
        </w:rPr>
        <w:t>In t</w:t>
      </w:r>
      <w:r w:rsidR="008844E4" w:rsidRPr="00424BD3">
        <w:rPr>
          <w:rFonts w:cs="Arial"/>
          <w:szCs w:val="24"/>
        </w:rPr>
        <w:t>his study of older women in East Tennessee</w:t>
      </w:r>
      <w:r>
        <w:rPr>
          <w:rFonts w:cs="Arial"/>
          <w:szCs w:val="24"/>
        </w:rPr>
        <w:t xml:space="preserve">, I </w:t>
      </w:r>
      <w:r w:rsidR="008844E4" w:rsidRPr="00424BD3">
        <w:rPr>
          <w:rFonts w:cs="Arial"/>
          <w:szCs w:val="24"/>
        </w:rPr>
        <w:t>explored how perceptions of and lived experiences with gendered health inequities, and the social determinants (</w:t>
      </w:r>
      <w:r w:rsidR="008E29F7">
        <w:rPr>
          <w:rFonts w:cs="Arial"/>
          <w:szCs w:val="24"/>
        </w:rPr>
        <w:t>SDOH</w:t>
      </w:r>
      <w:r w:rsidR="008844E4" w:rsidRPr="00424BD3">
        <w:rPr>
          <w:rFonts w:cs="Arial"/>
          <w:szCs w:val="24"/>
        </w:rPr>
        <w:t xml:space="preserve">) thereof, are situated in older women’s genealogical (familial) and geographical health and mortality outcomes histories and how their perceptions and experiences of health inequities and their familial mortality outcomes histories are characterized by the geopolitical and social norms in which they live. </w:t>
      </w:r>
    </w:p>
    <w:p w14:paraId="2258B478" w14:textId="4CF04A19" w:rsidR="008844E4" w:rsidRPr="00424BD3" w:rsidRDefault="00BB052F" w:rsidP="000126EE">
      <w:pPr>
        <w:spacing w:after="0" w:line="480" w:lineRule="auto"/>
        <w:ind w:firstLine="720"/>
        <w:rPr>
          <w:rFonts w:cs="Arial"/>
          <w:szCs w:val="24"/>
        </w:rPr>
      </w:pPr>
      <w:r>
        <w:rPr>
          <w:rFonts w:cs="Arial"/>
          <w:szCs w:val="24"/>
        </w:rPr>
        <w:t>I examined a</w:t>
      </w:r>
      <w:r w:rsidR="00E7732C" w:rsidRPr="00424BD3">
        <w:rPr>
          <w:rFonts w:cs="Arial"/>
          <w:szCs w:val="24"/>
        </w:rPr>
        <w:t xml:space="preserve"> number of areas </w:t>
      </w:r>
      <w:r w:rsidR="008844E4" w:rsidRPr="00424BD3">
        <w:rPr>
          <w:rFonts w:cs="Arial"/>
          <w:szCs w:val="24"/>
        </w:rPr>
        <w:t xml:space="preserve">in support of these research questions including the women’s perceived impact of: (U.S.) federal, (Tennessee) state, and (East Tennessee county) local policies and interventions on the participants; the role of social norming and health narratives, particularly stigmatization and discrimination around ageism, sexism, and health marginalization of older women, and the resultant older women’s internalization of health norms; the familial role in health inequities; the usage of family health histories and older women’s genealogies of health and mortality outcomes; and the role of place and place-effects. </w:t>
      </w:r>
      <w:r>
        <w:rPr>
          <w:rFonts w:cs="Arial"/>
          <w:szCs w:val="24"/>
        </w:rPr>
        <w:t>In t</w:t>
      </w:r>
      <w:r w:rsidR="008844E4" w:rsidRPr="00424BD3">
        <w:rPr>
          <w:rFonts w:cs="Arial"/>
          <w:szCs w:val="24"/>
        </w:rPr>
        <w:t>his study</w:t>
      </w:r>
      <w:r>
        <w:rPr>
          <w:rFonts w:cs="Arial"/>
          <w:szCs w:val="24"/>
        </w:rPr>
        <w:t>, I</w:t>
      </w:r>
      <w:r w:rsidR="008844E4" w:rsidRPr="00424BD3">
        <w:rPr>
          <w:rFonts w:cs="Arial"/>
          <w:szCs w:val="24"/>
        </w:rPr>
        <w:t xml:space="preserve"> aimed to examine patterns in the women’s responses across these areas. </w:t>
      </w:r>
    </w:p>
    <w:p w14:paraId="40102C3F" w14:textId="25731A6D" w:rsidR="008844E4" w:rsidRPr="00424BD3" w:rsidRDefault="00E43407" w:rsidP="000126EE">
      <w:pPr>
        <w:spacing w:after="0" w:line="480" w:lineRule="auto"/>
        <w:ind w:firstLine="720"/>
        <w:rPr>
          <w:rFonts w:cs="Arial"/>
          <w:szCs w:val="24"/>
        </w:rPr>
      </w:pPr>
      <w:r>
        <w:rPr>
          <w:rFonts w:cs="Arial"/>
          <w:szCs w:val="24"/>
        </w:rPr>
        <w:t xml:space="preserve">I </w:t>
      </w:r>
      <w:r w:rsidR="008844E4" w:rsidRPr="00424BD3">
        <w:rPr>
          <w:rFonts w:cs="Arial"/>
          <w:szCs w:val="24"/>
        </w:rPr>
        <w:t>also aimed to examine the place-based and temporal geopolitical, social</w:t>
      </w:r>
      <w:r w:rsidR="002D222D">
        <w:rPr>
          <w:rFonts w:cs="Arial"/>
          <w:szCs w:val="24"/>
        </w:rPr>
        <w:t>,</w:t>
      </w:r>
      <w:r w:rsidR="008844E4" w:rsidRPr="00424BD3">
        <w:rPr>
          <w:rFonts w:cs="Arial"/>
          <w:szCs w:val="24"/>
        </w:rPr>
        <w:t xml:space="preserve"> and cultural norming and social conditioning of older women in relation to their perceptions, attitudes</w:t>
      </w:r>
      <w:r w:rsidR="002B2993">
        <w:rPr>
          <w:rFonts w:cs="Arial"/>
          <w:szCs w:val="24"/>
        </w:rPr>
        <w:t>,</w:t>
      </w:r>
      <w:r w:rsidR="008844E4" w:rsidRPr="00424BD3">
        <w:rPr>
          <w:rFonts w:cs="Arial"/>
          <w:szCs w:val="24"/>
        </w:rPr>
        <w:t xml:space="preserve"> and beliefs. </w:t>
      </w:r>
      <w:r w:rsidR="004C735C">
        <w:rPr>
          <w:rFonts w:cs="Arial"/>
          <w:szCs w:val="24"/>
        </w:rPr>
        <w:t xml:space="preserve">I </w:t>
      </w:r>
      <w:r w:rsidR="008844E4" w:rsidRPr="00424BD3">
        <w:rPr>
          <w:rFonts w:cs="Arial"/>
          <w:szCs w:val="24"/>
        </w:rPr>
        <w:t xml:space="preserve">sought to determine if these norms impact the participants’ awareness or lack of awareness of their family health histories. This was in order to </w:t>
      </w:r>
      <w:r w:rsidR="008844E4" w:rsidRPr="00424BD3">
        <w:rPr>
          <w:rFonts w:cs="Arial"/>
          <w:szCs w:val="24"/>
        </w:rPr>
        <w:lastRenderedPageBreak/>
        <w:t xml:space="preserve">examine the health inequities burden on older women, as carried generationally, potentially passing from their ancestors to them to their descendants. </w:t>
      </w:r>
    </w:p>
    <w:p w14:paraId="5160CB45" w14:textId="18FD1C69" w:rsidR="008844E4" w:rsidRDefault="008844E4" w:rsidP="000126EE">
      <w:pPr>
        <w:spacing w:after="0" w:line="480" w:lineRule="auto"/>
        <w:ind w:firstLine="720"/>
        <w:rPr>
          <w:rFonts w:cs="Arial"/>
          <w:szCs w:val="24"/>
        </w:rPr>
      </w:pPr>
      <w:r w:rsidRPr="00424BD3">
        <w:rPr>
          <w:rFonts w:cs="Arial"/>
          <w:szCs w:val="24"/>
        </w:rPr>
        <w:t xml:space="preserve">This study showed that internalization of these norms, and the replicating of beliefs, attitudes, and perceptions that older women have around health inequities and familial mortality outcomes may be reproduced in their own families. This may deprive them of awareness of the structural drivers of health inequities which they face. </w:t>
      </w:r>
      <w:r w:rsidR="000C4D77">
        <w:rPr>
          <w:rFonts w:cs="Arial"/>
          <w:szCs w:val="24"/>
        </w:rPr>
        <w:t>Instead, these norms have the effect of locking them into the narratives of individual responsibility and “lifestyle choice” for their own health inequities</w:t>
      </w:r>
      <w:r w:rsidRPr="00424BD3">
        <w:rPr>
          <w:rFonts w:cs="Arial"/>
          <w:szCs w:val="24"/>
        </w:rPr>
        <w:t xml:space="preserve">. </w:t>
      </w:r>
      <w:r w:rsidR="00A862E6" w:rsidRPr="00424BD3">
        <w:rPr>
          <w:rFonts w:cs="Arial"/>
          <w:szCs w:val="24"/>
        </w:rPr>
        <w:t>T</w:t>
      </w:r>
      <w:r w:rsidRPr="00424BD3">
        <w:rPr>
          <w:rFonts w:cs="Arial"/>
          <w:szCs w:val="24"/>
        </w:rPr>
        <w:t xml:space="preserve">his systemic conditioning reiterates the influence of conservative, neoliberal norms about older women and their health, perhaps keeping them from being aware of policies that affect them and from accessing protections and services which may be available to them. </w:t>
      </w:r>
      <w:r w:rsidR="00E0186C">
        <w:rPr>
          <w:rFonts w:cs="Arial"/>
          <w:szCs w:val="24"/>
        </w:rPr>
        <w:t xml:space="preserve">However, even if older women do have awareness of the protections and services available to them, systemic structures including discrimination, inequitable treatment, social norms, and gender-bias in health research, clinical care, and policies and interventions, exacerbate the health inequities and health and mortality outcomes they and generations of their family members </w:t>
      </w:r>
      <w:r w:rsidR="00816106">
        <w:rPr>
          <w:rFonts w:cs="Arial"/>
          <w:szCs w:val="24"/>
        </w:rPr>
        <w:t>face.</w:t>
      </w:r>
    </w:p>
    <w:p w14:paraId="1F273519" w14:textId="3E795628" w:rsidR="00EC21D3" w:rsidRPr="00424BD3" w:rsidRDefault="00EC21D3" w:rsidP="000126EE">
      <w:pPr>
        <w:spacing w:after="0" w:line="480" w:lineRule="auto"/>
        <w:ind w:firstLine="720"/>
        <w:rPr>
          <w:rFonts w:cs="Arial"/>
          <w:szCs w:val="24"/>
        </w:rPr>
      </w:pPr>
      <w:r>
        <w:rPr>
          <w:rFonts w:cs="Arial"/>
          <w:szCs w:val="24"/>
        </w:rPr>
        <w:t>This chapter provides insights into the recommendations to policy and decision-makers the women gave during their interviews</w:t>
      </w:r>
      <w:r w:rsidR="001C6BF7">
        <w:rPr>
          <w:rFonts w:cs="Arial"/>
          <w:szCs w:val="24"/>
        </w:rPr>
        <w:t xml:space="preserve">, and well as </w:t>
      </w:r>
      <w:r w:rsidR="00816106">
        <w:rPr>
          <w:rFonts w:cs="Arial"/>
          <w:szCs w:val="24"/>
        </w:rPr>
        <w:t>recommendations</w:t>
      </w:r>
      <w:r w:rsidR="001C6BF7">
        <w:rPr>
          <w:rFonts w:cs="Arial"/>
          <w:szCs w:val="24"/>
        </w:rPr>
        <w:t>.</w:t>
      </w:r>
    </w:p>
    <w:p w14:paraId="0962EF16" w14:textId="3DE3637A" w:rsidR="008844E4" w:rsidRPr="00424BD3" w:rsidRDefault="008844E4" w:rsidP="000126EE">
      <w:pPr>
        <w:pStyle w:val="Heading2"/>
        <w:spacing w:before="0" w:line="480" w:lineRule="auto"/>
        <w:jc w:val="center"/>
        <w:rPr>
          <w:rFonts w:ascii="Arial" w:hAnsi="Arial" w:cs="Arial"/>
          <w:b/>
          <w:bCs/>
          <w:color w:val="auto"/>
          <w:sz w:val="24"/>
          <w:szCs w:val="24"/>
        </w:rPr>
      </w:pPr>
      <w:bookmarkStart w:id="104" w:name="_Toc118232370"/>
      <w:r w:rsidRPr="00424BD3">
        <w:rPr>
          <w:rFonts w:ascii="Arial" w:hAnsi="Arial" w:cs="Arial"/>
          <w:b/>
          <w:bCs/>
          <w:color w:val="auto"/>
          <w:sz w:val="24"/>
          <w:szCs w:val="24"/>
        </w:rPr>
        <w:t>Impacts</w:t>
      </w:r>
      <w:bookmarkEnd w:id="104"/>
    </w:p>
    <w:p w14:paraId="08B2A53D" w14:textId="0B6D724D" w:rsidR="008844E4" w:rsidRPr="00424BD3" w:rsidRDefault="00DF0B3A" w:rsidP="000126EE">
      <w:pPr>
        <w:spacing w:after="0" w:line="480" w:lineRule="auto"/>
        <w:ind w:firstLine="720"/>
        <w:rPr>
          <w:rFonts w:cs="Arial"/>
          <w:szCs w:val="24"/>
        </w:rPr>
      </w:pPr>
      <w:r w:rsidRPr="00424BD3">
        <w:rPr>
          <w:rFonts w:cs="Arial"/>
          <w:szCs w:val="24"/>
        </w:rPr>
        <w:t>T</w:t>
      </w:r>
      <w:r w:rsidR="008844E4" w:rsidRPr="00424BD3">
        <w:rPr>
          <w:rFonts w:cs="Arial"/>
          <w:szCs w:val="24"/>
        </w:rPr>
        <w:t xml:space="preserve">his study has demonstrated that research that looks at policy and intervention decisions impacting older women, must consider the gendered, aged-based, and place-dependent nature of relevant health policies and interventions </w:t>
      </w:r>
      <w:r w:rsidR="008844E4" w:rsidRPr="00424BD3">
        <w:rPr>
          <w:rFonts w:cs="Arial"/>
          <w:szCs w:val="24"/>
        </w:rPr>
        <w:fldChar w:fldCharType="begin"/>
      </w:r>
      <w:r w:rsidR="00990F3A">
        <w:rPr>
          <w:rFonts w:cs="Arial"/>
          <w:szCs w:val="24"/>
        </w:rPr>
        <w:instrText xml:space="preserve"> ADDIN ZOTERO_ITEM CSL_CITATION {"citationID":"NU5nygS4","properties":{"formattedCitation":"(Bambra, 2016; H. Hahn et al., 2017)","plainCitation":"(Bambra, 2016; H. Hahn et al., 2017)","noteIndex":0},"citationItems":[{"id":1206,"uris":["http://zotero.org/users/4946941/items/W3L888N6"],"itemData":{"id":1206,"type":"article-journal","container-title":"Policy Press","title":"Health Divides: Where You Live Can Kill You.","author":[{"family":"Bambra","given":"Clare"}],"issued":{"date-parts":[["2016"]]}}},{"id":680,"uris":["http://zotero.org/users/4946941/items/DTCDJPG2"],"itemData":{"id":680,"type":"document","language":"en","publisher":"How and Why State TANF Programs Vary. Urban Institute","title":"Why Does Cash Welfare Depend on Where You Live","URL":"https://www.urban.org/sites/default/files/publication/90761/tanf_cash_welfare_final2_1.pdf","author":[{"family":"Hahn","given":"H."},{"family":"Aron","given":"L."},{"family":"Lou","given":"C."},{"family":"Pratt","given":"E."},{"family":"Okoli","given":"A."}],"issued":{"date-parts":[["2017"]]}}}],"schema":"https://github.com/citation-style-language/schema/raw/master/csl-citation.json"} </w:instrText>
      </w:r>
      <w:r w:rsidR="008844E4" w:rsidRPr="00424BD3">
        <w:rPr>
          <w:rFonts w:cs="Arial"/>
          <w:szCs w:val="24"/>
        </w:rPr>
        <w:fldChar w:fldCharType="separate"/>
      </w:r>
      <w:r w:rsidR="001F2B17" w:rsidRPr="00424BD3">
        <w:rPr>
          <w:rFonts w:cs="Arial"/>
        </w:rPr>
        <w:t>(Bambra, 2016; H. Hahn et al., 2017)</w:t>
      </w:r>
      <w:r w:rsidR="008844E4" w:rsidRPr="00424BD3">
        <w:rPr>
          <w:rFonts w:cs="Arial"/>
          <w:szCs w:val="24"/>
        </w:rPr>
        <w:fldChar w:fldCharType="end"/>
      </w:r>
      <w:r w:rsidR="008844E4" w:rsidRPr="00424BD3">
        <w:rPr>
          <w:rFonts w:cs="Arial"/>
          <w:szCs w:val="24"/>
        </w:rPr>
        <w:t>.</w:t>
      </w:r>
      <w:r w:rsidR="004A7785" w:rsidRPr="00424BD3">
        <w:rPr>
          <w:rFonts w:cs="Arial"/>
          <w:szCs w:val="24"/>
        </w:rPr>
        <w:t xml:space="preserve"> </w:t>
      </w:r>
      <w:r w:rsidR="008844E4" w:rsidRPr="00424BD3">
        <w:rPr>
          <w:rFonts w:cs="Arial"/>
          <w:szCs w:val="24"/>
        </w:rPr>
        <w:t xml:space="preserve">The implications of political decision-making regarding older women, like </w:t>
      </w:r>
      <w:r w:rsidR="008844E4" w:rsidRPr="00424BD3">
        <w:rPr>
          <w:rFonts w:cs="Arial"/>
          <w:szCs w:val="24"/>
        </w:rPr>
        <w:lastRenderedPageBreak/>
        <w:t xml:space="preserve">all other groups, may be detrimental to their health outcomes and equity </w:t>
      </w:r>
      <w:r w:rsidR="008844E4" w:rsidRPr="00424BD3">
        <w:rPr>
          <w:rFonts w:cs="Arial"/>
          <w:szCs w:val="24"/>
        </w:rPr>
        <w:fldChar w:fldCharType="begin"/>
      </w:r>
      <w:r w:rsidR="00990F3A">
        <w:rPr>
          <w:rFonts w:cs="Arial"/>
          <w:szCs w:val="24"/>
        </w:rPr>
        <w:instrText xml:space="preserve"> ADDIN ZOTERO_ITEM CSL_CITATION {"citationID":"LIrW2cPh","properties":{"formattedCitation":"(Montez, 2020)","plainCitation":"(Montez, 2020)","noteIndex":0},"citationItems":[{"id":741,"uris":["http://zotero.org/users/4946941/items/9BHLNLPM"],"itemData":{"id":741,"type":"article-journal","container-title":"Milbank Q","DOI":"10.1111/1468-0009.12482","issue":"4","language":"en","page":"1033–1052","title":"US state polarization, policymaking power, and population health","volume":"98","author":[{"family":"Montez","given":"J.K."}],"issued":{"date-parts":[["2020"]]}}}],"schema":"https://github.com/citation-style-language/schema/raw/master/csl-citation.json"} </w:instrText>
      </w:r>
      <w:r w:rsidR="008844E4" w:rsidRPr="00424BD3">
        <w:rPr>
          <w:rFonts w:cs="Arial"/>
          <w:szCs w:val="24"/>
        </w:rPr>
        <w:fldChar w:fldCharType="separate"/>
      </w:r>
      <w:r w:rsidR="008844E4" w:rsidRPr="00424BD3">
        <w:rPr>
          <w:rFonts w:cs="Arial"/>
        </w:rPr>
        <w:t>(Montez, 2020)</w:t>
      </w:r>
      <w:r w:rsidR="008844E4" w:rsidRPr="00424BD3">
        <w:rPr>
          <w:rFonts w:cs="Arial"/>
          <w:szCs w:val="24"/>
        </w:rPr>
        <w:fldChar w:fldCharType="end"/>
      </w:r>
      <w:r w:rsidR="008844E4" w:rsidRPr="00424BD3">
        <w:rPr>
          <w:rFonts w:cs="Arial"/>
          <w:szCs w:val="24"/>
        </w:rPr>
        <w:t>. Additionally, if services that older women are</w:t>
      </w:r>
      <w:r w:rsidR="0061447C">
        <w:rPr>
          <w:rFonts w:cs="Arial"/>
          <w:szCs w:val="24"/>
        </w:rPr>
        <w:t xml:space="preserve"> </w:t>
      </w:r>
      <w:r w:rsidR="008844E4" w:rsidRPr="00424BD3">
        <w:rPr>
          <w:rFonts w:cs="Arial"/>
          <w:szCs w:val="24"/>
        </w:rPr>
        <w:t>eligible for go unused, this may feed into state and local governments</w:t>
      </w:r>
      <w:r w:rsidR="0061447C">
        <w:rPr>
          <w:rFonts w:cs="Arial"/>
          <w:szCs w:val="24"/>
        </w:rPr>
        <w:t>’</w:t>
      </w:r>
      <w:r w:rsidR="008844E4" w:rsidRPr="00424BD3">
        <w:rPr>
          <w:rFonts w:cs="Arial"/>
          <w:szCs w:val="24"/>
        </w:rPr>
        <w:t xml:space="preserve"> counts of caseloads and enrollments </w:t>
      </w:r>
      <w:r w:rsidR="008844E4" w:rsidRPr="00424BD3">
        <w:rPr>
          <w:rFonts w:cs="Arial"/>
          <w:szCs w:val="24"/>
        </w:rPr>
        <w:fldChar w:fldCharType="begin"/>
      </w:r>
      <w:r w:rsidR="00A62929">
        <w:rPr>
          <w:rFonts w:cs="Arial"/>
          <w:szCs w:val="24"/>
        </w:rPr>
        <w:instrText xml:space="preserve"> ADDIN ZOTERO_ITEM CSL_CITATION {"citationID":"aTMy0lap","properties":{"formattedCitation":"(Knox CAC, 2020)","plainCitation":"(Knox CAC, 2020)","noteIndex":0},"citationItems":[{"id":702,"uris":["http://zotero.org/users/4946941/items/IUVJVVMA"],"itemData":{"id":702,"type":"document","language":"en","publisher":"Knoxville-Knox County Community Action Committee (CAC). Office on Aging","title":"Annual Report","URL":"http://www.knoxseniors.org/wp-content/uploads/Annual-Report-2019-2020.pdf","author":[{"family":"Knox CAC","given":""}],"issued":{"date-parts":[["2020"]]}}}],"schema":"https://github.com/citation-style-language/schema/raw/master/csl-citation.json"} </w:instrText>
      </w:r>
      <w:r w:rsidR="008844E4" w:rsidRPr="00424BD3">
        <w:rPr>
          <w:rFonts w:cs="Arial"/>
          <w:szCs w:val="24"/>
        </w:rPr>
        <w:fldChar w:fldCharType="separate"/>
      </w:r>
      <w:r w:rsidR="008844E4" w:rsidRPr="00424BD3">
        <w:rPr>
          <w:rFonts w:cs="Arial"/>
        </w:rPr>
        <w:t>(Knox CAC, 2020)</w:t>
      </w:r>
      <w:r w:rsidR="008844E4" w:rsidRPr="00424BD3">
        <w:rPr>
          <w:rFonts w:cs="Arial"/>
          <w:szCs w:val="24"/>
        </w:rPr>
        <w:fldChar w:fldCharType="end"/>
      </w:r>
      <w:r w:rsidR="008844E4" w:rsidRPr="00424BD3">
        <w:rPr>
          <w:rFonts w:cs="Arial"/>
          <w:szCs w:val="24"/>
        </w:rPr>
        <w:t>. As noted earlier in this dissertation, this can allow the state or local government to reduce the funding available for those services over time, and thereby feed the cycle of health inequities older women face.</w:t>
      </w:r>
    </w:p>
    <w:p w14:paraId="4879B8E7" w14:textId="1F473F54" w:rsidR="008844E4" w:rsidRPr="00424BD3" w:rsidRDefault="008844E4" w:rsidP="000126EE">
      <w:pPr>
        <w:spacing w:after="0" w:line="480" w:lineRule="auto"/>
        <w:ind w:firstLine="720"/>
        <w:rPr>
          <w:rFonts w:cs="Arial"/>
          <w:szCs w:val="24"/>
        </w:rPr>
      </w:pPr>
      <w:r w:rsidRPr="00424BD3">
        <w:rPr>
          <w:rFonts w:cs="Arial"/>
          <w:szCs w:val="24"/>
        </w:rPr>
        <w:t xml:space="preserve">A major aim of the study was to add to existing literature via a qualitative, critical health geographies lens by examining whether similarities or differences exist in current federal, state, and local policies and interventions affecting health equity compared to the perceptions and experiences of older women in East Tennessee. </w:t>
      </w:r>
      <w:r w:rsidR="004B29C0" w:rsidRPr="00424BD3">
        <w:rPr>
          <w:rFonts w:cs="Arial"/>
          <w:szCs w:val="24"/>
        </w:rPr>
        <w:t>As stated earlier</w:t>
      </w:r>
      <w:r w:rsidR="00D75139">
        <w:rPr>
          <w:rFonts w:cs="Arial"/>
          <w:szCs w:val="24"/>
        </w:rPr>
        <w:t>,</w:t>
      </w:r>
      <w:r w:rsidR="004B29C0" w:rsidRPr="00424BD3">
        <w:rPr>
          <w:rFonts w:cs="Arial"/>
          <w:szCs w:val="24"/>
        </w:rPr>
        <w:t xml:space="preserve"> this</w:t>
      </w:r>
      <w:r w:rsidRPr="00424BD3">
        <w:rPr>
          <w:rFonts w:cs="Arial"/>
          <w:szCs w:val="24"/>
        </w:rPr>
        <w:t xml:space="preserve"> study has </w:t>
      </w:r>
      <w:r w:rsidR="004B29C0" w:rsidRPr="00424BD3">
        <w:rPr>
          <w:rFonts w:cs="Arial"/>
          <w:szCs w:val="24"/>
        </w:rPr>
        <w:t>confirmed</w:t>
      </w:r>
      <w:r w:rsidRPr="00424BD3">
        <w:rPr>
          <w:rFonts w:cs="Arial"/>
          <w:szCs w:val="24"/>
        </w:rPr>
        <w:t xml:space="preserve"> that Tennessee, which implements neoliberal, highly conservative, and / or faith-based legislation, hinders federally enacted policies intended to support older women</w:t>
      </w:r>
      <w:r w:rsidR="004B29C0" w:rsidRPr="00424BD3">
        <w:rPr>
          <w:rFonts w:cs="Arial"/>
          <w:szCs w:val="24"/>
        </w:rPr>
        <w:t xml:space="preserve"> </w:t>
      </w:r>
      <w:r w:rsidR="004B29C0" w:rsidRPr="00424BD3">
        <w:rPr>
          <w:rFonts w:cs="Arial"/>
          <w:szCs w:val="24"/>
        </w:rPr>
        <w:fldChar w:fldCharType="begin"/>
      </w:r>
      <w:r w:rsidR="00990F3A">
        <w:rPr>
          <w:rFonts w:cs="Arial"/>
          <w:szCs w:val="24"/>
        </w:rPr>
        <w:instrText xml:space="preserve"> ADDIN ZOTERO_ITEM CSL_CITATION {"citationID":"ByBkFGqW","properties":{"formattedCitation":"(Baru &amp; Mohan, 2018; Sager &amp; Bentele, 2016; Townsend et al., 2020)","plainCitation":"(Baru &amp; Mohan, 2018; Sager &amp; Bentele, 2016; Townsend et al., 2020)","noteIndex":0},"citationItems":[{"id":594,"uris":["http://zotero.org/users/4946941/items/CQCFCSS3"],"itemData":{"id":594,"type":"article-journal","abstract":"In this paper, we draw upon and build on three presentations which were part of the plenary session on ‘Structural Drivers of Health Inequities’ at the National Conference on Health Inequities in India: Transformative Research for Action, organised by the Achutha Menon Centre for Health Science Studies in Trivandrum, India. The three presentations discussed the influential role played by globalisation and neoliberalism in shaping economic, social and political relationships across developed and developing countries. The paper further argues that the twin process of globalisation and liberalisation have been important drivers of health inequities. The first segment of the paper attempts a broader conceptualisation of neoliberalism beyond the economic realm. Using Stephanie Lee Mudge’s conceptualisation (Soc Econ Rev 6:703–3, 2008) we have analysed how the political, bureaucratic and intellectual domains of neoliberalism have intersected and redefined the role of state and commercialised health services leading to inequities. Neoliberal ideas have reconfigured the role and changed the priorities of non-governmental organisations resulting in a fracture within this movement. n the second segment, we focus on the rise of American philanthro-capitalism, and how the two major foundations, the Rockefeller Foundation (early twentieth century) and the Bill and Melinda Gates Foundation (twenty-first century), have shaped the ideology of institutions engaged in international health and influenced the global health agenda. We discuss how the activities of philanthro-capitalists have transformed the architecture of health governance through their top-down organisational culture and deficit of structures to ensure accountability. The third and final segment of the paper focuses on how neoliberalism as a political project and cultural movement has forged alliances with conservative politics and religious fundamentalisms, resulting in negative consequences for women and other marginalised groups. These alliances have resulted in the control of women’s bodies and contributed to the reversal of hard-won rights for health and gender justice in many parts of the world.","container-title":"Health Research Policy and Systems","DOI":"10.1186/s12961-018-0365-2","ISSN":"1478-4505","issue":"1","journalAbbreviation":"Health Res Policy Sys","language":"en","page":"91","source":"Springer Link","title":"Globalisation and neoliberalism as structural drivers of health inequities","volume":"16","author":[{"family":"Baru","given":"Rama V."},{"family":"Mohan","given":"Malu"}],"issued":{"date-parts":[["2018",10,9]]}}},{"id":790,"uris":["http://zotero.org/users/4946941/items/QABZMU9B"],"itemData":{"id":790,"type":"article-journal","container-title":"Religions","DOI":"10.3390/rel7060071","issue":"6","language":"en","page":"71","title":"Coopting the state: The conservative evangelical movement and state-level institutionalization, passage, and diffusion of faith-based initiatives","volume":"7","author":[{"family":"Sager","given":"R."},{"family":"Bentele","given":"K."}],"issued":{"date-parts":[["2016"]]}}},{"id":835,"uris":["http://zotero.org/users/4946941/items/6XKWZ5EC"],"itemData":{"id":835,"type":"article-journal","container-title":"BMJ open","DOI":"10.1136/bmjopen-2020-040180","issue":"11","language":"en","page":"040180","title":"Advancing a health equity agenda across multiple policy domains: a qualitative policy analysis of social, trade and welfare policy","volume":"10","author":[{"family":"Townsend","given":"B."},{"family":"Friel","given":"S."},{"family":"Freeman","given":"T."},{"family":"Schram","given":"A."},{"family":"Strazdins","given":"L."},{"family":"Labonte","given":"R."},{"family":"Mackean","given":"T."},{"family":"Baum","given":"F."}],"issued":{"date-parts":[["2020"]]}}}],"schema":"https://github.com/citation-style-language/schema/raw/master/csl-citation.json"} </w:instrText>
      </w:r>
      <w:r w:rsidR="004B29C0" w:rsidRPr="00424BD3">
        <w:rPr>
          <w:rFonts w:cs="Arial"/>
          <w:szCs w:val="24"/>
        </w:rPr>
        <w:fldChar w:fldCharType="separate"/>
      </w:r>
      <w:r w:rsidR="009B5CDB" w:rsidRPr="00424BD3">
        <w:rPr>
          <w:rFonts w:cs="Arial"/>
        </w:rPr>
        <w:t>(Baru &amp; Mohan, 2018; Sager &amp; Bentele, 2016; Townsend et al., 2020)</w:t>
      </w:r>
      <w:r w:rsidR="004B29C0" w:rsidRPr="00424BD3">
        <w:rPr>
          <w:rFonts w:cs="Arial"/>
          <w:szCs w:val="24"/>
        </w:rPr>
        <w:fldChar w:fldCharType="end"/>
      </w:r>
      <w:r w:rsidR="00841C59">
        <w:rPr>
          <w:rFonts w:cs="Arial"/>
          <w:szCs w:val="24"/>
        </w:rPr>
        <w:t xml:space="preserve">, </w:t>
      </w:r>
      <w:r w:rsidR="00AE2ABF">
        <w:rPr>
          <w:rFonts w:cs="Arial"/>
          <w:szCs w:val="24"/>
        </w:rPr>
        <w:t xml:space="preserve">with </w:t>
      </w:r>
      <w:r w:rsidRPr="00424BD3">
        <w:rPr>
          <w:rFonts w:cs="Arial"/>
          <w:szCs w:val="24"/>
        </w:rPr>
        <w:t xml:space="preserve">large differences between what older women want and need, and the policies and inventions enacted at state and local level. The women in this study cited concerns about the differences in what policies and interventions are there to support them, specifically at federal level, and what their </w:t>
      </w:r>
      <w:r w:rsidR="0090140A" w:rsidRPr="00424BD3">
        <w:rPr>
          <w:rFonts w:cs="Arial"/>
          <w:szCs w:val="24"/>
        </w:rPr>
        <w:t>reality</w:t>
      </w:r>
      <w:r w:rsidRPr="00424BD3">
        <w:rPr>
          <w:rFonts w:cs="Arial"/>
          <w:szCs w:val="24"/>
        </w:rPr>
        <w:t xml:space="preserve"> of this support is in East Tennessee. </w:t>
      </w:r>
    </w:p>
    <w:p w14:paraId="00B7420D" w14:textId="52AFD48C" w:rsidR="008844E4" w:rsidRPr="00424BD3" w:rsidRDefault="008844E4" w:rsidP="000126EE">
      <w:pPr>
        <w:spacing w:after="0" w:line="480" w:lineRule="auto"/>
        <w:ind w:firstLine="720"/>
        <w:rPr>
          <w:rFonts w:cs="Arial"/>
          <w:szCs w:val="24"/>
        </w:rPr>
      </w:pPr>
      <w:r w:rsidRPr="00424BD3">
        <w:rPr>
          <w:rFonts w:cs="Arial"/>
          <w:szCs w:val="24"/>
        </w:rPr>
        <w:t xml:space="preserve">This study has also found that </w:t>
      </w:r>
      <w:r w:rsidRPr="00424BD3">
        <w:rPr>
          <w:rFonts w:cs="Arial"/>
          <w:bCs/>
          <w:szCs w:val="24"/>
        </w:rPr>
        <w:t>place</w:t>
      </w:r>
      <w:r w:rsidRPr="00424BD3">
        <w:rPr>
          <w:rFonts w:cs="Arial"/>
          <w:szCs w:val="24"/>
        </w:rPr>
        <w:t xml:space="preserve"> has deeply impacted the experiences and perceptions of the participants, though perhaps in levels and ways not fully expected. It means that if they were unaware of these policies and interventions, any services available to them are going unused, and therefore exacerbating health inequities for them personally and as a demographic cohort. Here, </w:t>
      </w:r>
      <w:r w:rsidR="008960A8" w:rsidRPr="00424BD3">
        <w:rPr>
          <w:rFonts w:cs="Arial"/>
          <w:szCs w:val="24"/>
        </w:rPr>
        <w:t>it may be said,</w:t>
      </w:r>
      <w:r w:rsidRPr="00424BD3">
        <w:rPr>
          <w:rFonts w:cs="Arial"/>
          <w:szCs w:val="24"/>
        </w:rPr>
        <w:t xml:space="preserve"> is where the impact </w:t>
      </w:r>
      <w:r w:rsidRPr="00424BD3">
        <w:rPr>
          <w:rFonts w:cs="Arial"/>
          <w:szCs w:val="24"/>
        </w:rPr>
        <w:lastRenderedPageBreak/>
        <w:t>of Tennessee’s policy implementation</w:t>
      </w:r>
      <w:r w:rsidR="00154FB9" w:rsidRPr="00424BD3">
        <w:rPr>
          <w:rFonts w:cs="Arial"/>
          <w:szCs w:val="24"/>
        </w:rPr>
        <w:t xml:space="preserve"> can be seen most acutely</w:t>
      </w:r>
      <w:r w:rsidRPr="00424BD3">
        <w:rPr>
          <w:rFonts w:cs="Arial"/>
          <w:szCs w:val="24"/>
        </w:rPr>
        <w:t>, particularly upon personal internalization, a form of psychosocial harm, in which older women internalize the policy narrative. Where many major policies and interventions are available that would reduce the inequities older women face, the State ha</w:t>
      </w:r>
      <w:r w:rsidR="00821A55" w:rsidRPr="00424BD3">
        <w:rPr>
          <w:rFonts w:cs="Arial"/>
          <w:szCs w:val="24"/>
        </w:rPr>
        <w:t>d long</w:t>
      </w:r>
      <w:r w:rsidRPr="00424BD3">
        <w:rPr>
          <w:rFonts w:cs="Arial"/>
          <w:szCs w:val="24"/>
        </w:rPr>
        <w:t xml:space="preserve"> chosen not to take them, </w:t>
      </w:r>
      <w:r w:rsidR="00BF4FF5" w:rsidRPr="00424BD3">
        <w:rPr>
          <w:rFonts w:cs="Arial"/>
          <w:szCs w:val="24"/>
        </w:rPr>
        <w:t xml:space="preserve">despite </w:t>
      </w:r>
      <w:r w:rsidR="00E827FB" w:rsidRPr="00424BD3">
        <w:rPr>
          <w:rFonts w:cs="Arial"/>
          <w:szCs w:val="24"/>
        </w:rPr>
        <w:t>retaining</w:t>
      </w:r>
      <w:r w:rsidR="00BF4FF5" w:rsidRPr="00424BD3">
        <w:rPr>
          <w:rFonts w:cs="Arial"/>
          <w:szCs w:val="24"/>
        </w:rPr>
        <w:t xml:space="preserve"> a large </w:t>
      </w:r>
      <w:r w:rsidR="00E827FB" w:rsidRPr="00424BD3">
        <w:rPr>
          <w:rFonts w:cs="Arial"/>
          <w:szCs w:val="24"/>
        </w:rPr>
        <w:t>federal</w:t>
      </w:r>
      <w:r w:rsidR="0061447C">
        <w:rPr>
          <w:rFonts w:cs="Arial"/>
          <w:szCs w:val="24"/>
        </w:rPr>
        <w:t>ly</w:t>
      </w:r>
      <w:r w:rsidR="00E827FB" w:rsidRPr="00424BD3">
        <w:rPr>
          <w:rFonts w:cs="Arial"/>
          <w:szCs w:val="24"/>
        </w:rPr>
        <w:t xml:space="preserve"> fund</w:t>
      </w:r>
      <w:r w:rsidR="0061447C">
        <w:rPr>
          <w:rFonts w:cs="Arial"/>
          <w:szCs w:val="24"/>
        </w:rPr>
        <w:t>ed</w:t>
      </w:r>
      <w:r w:rsidR="00E827FB" w:rsidRPr="00424BD3">
        <w:rPr>
          <w:rFonts w:cs="Arial"/>
          <w:szCs w:val="24"/>
        </w:rPr>
        <w:t xml:space="preserve"> </w:t>
      </w:r>
      <w:r w:rsidR="00BF4FF5" w:rsidRPr="00424BD3">
        <w:rPr>
          <w:rFonts w:cs="Arial"/>
          <w:szCs w:val="24"/>
        </w:rPr>
        <w:t xml:space="preserve">monetary reserve </w:t>
      </w:r>
      <w:r w:rsidR="00CE327D" w:rsidRPr="00424BD3">
        <w:rPr>
          <w:rFonts w:cs="Arial"/>
          <w:szCs w:val="24"/>
        </w:rPr>
        <w:fldChar w:fldCharType="begin"/>
      </w:r>
      <w:r w:rsidR="00990F3A">
        <w:rPr>
          <w:rFonts w:cs="Arial"/>
          <w:szCs w:val="24"/>
        </w:rPr>
        <w:instrText xml:space="preserve"> ADDIN ZOTERO_ITEM CSL_CITATION {"citationID":"RhLfUVbU","properties":{"formattedCitation":"(A. Friedman, 2022)","plainCitation":"(A. Friedman, 2022)","dontUpdate":true,"noteIndex":0},"citationItems":[{"id":1388,"uris":["http://zotero.org/users/4946941/items/KEPFZIA9"],"itemData":{"id":1388,"type":"webpage","abstract":"The state announced they were issuing $175M in grants from the state's TANF reserves to launch pilot programs serving low-income families.","container-title":"The Tennessean","language":"en-US","title":"Gov. Bill Lee announces $175M in grants as Tennessee starts to spend reserves for needy families","URL":"https://www.tennessean.com/story/news/politics/2022/05/05/tennessee-announces-175-million-grants-starts-spend-tanf-reserve-needy-families/9657609002/","author":[{"family":"Friedman","given":"Adam"}],"accessed":{"date-parts":[["2022",9,5]]},"issued":{"date-parts":[["2022",5,5]]}}}],"schema":"https://github.com/citation-style-language/schema/raw/master/csl-citation.json"} </w:instrText>
      </w:r>
      <w:r w:rsidR="00CE327D" w:rsidRPr="00424BD3">
        <w:rPr>
          <w:rFonts w:cs="Arial"/>
          <w:szCs w:val="24"/>
        </w:rPr>
        <w:fldChar w:fldCharType="separate"/>
      </w:r>
      <w:r w:rsidR="008149BF" w:rsidRPr="00424BD3">
        <w:rPr>
          <w:rFonts w:cs="Arial"/>
        </w:rPr>
        <w:t>(Friedman, 2022)</w:t>
      </w:r>
      <w:r w:rsidR="00CE327D" w:rsidRPr="00424BD3">
        <w:rPr>
          <w:rFonts w:cs="Arial"/>
          <w:szCs w:val="24"/>
        </w:rPr>
        <w:fldChar w:fldCharType="end"/>
      </w:r>
      <w:r w:rsidRPr="00424BD3">
        <w:rPr>
          <w:rFonts w:cs="Arial"/>
          <w:szCs w:val="24"/>
        </w:rPr>
        <w:t xml:space="preserve">. For women in rural parts of East Tennessee, health inequities are exacerbated by spatial inequalities – such as lack of hospital and clinical care services (including lack of available internet access which affects telehealth options) in addition to policies perpetuating inequities around transportation, employment, and more </w:t>
      </w:r>
      <w:r w:rsidRPr="00424BD3">
        <w:rPr>
          <w:rFonts w:cs="Arial"/>
          <w:szCs w:val="24"/>
        </w:rPr>
        <w:fldChar w:fldCharType="begin"/>
      </w:r>
      <w:r w:rsidR="00990F3A">
        <w:rPr>
          <w:rFonts w:cs="Arial"/>
          <w:szCs w:val="24"/>
        </w:rPr>
        <w:instrText xml:space="preserve"> ADDIN ZOTERO_ITEM CSL_CITATION {"citationID":"uIgngzD2","properties":{"formattedCitation":"(Evan, 2018; Letheren, 2021; Pedigo &amp; Odoi, 2010; Tarazi et al., 2017)","plainCitation":"(Evan, 2018; Letheren, 2021; Pedigo &amp; Odoi, 2010; Tarazi et al., 2017)","noteIndex":0},"citationItems":[{"id":658,"uris":["http://zotero.org/users/4946941/items/Q6VWUDV2"],"itemData":{"id":658,"type":"article-journal","container-title":"Lincoln Memorial University Law Review","issue":"2","language":"en","page":"38–47","title":"Out of Sight and Out of My Mind: How Rural Tennessee Treats the Mentally Ill","volume":"5","author":[{"family":"Evan","given":"W."}],"issued":{"date-parts":[["2018"]]}}},{"id":713,"uris":["http://zotero.org/users/4946941/items/ZWPUC275"],"itemData":{"id":713,"type":"thesis","genre":"PhD diss.,","language":"en","publisher":"University of Tennessee","title":"Rural hospital closures and perceived access to care: A qualitative descriptive study in an Appalachian county of Tennessee","URL":"https://trace.tennessee.edu/utk_graddiss/6741","author":[{"family":"Letheren","given":"A.M."}],"issued":{"date-parts":[["2021"]]}}},{"id":758,"uris":["http://zotero.org/users/4946941/items/7GYHZ9KH"],"itemData":{"id":758,"type":"article-journal","container-title":"Annals of epidemiology","DOI":"10.1016/j.annepidem.2010.06.013","issue":"12","language":"en","page":"924–930","title":"Investigation of disparities in geographic accessibility to emergency stroke and myocardial infarction care in East Tennessee using geographic information systems and network analysis","volume":"20","author":[{"family":"Pedigo","given":"A.S."},{"family":"Odoi","given":"A."}],"issued":{"date-parts":[["2010"]]}}},{"id":813,"uris":["http://zotero.org/users/4946941/items/MILGQ93J"],"itemData":{"id":813,"type":"article-journal","container-title":"Health services research","DOI":"10.1111/1475-6773.12515","issue":"3","language":"en","page":"1156","title":"Medicaid disenrollment and disparities in access to care: evidence from Tennessee","volume":"52","author":[{"family":"Tarazi","given":"W.W."},{"family":"Green","given":"T.L."},{"family":"Sabik","given":"L.M."}],"issued":{"date-parts":[["2017"]]}}}],"schema":"https://github.com/citation-style-language/schema/raw/master/csl-citation.json"} </w:instrText>
      </w:r>
      <w:r w:rsidRPr="00424BD3">
        <w:rPr>
          <w:rFonts w:cs="Arial"/>
          <w:szCs w:val="24"/>
        </w:rPr>
        <w:fldChar w:fldCharType="separate"/>
      </w:r>
      <w:r w:rsidRPr="00424BD3">
        <w:rPr>
          <w:rFonts w:cs="Arial"/>
        </w:rPr>
        <w:t>(Evan, 2018; Letheren, 2021; Pedigo &amp; Odoi, 2010; Tarazi et al., 2017)</w:t>
      </w:r>
      <w:r w:rsidRPr="00424BD3">
        <w:rPr>
          <w:rFonts w:cs="Arial"/>
          <w:szCs w:val="24"/>
        </w:rPr>
        <w:fldChar w:fldCharType="end"/>
      </w:r>
      <w:r w:rsidRPr="00424BD3">
        <w:rPr>
          <w:rFonts w:cs="Arial"/>
          <w:szCs w:val="24"/>
        </w:rPr>
        <w:t xml:space="preserve">. Place, when it comes to health, can literally be a matter of life, death, disability, or unhealthy life expectancy, when policymakers are invested in anything (party, donor funding, religious beliefs) over </w:t>
      </w:r>
      <w:r w:rsidR="00816106" w:rsidRPr="00424BD3">
        <w:rPr>
          <w:rFonts w:cs="Arial"/>
          <w:szCs w:val="24"/>
        </w:rPr>
        <w:t>lifesaving</w:t>
      </w:r>
      <w:r w:rsidRPr="00424BD3">
        <w:rPr>
          <w:rFonts w:cs="Arial"/>
          <w:szCs w:val="24"/>
        </w:rPr>
        <w:t>, inequity-reducing policymaking. Because most of the women in this study had lived in East Tennessee for decades and had relocated to be with or to take care of family members, leaving was not necessarily an option for them.</w:t>
      </w:r>
    </w:p>
    <w:p w14:paraId="116D8ED1" w14:textId="2C62BF13" w:rsidR="008844E4" w:rsidRPr="00424BD3" w:rsidRDefault="008844E4" w:rsidP="000126EE">
      <w:pPr>
        <w:spacing w:after="0" w:line="480" w:lineRule="auto"/>
        <w:ind w:firstLine="720"/>
        <w:rPr>
          <w:rFonts w:cs="Arial"/>
          <w:szCs w:val="24"/>
        </w:rPr>
      </w:pPr>
      <w:r w:rsidRPr="00424BD3">
        <w:rPr>
          <w:rFonts w:cs="Arial"/>
          <w:szCs w:val="24"/>
        </w:rPr>
        <w:t xml:space="preserve">There may be additional reasons the women may not have mentioned these policies and interventions, if they were aware of them. This is of additional concern because internalization of geopolitical or cultural norms may lead to unintended propagation of the very policies and interventions which are ineffective in reducing the health inequities they endure </w:t>
      </w:r>
      <w:r w:rsidRPr="00424BD3">
        <w:rPr>
          <w:rFonts w:cs="Arial"/>
          <w:szCs w:val="24"/>
        </w:rPr>
        <w:fldChar w:fldCharType="begin"/>
      </w:r>
      <w:r w:rsidR="00990F3A">
        <w:rPr>
          <w:rFonts w:cs="Arial"/>
          <w:szCs w:val="24"/>
        </w:rPr>
        <w:instrText xml:space="preserve"> ADDIN ZOTERO_ITEM CSL_CITATION {"citationID":"XVBsuhmF","properties":{"formattedCitation":"(Akguloglu &amp; Con Wright, 2021; Cardona, 2021)","plainCitation":"(Akguloglu &amp; Con Wright, 2021; Cardona, 2021)","noteIndex":0},"citationItems":[{"id":571,"uris":["http://zotero.org/users/4946941/items/XH9N9JA9"],"itemData":{"id":571,"type":"article-journal","abstract":"The COVID-19 pandemic pushed the governments of the world to implement different regulative and protective measures. Although these measures required serious re-considerations of public health strategies, they were still grounded on pre-existing contexts of countries’ health systems, namely the “new public health” paradigm. Turkey’s neoliberal health reforms since 2003 coincide with the principles of this paradigm’s trends toward marketizing services and responsibilizing individuals; yet the Turkish context of the pandemic also stands out due to its mixed and unique form of governance. Utilizing the tweets of the Turkish Health Minister between March 13th and October 1st, 2020, we conducted a thematic qualitative analysis investigating the Turkish state’s response to the COVID-19 pandemic. Our analysis revealed that state responsibility was framed around building new pandemic hospitals, informing the public, and building trust. Conversely, his tweets assigned Turkish individuals an active role in shaping pandemic outcomes through their “informed” and “empowered” agency. Finally, he coined “togetherness,” referring to the sum of individual actions, as an indispensable goal in assuring public compliance with precautions. The Minister’s tweets reflect the unique nature of pandemic governance in Turkey with a relatively imposing and swift response of centralized power but a primary focus on “responsibilized” individuals’ collective actions.","container-title":"Health","DOI":"10.1177/13634593211060766","ISSN":"1363-4593","journalAbbreviation":"Health (London)","language":"en","note":"publisher: SAGE Publications Ltd","page":"13634593211060766","source":"SAGE Journals","title":"Exempting the state and responsibilizing individuals during pandemic governance: Analyzing the health minister’s responses to the Covid-19 pandemic in Turkey","title-short":"Exempting the state and responsibilizing individuals during pandemic governance","author":[{"family":"Akguloglu","given":"G Ezgi"},{"family":"Con Wright","given":"Gulcin"}],"issued":{"date-parts":[["2021",11,15]]}}},{"id":625,"uris":["http://zotero.org/users/4946941/items/7FY8SDJV"],"itemData":{"id":625,"type":"article-journal","container-title":"Health Promotion International","DOI":"10.1093/heapro/daaa112","issue":"3","language":"en","page":"714–721","title":"The pitfalls of personalization rhetoric in time of health crisis: COVID-19 pandemic and cracks on neoliberal ideologies","volume":"36","author":[{"family":"Cardona","given":"B."}],"issued":{"date-parts":[["2021"]]}}}],"schema":"https://github.com/citation-style-language/schema/raw/master/csl-citation.json"} </w:instrText>
      </w:r>
      <w:r w:rsidRPr="00424BD3">
        <w:rPr>
          <w:rFonts w:cs="Arial"/>
          <w:szCs w:val="24"/>
        </w:rPr>
        <w:fldChar w:fldCharType="separate"/>
      </w:r>
      <w:r w:rsidRPr="00424BD3">
        <w:rPr>
          <w:rFonts w:cs="Arial"/>
        </w:rPr>
        <w:t>(Akguloglu &amp; Con Wright, 2021; Cardona, 2021)</w:t>
      </w:r>
      <w:r w:rsidRPr="00424BD3">
        <w:rPr>
          <w:rFonts w:cs="Arial"/>
          <w:szCs w:val="24"/>
        </w:rPr>
        <w:fldChar w:fldCharType="end"/>
      </w:r>
      <w:r w:rsidRPr="00424BD3">
        <w:rPr>
          <w:rFonts w:cs="Arial"/>
          <w:szCs w:val="24"/>
        </w:rPr>
        <w:t>. While this cannot be definitely said about the cohort of the women in the study, it must be considered.</w:t>
      </w:r>
    </w:p>
    <w:p w14:paraId="53EB8A09" w14:textId="6406A674" w:rsidR="00EE13D9" w:rsidRDefault="008844E4" w:rsidP="00612F58">
      <w:pPr>
        <w:spacing w:after="0" w:line="480" w:lineRule="auto"/>
        <w:ind w:firstLine="720"/>
        <w:rPr>
          <w:rFonts w:cs="Arial"/>
          <w:szCs w:val="24"/>
        </w:rPr>
      </w:pPr>
      <w:r w:rsidRPr="00424BD3">
        <w:rPr>
          <w:rFonts w:cs="Arial"/>
          <w:szCs w:val="24"/>
        </w:rPr>
        <w:lastRenderedPageBreak/>
        <w:t xml:space="preserve">If these women lived in states, including other southern central Appalachian states, that did not have highly misogynistic, patriarchal, neoliberal (and historically Jim Crow-based) cultures that impact legislative decision-making, or if Tennessee had accepted federal funding options (such as Medicaid expansion), and had enacted policies and interventions that specifically prioritized older women’s health, their experiences and perceptions of health inequities could likely be very different. Tennessee’s state and East Tennessee’s local-level policies and interventions particularly fall short for those older women in the funding gaps that aren’t provided for by legislation such as the Older Americans Act, and while there may be some regional affinity in these findings, a look at the literature shows that this may be the case for other states (and countries) with highly neoliberal, patriarchal, evangelically conservative and libertarian led legislatures </w:t>
      </w:r>
      <w:r w:rsidR="009B5CDB" w:rsidRPr="00424BD3">
        <w:rPr>
          <w:rFonts w:cs="Arial"/>
          <w:szCs w:val="24"/>
        </w:rPr>
        <w:fldChar w:fldCharType="begin"/>
      </w:r>
      <w:r w:rsidR="00990F3A">
        <w:rPr>
          <w:rFonts w:cs="Arial"/>
          <w:szCs w:val="24"/>
        </w:rPr>
        <w:instrText xml:space="preserve"> ADDIN ZOTERO_ITEM CSL_CITATION {"citationID":"5r5Ej0Wh","properties":{"formattedCitation":"(Baru &amp; Mohan, 2018; Sager &amp; Bentele, 2016; Townsend et al., 2020)","plainCitation":"(Baru &amp; Mohan, 2018; Sager &amp; Bentele, 2016; Townsend et al., 2020)","noteIndex":0},"citationItems":[{"id":594,"uris":["http://zotero.org/users/4946941/items/CQCFCSS3"],"itemData":{"id":594,"type":"article-journal","abstract":"In this paper, we draw upon and build on three presentations which were part of the plenary session on ‘Structural Drivers of Health Inequities’ at the National Conference on Health Inequities in India: Transformative Research for Action, organised by the Achutha Menon Centre for Health Science Studies in Trivandrum, India. The three presentations discussed the influential role played by globalisation and neoliberalism in shaping economic, social and political relationships across developed and developing countries. The paper further argues that the twin process of globalisation and liberalisation have been important drivers of health inequities. The first segment of the paper attempts a broader conceptualisation of neoliberalism beyond the economic realm. Using Stephanie Lee Mudge’s conceptualisation (Soc Econ Rev 6:703–3, 2008) we have analysed how the political, bureaucratic and intellectual domains of neoliberalism have intersected and redefined the role of state and commercialised health services leading to inequities. Neoliberal ideas have reconfigured the role and changed the priorities of non-governmental organisations resulting in a fracture within this movement. n the second segment, we focus on the rise of American philanthro-capitalism, and how the two major foundations, the Rockefeller Foundation (early twentieth century) and the Bill and Melinda Gates Foundation (twenty-first century), have shaped the ideology of institutions engaged in international health and influenced the global health agenda. We discuss how the activities of philanthro-capitalists have transformed the architecture of health governance through their top-down organisational culture and deficit of structures to ensure accountability. The third and final segment of the paper focuses on how neoliberalism as a political project and cultural movement has forged alliances with conservative politics and religious fundamentalisms, resulting in negative consequences for women and other marginalised groups. These alliances have resulted in the control of women’s bodies and contributed to the reversal of hard-won rights for health and gender justice in many parts of the world.","container-title":"Health Research Policy and Systems","DOI":"10.1186/s12961-018-0365-2","ISSN":"1478-4505","issue":"1","journalAbbreviation":"Health Res Policy Sys","language":"en","page":"91","source":"Springer Link","title":"Globalisation and neoliberalism as structural drivers of health inequities","volume":"16","author":[{"family":"Baru","given":"Rama V."},{"family":"Mohan","given":"Malu"}],"issued":{"date-parts":[["2018",10,9]]}}},{"id":790,"uris":["http://zotero.org/users/4946941/items/QABZMU9B"],"itemData":{"id":790,"type":"article-journal","container-title":"Religions","DOI":"10.3390/rel7060071","issue":"6","language":"en","page":"71","title":"Coopting the state: The conservative evangelical movement and state-level institutionalization, passage, and diffusion of faith-based initiatives","volume":"7","author":[{"family":"Sager","given":"R."},{"family":"Bentele","given":"K."}],"issued":{"date-parts":[["2016"]]}}},{"id":835,"uris":["http://zotero.org/users/4946941/items/6XKWZ5EC"],"itemData":{"id":835,"type":"article-journal","container-title":"BMJ open","DOI":"10.1136/bmjopen-2020-040180","issue":"11","language":"en","page":"040180","title":"Advancing a health equity agenda across multiple policy domains: a qualitative policy analysis of social, trade and welfare policy","volume":"10","author":[{"family":"Townsend","given":"B."},{"family":"Friel","given":"S."},{"family":"Freeman","given":"T."},{"family":"Schram","given":"A."},{"family":"Strazdins","given":"L."},{"family":"Labonte","given":"R."},{"family":"Mackean","given":"T."},{"family":"Baum","given":"F."}],"issued":{"date-parts":[["2020"]]}}}],"schema":"https://github.com/citation-style-language/schema/raw/master/csl-citation.json"} </w:instrText>
      </w:r>
      <w:r w:rsidR="009B5CDB" w:rsidRPr="00424BD3">
        <w:rPr>
          <w:rFonts w:cs="Arial"/>
          <w:szCs w:val="24"/>
        </w:rPr>
        <w:fldChar w:fldCharType="separate"/>
      </w:r>
      <w:r w:rsidR="009B5CDB" w:rsidRPr="00424BD3">
        <w:rPr>
          <w:rFonts w:cs="Arial"/>
        </w:rPr>
        <w:t>(Baru &amp; Mohan, 2018; Sager &amp; Bentele, 2016; Townsend et al., 2020)</w:t>
      </w:r>
      <w:r w:rsidR="009B5CDB" w:rsidRPr="00424BD3">
        <w:rPr>
          <w:rFonts w:cs="Arial"/>
          <w:szCs w:val="24"/>
        </w:rPr>
        <w:fldChar w:fldCharType="end"/>
      </w:r>
      <w:r w:rsidRPr="00424BD3">
        <w:rPr>
          <w:rFonts w:cs="Arial"/>
          <w:szCs w:val="24"/>
        </w:rPr>
        <w:t xml:space="preserve">. </w:t>
      </w:r>
    </w:p>
    <w:p w14:paraId="330CB434" w14:textId="2023495F" w:rsidR="008844E4" w:rsidRPr="00424BD3" w:rsidRDefault="008844E4" w:rsidP="00612F58">
      <w:pPr>
        <w:spacing w:after="0" w:line="480" w:lineRule="auto"/>
        <w:ind w:firstLine="720"/>
        <w:rPr>
          <w:rFonts w:cs="Arial"/>
          <w:szCs w:val="24"/>
        </w:rPr>
      </w:pPr>
      <w:r w:rsidRPr="00424BD3">
        <w:rPr>
          <w:rFonts w:cs="Arial"/>
          <w:szCs w:val="24"/>
        </w:rPr>
        <w:t>Where federal services and funding are available in local counties and municipalities, Tennessee’s constitutional mandate to annually balance the budget constrai</w:t>
      </w:r>
      <w:r w:rsidR="0061447C">
        <w:rPr>
          <w:rFonts w:cs="Arial"/>
          <w:szCs w:val="24"/>
        </w:rPr>
        <w:t>n</w:t>
      </w:r>
      <w:r w:rsidRPr="00424BD3">
        <w:rPr>
          <w:rFonts w:cs="Arial"/>
          <w:szCs w:val="24"/>
        </w:rPr>
        <w:t xml:space="preserve">s the consistency of comprehensive service availability. In other words, services may be available and may be geared to reach those most in need, but not all of those in need. This disproportionately impacts older women, especially </w:t>
      </w:r>
      <w:r w:rsidR="002044E2">
        <w:rPr>
          <w:rFonts w:cs="Arial"/>
          <w:szCs w:val="24"/>
        </w:rPr>
        <w:t xml:space="preserve">those in their 80s </w:t>
      </w:r>
      <w:r w:rsidR="001B6EF3">
        <w:rPr>
          <w:rFonts w:cs="Arial"/>
          <w:szCs w:val="24"/>
        </w:rPr>
        <w:t>older</w:t>
      </w:r>
      <w:r w:rsidRPr="00424BD3">
        <w:rPr>
          <w:rFonts w:cs="Arial"/>
          <w:szCs w:val="24"/>
        </w:rPr>
        <w:t xml:space="preserve">, and those who fall in the funding gaps (such as the Medicare coverage gap) providing them less access and affordability </w:t>
      </w:r>
      <w:r w:rsidRPr="00424BD3">
        <w:rPr>
          <w:rFonts w:cs="Arial"/>
          <w:szCs w:val="24"/>
        </w:rPr>
        <w:fldChar w:fldCharType="begin"/>
      </w:r>
      <w:r w:rsidR="00930E40">
        <w:rPr>
          <w:rFonts w:cs="Arial"/>
          <w:szCs w:val="24"/>
        </w:rPr>
        <w:instrText xml:space="preserve"> ADDIN ZOTERO_ITEM CSL_CITATION {"citationID":"WsMKfyFC","properties":{"formattedCitation":"(Cortis, 2012)","plainCitation":"(Cortis, 2012)","noteIndex":0},"citationItems":[{"id":639,"uris":["http://zotero.org/users/4946941/items/T4UVZ7XU"],"itemData":{"id":639,"type":"article-journal","container-title":"International Journal of Social Welfare","DOI":"10.1111/j.1468-2397.2011.00825.x","issue":"4","language":"en","page":"351–360","title":"Overlooked and under</w:instrText>
      </w:r>
      <w:r w:rsidR="00930E40">
        <w:rPr>
          <w:rFonts w:ascii="Cambria Math" w:hAnsi="Cambria Math" w:cs="Cambria Math"/>
          <w:szCs w:val="24"/>
        </w:rPr>
        <w:instrText>‐</w:instrText>
      </w:r>
      <w:r w:rsidR="00930E40">
        <w:rPr>
          <w:rFonts w:cs="Arial"/>
          <w:szCs w:val="24"/>
        </w:rPr>
        <w:instrText>served? Promoting service use and engagement among ‘hard</w:instrText>
      </w:r>
      <w:r w:rsidR="00930E40">
        <w:rPr>
          <w:rFonts w:ascii="Cambria Math" w:hAnsi="Cambria Math" w:cs="Cambria Math"/>
          <w:szCs w:val="24"/>
        </w:rPr>
        <w:instrText>‐</w:instrText>
      </w:r>
      <w:r w:rsidR="00930E40">
        <w:rPr>
          <w:rFonts w:cs="Arial"/>
          <w:szCs w:val="24"/>
        </w:rPr>
        <w:instrText>to</w:instrText>
      </w:r>
      <w:r w:rsidR="00930E40">
        <w:rPr>
          <w:rFonts w:ascii="Cambria Math" w:hAnsi="Cambria Math" w:cs="Cambria Math"/>
          <w:szCs w:val="24"/>
        </w:rPr>
        <w:instrText>‐</w:instrText>
      </w:r>
      <w:r w:rsidR="00930E40">
        <w:rPr>
          <w:rFonts w:cs="Arial"/>
          <w:szCs w:val="24"/>
        </w:rPr>
        <w:instrText xml:space="preserve">reach’ populations","volume":"21","author":[{"family":"Cortis","given":"N."}],"issued":{"date-parts":[["2012"]]}}}],"schema":"https://github.com/citation-style-language/schema/raw/master/csl-citation.json"} </w:instrText>
      </w:r>
      <w:r w:rsidRPr="00424BD3">
        <w:rPr>
          <w:rFonts w:cs="Arial"/>
          <w:szCs w:val="24"/>
        </w:rPr>
        <w:fldChar w:fldCharType="separate"/>
      </w:r>
      <w:r w:rsidRPr="00424BD3">
        <w:rPr>
          <w:rFonts w:cs="Arial"/>
        </w:rPr>
        <w:t>(Cortis, 2012)</w:t>
      </w:r>
      <w:r w:rsidRPr="00424BD3">
        <w:rPr>
          <w:rFonts w:cs="Arial"/>
          <w:szCs w:val="24"/>
        </w:rPr>
        <w:fldChar w:fldCharType="end"/>
      </w:r>
      <w:r w:rsidRPr="00424BD3">
        <w:rPr>
          <w:rFonts w:cs="Arial"/>
          <w:szCs w:val="24"/>
        </w:rPr>
        <w:t>. Women like Kathryn, who had to give up her job to care for her husband, know this well.</w:t>
      </w:r>
    </w:p>
    <w:p w14:paraId="528B3D39" w14:textId="5D084914" w:rsidR="002044E2" w:rsidRDefault="002044E2" w:rsidP="000126EE">
      <w:pPr>
        <w:spacing w:after="0" w:line="480" w:lineRule="auto"/>
        <w:ind w:firstLine="720"/>
        <w:rPr>
          <w:rFonts w:cs="Arial"/>
          <w:szCs w:val="24"/>
        </w:rPr>
      </w:pPr>
      <w:r>
        <w:rPr>
          <w:rFonts w:cs="Arial"/>
          <w:szCs w:val="24"/>
        </w:rPr>
        <w:t>T</w:t>
      </w:r>
      <w:r w:rsidR="008844E4" w:rsidRPr="00424BD3">
        <w:rPr>
          <w:rFonts w:cs="Arial"/>
          <w:szCs w:val="24"/>
        </w:rPr>
        <w:t xml:space="preserve">hose policies and acts that allow for states to decide how to spend allocated funds and in which services will be invested, older women are forced into an unwelcome </w:t>
      </w:r>
      <w:r w:rsidR="008844E4" w:rsidRPr="00424BD3">
        <w:rPr>
          <w:rFonts w:cs="Arial"/>
          <w:szCs w:val="24"/>
        </w:rPr>
        <w:lastRenderedPageBreak/>
        <w:t>game of ‘place roulette’. This means that they must make decisions about</w:t>
      </w:r>
      <w:r>
        <w:rPr>
          <w:rFonts w:cs="Arial"/>
          <w:szCs w:val="24"/>
        </w:rPr>
        <w:t xml:space="preserve"> in</w:t>
      </w:r>
      <w:r w:rsidR="008844E4" w:rsidRPr="00424BD3">
        <w:rPr>
          <w:rFonts w:cs="Arial"/>
          <w:szCs w:val="24"/>
        </w:rPr>
        <w:t xml:space="preserve"> which state to live based upon the services they may receive. Of course, many older women, like the women in this study, have no such liberty, being financially unable to relocate to states that invest more heavily in services for older people. </w:t>
      </w:r>
    </w:p>
    <w:p w14:paraId="157E9B05" w14:textId="616CF3B8" w:rsidR="00F83282" w:rsidRPr="00424BD3" w:rsidRDefault="008844E4" w:rsidP="00984E38">
      <w:pPr>
        <w:spacing w:after="0" w:line="480" w:lineRule="auto"/>
        <w:ind w:firstLine="720"/>
        <w:rPr>
          <w:rFonts w:cs="Arial"/>
          <w:szCs w:val="24"/>
        </w:rPr>
      </w:pPr>
      <w:r w:rsidRPr="00424BD3">
        <w:rPr>
          <w:rFonts w:cs="Arial"/>
          <w:szCs w:val="24"/>
        </w:rPr>
        <w:t xml:space="preserve">The issue of silences was addressed in this study </w:t>
      </w:r>
      <w:r w:rsidR="00780C97">
        <w:rPr>
          <w:rFonts w:cs="Arial"/>
          <w:szCs w:val="24"/>
        </w:rPr>
        <w:t>by</w:t>
      </w:r>
      <w:r w:rsidR="00780C97" w:rsidRPr="00424BD3">
        <w:rPr>
          <w:rFonts w:cs="Arial"/>
          <w:szCs w:val="24"/>
        </w:rPr>
        <w:t xml:space="preserve"> </w:t>
      </w:r>
      <w:r w:rsidRPr="00424BD3">
        <w:rPr>
          <w:rFonts w:cs="Arial"/>
          <w:szCs w:val="24"/>
        </w:rPr>
        <w:t xml:space="preserve">examining the role of social norming and health narratives, particularly stigmatization and discrimination around ageism, sexism, and health marginalization of older women, and resultant older women’s internalization of health norms. There were a lot of silences in the women’s responses to the interview questions in this study. By looking at the women’s familial and peer attitudes and beliefs around health and mortality, patterns began to emerge of temporal and cultural health norms </w:t>
      </w:r>
      <w:r w:rsidR="00780C97">
        <w:rPr>
          <w:rFonts w:cs="Arial"/>
          <w:szCs w:val="24"/>
        </w:rPr>
        <w:t>that</w:t>
      </w:r>
      <w:r w:rsidRPr="00424BD3">
        <w:rPr>
          <w:rFonts w:cs="Arial"/>
          <w:szCs w:val="24"/>
        </w:rPr>
        <w:t xml:space="preserve"> the women</w:t>
      </w:r>
      <w:r w:rsidR="00780C97">
        <w:rPr>
          <w:rFonts w:cs="Arial"/>
          <w:szCs w:val="24"/>
        </w:rPr>
        <w:t xml:space="preserve"> may have</w:t>
      </w:r>
      <w:r w:rsidRPr="00424BD3">
        <w:rPr>
          <w:rFonts w:cs="Arial"/>
          <w:szCs w:val="24"/>
        </w:rPr>
        <w:t xml:space="preserve"> internalized. Some were aware of this internalization at various topic points in their interviews, though most were not aware for most of the topic points. Their answers and silences confirmed internalized norms consistent with </w:t>
      </w:r>
      <w:r w:rsidR="00130A90" w:rsidRPr="00424BD3">
        <w:rPr>
          <w:rFonts w:cs="Arial"/>
          <w:szCs w:val="24"/>
        </w:rPr>
        <w:t xml:space="preserve">this study’s </w:t>
      </w:r>
      <w:r w:rsidRPr="00424BD3">
        <w:rPr>
          <w:rFonts w:cs="Arial"/>
          <w:szCs w:val="24"/>
        </w:rPr>
        <w:t>arguments on the intensely conservative, neoliberal geopolitical environment in East Tennessee, as well as familial and cultural norms.</w:t>
      </w:r>
      <w:r w:rsidR="00455EBD" w:rsidRPr="00424BD3">
        <w:rPr>
          <w:rFonts w:cs="Arial"/>
          <w:szCs w:val="24"/>
        </w:rPr>
        <w:t xml:space="preserve"> </w:t>
      </w:r>
      <w:r w:rsidRPr="00424BD3">
        <w:rPr>
          <w:rFonts w:cs="Arial"/>
          <w:szCs w:val="24"/>
        </w:rPr>
        <w:t xml:space="preserve">These patterns could not have been determined, </w:t>
      </w:r>
      <w:r w:rsidR="004678D8" w:rsidRPr="00424BD3">
        <w:rPr>
          <w:rFonts w:cs="Arial"/>
          <w:szCs w:val="24"/>
        </w:rPr>
        <w:t>it may be said</w:t>
      </w:r>
      <w:r w:rsidRPr="00424BD3">
        <w:rPr>
          <w:rFonts w:cs="Arial"/>
          <w:szCs w:val="24"/>
        </w:rPr>
        <w:t xml:space="preserve">, without the in-depth examination of familial health and mortality attitudes and belief histories. Family health risk histories are simply not enough to get at the heart of why older women are experiencing the health inequities they face. </w:t>
      </w:r>
      <w:r w:rsidR="004A1317" w:rsidRPr="00424BD3">
        <w:rPr>
          <w:rFonts w:cs="Arial"/>
          <w:szCs w:val="24"/>
        </w:rPr>
        <w:t>T</w:t>
      </w:r>
      <w:r w:rsidRPr="00424BD3">
        <w:rPr>
          <w:rFonts w:cs="Arial"/>
          <w:szCs w:val="24"/>
        </w:rPr>
        <w:t>he normed environment they have grown up in and live in currently</w:t>
      </w:r>
      <w:r w:rsidR="004A1317" w:rsidRPr="00424BD3">
        <w:rPr>
          <w:rFonts w:cs="Arial"/>
          <w:szCs w:val="24"/>
        </w:rPr>
        <w:t xml:space="preserve"> must be examined</w:t>
      </w:r>
      <w:r w:rsidRPr="00424BD3">
        <w:rPr>
          <w:rFonts w:cs="Arial"/>
          <w:szCs w:val="24"/>
        </w:rPr>
        <w:t xml:space="preserve">, given the continued (and, in Tennessee, worsening) stigma women and older women face in the United States. </w:t>
      </w:r>
    </w:p>
    <w:p w14:paraId="2CB37736" w14:textId="545C91C1" w:rsidR="00A92E88" w:rsidRPr="00424BD3" w:rsidRDefault="001A5588" w:rsidP="00984E38">
      <w:pPr>
        <w:spacing w:after="0" w:line="480" w:lineRule="auto"/>
        <w:ind w:firstLine="720"/>
        <w:rPr>
          <w:rFonts w:cs="Arial"/>
          <w:szCs w:val="24"/>
        </w:rPr>
      </w:pPr>
      <w:r w:rsidRPr="00424BD3">
        <w:rPr>
          <w:rFonts w:cs="Arial"/>
          <w:szCs w:val="24"/>
        </w:rPr>
        <w:t xml:space="preserve">The silences undertaken by the women in this study </w:t>
      </w:r>
      <w:r w:rsidR="00BA1CAD" w:rsidRPr="00424BD3">
        <w:rPr>
          <w:rFonts w:cs="Arial"/>
          <w:szCs w:val="24"/>
        </w:rPr>
        <w:t xml:space="preserve">demonstrate the underpinnings of </w:t>
      </w:r>
      <w:r w:rsidR="00D974A6" w:rsidRPr="00424BD3">
        <w:rPr>
          <w:rFonts w:cs="Arial"/>
          <w:szCs w:val="24"/>
        </w:rPr>
        <w:t xml:space="preserve">the </w:t>
      </w:r>
      <w:r w:rsidR="00EF3CBE" w:rsidRPr="00424BD3">
        <w:rPr>
          <w:rFonts w:cs="Arial"/>
          <w:szCs w:val="24"/>
        </w:rPr>
        <w:t>silences framework</w:t>
      </w:r>
      <w:r w:rsidR="00D974A6" w:rsidRPr="00424BD3">
        <w:rPr>
          <w:rFonts w:cs="Arial"/>
          <w:szCs w:val="24"/>
        </w:rPr>
        <w:t xml:space="preserve"> </w:t>
      </w:r>
      <w:r w:rsidR="00E42032" w:rsidRPr="00424BD3">
        <w:rPr>
          <w:rFonts w:cs="Arial"/>
          <w:szCs w:val="24"/>
        </w:rPr>
        <w:fldChar w:fldCharType="begin"/>
      </w:r>
      <w:r w:rsidR="00990F3A">
        <w:rPr>
          <w:rFonts w:cs="Arial"/>
          <w:szCs w:val="24"/>
        </w:rPr>
        <w:instrText xml:space="preserve"> ADDIN ZOTERO_ITEM CSL_CITATION {"citationID":"Y6Qlwj4Q","properties":{"formattedCitation":"(Janes et al., 2019; Serrant-Green, 2011)","plainCitation":"(Janes et al., 2019; Serrant-Green, 2011)","noteIndex":0},"citationItems":[{"id":1446,"uris":["http://zotero.org/users/4946941/items/S633GCEN"],"itemData":{"id":1446,"type":"article-journal","abstract":"©2018 RCN Publishing Company Ltd. All rights reserved. Not to be copied, transmitted or recorded in any way, in whole or part, without prior permission of the publishers. BACKGROUND: The Silences Framework ( Serrant-Green 2011 ) originated from research exploring ethnicity, gender and sexual health decision-making, and provides a useful tool for researching underrepresented groups and topics. AIM: To present the lessons learned from the application of the Silences Framework in the context of a qualitative study exploring the experiences of people under the age of 60 recovering from a fragility hip fracture. DISCUSSION: The authors explore current conceptions of marginalisation in healthcare with reference to nursing research and provide practical tips for others interested in applying and further testing the framework. CONCLUSION: The framework is likely to be attractive to nurses as it is underpinned by core nursing values, such as advocacy-based action. It places participant and public voices at the centre of the research and resembles the familiar nursing process. The structure and flexibility it offers also makes it relevant for new and experienced researchers in a variety of contexts. IMPLICATIONS FOR PRACTICE: Critical analysis of the initial application of the Silences Framework in a different setting to the one in which it was developed indicates it offers a beneficial addition to the research toolkit. Its limited use to date means its relevance for nursing and potential for further development have not yet been fully established. It should be tested more widely and in other contexts.","container-title":"Nurse Researcher","ISSN":"1351-5578","issue":"2","language":"en","note":"number: 2\npublisher: RCN Publishing","page":"32-36","source":"e-space.mmu.ac.uk","title":"Screaming silences: lessons from the application of a new research framework","title-short":"Screaming silences","volume":"26","author":[{"family":"Janes","given":"G."},{"family":"Serrant","given":"L."},{"family":"Sque","given":"M."}],"issued":{"date-parts":[["2019",9,17]]}}},{"id":1444,"uris":["http://zotero.org/users/4946941/items/QKYQ9SU4"],"itemData":{"id":1444,"type":"article-journal","abstract":"This paper arises from the conceptual framework underpinning a research study focusing on black Caribbean men’s sexual decisions and health behaviour. In investigating these issues the notion of ‘screaming silences’ was developed to unite the theoretical and philosophical approaches that underpinned the research, the experiences of the researcher and participants involved. While ‘screaming silences’ was initially applied to a sexual health and ethnicity context it provides a useful basis for a theoretical framework for researching sensitive issues or the health care needs of marginalised populations. ‘Screaming silences’ (or ‘silences’) define areas of research and experience which are little researched, understood or silenced. ‘Silences’ reflect the unsaid or unshared aspects of how beliefs, values and experiences of (or about) some groups affect their health and life chances. They exposed issues which shape, influence and inform both individual and group understandings of health and health behaviour. This paper presents the notion of ‘screaming silences’ with reference to the original study and maps out a four-stage framework for its utilisation in ethnicities based and sensitive research. It is presented here for use by other researchers as a vehicle for exposing additional perspectives in studies involving sensitive subjects or marginalised populations.","container-title":"Journal of Research in Nursing","DOI":"10.1177/1744987110387741","ISSN":"1744-9871","issue":"4","journalAbbreviation":"Journal of Research in Nursing","language":"en","note":"publisher: SAGE Publications Ltd","page":"347-360","source":"SAGE Journals","title":"The sound of ‘silence’: a framework for researching sensitive issues or marginalised perspectives in health","title-short":"The sound of ‘silence’","volume":"16","author":[{"family":"Serrant-Green","given":"Laura"}],"issued":{"date-parts":[["2011",7,1]]}}}],"schema":"https://github.com/citation-style-language/schema/raw/master/csl-citation.json"} </w:instrText>
      </w:r>
      <w:r w:rsidR="00E42032" w:rsidRPr="00424BD3">
        <w:rPr>
          <w:rFonts w:cs="Arial"/>
          <w:szCs w:val="24"/>
        </w:rPr>
        <w:fldChar w:fldCharType="separate"/>
      </w:r>
      <w:r w:rsidR="00A5585C" w:rsidRPr="00424BD3">
        <w:rPr>
          <w:rFonts w:cs="Arial"/>
        </w:rPr>
        <w:t>(Janes et al., 2019; Serrant-Green, 2011)</w:t>
      </w:r>
      <w:r w:rsidR="00E42032" w:rsidRPr="00424BD3">
        <w:rPr>
          <w:rFonts w:cs="Arial"/>
          <w:szCs w:val="24"/>
        </w:rPr>
        <w:fldChar w:fldCharType="end"/>
      </w:r>
      <w:r w:rsidR="00E03A81" w:rsidRPr="00424BD3">
        <w:rPr>
          <w:rFonts w:cs="Arial"/>
          <w:szCs w:val="24"/>
        </w:rPr>
        <w:t>.</w:t>
      </w:r>
      <w:r w:rsidR="00387426" w:rsidRPr="00424BD3">
        <w:rPr>
          <w:rFonts w:cs="Arial"/>
          <w:szCs w:val="24"/>
        </w:rPr>
        <w:t xml:space="preserve"> </w:t>
      </w:r>
      <w:r w:rsidR="006D19E9">
        <w:rPr>
          <w:rFonts w:cs="Arial"/>
          <w:szCs w:val="24"/>
        </w:rPr>
        <w:t>T</w:t>
      </w:r>
      <w:r w:rsidR="00B5021D" w:rsidRPr="00424BD3">
        <w:rPr>
          <w:rFonts w:cs="Arial"/>
          <w:szCs w:val="24"/>
        </w:rPr>
        <w:t xml:space="preserve">his </w:t>
      </w:r>
      <w:r w:rsidR="00B5021D" w:rsidRPr="00424BD3">
        <w:rPr>
          <w:rFonts w:cs="Arial"/>
          <w:szCs w:val="24"/>
        </w:rPr>
        <w:lastRenderedPageBreak/>
        <w:t xml:space="preserve">study has confirmed </w:t>
      </w:r>
      <w:r w:rsidR="006D19E9">
        <w:rPr>
          <w:rFonts w:cs="Arial"/>
          <w:szCs w:val="24"/>
        </w:rPr>
        <w:t xml:space="preserve">that </w:t>
      </w:r>
      <w:r w:rsidR="00780C97">
        <w:rPr>
          <w:rFonts w:cs="Arial"/>
          <w:szCs w:val="24"/>
        </w:rPr>
        <w:t>the women</w:t>
      </w:r>
      <w:r w:rsidR="00F83282" w:rsidRPr="00424BD3">
        <w:rPr>
          <w:rFonts w:cs="Arial"/>
          <w:szCs w:val="24"/>
        </w:rPr>
        <w:t xml:space="preserve"> </w:t>
      </w:r>
      <w:r w:rsidR="00B5021D" w:rsidRPr="00424BD3">
        <w:rPr>
          <w:rFonts w:cs="Arial"/>
          <w:szCs w:val="24"/>
        </w:rPr>
        <w:t>not only</w:t>
      </w:r>
      <w:r w:rsidR="006F5522" w:rsidRPr="00424BD3">
        <w:rPr>
          <w:rFonts w:cs="Arial"/>
          <w:szCs w:val="24"/>
        </w:rPr>
        <w:t xml:space="preserve"> internalize</w:t>
      </w:r>
      <w:r w:rsidR="006D19E9">
        <w:rPr>
          <w:rFonts w:cs="Arial"/>
          <w:szCs w:val="24"/>
        </w:rPr>
        <w:t>d</w:t>
      </w:r>
      <w:r w:rsidR="006F5522" w:rsidRPr="00424BD3">
        <w:rPr>
          <w:rFonts w:cs="Arial"/>
          <w:szCs w:val="24"/>
        </w:rPr>
        <w:t xml:space="preserve"> norms </w:t>
      </w:r>
      <w:r w:rsidR="00387426" w:rsidRPr="00424BD3">
        <w:rPr>
          <w:rFonts w:cs="Arial"/>
          <w:szCs w:val="24"/>
        </w:rPr>
        <w:t>wh</w:t>
      </w:r>
      <w:r w:rsidR="00532BB6" w:rsidRPr="00424BD3">
        <w:rPr>
          <w:rFonts w:cs="Arial"/>
          <w:szCs w:val="24"/>
        </w:rPr>
        <w:t>ich exacerbate the health inequities the</w:t>
      </w:r>
      <w:r w:rsidR="00F83282" w:rsidRPr="00424BD3">
        <w:rPr>
          <w:rFonts w:cs="Arial"/>
          <w:szCs w:val="24"/>
        </w:rPr>
        <w:t>y</w:t>
      </w:r>
      <w:r w:rsidR="00532BB6" w:rsidRPr="00424BD3">
        <w:rPr>
          <w:rFonts w:cs="Arial"/>
          <w:szCs w:val="24"/>
        </w:rPr>
        <w:t xml:space="preserve"> </w:t>
      </w:r>
      <w:r w:rsidR="00210EAD" w:rsidRPr="00424BD3">
        <w:rPr>
          <w:rFonts w:cs="Arial"/>
          <w:szCs w:val="24"/>
        </w:rPr>
        <w:t>face but</w:t>
      </w:r>
      <w:r w:rsidR="006F5522" w:rsidRPr="00424BD3">
        <w:rPr>
          <w:rFonts w:cs="Arial"/>
          <w:szCs w:val="24"/>
        </w:rPr>
        <w:t xml:space="preserve"> </w:t>
      </w:r>
      <w:r w:rsidR="006D19E9">
        <w:rPr>
          <w:rFonts w:cs="Arial"/>
          <w:szCs w:val="24"/>
        </w:rPr>
        <w:t xml:space="preserve">these women have been and </w:t>
      </w:r>
      <w:r w:rsidR="00CB5B4F" w:rsidRPr="00424BD3">
        <w:rPr>
          <w:rFonts w:cs="Arial"/>
          <w:szCs w:val="24"/>
        </w:rPr>
        <w:t xml:space="preserve">are the subject </w:t>
      </w:r>
      <w:r w:rsidR="00532BB6" w:rsidRPr="00424BD3">
        <w:rPr>
          <w:rFonts w:cs="Arial"/>
          <w:szCs w:val="24"/>
        </w:rPr>
        <w:t xml:space="preserve">themselves of </w:t>
      </w:r>
      <w:r w:rsidR="00102390" w:rsidRPr="00424BD3">
        <w:rPr>
          <w:rFonts w:cs="Arial"/>
          <w:szCs w:val="24"/>
        </w:rPr>
        <w:t xml:space="preserve">stigmatizing </w:t>
      </w:r>
      <w:r w:rsidR="00CB5B4F" w:rsidRPr="00424BD3">
        <w:rPr>
          <w:rFonts w:cs="Arial"/>
          <w:szCs w:val="24"/>
        </w:rPr>
        <w:t xml:space="preserve">social </w:t>
      </w:r>
      <w:r w:rsidR="00816106" w:rsidRPr="00424BD3">
        <w:rPr>
          <w:rFonts w:cs="Arial"/>
          <w:szCs w:val="24"/>
        </w:rPr>
        <w:t>norms.</w:t>
      </w:r>
      <w:r w:rsidR="00D40CF0" w:rsidRPr="00424BD3">
        <w:rPr>
          <w:rFonts w:cs="Arial"/>
          <w:szCs w:val="24"/>
        </w:rPr>
        <w:t xml:space="preserve"> </w:t>
      </w:r>
      <w:r w:rsidR="0096233B" w:rsidRPr="00424BD3">
        <w:rPr>
          <w:rFonts w:cs="Arial"/>
          <w:szCs w:val="24"/>
        </w:rPr>
        <w:t xml:space="preserve">A major aim of this study is to </w:t>
      </w:r>
      <w:r w:rsidR="00460154" w:rsidRPr="00424BD3">
        <w:rPr>
          <w:rFonts w:cs="Arial"/>
          <w:szCs w:val="24"/>
        </w:rPr>
        <w:t>share</w:t>
      </w:r>
      <w:r w:rsidR="00B379BC" w:rsidRPr="00424BD3">
        <w:rPr>
          <w:rFonts w:cs="Arial"/>
          <w:szCs w:val="24"/>
        </w:rPr>
        <w:t xml:space="preserve"> the perceptions </w:t>
      </w:r>
      <w:r w:rsidR="00460154" w:rsidRPr="00424BD3">
        <w:rPr>
          <w:rFonts w:cs="Arial"/>
          <w:szCs w:val="24"/>
        </w:rPr>
        <w:t xml:space="preserve">of this marginalized and silenced group (older women) </w:t>
      </w:r>
      <w:r w:rsidR="00F575C7" w:rsidRPr="00424BD3">
        <w:rPr>
          <w:rFonts w:cs="Arial"/>
          <w:szCs w:val="24"/>
        </w:rPr>
        <w:t xml:space="preserve">and how their perceptions and experiences of health inequities </w:t>
      </w:r>
      <w:r w:rsidR="00F46E49" w:rsidRPr="00424BD3">
        <w:rPr>
          <w:rFonts w:cs="Arial"/>
          <w:szCs w:val="24"/>
        </w:rPr>
        <w:t xml:space="preserve">are characterized by the norms in which they live. </w:t>
      </w:r>
      <w:r w:rsidR="00F75DBE" w:rsidRPr="00424BD3">
        <w:rPr>
          <w:rFonts w:cs="Arial"/>
          <w:szCs w:val="24"/>
        </w:rPr>
        <w:t xml:space="preserve">Therefore, examining the silences </w:t>
      </w:r>
      <w:r w:rsidR="00E94768" w:rsidRPr="00424BD3">
        <w:rPr>
          <w:rFonts w:cs="Arial"/>
          <w:szCs w:val="24"/>
        </w:rPr>
        <w:t xml:space="preserve">of the women in this study </w:t>
      </w:r>
      <w:r w:rsidR="00F75DBE" w:rsidRPr="00424BD3">
        <w:rPr>
          <w:rFonts w:cs="Arial"/>
          <w:szCs w:val="24"/>
        </w:rPr>
        <w:t>is</w:t>
      </w:r>
      <w:r w:rsidR="00BF4A7B" w:rsidRPr="00424BD3">
        <w:rPr>
          <w:rFonts w:cs="Arial"/>
          <w:szCs w:val="24"/>
        </w:rPr>
        <w:t xml:space="preserve"> as equally imperative as examining their vocalized responses</w:t>
      </w:r>
      <w:r w:rsidR="00E429E8" w:rsidRPr="00424BD3">
        <w:rPr>
          <w:rFonts w:cs="Arial"/>
          <w:szCs w:val="24"/>
        </w:rPr>
        <w:t>.</w:t>
      </w:r>
    </w:p>
    <w:p w14:paraId="19AC2530" w14:textId="42C3ECA4" w:rsidR="00CD4F0C" w:rsidRPr="00424BD3" w:rsidRDefault="00CD4F0C" w:rsidP="00984E38">
      <w:pPr>
        <w:pStyle w:val="Heading2"/>
        <w:spacing w:before="0" w:line="480" w:lineRule="auto"/>
        <w:jc w:val="center"/>
        <w:rPr>
          <w:rFonts w:ascii="Arial" w:hAnsi="Arial" w:cs="Arial"/>
          <w:color w:val="auto"/>
          <w:sz w:val="24"/>
          <w:szCs w:val="24"/>
        </w:rPr>
      </w:pPr>
      <w:bookmarkStart w:id="105" w:name="_Toc118232371"/>
      <w:r w:rsidRPr="00424BD3">
        <w:rPr>
          <w:rFonts w:ascii="Arial" w:hAnsi="Arial" w:cs="Arial"/>
          <w:b/>
          <w:bCs/>
          <w:color w:val="auto"/>
          <w:sz w:val="24"/>
          <w:szCs w:val="24"/>
        </w:rPr>
        <w:t>Participant Recommendations</w:t>
      </w:r>
      <w:r w:rsidR="00236E9E" w:rsidRPr="00424BD3">
        <w:rPr>
          <w:rFonts w:ascii="Arial" w:hAnsi="Arial" w:cs="Arial"/>
          <w:b/>
          <w:bCs/>
          <w:color w:val="auto"/>
          <w:sz w:val="24"/>
          <w:szCs w:val="24"/>
        </w:rPr>
        <w:t xml:space="preserve"> to Policy and Decision Makers</w:t>
      </w:r>
      <w:bookmarkEnd w:id="105"/>
    </w:p>
    <w:p w14:paraId="4280FC24" w14:textId="1B7788B0" w:rsidR="005732CA" w:rsidRPr="00424BD3" w:rsidRDefault="00FF5DC3" w:rsidP="00984E38">
      <w:pPr>
        <w:spacing w:after="0" w:line="480" w:lineRule="auto"/>
        <w:ind w:firstLine="720"/>
        <w:rPr>
          <w:rFonts w:cs="Arial"/>
          <w:szCs w:val="24"/>
        </w:rPr>
      </w:pPr>
      <w:r w:rsidRPr="00424BD3">
        <w:rPr>
          <w:rFonts w:cs="Arial"/>
          <w:szCs w:val="24"/>
        </w:rPr>
        <w:t xml:space="preserve">Another major aim of this study </w:t>
      </w:r>
      <w:r w:rsidR="00E87DC9" w:rsidRPr="00424BD3">
        <w:rPr>
          <w:rFonts w:cs="Arial"/>
          <w:szCs w:val="24"/>
        </w:rPr>
        <w:t xml:space="preserve">is to </w:t>
      </w:r>
      <w:r w:rsidR="001642A1">
        <w:rPr>
          <w:rFonts w:cs="Arial"/>
          <w:szCs w:val="24"/>
        </w:rPr>
        <w:t xml:space="preserve">examine </w:t>
      </w:r>
      <w:r w:rsidR="00BD6CBF" w:rsidRPr="00424BD3">
        <w:rPr>
          <w:rFonts w:cs="Arial"/>
          <w:szCs w:val="24"/>
        </w:rPr>
        <w:t xml:space="preserve">the women’s </w:t>
      </w:r>
      <w:r w:rsidR="007A77BC" w:rsidRPr="00424BD3">
        <w:rPr>
          <w:rFonts w:cs="Arial"/>
          <w:szCs w:val="24"/>
        </w:rPr>
        <w:t>recommendations</w:t>
      </w:r>
      <w:r w:rsidR="001642A1">
        <w:rPr>
          <w:rFonts w:cs="Arial"/>
          <w:szCs w:val="24"/>
        </w:rPr>
        <w:t xml:space="preserve"> as </w:t>
      </w:r>
      <w:r w:rsidR="007A77BC" w:rsidRPr="00424BD3">
        <w:rPr>
          <w:rFonts w:cs="Arial"/>
          <w:szCs w:val="24"/>
        </w:rPr>
        <w:t xml:space="preserve">answered to </w:t>
      </w:r>
      <w:r w:rsidR="00A86597" w:rsidRPr="00424BD3">
        <w:rPr>
          <w:rFonts w:cs="Arial"/>
          <w:szCs w:val="24"/>
        </w:rPr>
        <w:t xml:space="preserve">the </w:t>
      </w:r>
      <w:r w:rsidR="007A77BC" w:rsidRPr="00424BD3">
        <w:rPr>
          <w:rFonts w:cs="Arial"/>
          <w:szCs w:val="24"/>
        </w:rPr>
        <w:t>question about what they would like policy and decision-makers to know about their health needs and wants</w:t>
      </w:r>
      <w:r w:rsidR="0034282C" w:rsidRPr="00424BD3">
        <w:rPr>
          <w:rFonts w:cs="Arial"/>
          <w:szCs w:val="24"/>
        </w:rPr>
        <w:t>.</w:t>
      </w:r>
      <w:r w:rsidR="00423848" w:rsidRPr="00424BD3">
        <w:rPr>
          <w:rFonts w:cs="Arial"/>
          <w:szCs w:val="24"/>
        </w:rPr>
        <w:t xml:space="preserve"> T</w:t>
      </w:r>
      <w:r w:rsidR="005732CA" w:rsidRPr="00424BD3">
        <w:rPr>
          <w:rFonts w:cs="Arial"/>
          <w:szCs w:val="24"/>
        </w:rPr>
        <w:t xml:space="preserve">he overwhelming themes were for decision-makers at all levels to approach older women with respect and dignity, particularly in relation to discriminatory and dismissive attitudes (sexism, ageism, ableism); and a willingness to </w:t>
      </w:r>
      <w:r w:rsidR="00816106" w:rsidRPr="00424BD3">
        <w:rPr>
          <w:rFonts w:cs="Arial"/>
          <w:szCs w:val="24"/>
        </w:rPr>
        <w:t>truly listen</w:t>
      </w:r>
      <w:r w:rsidR="005732CA" w:rsidRPr="00424BD3">
        <w:rPr>
          <w:rFonts w:cs="Arial"/>
          <w:szCs w:val="24"/>
        </w:rPr>
        <w:t xml:space="preserve"> to more fully and frequently engage with them, and to create trust-building partnerships. Table </w:t>
      </w:r>
      <w:r w:rsidR="001B2458" w:rsidRPr="00424BD3">
        <w:rPr>
          <w:rFonts w:cs="Arial"/>
          <w:szCs w:val="24"/>
        </w:rPr>
        <w:t>6</w:t>
      </w:r>
      <w:r w:rsidR="005732CA" w:rsidRPr="00424BD3">
        <w:rPr>
          <w:rFonts w:cs="Arial"/>
          <w:szCs w:val="24"/>
        </w:rPr>
        <w:t xml:space="preserve"> in Appendix 1 provides an in-depth breakdown of the women’s specific recommendations.</w:t>
      </w:r>
    </w:p>
    <w:p w14:paraId="4B104FA2" w14:textId="3BBC2089" w:rsidR="00E46B1E" w:rsidRPr="00424BD3" w:rsidRDefault="005732CA" w:rsidP="00336836">
      <w:pPr>
        <w:spacing w:after="0" w:line="480" w:lineRule="auto"/>
        <w:ind w:firstLine="720"/>
        <w:rPr>
          <w:rFonts w:cs="Arial"/>
          <w:szCs w:val="24"/>
        </w:rPr>
      </w:pPr>
      <w:r w:rsidRPr="00424BD3">
        <w:rPr>
          <w:rFonts w:cs="Arial"/>
          <w:szCs w:val="24"/>
        </w:rPr>
        <w:t>The women also identified recommendations</w:t>
      </w:r>
      <w:r w:rsidRPr="00424BD3">
        <w:rPr>
          <w:rFonts w:cs="Arial"/>
          <w:b/>
          <w:bCs/>
          <w:szCs w:val="24"/>
        </w:rPr>
        <w:t xml:space="preserve"> </w:t>
      </w:r>
      <w:r w:rsidRPr="00424BD3">
        <w:rPr>
          <w:rFonts w:cs="Arial"/>
          <w:szCs w:val="24"/>
        </w:rPr>
        <w:t xml:space="preserve">for a wide range of specific policy areas mainly based on their own personal experiences and needs. These included: </w:t>
      </w:r>
    </w:p>
    <w:p w14:paraId="19E39BBB" w14:textId="0EE7023A" w:rsidR="005732CA" w:rsidRPr="00424BD3" w:rsidRDefault="008E33AE" w:rsidP="00A17D5D">
      <w:pPr>
        <w:pStyle w:val="Heading3"/>
        <w:spacing w:before="0" w:line="480" w:lineRule="auto"/>
        <w:rPr>
          <w:rFonts w:ascii="Arial" w:hAnsi="Arial" w:cs="Arial"/>
          <w:b/>
          <w:bCs/>
          <w:i/>
          <w:iCs/>
          <w:color w:val="auto"/>
        </w:rPr>
      </w:pPr>
      <w:bookmarkStart w:id="106" w:name="_Toc118232372"/>
      <w:r w:rsidRPr="00424BD3">
        <w:rPr>
          <w:rFonts w:ascii="Arial" w:hAnsi="Arial" w:cs="Arial"/>
          <w:b/>
          <w:bCs/>
          <w:i/>
          <w:iCs/>
          <w:color w:val="auto"/>
        </w:rPr>
        <w:t>Equitable</w:t>
      </w:r>
      <w:r w:rsidR="005732CA" w:rsidRPr="00424BD3">
        <w:rPr>
          <w:rFonts w:ascii="Arial" w:hAnsi="Arial" w:cs="Arial"/>
          <w:b/>
          <w:bCs/>
          <w:i/>
          <w:iCs/>
          <w:color w:val="auto"/>
        </w:rPr>
        <w:t xml:space="preserve"> </w:t>
      </w:r>
      <w:r w:rsidR="00B3580B" w:rsidRPr="00424BD3">
        <w:rPr>
          <w:rFonts w:ascii="Arial" w:hAnsi="Arial" w:cs="Arial"/>
          <w:b/>
          <w:bCs/>
          <w:i/>
          <w:iCs/>
          <w:color w:val="auto"/>
        </w:rPr>
        <w:t>T</w:t>
      </w:r>
      <w:r w:rsidR="005732CA" w:rsidRPr="00424BD3">
        <w:rPr>
          <w:rFonts w:ascii="Arial" w:hAnsi="Arial" w:cs="Arial"/>
          <w:b/>
          <w:bCs/>
          <w:i/>
          <w:iCs/>
          <w:color w:val="auto"/>
        </w:rPr>
        <w:t xml:space="preserve">reatment in </w:t>
      </w:r>
      <w:r w:rsidR="00B3580B" w:rsidRPr="00424BD3">
        <w:rPr>
          <w:rFonts w:ascii="Arial" w:hAnsi="Arial" w:cs="Arial"/>
          <w:b/>
          <w:bCs/>
          <w:i/>
          <w:iCs/>
          <w:color w:val="auto"/>
        </w:rPr>
        <w:t>P</w:t>
      </w:r>
      <w:r w:rsidR="005732CA" w:rsidRPr="00424BD3">
        <w:rPr>
          <w:rFonts w:ascii="Arial" w:hAnsi="Arial" w:cs="Arial"/>
          <w:b/>
          <w:bCs/>
          <w:i/>
          <w:iCs/>
          <w:color w:val="auto"/>
        </w:rPr>
        <w:t xml:space="preserve">olicymaking, </w:t>
      </w:r>
      <w:r w:rsidR="00B3580B" w:rsidRPr="00424BD3">
        <w:rPr>
          <w:rFonts w:ascii="Arial" w:hAnsi="Arial" w:cs="Arial"/>
          <w:b/>
          <w:bCs/>
          <w:i/>
          <w:iCs/>
          <w:color w:val="auto"/>
        </w:rPr>
        <w:t>C</w:t>
      </w:r>
      <w:r w:rsidR="005732CA" w:rsidRPr="00424BD3">
        <w:rPr>
          <w:rFonts w:ascii="Arial" w:hAnsi="Arial" w:cs="Arial"/>
          <w:b/>
          <w:bCs/>
          <w:i/>
          <w:iCs/>
          <w:color w:val="auto"/>
        </w:rPr>
        <w:t xml:space="preserve">linical </w:t>
      </w:r>
      <w:r w:rsidR="00B3580B" w:rsidRPr="00424BD3">
        <w:rPr>
          <w:rFonts w:ascii="Arial" w:hAnsi="Arial" w:cs="Arial"/>
          <w:b/>
          <w:bCs/>
          <w:i/>
          <w:iCs/>
          <w:color w:val="auto"/>
        </w:rPr>
        <w:t>C</w:t>
      </w:r>
      <w:r w:rsidR="005732CA" w:rsidRPr="00424BD3">
        <w:rPr>
          <w:rFonts w:ascii="Arial" w:hAnsi="Arial" w:cs="Arial"/>
          <w:b/>
          <w:bCs/>
          <w:i/>
          <w:iCs/>
          <w:color w:val="auto"/>
        </w:rPr>
        <w:t xml:space="preserve">are, and </w:t>
      </w:r>
      <w:r w:rsidR="00B3580B" w:rsidRPr="00424BD3">
        <w:rPr>
          <w:rFonts w:ascii="Arial" w:hAnsi="Arial" w:cs="Arial"/>
          <w:b/>
          <w:bCs/>
          <w:i/>
          <w:iCs/>
          <w:color w:val="auto"/>
        </w:rPr>
        <w:t>In</w:t>
      </w:r>
      <w:r w:rsidR="005732CA" w:rsidRPr="00424BD3">
        <w:rPr>
          <w:rFonts w:ascii="Arial" w:hAnsi="Arial" w:cs="Arial"/>
          <w:b/>
          <w:bCs/>
          <w:i/>
          <w:iCs/>
          <w:color w:val="auto"/>
        </w:rPr>
        <w:t xml:space="preserve">surance </w:t>
      </w:r>
      <w:r w:rsidR="00B3580B" w:rsidRPr="00424BD3">
        <w:rPr>
          <w:rFonts w:ascii="Arial" w:hAnsi="Arial" w:cs="Arial"/>
          <w:b/>
          <w:bCs/>
          <w:i/>
          <w:iCs/>
          <w:color w:val="auto"/>
        </w:rPr>
        <w:t>S</w:t>
      </w:r>
      <w:r w:rsidR="005732CA" w:rsidRPr="00424BD3">
        <w:rPr>
          <w:rFonts w:ascii="Arial" w:hAnsi="Arial" w:cs="Arial"/>
          <w:b/>
          <w:bCs/>
          <w:i/>
          <w:iCs/>
          <w:color w:val="auto"/>
        </w:rPr>
        <w:t>ystems</w:t>
      </w:r>
      <w:bookmarkEnd w:id="106"/>
    </w:p>
    <w:p w14:paraId="523C8851" w14:textId="3A3DF79E" w:rsidR="00743FC0" w:rsidRPr="00424BD3" w:rsidRDefault="005732CA" w:rsidP="00EA720C">
      <w:pPr>
        <w:spacing w:after="0" w:line="480" w:lineRule="auto"/>
        <w:ind w:firstLine="720"/>
        <w:rPr>
          <w:rFonts w:cs="Arial"/>
          <w:szCs w:val="24"/>
        </w:rPr>
      </w:pPr>
      <w:r w:rsidRPr="00424BD3">
        <w:rPr>
          <w:rFonts w:cs="Arial"/>
          <w:szCs w:val="24"/>
        </w:rPr>
        <w:t>Systemic and individual discrimination in the forms of paternalism, sexism, racism, ageism, classism, and ableism against women, especially poor and</w:t>
      </w:r>
      <w:r w:rsidR="00546AAA">
        <w:rPr>
          <w:rFonts w:cs="Arial"/>
          <w:szCs w:val="24"/>
        </w:rPr>
        <w:t xml:space="preserve"> </w:t>
      </w:r>
      <w:r w:rsidRPr="00424BD3">
        <w:rPr>
          <w:rFonts w:cs="Arial"/>
          <w:szCs w:val="24"/>
        </w:rPr>
        <w:t>/</w:t>
      </w:r>
      <w:r w:rsidR="00546AAA">
        <w:rPr>
          <w:rFonts w:cs="Arial"/>
          <w:szCs w:val="24"/>
        </w:rPr>
        <w:t xml:space="preserve"> </w:t>
      </w:r>
      <w:r w:rsidRPr="00424BD3">
        <w:rPr>
          <w:rFonts w:cs="Arial"/>
          <w:szCs w:val="24"/>
        </w:rPr>
        <w:t>or BIPOC women was the most stated concern by the women in this study. For many of the participants, this was perceived as profiling</w:t>
      </w:r>
      <w:r w:rsidR="00916666">
        <w:rPr>
          <w:rFonts w:cs="Arial"/>
          <w:szCs w:val="24"/>
        </w:rPr>
        <w:t xml:space="preserve"> </w:t>
      </w:r>
      <w:r w:rsidRPr="00424BD3">
        <w:rPr>
          <w:rFonts w:cs="Arial"/>
          <w:szCs w:val="24"/>
        </w:rPr>
        <w:t>/</w:t>
      </w:r>
      <w:r w:rsidR="00916666">
        <w:rPr>
          <w:rFonts w:cs="Arial"/>
          <w:szCs w:val="24"/>
        </w:rPr>
        <w:t xml:space="preserve"> </w:t>
      </w:r>
      <w:r w:rsidRPr="00424BD3">
        <w:rPr>
          <w:rFonts w:cs="Arial"/>
          <w:szCs w:val="24"/>
        </w:rPr>
        <w:t>othering by clinical</w:t>
      </w:r>
      <w:r w:rsidR="00916666">
        <w:rPr>
          <w:rFonts w:cs="Arial"/>
          <w:szCs w:val="24"/>
        </w:rPr>
        <w:t xml:space="preserve"> </w:t>
      </w:r>
      <w:r w:rsidRPr="00424BD3">
        <w:rPr>
          <w:rFonts w:cs="Arial"/>
          <w:szCs w:val="24"/>
        </w:rPr>
        <w:t>/</w:t>
      </w:r>
      <w:r w:rsidR="00916666">
        <w:rPr>
          <w:rFonts w:cs="Arial"/>
          <w:szCs w:val="24"/>
        </w:rPr>
        <w:t xml:space="preserve"> </w:t>
      </w:r>
      <w:r w:rsidRPr="00424BD3">
        <w:rPr>
          <w:rFonts w:cs="Arial"/>
          <w:szCs w:val="24"/>
        </w:rPr>
        <w:t xml:space="preserve">medical staff or by </w:t>
      </w:r>
      <w:r w:rsidRPr="00424BD3">
        <w:rPr>
          <w:rFonts w:cs="Arial"/>
          <w:szCs w:val="24"/>
        </w:rPr>
        <w:lastRenderedPageBreak/>
        <w:t>legislators regarding their knowledge, capability and understanding of their own health and of health inequities.</w:t>
      </w:r>
      <w:r w:rsidR="00EA720C">
        <w:rPr>
          <w:rFonts w:cs="Arial"/>
          <w:szCs w:val="24"/>
        </w:rPr>
        <w:t xml:space="preserve"> </w:t>
      </w:r>
      <w:r w:rsidR="00B63424" w:rsidRPr="00424BD3">
        <w:rPr>
          <w:rFonts w:cs="Arial"/>
          <w:szCs w:val="24"/>
        </w:rPr>
        <w:t>Th</w:t>
      </w:r>
      <w:r w:rsidR="00DC156B" w:rsidRPr="00424BD3">
        <w:rPr>
          <w:rFonts w:cs="Arial"/>
          <w:szCs w:val="24"/>
        </w:rPr>
        <w:t xml:space="preserve">e women’s recommendations for equitable treatment mirror their responses to the findings in Chapter </w:t>
      </w:r>
      <w:r w:rsidR="00336836">
        <w:rPr>
          <w:rFonts w:cs="Arial"/>
          <w:szCs w:val="24"/>
        </w:rPr>
        <w:t>Seven</w:t>
      </w:r>
      <w:r w:rsidR="00336836" w:rsidRPr="00424BD3">
        <w:rPr>
          <w:rFonts w:cs="Arial"/>
          <w:szCs w:val="24"/>
        </w:rPr>
        <w:t xml:space="preserve"> </w:t>
      </w:r>
      <w:r w:rsidR="00DC156B" w:rsidRPr="00424BD3">
        <w:rPr>
          <w:rFonts w:cs="Arial"/>
          <w:szCs w:val="24"/>
        </w:rPr>
        <w:t xml:space="preserve">on </w:t>
      </w:r>
      <w:r w:rsidR="00A41DC3" w:rsidRPr="00424BD3">
        <w:rPr>
          <w:rFonts w:cs="Arial"/>
          <w:szCs w:val="24"/>
        </w:rPr>
        <w:t>inequitable treatment, discrimination</w:t>
      </w:r>
      <w:r w:rsidR="00DE7C0D" w:rsidRPr="00424BD3">
        <w:rPr>
          <w:rFonts w:cs="Arial"/>
          <w:szCs w:val="24"/>
        </w:rPr>
        <w:t>,</w:t>
      </w:r>
      <w:r w:rsidR="00A41DC3" w:rsidRPr="00424BD3">
        <w:rPr>
          <w:rFonts w:cs="Arial"/>
          <w:szCs w:val="24"/>
        </w:rPr>
        <w:t xml:space="preserve"> and bias. It also confirms the</w:t>
      </w:r>
      <w:r w:rsidR="00DE7C0D" w:rsidRPr="00424BD3">
        <w:rPr>
          <w:rFonts w:cs="Arial"/>
          <w:szCs w:val="24"/>
        </w:rPr>
        <w:t xml:space="preserve"> recommendations found throughout health inequities research</w:t>
      </w:r>
      <w:r w:rsidR="00A41DC3" w:rsidRPr="00424BD3">
        <w:rPr>
          <w:rFonts w:cs="Arial"/>
          <w:szCs w:val="24"/>
        </w:rPr>
        <w:t xml:space="preserve"> </w:t>
      </w:r>
      <w:r w:rsidR="00762993" w:rsidRPr="00424BD3">
        <w:rPr>
          <w:rFonts w:cs="Arial"/>
          <w:szCs w:val="24"/>
        </w:rPr>
        <w:t xml:space="preserve">to mitigate the </w:t>
      </w:r>
      <w:r w:rsidR="008C7F24" w:rsidRPr="00424BD3">
        <w:rPr>
          <w:rFonts w:cs="Arial"/>
          <w:szCs w:val="24"/>
        </w:rPr>
        <w:t xml:space="preserve">unjust effects of </w:t>
      </w:r>
      <w:r w:rsidR="00762993" w:rsidRPr="00424BD3">
        <w:rPr>
          <w:rFonts w:cs="Arial"/>
          <w:szCs w:val="24"/>
        </w:rPr>
        <w:t>this</w:t>
      </w:r>
      <w:r w:rsidR="006E0EE6" w:rsidRPr="00424BD3">
        <w:rPr>
          <w:rFonts w:cs="Arial"/>
          <w:szCs w:val="24"/>
        </w:rPr>
        <w:t xml:space="preserve"> determinant</w:t>
      </w:r>
      <w:r w:rsidR="00762993" w:rsidRPr="00424BD3">
        <w:rPr>
          <w:rFonts w:cs="Arial"/>
          <w:szCs w:val="24"/>
        </w:rPr>
        <w:t xml:space="preserve"> of</w:t>
      </w:r>
      <w:r w:rsidR="006E0EE6" w:rsidRPr="00424BD3">
        <w:rPr>
          <w:rFonts w:cs="Arial"/>
          <w:szCs w:val="24"/>
        </w:rPr>
        <w:t xml:space="preserve"> health inequities</w:t>
      </w:r>
      <w:r w:rsidR="00DF3E81" w:rsidRPr="00424BD3">
        <w:rPr>
          <w:rFonts w:cs="Arial"/>
          <w:szCs w:val="24"/>
        </w:rPr>
        <w:t xml:space="preserve"> (see page</w:t>
      </w:r>
      <w:r w:rsidR="001A2E29" w:rsidRPr="00424BD3">
        <w:rPr>
          <w:rFonts w:cs="Arial"/>
          <w:szCs w:val="24"/>
        </w:rPr>
        <w:t>s 120-21</w:t>
      </w:r>
      <w:r w:rsidR="00076238" w:rsidRPr="00424BD3">
        <w:rPr>
          <w:rFonts w:cs="Arial"/>
          <w:szCs w:val="24"/>
        </w:rPr>
        <w:t>, 142-45, and 167</w:t>
      </w:r>
      <w:r w:rsidR="00DF3E81" w:rsidRPr="00424BD3">
        <w:rPr>
          <w:rFonts w:cs="Arial"/>
          <w:szCs w:val="24"/>
        </w:rPr>
        <w:t>)</w:t>
      </w:r>
      <w:r w:rsidR="00CB5BFA" w:rsidRPr="00424BD3">
        <w:rPr>
          <w:rFonts w:cs="Arial"/>
          <w:szCs w:val="24"/>
        </w:rPr>
        <w:t>.</w:t>
      </w:r>
      <w:r w:rsidR="005F0A84" w:rsidRPr="00424BD3">
        <w:rPr>
          <w:rFonts w:cs="Arial"/>
          <w:szCs w:val="24"/>
        </w:rPr>
        <w:t xml:space="preserve"> </w:t>
      </w:r>
    </w:p>
    <w:p w14:paraId="06A92EAC" w14:textId="1253B3BA" w:rsidR="005732CA" w:rsidRPr="00424BD3" w:rsidRDefault="005732CA" w:rsidP="002510B9">
      <w:pPr>
        <w:pStyle w:val="Heading3"/>
        <w:spacing w:before="0" w:line="480" w:lineRule="auto"/>
        <w:rPr>
          <w:rFonts w:ascii="Arial" w:hAnsi="Arial" w:cs="Arial"/>
          <w:b/>
          <w:bCs/>
          <w:i/>
          <w:iCs/>
          <w:color w:val="auto"/>
        </w:rPr>
      </w:pPr>
      <w:bookmarkStart w:id="107" w:name="_Toc118232373"/>
      <w:r w:rsidRPr="00424BD3">
        <w:rPr>
          <w:rFonts w:ascii="Arial" w:hAnsi="Arial" w:cs="Arial"/>
          <w:b/>
          <w:bCs/>
          <w:i/>
          <w:iCs/>
          <w:color w:val="auto"/>
        </w:rPr>
        <w:t xml:space="preserve">Universal </w:t>
      </w:r>
      <w:r w:rsidR="002510B9" w:rsidRPr="00424BD3">
        <w:rPr>
          <w:rFonts w:ascii="Arial" w:hAnsi="Arial" w:cs="Arial"/>
          <w:b/>
          <w:bCs/>
          <w:i/>
          <w:iCs/>
          <w:color w:val="auto"/>
        </w:rPr>
        <w:t>H</w:t>
      </w:r>
      <w:r w:rsidRPr="00424BD3">
        <w:rPr>
          <w:rFonts w:ascii="Arial" w:hAnsi="Arial" w:cs="Arial"/>
          <w:b/>
          <w:bCs/>
          <w:i/>
          <w:iCs/>
          <w:color w:val="auto"/>
        </w:rPr>
        <w:t xml:space="preserve">ealth </w:t>
      </w:r>
      <w:r w:rsidR="002510B9" w:rsidRPr="00424BD3">
        <w:rPr>
          <w:rFonts w:ascii="Arial" w:hAnsi="Arial" w:cs="Arial"/>
          <w:b/>
          <w:bCs/>
          <w:i/>
          <w:iCs/>
          <w:color w:val="auto"/>
        </w:rPr>
        <w:t>C</w:t>
      </w:r>
      <w:r w:rsidRPr="00424BD3">
        <w:rPr>
          <w:rFonts w:ascii="Arial" w:hAnsi="Arial" w:cs="Arial"/>
          <w:b/>
          <w:bCs/>
          <w:i/>
          <w:iCs/>
          <w:color w:val="auto"/>
        </w:rPr>
        <w:t>are</w:t>
      </w:r>
      <w:bookmarkEnd w:id="107"/>
      <w:r w:rsidRPr="00424BD3">
        <w:rPr>
          <w:rFonts w:ascii="Arial" w:hAnsi="Arial" w:cs="Arial"/>
          <w:b/>
          <w:bCs/>
          <w:i/>
          <w:iCs/>
          <w:color w:val="auto"/>
        </w:rPr>
        <w:t xml:space="preserve"> </w:t>
      </w:r>
    </w:p>
    <w:p w14:paraId="09DD011D" w14:textId="5C1BEB07" w:rsidR="00DE3685" w:rsidRPr="00424BD3" w:rsidRDefault="00177163" w:rsidP="007746E2">
      <w:pPr>
        <w:spacing w:after="0" w:line="480" w:lineRule="auto"/>
        <w:ind w:firstLine="720"/>
        <w:rPr>
          <w:rFonts w:cs="Arial"/>
          <w:szCs w:val="24"/>
        </w:rPr>
      </w:pPr>
      <w:r w:rsidRPr="00424BD3">
        <w:rPr>
          <w:rFonts w:cs="Arial"/>
          <w:szCs w:val="24"/>
        </w:rPr>
        <w:t>All of the women in</w:t>
      </w:r>
      <w:r w:rsidR="00F967C8" w:rsidRPr="00424BD3">
        <w:rPr>
          <w:rFonts w:cs="Arial"/>
          <w:szCs w:val="24"/>
        </w:rPr>
        <w:t xml:space="preserve"> </w:t>
      </w:r>
      <w:r w:rsidRPr="00424BD3">
        <w:rPr>
          <w:rFonts w:cs="Arial"/>
          <w:szCs w:val="24"/>
        </w:rPr>
        <w:t xml:space="preserve">this study, with the exception of </w:t>
      </w:r>
      <w:r w:rsidR="00225941" w:rsidRPr="00424BD3">
        <w:rPr>
          <w:rFonts w:cs="Arial"/>
          <w:szCs w:val="24"/>
        </w:rPr>
        <w:t>Ruth, expressed their desire to have universal healthcare</w:t>
      </w:r>
      <w:r w:rsidR="00CE377D">
        <w:rPr>
          <w:rFonts w:cs="Arial"/>
          <w:szCs w:val="24"/>
        </w:rPr>
        <w:t xml:space="preserve"> and / or expansion of Medicare</w:t>
      </w:r>
      <w:r w:rsidR="00225941" w:rsidRPr="00424BD3">
        <w:rPr>
          <w:rFonts w:cs="Arial"/>
          <w:szCs w:val="24"/>
        </w:rPr>
        <w:t xml:space="preserve">. </w:t>
      </w:r>
      <w:r w:rsidR="00CE377D">
        <w:rPr>
          <w:rFonts w:cs="Arial"/>
          <w:szCs w:val="24"/>
        </w:rPr>
        <w:t xml:space="preserve">This </w:t>
      </w:r>
      <w:r w:rsidR="0037175A">
        <w:rPr>
          <w:rFonts w:cs="Arial"/>
          <w:szCs w:val="24"/>
        </w:rPr>
        <w:t>includ</w:t>
      </w:r>
      <w:r w:rsidR="00CE377D">
        <w:rPr>
          <w:rFonts w:cs="Arial"/>
          <w:szCs w:val="24"/>
        </w:rPr>
        <w:t>ed</w:t>
      </w:r>
      <w:r w:rsidR="0037175A">
        <w:rPr>
          <w:rFonts w:cs="Arial"/>
          <w:szCs w:val="24"/>
        </w:rPr>
        <w:t xml:space="preserve"> the need for federal intervention to ensure the establishment of </w:t>
      </w:r>
      <w:r w:rsidR="00CE377D">
        <w:rPr>
          <w:rFonts w:cs="Arial"/>
          <w:szCs w:val="24"/>
        </w:rPr>
        <w:t xml:space="preserve">universal healthcare across the states (an idea which would require constitutional change regarding state’s rights). </w:t>
      </w:r>
      <w:r w:rsidR="0020121E" w:rsidRPr="00424BD3">
        <w:rPr>
          <w:rFonts w:cs="Arial"/>
          <w:szCs w:val="24"/>
        </w:rPr>
        <w:t>Given th</w:t>
      </w:r>
      <w:r w:rsidR="00CD4377" w:rsidRPr="00424BD3">
        <w:rPr>
          <w:rFonts w:cs="Arial"/>
          <w:szCs w:val="24"/>
        </w:rPr>
        <w:t xml:space="preserve">at the </w:t>
      </w:r>
      <w:r w:rsidR="0020121E" w:rsidRPr="00424BD3">
        <w:rPr>
          <w:rFonts w:cs="Arial"/>
          <w:szCs w:val="24"/>
        </w:rPr>
        <w:t xml:space="preserve">one of the </w:t>
      </w:r>
      <w:r w:rsidR="00CD4377" w:rsidRPr="00424BD3">
        <w:rPr>
          <w:rFonts w:cs="Arial"/>
          <w:szCs w:val="24"/>
        </w:rPr>
        <w:t xml:space="preserve">major findings in this study was the lack of healthcare access, their recommendations to </w:t>
      </w:r>
      <w:r w:rsidR="00BE3746" w:rsidRPr="00424BD3">
        <w:rPr>
          <w:rFonts w:cs="Arial"/>
          <w:szCs w:val="24"/>
        </w:rPr>
        <w:t xml:space="preserve">establish a universal healthcare system in the United States was not surprising. </w:t>
      </w:r>
      <w:r w:rsidR="00445DA3" w:rsidRPr="00424BD3">
        <w:rPr>
          <w:rFonts w:cs="Arial"/>
          <w:szCs w:val="24"/>
        </w:rPr>
        <w:t xml:space="preserve">Ruth, as noted, felt very differently about this, </w:t>
      </w:r>
      <w:r w:rsidR="00992F46" w:rsidRPr="00424BD3">
        <w:rPr>
          <w:rFonts w:cs="Arial"/>
          <w:szCs w:val="24"/>
        </w:rPr>
        <w:t xml:space="preserve">due to </w:t>
      </w:r>
      <w:r w:rsidR="0077261D" w:rsidRPr="00424BD3">
        <w:rPr>
          <w:rFonts w:cs="Arial"/>
          <w:szCs w:val="24"/>
        </w:rPr>
        <w:t xml:space="preserve">her </w:t>
      </w:r>
      <w:r w:rsidR="00992F46" w:rsidRPr="00424BD3">
        <w:rPr>
          <w:rFonts w:cs="Arial"/>
          <w:szCs w:val="24"/>
        </w:rPr>
        <w:t xml:space="preserve">concerns about the costs involved </w:t>
      </w:r>
      <w:r w:rsidR="0010713A" w:rsidRPr="00424BD3">
        <w:rPr>
          <w:rFonts w:cs="Arial"/>
          <w:szCs w:val="24"/>
        </w:rPr>
        <w:t xml:space="preserve">to </w:t>
      </w:r>
      <w:r w:rsidR="00252FD4" w:rsidRPr="00424BD3">
        <w:rPr>
          <w:rFonts w:cs="Arial"/>
          <w:szCs w:val="24"/>
        </w:rPr>
        <w:t xml:space="preserve">healthcare providers. </w:t>
      </w:r>
      <w:r w:rsidR="0010713A" w:rsidRPr="00424BD3">
        <w:rPr>
          <w:rFonts w:cs="Arial"/>
          <w:szCs w:val="24"/>
        </w:rPr>
        <w:t xml:space="preserve">Clearly, Ruth is not alone in this concern or perception as the </w:t>
      </w:r>
      <w:r w:rsidR="00C7408C" w:rsidRPr="00424BD3">
        <w:rPr>
          <w:rFonts w:cs="Arial"/>
          <w:szCs w:val="24"/>
        </w:rPr>
        <w:t>U.S.</w:t>
      </w:r>
      <w:r w:rsidR="0010713A" w:rsidRPr="00424BD3">
        <w:rPr>
          <w:rFonts w:cs="Arial"/>
          <w:szCs w:val="24"/>
        </w:rPr>
        <w:t xml:space="preserve"> remains divided on this issue. But for this study, all of the other women </w:t>
      </w:r>
      <w:r w:rsidR="009D05BF" w:rsidRPr="00424BD3">
        <w:rPr>
          <w:rFonts w:cs="Arial"/>
          <w:szCs w:val="24"/>
        </w:rPr>
        <w:t>desired it and, therefore, provided their thoughts and</w:t>
      </w:r>
      <w:r w:rsidR="001C618A">
        <w:rPr>
          <w:rFonts w:cs="Arial"/>
          <w:szCs w:val="24"/>
        </w:rPr>
        <w:t xml:space="preserve"> </w:t>
      </w:r>
      <w:r w:rsidR="009D05BF" w:rsidRPr="00424BD3">
        <w:rPr>
          <w:rFonts w:cs="Arial"/>
          <w:szCs w:val="24"/>
        </w:rPr>
        <w:t>recommendations as to why it is needed for older women.</w:t>
      </w:r>
    </w:p>
    <w:p w14:paraId="1DC7704E" w14:textId="7F34E106" w:rsidR="005732CA" w:rsidRPr="00424BD3" w:rsidRDefault="00B8530E" w:rsidP="005C6881">
      <w:pPr>
        <w:pStyle w:val="Heading3"/>
        <w:spacing w:before="0" w:line="480" w:lineRule="auto"/>
        <w:rPr>
          <w:rFonts w:ascii="Arial" w:hAnsi="Arial" w:cs="Arial"/>
          <w:b/>
          <w:bCs/>
          <w:i/>
          <w:iCs/>
          <w:color w:val="auto"/>
        </w:rPr>
      </w:pPr>
      <w:bookmarkStart w:id="108" w:name="_Toc118232374"/>
      <w:r w:rsidRPr="00424BD3">
        <w:rPr>
          <w:rFonts w:ascii="Arial" w:hAnsi="Arial" w:cs="Arial"/>
          <w:b/>
          <w:bCs/>
          <w:i/>
          <w:iCs/>
          <w:color w:val="auto"/>
        </w:rPr>
        <w:t>C</w:t>
      </w:r>
      <w:r w:rsidR="002437AC" w:rsidRPr="00424BD3">
        <w:rPr>
          <w:rFonts w:ascii="Arial" w:hAnsi="Arial" w:cs="Arial"/>
          <w:b/>
          <w:bCs/>
          <w:i/>
          <w:iCs/>
          <w:color w:val="auto"/>
        </w:rPr>
        <w:t xml:space="preserve">ompassionate </w:t>
      </w:r>
      <w:r w:rsidRPr="00424BD3">
        <w:rPr>
          <w:rFonts w:ascii="Arial" w:hAnsi="Arial" w:cs="Arial"/>
          <w:b/>
          <w:bCs/>
          <w:i/>
          <w:iCs/>
          <w:color w:val="auto"/>
        </w:rPr>
        <w:t>C</w:t>
      </w:r>
      <w:r w:rsidR="005732CA" w:rsidRPr="00424BD3">
        <w:rPr>
          <w:rFonts w:ascii="Arial" w:hAnsi="Arial" w:cs="Arial"/>
          <w:b/>
          <w:bCs/>
          <w:i/>
          <w:iCs/>
          <w:color w:val="auto"/>
        </w:rPr>
        <w:t xml:space="preserve">linical </w:t>
      </w:r>
      <w:r w:rsidRPr="00424BD3">
        <w:rPr>
          <w:rFonts w:ascii="Arial" w:hAnsi="Arial" w:cs="Arial"/>
          <w:b/>
          <w:bCs/>
          <w:i/>
          <w:iCs/>
          <w:color w:val="auto"/>
        </w:rPr>
        <w:t>C</w:t>
      </w:r>
      <w:r w:rsidR="005732CA" w:rsidRPr="00424BD3">
        <w:rPr>
          <w:rFonts w:ascii="Arial" w:hAnsi="Arial" w:cs="Arial"/>
          <w:b/>
          <w:bCs/>
          <w:i/>
          <w:iCs/>
          <w:color w:val="auto"/>
        </w:rPr>
        <w:t>are</w:t>
      </w:r>
      <w:bookmarkEnd w:id="108"/>
      <w:r w:rsidR="005732CA" w:rsidRPr="00424BD3">
        <w:rPr>
          <w:rFonts w:ascii="Arial" w:hAnsi="Arial" w:cs="Arial"/>
          <w:b/>
          <w:bCs/>
          <w:i/>
          <w:iCs/>
          <w:color w:val="auto"/>
        </w:rPr>
        <w:t xml:space="preserve"> </w:t>
      </w:r>
    </w:p>
    <w:p w14:paraId="088544B3" w14:textId="452F92AF" w:rsidR="00A76757" w:rsidRPr="00424BD3" w:rsidRDefault="001F2304" w:rsidP="007746E2">
      <w:pPr>
        <w:spacing w:after="0" w:line="480" w:lineRule="auto"/>
        <w:ind w:firstLine="720"/>
        <w:rPr>
          <w:rFonts w:cs="Arial"/>
          <w:szCs w:val="24"/>
        </w:rPr>
      </w:pPr>
      <w:r w:rsidRPr="00424BD3">
        <w:rPr>
          <w:rFonts w:cs="Arial"/>
          <w:szCs w:val="24"/>
        </w:rPr>
        <w:t xml:space="preserve">Irrespective of the form of healthcare system </w:t>
      </w:r>
      <w:r w:rsidR="000765C1" w:rsidRPr="00424BD3">
        <w:rPr>
          <w:rFonts w:cs="Arial"/>
          <w:szCs w:val="24"/>
        </w:rPr>
        <w:t xml:space="preserve">in place or the healthcare access available to older women, </w:t>
      </w:r>
      <w:r w:rsidR="00AE30E4" w:rsidRPr="00424BD3">
        <w:rPr>
          <w:rFonts w:cs="Arial"/>
          <w:szCs w:val="24"/>
        </w:rPr>
        <w:t>compassionate care in healthcare provision</w:t>
      </w:r>
      <w:r w:rsidR="00F249A1" w:rsidRPr="00424BD3">
        <w:rPr>
          <w:rFonts w:cs="Arial"/>
          <w:szCs w:val="24"/>
        </w:rPr>
        <w:t xml:space="preserve"> is needed</w:t>
      </w:r>
      <w:r w:rsidR="00887FD7" w:rsidRPr="00424BD3">
        <w:rPr>
          <w:rFonts w:cs="Arial"/>
          <w:szCs w:val="24"/>
        </w:rPr>
        <w:t xml:space="preserve">. </w:t>
      </w:r>
      <w:r w:rsidR="00C60386" w:rsidRPr="00424BD3">
        <w:rPr>
          <w:rFonts w:cs="Arial"/>
          <w:szCs w:val="24"/>
        </w:rPr>
        <w:t>Compassionate care</w:t>
      </w:r>
      <w:r w:rsidR="00887FD7" w:rsidRPr="00424BD3">
        <w:rPr>
          <w:rFonts w:cs="Arial"/>
          <w:szCs w:val="24"/>
        </w:rPr>
        <w:t xml:space="preserve"> is more than equitable treatment, and </w:t>
      </w:r>
      <w:r w:rsidR="00C60386" w:rsidRPr="00424BD3">
        <w:rPr>
          <w:rFonts w:cs="Arial"/>
          <w:szCs w:val="24"/>
        </w:rPr>
        <w:t xml:space="preserve">should </w:t>
      </w:r>
      <w:r w:rsidR="00783D0A" w:rsidRPr="00424BD3">
        <w:rPr>
          <w:rFonts w:cs="Arial"/>
          <w:szCs w:val="24"/>
        </w:rPr>
        <w:t xml:space="preserve">extend to all people, irrespective of age. However, </w:t>
      </w:r>
      <w:r w:rsidR="006F2772" w:rsidRPr="00424BD3">
        <w:rPr>
          <w:rFonts w:cs="Arial"/>
          <w:szCs w:val="24"/>
        </w:rPr>
        <w:t xml:space="preserve">Deborah </w:t>
      </w:r>
      <w:r w:rsidR="00DD0495">
        <w:rPr>
          <w:rFonts w:cs="Arial"/>
          <w:szCs w:val="24"/>
        </w:rPr>
        <w:t>felt that</w:t>
      </w:r>
      <w:r w:rsidR="006F2772" w:rsidRPr="00424BD3">
        <w:rPr>
          <w:rFonts w:cs="Arial"/>
          <w:szCs w:val="24"/>
        </w:rPr>
        <w:t xml:space="preserve"> </w:t>
      </w:r>
      <w:r w:rsidR="00783D0A" w:rsidRPr="00424BD3">
        <w:rPr>
          <w:rFonts w:cs="Arial"/>
          <w:szCs w:val="24"/>
        </w:rPr>
        <w:t>the</w:t>
      </w:r>
      <w:r w:rsidR="00C60386" w:rsidRPr="00424BD3">
        <w:rPr>
          <w:rFonts w:cs="Arial"/>
          <w:szCs w:val="24"/>
        </w:rPr>
        <w:t xml:space="preserve"> care shown to older women, </w:t>
      </w:r>
      <w:r w:rsidR="00C60386" w:rsidRPr="00424BD3">
        <w:rPr>
          <w:rFonts w:cs="Arial"/>
          <w:szCs w:val="24"/>
        </w:rPr>
        <w:lastRenderedPageBreak/>
        <w:t xml:space="preserve">especially </w:t>
      </w:r>
      <w:r w:rsidR="003E0417" w:rsidRPr="00424BD3">
        <w:rPr>
          <w:rFonts w:cs="Arial"/>
          <w:szCs w:val="24"/>
        </w:rPr>
        <w:t xml:space="preserve">BIPOC older women, requires </w:t>
      </w:r>
      <w:r w:rsidR="006F2772" w:rsidRPr="00424BD3">
        <w:rPr>
          <w:rFonts w:cs="Arial"/>
          <w:szCs w:val="24"/>
        </w:rPr>
        <w:t xml:space="preserve">special attention to </w:t>
      </w:r>
      <w:r w:rsidR="00434CD8" w:rsidRPr="00424BD3">
        <w:rPr>
          <w:rFonts w:cs="Arial"/>
          <w:szCs w:val="24"/>
        </w:rPr>
        <w:t xml:space="preserve">older </w:t>
      </w:r>
      <w:r w:rsidR="006A568B" w:rsidRPr="00424BD3">
        <w:rPr>
          <w:rFonts w:cs="Arial"/>
          <w:szCs w:val="24"/>
        </w:rPr>
        <w:t>age</w:t>
      </w:r>
      <w:r w:rsidR="00434CD8" w:rsidRPr="00424BD3">
        <w:rPr>
          <w:rFonts w:cs="Arial"/>
          <w:szCs w:val="24"/>
        </w:rPr>
        <w:t>-specific</w:t>
      </w:r>
      <w:r w:rsidR="006A568B" w:rsidRPr="00424BD3">
        <w:rPr>
          <w:rFonts w:cs="Arial"/>
          <w:szCs w:val="24"/>
        </w:rPr>
        <w:t xml:space="preserve"> (and cultural) competency</w:t>
      </w:r>
      <w:r w:rsidR="00580FAB" w:rsidRPr="00424BD3">
        <w:rPr>
          <w:rFonts w:cs="Arial"/>
          <w:szCs w:val="24"/>
        </w:rPr>
        <w:t>.</w:t>
      </w:r>
      <w:r w:rsidR="00434CD8" w:rsidRPr="00424BD3">
        <w:rPr>
          <w:rFonts w:cs="Arial"/>
          <w:szCs w:val="24"/>
        </w:rPr>
        <w:t xml:space="preserve"> </w:t>
      </w:r>
      <w:r w:rsidR="00F249A1" w:rsidRPr="00424BD3">
        <w:rPr>
          <w:rFonts w:cs="Arial"/>
          <w:szCs w:val="24"/>
        </w:rPr>
        <w:t xml:space="preserve">The women’s commentaries on the need for compassionate care, and care that takes into account their age and the stigma, inequitable treatment, and discrimination older women face is in keeping with the literature calling for compassionate and age-specific competency care </w:t>
      </w:r>
      <w:r w:rsidR="00F249A1" w:rsidRPr="00424BD3">
        <w:rPr>
          <w:rFonts w:cs="Arial"/>
          <w:szCs w:val="24"/>
        </w:rPr>
        <w:fldChar w:fldCharType="begin"/>
      </w:r>
      <w:r w:rsidR="00023341">
        <w:rPr>
          <w:rFonts w:cs="Arial"/>
          <w:szCs w:val="24"/>
        </w:rPr>
        <w:instrText xml:space="preserve"> ADDIN ZOTERO_ITEM CSL_CITATION {"citationID":"YSPisMDI","properties":{"formattedCitation":"(Babaei &amp; Taleghani, 2019; Hilli &amp; Sandvik, 2020; Jaramillo et al., 2021; Tehranineshat et al., 2019; UF Health Jacksonville, n.d.)","plainCitation":"(Babaei &amp; Taleghani, 2019; Hilli &amp; Sandvik, 2020; Jaramillo et al., 2021; Tehranineshat et al., 2019; UF Health Jacksonville, n.d.)","noteIndex":0},"citationItems":[{"id":1473,"uris":["http://zotero.org/users/4946941/items/GYL4RBQI"],"itemData":{"id":1473,"type":"article-journal","abstract":"Background:\nCompassion is the heart of nursing care. Barriers to compassion in nursing may be influenced by the prevailing culture and religion of a society. Determining the barriers to providing compassion-based care would help nurses to plan better and more appropriate interventions. This study aimed to explore the challenges and barriers to compassionate care in nurses.\n\nMaterials and Methods:\nThis ethnographic study was performed in 2014–2016. The study participants consisted of 40 nurses, 16 patients, and 8 family members in medical and surgical wards. Data collection was performed through observations and interviews. Data analysis was performed based on Strauss and Corbin's constant comparative method.\n\nResults:\nData analysis defined three themes as the challenges and barriers to compassionate care; challenges and barriers related to the contextual environment of hospitals, sociocultural challenges and barriers, and challenges; and barriers related to staff.\n\nConclusions:\nThis study described the challenges and barriers to compassionate care. Therefore, to eliminate these barriers and challenges, corrective action should be taken by managers. Attention to teaching the concept of compassion and patient-centered care and increasing the number of nurses and positive attitude toward the nursing profession in clinical environment can be effective in providing compassionate care.","container-title":"Iranian Journal of Nursing and Midwifery Research","DOI":"10.4103/ijnmr.IJNMR_100_18","ISSN":"1735-9066","issue":"3","journalAbbreviation":"Iran J Nurs Midwifery Res","note":"PMID: 31057638\nPMCID: PMC6485023","page":"213-219","source":"PubMed Central","title":"Compassionate Care Challenges and Barriers in Clinical Nurses: A Qualitative Study","title-short":"Compassionate Care Challenges and Barriers in Clinical Nurses","volume":"24","author":[{"family":"Babaei","given":"Sima"},{"family":"Taleghani","given":"Fariba"}],"issued":{"date-parts":[["2019"]]}}},{"id":1470,"uris":["http://zotero.org/users/4946941/items/5K5U25KK"],"itemData":{"id":1470,"type":"article-journal","abstract":"Background\nPreceptorship is one model of supporting student nurses' learning and development during their clinical education. However, little is known about what there is in preceptorship that promotes or hinders learning. Earlier studies found that there were ethical dimensions to students' encounters with preceptors.\nAim\nThe overall purpose of this Nordic follow-up study was to develop a model for learning compassionate care among student nurses during their clinical education - first, to deeper understand the learning of student nurses, and second, to investigate the phenomenon of preceptorship from the preceptors´ point of view.\nMethod\nThis study used a mixed methods design. Undergraduate student nurses (n = 139) from three universities in Finland and Sweden were shadowed for a period of three years. Quantitative data were collected through a questionnaire and were analysed using statistical methods. To better understand the learning acquired by the student nurses, focus group interviews (n = 70) were conducted. The phenomenological-hermeneutical approach was adopted. To capture the preceptors' point of view, narrative interviews were held with them (n = 88) in western Finland and northern Sweden. A hermeneutical approach was used when analysing the data.\nFindings\nAccording to both student nurses and preceptors, a caring student-preceptor relationship, imbued with commitment, reverence and responsibility, is fundamental and serves as the basis for students' learning and development more than pedagogical methods used. Three main themes emerged: a caring student-preceptor relationship; a caring manner of being—the conduct; and a caring culture—the tone of the learning space.\nConclusions\nThis study shows the importance of preceptorship on student nurses in their quest of becoming compassionate and caring nurses. Therefore, based on earlier findings and the findings in this study, there is a need to facilitate and support the students' transformation, that is, the process of becoming, from student to a professional nurse.","container-title":"Nurse Education Today","DOI":"10.1016/j.nedt.2020.104454","ISSN":"0260-6917","journalAbbreviation":"Nurse Education Today","language":"en","page":"104454","source":"ScienceDirect","title":"A Nordic model for learning compassionate care in clinical education","volume":"90","author":[{"family":"Hilli","given":"Yvonne"},{"family":"Sandvik","given":"Ann-Helén"}],"issued":{"date-parts":[["2020",7,1]]}}},{"id":1465,"uris":["http://zotero.org/users/4946941/items/H6S5HI6Q"],"itemData":{"id":1465,"type":"article-journal","abstract":"Inequities in access to health care create barriers to physical and mental health treatment for the rapidly aging American Indian population in the United States. This study uses concept mapping—a participatory, mixed-methods approach to understanding complex phenomena—to examine the perceived impacts of multilevel factors influencing Elders’ ability to access and use health care and how these perceptions vary according to gender and age, with the aim of identifying tailored strategies to address inequities. Using data from a purposive sample of American Indian Elders (n = 65) in two states, we compared ratings of thematic clusters and individual factors perceived to impact Elder health care across four participant subgroups: women aged 55–64, women aged 65+, men aged 55–64, and men aged 65+. Provider Issues and Relationships and Tribal/National Policy were themes perceived to have a particularly high impact on Elder health. Key variations between subgroups regarding individual health care access factors reflected unique interpersonal and accessibility challenges among older women, problems stemming from lack of familiarity with health care among younger Elders and men, and challenges navigating complex bureaucracies and tribal decision-making processes among older Elders. Findings underscore the need to address multilevel gender- and age-specific factors contributing to health disparities for Elders.","container-title":"American Indian and Alaska native mental health research (Online)","DOI":"10.5820/aian.2802.2021.52","ISSN":"1533-7731","issue":"2","journalAbbreviation":"Am Indian Alsk Native Ment Health Res","note":"PMID: 34586626\nPMCID: PMC8722384","page":"52-76","source":"PubMed Central","title":"Using Concept Mapping to Understand Gender- and Age-Specific Factors Influencing Health Care Access Among American Indian Elders","volume":"28","author":[{"family":"Jaramillo","given":"Elise Trott"},{"family":"Sommerfeld","given":"David H."},{"family":"Lujan","given":"Erik"},{"family":"Willging","given":"Cathleen E."}],"issued":{"date-parts":[["2021"]]}}},{"id":1468,"uris":["http://zotero.org/users/4946941/items/GFZN6MYD"],"itemData":{"id":1468,"type":"article-journal","abstract":"Background\nIn spite of emphasis on patient-centered cares and promotion of their quality, shortcomings have been seen in health systems due to lack of compassion.\nPurpose\nThe aim of the present study was to determine the definition, fields, facilitating and inhibiting factors of compassionate care in healthcare systems and the interventions designed to promote it.\nMethods\nThis study was conducted through narrative synthesis which is supposed to do systematic and synthesized review. Searching was done in English databases including Pub Med, CINAHL, Google Scholar, Web of Science, and Cochrane library, Ovid, Science Direct, WILEY by using keywords of Compassionate Care, Delivery of Health Care, Healthcare Systems, Compassion and Health Care Providers from 1987 to 2017.\nResults\nCompassionate care has some dimensions including ethical, professional, effective communication, human, spiritual/religious and getting involve with patients. Facilitating and inhibiting factors consisted of the nurse's personal characteristics, patients' behavior and organizational factors included workload, role model, and value of compassionate care in healthcare systems. Educational interventions such as providing feedback and reorienting have been mostly used to improve the compassionate care.\nConclusions\nAlthough compassionate care has been known as the main element of improving services quality in health care system, it has been studied restrictively from the viewpoints of the patients and all personnel in healthcare systems. The improvement of compassionate care through education cannot remove completely the gap between theory and practice, because it seems that clinical environment and organizational values of healthcare system are the largest facilitating and inhibiting factors for filling this gap. Therefore, it is necessary to take measures for promoting organizational culture.","container-title":"Journal of the National Medical Association","DOI":"10.1016/j.jnma.2019.04.002","ISSN":"0027-9684","issue":"5","journalAbbreviation":"Journal of the National Medical Association","language":"en","page":"546-554","source":"ScienceDirect","title":"Compassionate Care in Healthcare Systems: A Systematic Review","title-short":"Compassionate Care in Healthcare Systems","volume":"111","author":[{"family":"Tehranineshat","given":"Banafsheh"},{"family":"Rakhshan","given":"Mahnaz"},{"family":"Torabizadeh","given":"Camellia"},{"family":"Fararouei","given":"Mohammad"}],"issued":{"date-parts":[["2019",10,1]]}}},{"id":1464,"uris":["http://zotero.org/users/4946941/items/YXV37C8M"],"itemData":{"id":1464,"type":"document","abstract":"Guidance for volunteers","language":"en","publisher":"University of Florida Health Jacksonville (UF Health Jacksonville)","source":"Zotero","title":"What are Age-Specific Competencies","URL":"https://ufhealthjax.org/volunteer/new/documents/age-specific-competencies.pdf","author":[{"family":"UF Health Jacksonville","given":""}],"accessed":{"date-parts":[["2022",9,6]]},"issued":{"literal":"n.d."}}}],"schema":"https://github.com/citation-style-language/schema/raw/master/csl-citation.json"} </w:instrText>
      </w:r>
      <w:r w:rsidR="00F249A1" w:rsidRPr="00424BD3">
        <w:rPr>
          <w:rFonts w:cs="Arial"/>
          <w:szCs w:val="24"/>
        </w:rPr>
        <w:fldChar w:fldCharType="separate"/>
      </w:r>
      <w:r w:rsidR="00F249A1" w:rsidRPr="00424BD3">
        <w:rPr>
          <w:rFonts w:cs="Arial"/>
        </w:rPr>
        <w:t>(Babaei &amp; Taleghani, 2019; Hilli &amp; Sandvik, 2020; Jaramillo et al., 2021; Tehranineshat et al., 2019; UF Health Jacksonville, n.d.)</w:t>
      </w:r>
      <w:r w:rsidR="00F249A1" w:rsidRPr="00424BD3">
        <w:rPr>
          <w:rFonts w:cs="Arial"/>
          <w:szCs w:val="24"/>
        </w:rPr>
        <w:fldChar w:fldCharType="end"/>
      </w:r>
      <w:r w:rsidR="00E651C9">
        <w:rPr>
          <w:rFonts w:cs="Arial"/>
          <w:szCs w:val="24"/>
        </w:rPr>
        <w:t>.</w:t>
      </w:r>
    </w:p>
    <w:p w14:paraId="6442708E" w14:textId="3EA1C962" w:rsidR="005732CA" w:rsidRPr="00424BD3" w:rsidRDefault="005732CA" w:rsidP="00D37EE6">
      <w:pPr>
        <w:pStyle w:val="Heading3"/>
        <w:spacing w:before="0" w:line="480" w:lineRule="auto"/>
        <w:rPr>
          <w:rFonts w:ascii="Arial" w:hAnsi="Arial" w:cs="Arial"/>
          <w:b/>
          <w:bCs/>
          <w:i/>
          <w:iCs/>
          <w:color w:val="auto"/>
        </w:rPr>
      </w:pPr>
      <w:bookmarkStart w:id="109" w:name="_Toc118232375"/>
      <w:r w:rsidRPr="00424BD3">
        <w:rPr>
          <w:rFonts w:ascii="Arial" w:hAnsi="Arial" w:cs="Arial"/>
          <w:b/>
          <w:bCs/>
          <w:i/>
          <w:iCs/>
          <w:color w:val="auto"/>
        </w:rPr>
        <w:t xml:space="preserve">An </w:t>
      </w:r>
      <w:r w:rsidR="00B8530E" w:rsidRPr="00424BD3">
        <w:rPr>
          <w:rFonts w:ascii="Arial" w:hAnsi="Arial" w:cs="Arial"/>
          <w:b/>
          <w:bCs/>
          <w:i/>
          <w:iCs/>
          <w:color w:val="auto"/>
        </w:rPr>
        <w:t>E</w:t>
      </w:r>
      <w:r w:rsidRPr="00424BD3">
        <w:rPr>
          <w:rFonts w:ascii="Arial" w:hAnsi="Arial" w:cs="Arial"/>
          <w:b/>
          <w:bCs/>
          <w:i/>
          <w:iCs/>
          <w:color w:val="auto"/>
        </w:rPr>
        <w:t xml:space="preserve">nd to </w:t>
      </w:r>
      <w:r w:rsidR="00B8530E" w:rsidRPr="00424BD3">
        <w:rPr>
          <w:rFonts w:ascii="Arial" w:hAnsi="Arial" w:cs="Arial"/>
          <w:b/>
          <w:bCs/>
          <w:i/>
          <w:iCs/>
          <w:color w:val="auto"/>
        </w:rPr>
        <w:t>C</w:t>
      </w:r>
      <w:r w:rsidRPr="00424BD3">
        <w:rPr>
          <w:rFonts w:ascii="Arial" w:hAnsi="Arial" w:cs="Arial"/>
          <w:b/>
          <w:bCs/>
          <w:i/>
          <w:iCs/>
          <w:color w:val="auto"/>
        </w:rPr>
        <w:t xml:space="preserve">are </w:t>
      </w:r>
      <w:r w:rsidR="00B8530E" w:rsidRPr="00424BD3">
        <w:rPr>
          <w:rFonts w:ascii="Arial" w:hAnsi="Arial" w:cs="Arial"/>
          <w:b/>
          <w:bCs/>
          <w:i/>
          <w:iCs/>
          <w:color w:val="auto"/>
        </w:rPr>
        <w:t>R</w:t>
      </w:r>
      <w:r w:rsidRPr="00424BD3">
        <w:rPr>
          <w:rFonts w:ascii="Arial" w:hAnsi="Arial" w:cs="Arial"/>
          <w:b/>
          <w:bCs/>
          <w:i/>
          <w:iCs/>
          <w:color w:val="auto"/>
        </w:rPr>
        <w:t>ationing</w:t>
      </w:r>
      <w:bookmarkEnd w:id="109"/>
    </w:p>
    <w:p w14:paraId="40E5F267" w14:textId="0A57E492" w:rsidR="00B95055" w:rsidRDefault="00435F76" w:rsidP="006C33C8">
      <w:pPr>
        <w:spacing w:after="0" w:line="480" w:lineRule="auto"/>
        <w:ind w:firstLine="720"/>
        <w:rPr>
          <w:rFonts w:cs="Arial"/>
          <w:szCs w:val="24"/>
        </w:rPr>
      </w:pPr>
      <w:r w:rsidRPr="00424BD3">
        <w:rPr>
          <w:rFonts w:cs="Arial"/>
          <w:szCs w:val="24"/>
        </w:rPr>
        <w:t xml:space="preserve">As shown earlier in this dissertation, </w:t>
      </w:r>
      <w:r w:rsidR="00C2489D" w:rsidRPr="00424BD3">
        <w:rPr>
          <w:rFonts w:cs="Arial"/>
          <w:szCs w:val="24"/>
        </w:rPr>
        <w:t>all</w:t>
      </w:r>
      <w:r w:rsidR="006F2897" w:rsidRPr="00424BD3">
        <w:rPr>
          <w:rFonts w:cs="Arial"/>
          <w:szCs w:val="24"/>
        </w:rPr>
        <w:t xml:space="preserve"> healthcare</w:t>
      </w:r>
      <w:r w:rsidRPr="00424BD3">
        <w:rPr>
          <w:rFonts w:cs="Arial"/>
          <w:szCs w:val="24"/>
        </w:rPr>
        <w:t xml:space="preserve"> and</w:t>
      </w:r>
      <w:r w:rsidR="006F2897" w:rsidRPr="00424BD3">
        <w:rPr>
          <w:rFonts w:cs="Arial"/>
          <w:szCs w:val="24"/>
        </w:rPr>
        <w:t xml:space="preserve"> insurance systems, and </w:t>
      </w:r>
      <w:r w:rsidR="00C2489D" w:rsidRPr="00424BD3">
        <w:rPr>
          <w:rFonts w:cs="Arial"/>
          <w:szCs w:val="24"/>
        </w:rPr>
        <w:t xml:space="preserve">many </w:t>
      </w:r>
      <w:r w:rsidR="006F2897" w:rsidRPr="00424BD3">
        <w:rPr>
          <w:rFonts w:cs="Arial"/>
          <w:szCs w:val="24"/>
        </w:rPr>
        <w:t>clinical providers have established care rationing systems</w:t>
      </w:r>
      <w:r w:rsidR="00811E5C" w:rsidRPr="00424BD3">
        <w:rPr>
          <w:rFonts w:cs="Arial"/>
          <w:szCs w:val="24"/>
        </w:rPr>
        <w:t xml:space="preserve"> based on age</w:t>
      </w:r>
      <w:r w:rsidR="001B644D" w:rsidRPr="00424BD3">
        <w:rPr>
          <w:rFonts w:cs="Arial"/>
          <w:szCs w:val="24"/>
        </w:rPr>
        <w:t xml:space="preserve"> </w:t>
      </w:r>
      <w:r w:rsidR="00A93FE4" w:rsidRPr="00424BD3">
        <w:rPr>
          <w:rFonts w:cs="Arial"/>
          <w:szCs w:val="24"/>
        </w:rPr>
        <w:t xml:space="preserve">(see pages </w:t>
      </w:r>
      <w:r w:rsidR="00376074" w:rsidRPr="00424BD3">
        <w:rPr>
          <w:rFonts w:cs="Arial"/>
          <w:szCs w:val="24"/>
        </w:rPr>
        <w:t>22-2</w:t>
      </w:r>
      <w:r w:rsidR="004F10F6" w:rsidRPr="00424BD3">
        <w:rPr>
          <w:rFonts w:cs="Arial"/>
          <w:szCs w:val="24"/>
        </w:rPr>
        <w:t>6</w:t>
      </w:r>
      <w:r w:rsidR="00A93FE4" w:rsidRPr="00424BD3">
        <w:rPr>
          <w:rFonts w:cs="Arial"/>
          <w:szCs w:val="24"/>
        </w:rPr>
        <w:t>)</w:t>
      </w:r>
      <w:r w:rsidR="00BF6989" w:rsidRPr="00424BD3">
        <w:rPr>
          <w:rFonts w:cs="Arial"/>
          <w:szCs w:val="24"/>
        </w:rPr>
        <w:t>.</w:t>
      </w:r>
      <w:r w:rsidR="002B6AA1" w:rsidRPr="00424BD3">
        <w:rPr>
          <w:rFonts w:cs="Arial"/>
          <w:szCs w:val="24"/>
        </w:rPr>
        <w:t xml:space="preserve"> </w:t>
      </w:r>
      <w:r w:rsidR="003F390C" w:rsidRPr="00424BD3">
        <w:rPr>
          <w:rFonts w:cs="Arial"/>
          <w:szCs w:val="24"/>
        </w:rPr>
        <w:t xml:space="preserve">When looking at </w:t>
      </w:r>
      <w:r w:rsidR="00B3084E" w:rsidRPr="00424BD3">
        <w:rPr>
          <w:rFonts w:cs="Arial"/>
          <w:szCs w:val="24"/>
        </w:rPr>
        <w:t xml:space="preserve">their perceptions, concerns, </w:t>
      </w:r>
      <w:r w:rsidR="00190B43">
        <w:rPr>
          <w:rFonts w:cs="Arial"/>
          <w:szCs w:val="24"/>
        </w:rPr>
        <w:t xml:space="preserve">and </w:t>
      </w:r>
      <w:r w:rsidR="00B3084E" w:rsidRPr="00424BD3">
        <w:rPr>
          <w:rFonts w:cs="Arial"/>
          <w:szCs w:val="24"/>
        </w:rPr>
        <w:t>recommendations</w:t>
      </w:r>
      <w:r w:rsidR="00D45AEB" w:rsidRPr="00424BD3">
        <w:rPr>
          <w:rFonts w:cs="Arial"/>
          <w:szCs w:val="24"/>
        </w:rPr>
        <w:t xml:space="preserve"> coupled with their body language, it may be said that care rationing is an unspoken fear that ran through the silences of these women’s interviews. </w:t>
      </w:r>
      <w:r w:rsidR="002E0A46" w:rsidRPr="00424BD3">
        <w:rPr>
          <w:rFonts w:cs="Arial"/>
          <w:szCs w:val="24"/>
        </w:rPr>
        <w:t xml:space="preserve">Social norms which emphasize individual responsibility seem to offer a </w:t>
      </w:r>
      <w:r w:rsidR="00C2489D" w:rsidRPr="00424BD3">
        <w:rPr>
          <w:rFonts w:cs="Arial"/>
          <w:szCs w:val="24"/>
        </w:rPr>
        <w:t xml:space="preserve">false </w:t>
      </w:r>
      <w:r w:rsidR="002E0A46" w:rsidRPr="00424BD3">
        <w:rPr>
          <w:rFonts w:cs="Arial"/>
          <w:szCs w:val="24"/>
        </w:rPr>
        <w:t>solution to care rationing in t</w:t>
      </w:r>
      <w:r w:rsidR="00FB354D" w:rsidRPr="00424BD3">
        <w:rPr>
          <w:rFonts w:cs="Arial"/>
          <w:szCs w:val="24"/>
        </w:rPr>
        <w:t xml:space="preserve">he belief that one can do all that they can to ensure that their health prevents them from facing care rationing. </w:t>
      </w:r>
      <w:r w:rsidR="0084101C" w:rsidRPr="00424BD3">
        <w:rPr>
          <w:rFonts w:cs="Arial"/>
          <w:szCs w:val="24"/>
        </w:rPr>
        <w:t xml:space="preserve">But </w:t>
      </w:r>
      <w:r w:rsidR="00664777" w:rsidRPr="00424BD3">
        <w:rPr>
          <w:rFonts w:cs="Arial"/>
          <w:szCs w:val="24"/>
        </w:rPr>
        <w:t xml:space="preserve">this has </w:t>
      </w:r>
      <w:r w:rsidR="00885F13" w:rsidRPr="00424BD3">
        <w:rPr>
          <w:rFonts w:cs="Arial"/>
          <w:szCs w:val="24"/>
        </w:rPr>
        <w:t>sometimes</w:t>
      </w:r>
      <w:r w:rsidR="00664777" w:rsidRPr="00424BD3">
        <w:rPr>
          <w:rFonts w:cs="Arial"/>
          <w:szCs w:val="24"/>
        </w:rPr>
        <w:t xml:space="preserve"> not been the case for older </w:t>
      </w:r>
      <w:r w:rsidR="00885F13" w:rsidRPr="00424BD3">
        <w:rPr>
          <w:rFonts w:cs="Arial"/>
          <w:szCs w:val="24"/>
        </w:rPr>
        <w:t>women</w:t>
      </w:r>
      <w:r w:rsidR="006C33C8" w:rsidRPr="00424BD3">
        <w:rPr>
          <w:rFonts w:cs="Arial"/>
          <w:szCs w:val="24"/>
        </w:rPr>
        <w:t>, regardless of how healthy they are</w:t>
      </w:r>
      <w:r w:rsidR="00192F7B" w:rsidRPr="00424BD3">
        <w:rPr>
          <w:rFonts w:cs="Arial"/>
          <w:szCs w:val="24"/>
        </w:rPr>
        <w:t xml:space="preserve"> </w:t>
      </w:r>
      <w:r w:rsidR="00885F13" w:rsidRPr="00424BD3">
        <w:rPr>
          <w:rFonts w:cs="Arial"/>
          <w:szCs w:val="24"/>
        </w:rPr>
        <w:fldChar w:fldCharType="begin"/>
      </w:r>
      <w:r w:rsidR="00990F3A">
        <w:rPr>
          <w:rFonts w:cs="Arial"/>
          <w:szCs w:val="24"/>
        </w:rPr>
        <w:instrText xml:space="preserve"> ADDIN ZOTERO_ITEM CSL_CITATION {"citationID":"GV4PqvlU","properties":{"formattedCitation":"(Jecker, 1991)","plainCitation":"(Jecker, 1991)","noteIndex":0},"citationItems":[{"id":1489,"uris":["http://zotero.org/users/4946941/items/TRVVD8XQ"],"itemData":{"id":1489,"type":"article-journal","abstract":"The expense of caring for growing numbers of older individuals can create strong incentives to ration health care based on age. While not directed explicitly at women, this form of rationing would affect women disproportionately because more women than men occupy the ranks of older Americans. A proper understanding of age-based rationing requires attention to gender issues. Once gender issues are taken into account, age-based rationing appears to perpetuate broader gender inequities in the society. This position is supported by three arguments. First, although age-based rationing leads to inequalities between age groups, the inequalities it produces between the sexes are more ethically troubling. Second, these departures from equality cannot be justified even when they benefit society at large by enabling investments in other health care priorities. Finally, since older women represent a disadvantaged and vulnerable group, age-based rationing is difficult to justify even if our obligation to protect the vulnerable is minimal.(JAMA. 1991;266:3012-3015)","container-title":"JAMA","DOI":"10.1001/jama.1991.03470210080037","ISSN":"0098-7484","issue":"21","journalAbbreviation":"JAMA","page":"3012-3015","source":"Silverchair","title":"Age-Based Rationing and Women","volume":"266","author":[{"family":"Jecker","given":"Nancy S."}],"issued":{"date-parts":[["1991",12,4]]}}}],"schema":"https://github.com/citation-style-language/schema/raw/master/csl-citation.json"} </w:instrText>
      </w:r>
      <w:r w:rsidR="00885F13" w:rsidRPr="00424BD3">
        <w:rPr>
          <w:rFonts w:cs="Arial"/>
          <w:szCs w:val="24"/>
        </w:rPr>
        <w:fldChar w:fldCharType="separate"/>
      </w:r>
      <w:r w:rsidR="00885F13" w:rsidRPr="00424BD3">
        <w:rPr>
          <w:rFonts w:cs="Arial"/>
        </w:rPr>
        <w:t>(Jecker, 1991)</w:t>
      </w:r>
      <w:r w:rsidR="00885F13" w:rsidRPr="00424BD3">
        <w:rPr>
          <w:rFonts w:cs="Arial"/>
          <w:szCs w:val="24"/>
        </w:rPr>
        <w:fldChar w:fldCharType="end"/>
      </w:r>
      <w:r w:rsidR="006C33C8" w:rsidRPr="00424BD3">
        <w:rPr>
          <w:rFonts w:cs="Arial"/>
          <w:szCs w:val="24"/>
        </w:rPr>
        <w:t xml:space="preserve">. </w:t>
      </w:r>
    </w:p>
    <w:p w14:paraId="3AF3EE72" w14:textId="5916AF4B" w:rsidR="006C33C8" w:rsidRPr="00424BD3" w:rsidRDefault="006C33C8" w:rsidP="006C33C8">
      <w:pPr>
        <w:spacing w:after="0" w:line="480" w:lineRule="auto"/>
        <w:ind w:firstLine="720"/>
        <w:rPr>
          <w:rFonts w:cs="Arial"/>
          <w:szCs w:val="24"/>
        </w:rPr>
      </w:pPr>
      <w:r w:rsidRPr="00424BD3">
        <w:rPr>
          <w:rFonts w:cs="Arial"/>
          <w:szCs w:val="24"/>
        </w:rPr>
        <w:t>It may be said that care rationing of people, including those over 65 years, without explicit involvement of patient’s desires and wishes, is not just a health inequity, it is</w:t>
      </w:r>
      <w:r w:rsidR="004303A1">
        <w:rPr>
          <w:rFonts w:cs="Arial"/>
          <w:szCs w:val="24"/>
        </w:rPr>
        <w:t>, as many argue,</w:t>
      </w:r>
      <w:r w:rsidRPr="00424BD3">
        <w:rPr>
          <w:rFonts w:cs="Arial"/>
          <w:szCs w:val="24"/>
        </w:rPr>
        <w:t xml:space="preserve"> a grievous violation of the Hippocratic Oath and of a person’s basic human and civil rights </w:t>
      </w:r>
      <w:r w:rsidRPr="00424BD3">
        <w:rPr>
          <w:rFonts w:cs="Arial"/>
          <w:szCs w:val="24"/>
        </w:rPr>
        <w:fldChar w:fldCharType="begin"/>
      </w:r>
      <w:r w:rsidR="00990F3A">
        <w:rPr>
          <w:rFonts w:cs="Arial"/>
          <w:szCs w:val="24"/>
        </w:rPr>
        <w:instrText xml:space="preserve"> ADDIN ZOTERO_ITEM CSL_CITATION {"citationID":"rvnpPpYD","properties":{"formattedCitation":"(Axelsson et al., 2020; Eijkholt et al., 2021; The Arc, 2021)","plainCitation":"(Axelsson et al., 2020; Eijkholt et al., 2021; The Arc, 2021)","noteIndex":0},"citationItems":[{"id":1200,"uris":["http://zotero.org/users/4946941/items/S6WGGV4W"],"itemData":{"id":1200,"type":"article-journal","abstract":"Background:Nurses and physicians in nephrology settings provide care for patients with end-stage kidney disease receiving hemodialysis treatment along a complex illness trajectory.Aim:The aim was to explore physicians? and nurses? perspectives on the trajectories toward the end of life involving decisions regarding hemodialysis withdrawal for patients with end-stage kidney disease.Research design and participants:A qualitative research approach was used. Four mixed focus group interviews were conducted with renal physicians (5) and nurses (17) in Sweden. Qualitative content analysis was used to analyse data.Ethical considerations:Ethical approval was obtained (Dnr 2014/304-31).Findings and discussion:Findings illuminated multi-faceted, intertwined processes encompassing healthcare professionals, patients, and family members. The analysis resulted in four themes: Complexities of initiating end-of-life conversations, Genuine attentiveness to the patient?s decision-making process, The challenge awaiting the family members? processes, and Negotiating different professional responsibilities. Findings showed complexities and challenges when striving to provide good, ethical care which are related to beneficence, nonmaleficence, and self-determination, and which can give rise to moral distress.Conclusion:There are ethical challenges and strains in the dialysis context that healthcare professionals may not always be prepared for. Supporting healthcare professionals in not allowing complexities to hinder the patient?s possibilities for shared decision-making seems important. An open and continual communication, including family meetings, from dialysis initiation could serve to make conversations involving decisions about hemodialysis withdrawal a more natural routine, as well as build up a relationship of trust necessary for the advance care planning about the end of life. Healthcare professionals should also receive support in ethical reasoning to meet these challenges and handle potential moral distress in the dialysis context.","container-title":"Nursing Ethics","DOI":"10.1177/0969733019848050","ISSN":"0969-7330","issue":"2","journalAbbreviation":"Nurs Ethics","language":"en","note":"publisher: SAGE Publications Ltd","page":"419-432","source":"SAGE Journals","title":"Processes toward the end of life and dialysis withdrawal Physicians’ and nurses’ perspectives","volume":"27","author":[{"family":"Axelsson","given":"Lena"},{"family":"Benzein","given":"Eva"},{"family":"Lindberg","given":"Jenny"},{"family":"Persson","given":"Carina"}],"issued":{"date-parts":[["2020",3,1]]}}},{"id":1201,"uris":["http://zotero.org/users/4946941/items/H8P4T9KK"],"itemData":{"id":1201,"type":"article-journal","abstract":"A pandemic may cause a sudden imbalance between available medical resources and medical needs where fundamental care to a patient cannot be delivered. Inability to fulfil a professional commitment to deliver care as needed can lead to distress among caregivers and patients. This distress is sometimes alleviated through mechanisms that hide the facts that care is rationed and not all medical needs are met. We have identified three mechanisms that jeopardise accountable and optimal allocation of resources: (1) hidden value judgements that allow rationing under the disguise of triage or prioritisation, (2) disguised conflict of interest between societal and individual patient’s needs and (3) concealed biases in the application of medical tools. Under these three pitfalls decisions of resource allocation and who gets treated are handled as medical decisions: normative decisions are concealed and perceived as falling with the realm of medical judgement. Value judgements and moral agency are hidden to offer a ‘false sense of medical judgement’, while in fact there are several ethical judgements and biases at stake. The three pitfalls entail hidden normative deliberation and are inappropriate for sustainable healthcare delivery and resource allocation. We believe it is necessary to maintain transparency in decision making under conditions of insufficient resources to maintain trust in professional care givers and secure fair treatment allocation. Recognition of the pitfalls, by applying our recommendations, may help to ensure transparent and accountable distribution of care and contribute to public acceptance of the ethics behind rationing.","container-title":"Journal of Medical Ethics","DOI":"10.1136/medethics-2020-106943","ISSN":"0306-6800, 1473-4257","issue":"12","language":"en","license":"© Author(s) (or their employer(s)) 2021. No commercial re-use. See rights and permissions. Published by BMJ.","note":"publisher: Institute of Medical Ethics\nsection: Extended essay\nPMID: 33441304","page":"e22-e22","source":"jme.bmj.com","title":"Three pitfalls of accountable healthcare rationing","volume":"47","author":[{"family":"Eijkholt","given":"Marleen"},{"family":"Broekman","given":"Marike"},{"family":"Balak","given":"Naci"},{"family":"Mathiesen","given":"Tiit"}],"issued":{"date-parts":[["2021",12,1]]}}},{"id":1204,"uris":["http://zotero.org/users/4946941/items/EVFJFT6P"],"itemData":{"id":1204,"type":"webpage","abstract":"Civil rights groups, working closely with two Texas regional health groups and the U.S. Department of Health &amp; Human Services, Office for Civil Rights (OCR) announced the approval of revised crisis standard of care guidelines.","container-title":"The Arc","language":"en-US","title":"Groups Secure Federal Approval of Revised Crisis Standards of Care Guidelines in Texas","URL":"https://thearc.org/amidst-nationwide-covid-19-surge-health-civil-rights-groups-secure-federal-approval-of-revised-crisis-standards-of-care-guidelines-in-texas/","author":[{"literal":"The Arc"}],"accessed":{"date-parts":[["2022",7,17]]},"issued":{"date-parts":[["2021",1,14]]}}}],"schema":"https://github.com/citation-style-language/schema/raw/master/csl-citation.json"} </w:instrText>
      </w:r>
      <w:r w:rsidRPr="00424BD3">
        <w:rPr>
          <w:rFonts w:cs="Arial"/>
          <w:szCs w:val="24"/>
        </w:rPr>
        <w:fldChar w:fldCharType="separate"/>
      </w:r>
      <w:r w:rsidRPr="00424BD3">
        <w:rPr>
          <w:rFonts w:cs="Arial"/>
        </w:rPr>
        <w:t>(Axelsson et al., 2020; Eijkholt et al., 2021; The Arc, 2021)</w:t>
      </w:r>
      <w:r w:rsidRPr="00424BD3">
        <w:rPr>
          <w:rFonts w:cs="Arial"/>
          <w:szCs w:val="24"/>
        </w:rPr>
        <w:fldChar w:fldCharType="end"/>
      </w:r>
      <w:r w:rsidRPr="00424BD3">
        <w:rPr>
          <w:rFonts w:cs="Arial"/>
          <w:szCs w:val="24"/>
        </w:rPr>
        <w:t xml:space="preserve">. </w:t>
      </w:r>
      <w:r w:rsidR="00190B43">
        <w:rPr>
          <w:rFonts w:cs="Arial"/>
          <w:szCs w:val="24"/>
        </w:rPr>
        <w:t>I</w:t>
      </w:r>
      <w:r w:rsidR="00066F49" w:rsidRPr="00424BD3">
        <w:rPr>
          <w:rFonts w:cs="Arial"/>
          <w:szCs w:val="24"/>
        </w:rPr>
        <w:t xml:space="preserve">t is </w:t>
      </w:r>
      <w:r w:rsidR="004849AC" w:rsidRPr="00424BD3">
        <w:rPr>
          <w:rFonts w:cs="Arial"/>
          <w:szCs w:val="24"/>
        </w:rPr>
        <w:t xml:space="preserve">fraught with the issues of who gets to decide what </w:t>
      </w:r>
      <w:r w:rsidR="00083578" w:rsidRPr="00424BD3">
        <w:rPr>
          <w:rFonts w:cs="Arial"/>
          <w:szCs w:val="24"/>
        </w:rPr>
        <w:t>age</w:t>
      </w:r>
      <w:r w:rsidR="00944D15" w:rsidRPr="00424BD3">
        <w:rPr>
          <w:rFonts w:cs="Arial"/>
          <w:szCs w:val="24"/>
        </w:rPr>
        <w:t xml:space="preserve"> and under what circumstances</w:t>
      </w:r>
      <w:r w:rsidR="00083578" w:rsidRPr="00424BD3">
        <w:rPr>
          <w:rFonts w:cs="Arial"/>
          <w:szCs w:val="24"/>
        </w:rPr>
        <w:t xml:space="preserve"> care rationing </w:t>
      </w:r>
      <w:r w:rsidR="00944D15" w:rsidRPr="00424BD3">
        <w:rPr>
          <w:rFonts w:cs="Arial"/>
          <w:szCs w:val="24"/>
        </w:rPr>
        <w:t xml:space="preserve">of older people </w:t>
      </w:r>
      <w:r w:rsidR="00083578" w:rsidRPr="00424BD3">
        <w:rPr>
          <w:rFonts w:cs="Arial"/>
          <w:szCs w:val="24"/>
        </w:rPr>
        <w:t xml:space="preserve">should begin, what </w:t>
      </w:r>
      <w:r w:rsidR="00111074" w:rsidRPr="00424BD3">
        <w:rPr>
          <w:rFonts w:cs="Arial"/>
          <w:szCs w:val="24"/>
        </w:rPr>
        <w:t xml:space="preserve">a ‘natural end of life’ comprises, who </w:t>
      </w:r>
      <w:r w:rsidR="00111074" w:rsidRPr="00424BD3">
        <w:rPr>
          <w:rFonts w:cs="Arial"/>
          <w:szCs w:val="24"/>
        </w:rPr>
        <w:lastRenderedPageBreak/>
        <w:t xml:space="preserve">is more deserving of care, </w:t>
      </w:r>
      <w:r w:rsidR="00F33FD1" w:rsidRPr="00424BD3">
        <w:rPr>
          <w:rFonts w:cs="Arial"/>
          <w:szCs w:val="24"/>
        </w:rPr>
        <w:t xml:space="preserve">what entails determining where </w:t>
      </w:r>
      <w:r w:rsidR="008B780E" w:rsidRPr="00424BD3">
        <w:rPr>
          <w:rFonts w:cs="Arial"/>
          <w:szCs w:val="24"/>
        </w:rPr>
        <w:t xml:space="preserve">resources ‘will do the most good’, and, as noted in the introduction of this dissertation, </w:t>
      </w:r>
      <w:r w:rsidR="00E75B8B" w:rsidRPr="00424BD3">
        <w:rPr>
          <w:rFonts w:cs="Arial"/>
          <w:szCs w:val="24"/>
        </w:rPr>
        <w:t xml:space="preserve">since </w:t>
      </w:r>
      <w:r w:rsidR="008B780E" w:rsidRPr="00424BD3">
        <w:rPr>
          <w:rFonts w:cs="Arial"/>
          <w:szCs w:val="24"/>
        </w:rPr>
        <w:t>age is a social construct,</w:t>
      </w:r>
      <w:r w:rsidRPr="00424BD3">
        <w:rPr>
          <w:rFonts w:cs="Arial"/>
          <w:szCs w:val="24"/>
        </w:rPr>
        <w:t xml:space="preserve"> </w:t>
      </w:r>
      <w:r w:rsidR="008B780E" w:rsidRPr="00424BD3">
        <w:rPr>
          <w:rFonts w:cs="Arial"/>
          <w:szCs w:val="24"/>
        </w:rPr>
        <w:t xml:space="preserve">what age is ‘age enough’. Moreover, </w:t>
      </w:r>
      <w:r w:rsidR="00230D08" w:rsidRPr="00424BD3">
        <w:rPr>
          <w:rFonts w:cs="Arial"/>
          <w:szCs w:val="24"/>
        </w:rPr>
        <w:t xml:space="preserve">it may </w:t>
      </w:r>
      <w:r w:rsidR="00224F55" w:rsidRPr="00424BD3">
        <w:rPr>
          <w:rFonts w:cs="Arial"/>
          <w:szCs w:val="24"/>
        </w:rPr>
        <w:t xml:space="preserve">be argued </w:t>
      </w:r>
      <w:r w:rsidR="009368E1" w:rsidRPr="00424BD3">
        <w:rPr>
          <w:rFonts w:cs="Arial"/>
          <w:szCs w:val="24"/>
        </w:rPr>
        <w:t>t</w:t>
      </w:r>
      <w:r w:rsidR="00224F55" w:rsidRPr="00424BD3">
        <w:rPr>
          <w:rFonts w:cs="Arial"/>
          <w:szCs w:val="24"/>
        </w:rPr>
        <w:t xml:space="preserve">hat if care rationing is a necessary solution, </w:t>
      </w:r>
      <w:r w:rsidR="002E5E3C" w:rsidRPr="00424BD3">
        <w:rPr>
          <w:rFonts w:cs="Arial"/>
          <w:szCs w:val="24"/>
        </w:rPr>
        <w:t xml:space="preserve">many </w:t>
      </w:r>
      <w:r w:rsidR="00224F55" w:rsidRPr="00424BD3">
        <w:rPr>
          <w:rFonts w:cs="Arial"/>
          <w:szCs w:val="24"/>
        </w:rPr>
        <w:t>governments</w:t>
      </w:r>
      <w:r w:rsidR="00342E8D" w:rsidRPr="00424BD3">
        <w:rPr>
          <w:rFonts w:cs="Arial"/>
          <w:szCs w:val="24"/>
        </w:rPr>
        <w:t xml:space="preserve"> who do not currently allow medically overseen human </w:t>
      </w:r>
      <w:r w:rsidR="007403E7" w:rsidRPr="00424BD3">
        <w:rPr>
          <w:rFonts w:cs="Arial"/>
          <w:szCs w:val="24"/>
        </w:rPr>
        <w:t>euthanasia</w:t>
      </w:r>
      <w:r w:rsidR="00342E8D" w:rsidRPr="00424BD3">
        <w:rPr>
          <w:rFonts w:cs="Arial"/>
          <w:szCs w:val="24"/>
        </w:rPr>
        <w:t xml:space="preserve">, should </w:t>
      </w:r>
      <w:r w:rsidR="00224F55" w:rsidRPr="00424BD3">
        <w:rPr>
          <w:rFonts w:cs="Arial"/>
          <w:szCs w:val="24"/>
        </w:rPr>
        <w:t xml:space="preserve">allow </w:t>
      </w:r>
      <w:r w:rsidR="00DD6813" w:rsidRPr="00424BD3">
        <w:rPr>
          <w:rFonts w:cs="Arial"/>
          <w:szCs w:val="24"/>
        </w:rPr>
        <w:t xml:space="preserve">terminally ill </w:t>
      </w:r>
      <w:r w:rsidR="002E5E3C" w:rsidRPr="00424BD3">
        <w:rPr>
          <w:rFonts w:cs="Arial"/>
          <w:szCs w:val="24"/>
        </w:rPr>
        <w:t>people</w:t>
      </w:r>
      <w:r w:rsidR="00DD6813" w:rsidRPr="00424BD3">
        <w:rPr>
          <w:rFonts w:cs="Arial"/>
          <w:szCs w:val="24"/>
        </w:rPr>
        <w:t>, including older people,</w:t>
      </w:r>
      <w:r w:rsidR="002E5E3C" w:rsidRPr="00424BD3">
        <w:rPr>
          <w:rFonts w:cs="Arial"/>
          <w:szCs w:val="24"/>
        </w:rPr>
        <w:t xml:space="preserve"> to decide </w:t>
      </w:r>
      <w:r w:rsidR="00DD6813" w:rsidRPr="00424BD3">
        <w:rPr>
          <w:rFonts w:cs="Arial"/>
          <w:szCs w:val="24"/>
        </w:rPr>
        <w:t>when to end their own lives</w:t>
      </w:r>
      <w:r w:rsidR="00B06C9B" w:rsidRPr="00424BD3">
        <w:rPr>
          <w:rFonts w:cs="Arial"/>
          <w:szCs w:val="24"/>
        </w:rPr>
        <w:t xml:space="preserve">. </w:t>
      </w:r>
      <w:r w:rsidR="00BF5FDE" w:rsidRPr="00424BD3">
        <w:rPr>
          <w:rFonts w:cs="Arial"/>
          <w:szCs w:val="24"/>
        </w:rPr>
        <w:t>If a government or a healthcare or insurance system</w:t>
      </w:r>
      <w:r w:rsidR="008944EF" w:rsidRPr="00424BD3">
        <w:rPr>
          <w:rFonts w:cs="Arial"/>
          <w:szCs w:val="24"/>
        </w:rPr>
        <w:t xml:space="preserve"> or a clinician can decide to ration </w:t>
      </w:r>
      <w:r w:rsidR="00845941" w:rsidRPr="00424BD3">
        <w:rPr>
          <w:rFonts w:cs="Arial"/>
          <w:szCs w:val="24"/>
        </w:rPr>
        <w:t xml:space="preserve">care and end </w:t>
      </w:r>
      <w:r w:rsidR="008944EF" w:rsidRPr="00424BD3">
        <w:rPr>
          <w:rFonts w:cs="Arial"/>
          <w:szCs w:val="24"/>
        </w:rPr>
        <w:t xml:space="preserve">an older person’s life based on a set of </w:t>
      </w:r>
      <w:r w:rsidR="00457826" w:rsidRPr="00424BD3">
        <w:rPr>
          <w:rFonts w:cs="Arial"/>
          <w:szCs w:val="24"/>
        </w:rPr>
        <w:t>financially</w:t>
      </w:r>
      <w:r w:rsidR="002F63C4" w:rsidRPr="00424BD3">
        <w:rPr>
          <w:rFonts w:cs="Arial"/>
          <w:szCs w:val="24"/>
        </w:rPr>
        <w:t>-</w:t>
      </w:r>
      <w:r w:rsidR="00457826" w:rsidRPr="00424BD3">
        <w:rPr>
          <w:rFonts w:cs="Arial"/>
          <w:szCs w:val="24"/>
        </w:rPr>
        <w:t>rooted</w:t>
      </w:r>
      <w:r w:rsidR="008944EF" w:rsidRPr="00424BD3">
        <w:rPr>
          <w:rFonts w:cs="Arial"/>
          <w:szCs w:val="24"/>
        </w:rPr>
        <w:t xml:space="preserve"> </w:t>
      </w:r>
      <w:r w:rsidR="00F275F0" w:rsidRPr="00424BD3">
        <w:rPr>
          <w:rFonts w:cs="Arial"/>
          <w:szCs w:val="24"/>
        </w:rPr>
        <w:t xml:space="preserve">clinical guidelines, then certainly, in the U.S. especially where distrust of the government is so high, </w:t>
      </w:r>
      <w:r w:rsidR="00C51E8F" w:rsidRPr="00424BD3">
        <w:rPr>
          <w:rFonts w:cs="Arial"/>
          <w:szCs w:val="24"/>
        </w:rPr>
        <w:t>a person should get to make this same life-ending decision</w:t>
      </w:r>
      <w:r w:rsidR="00B509C3" w:rsidRPr="00424BD3">
        <w:rPr>
          <w:rFonts w:cs="Arial"/>
          <w:szCs w:val="24"/>
        </w:rPr>
        <w:t xml:space="preserve"> for themselves.</w:t>
      </w:r>
      <w:r w:rsidR="00BF5FDE" w:rsidRPr="00424BD3">
        <w:rPr>
          <w:rFonts w:cs="Arial"/>
          <w:szCs w:val="24"/>
        </w:rPr>
        <w:t xml:space="preserve"> </w:t>
      </w:r>
      <w:r w:rsidR="00987167" w:rsidRPr="00424BD3">
        <w:rPr>
          <w:rFonts w:cs="Arial"/>
          <w:szCs w:val="24"/>
        </w:rPr>
        <w:t>Certainly, Mary’s uncle who committed suicide in late age</w:t>
      </w:r>
      <w:r w:rsidR="006E3AED" w:rsidRPr="00424BD3">
        <w:rPr>
          <w:rFonts w:cs="Arial"/>
          <w:szCs w:val="24"/>
        </w:rPr>
        <w:t xml:space="preserve"> due to his health made this decision rather than go into institutional care or </w:t>
      </w:r>
      <w:r w:rsidR="002F63C4" w:rsidRPr="00424BD3">
        <w:rPr>
          <w:rFonts w:cs="Arial"/>
          <w:szCs w:val="24"/>
        </w:rPr>
        <w:t>to be</w:t>
      </w:r>
      <w:r w:rsidR="006E3AED" w:rsidRPr="00424BD3">
        <w:rPr>
          <w:rFonts w:cs="Arial"/>
          <w:szCs w:val="24"/>
        </w:rPr>
        <w:t xml:space="preserve"> care</w:t>
      </w:r>
      <w:r w:rsidR="00F01B0E" w:rsidRPr="00424BD3">
        <w:rPr>
          <w:rFonts w:cs="Arial"/>
          <w:szCs w:val="24"/>
        </w:rPr>
        <w:t>d</w:t>
      </w:r>
      <w:r w:rsidR="006E3AED" w:rsidRPr="00424BD3">
        <w:rPr>
          <w:rFonts w:cs="Arial"/>
          <w:szCs w:val="24"/>
        </w:rPr>
        <w:t xml:space="preserve"> for by family members. </w:t>
      </w:r>
      <w:r w:rsidR="00902450" w:rsidRPr="00424BD3">
        <w:rPr>
          <w:rFonts w:cs="Arial"/>
          <w:szCs w:val="24"/>
        </w:rPr>
        <w:t xml:space="preserve">Care rationing is at odds </w:t>
      </w:r>
      <w:r w:rsidR="00090A9A" w:rsidRPr="00424BD3">
        <w:rPr>
          <w:rFonts w:cs="Arial"/>
          <w:szCs w:val="24"/>
        </w:rPr>
        <w:t xml:space="preserve">with efforts to mitigate health inequities </w:t>
      </w:r>
      <w:r w:rsidR="00902450" w:rsidRPr="00424BD3">
        <w:rPr>
          <w:rFonts w:cs="Arial"/>
          <w:szCs w:val="24"/>
        </w:rPr>
        <w:t xml:space="preserve">in this sense and may </w:t>
      </w:r>
      <w:r w:rsidR="005059F2" w:rsidRPr="00424BD3">
        <w:rPr>
          <w:rFonts w:cs="Arial"/>
          <w:szCs w:val="24"/>
        </w:rPr>
        <w:t xml:space="preserve">exacerbate older women’s </w:t>
      </w:r>
      <w:r w:rsidR="00D42A42" w:rsidRPr="00424BD3">
        <w:rPr>
          <w:rFonts w:cs="Arial"/>
          <w:szCs w:val="24"/>
        </w:rPr>
        <w:t xml:space="preserve">health inequities. </w:t>
      </w:r>
      <w:r w:rsidRPr="00424BD3">
        <w:rPr>
          <w:rFonts w:cs="Arial"/>
          <w:szCs w:val="24"/>
        </w:rPr>
        <w:t xml:space="preserve">Therefore, the women’s recommendations to end </w:t>
      </w:r>
      <w:r w:rsidR="00664777" w:rsidRPr="00424BD3">
        <w:rPr>
          <w:rFonts w:cs="Arial"/>
          <w:szCs w:val="24"/>
        </w:rPr>
        <w:t xml:space="preserve">care rationing </w:t>
      </w:r>
      <w:r w:rsidR="001C4BA9" w:rsidRPr="00424BD3">
        <w:rPr>
          <w:rFonts w:cs="Arial"/>
          <w:szCs w:val="24"/>
        </w:rPr>
        <w:t xml:space="preserve">confirm the </w:t>
      </w:r>
      <w:r w:rsidR="001614A1" w:rsidRPr="00424BD3">
        <w:rPr>
          <w:rFonts w:cs="Arial"/>
          <w:szCs w:val="24"/>
        </w:rPr>
        <w:t xml:space="preserve">calls for an end to this decision and policy-making </w:t>
      </w:r>
      <w:r w:rsidR="003A6C6F" w:rsidRPr="00424BD3">
        <w:rPr>
          <w:rFonts w:cs="Arial"/>
          <w:szCs w:val="24"/>
        </w:rPr>
        <w:t>effort</w:t>
      </w:r>
      <w:r w:rsidR="00092662" w:rsidRPr="00424BD3">
        <w:rPr>
          <w:rFonts w:cs="Arial"/>
          <w:szCs w:val="24"/>
        </w:rPr>
        <w:t xml:space="preserve"> </w:t>
      </w:r>
      <w:r w:rsidR="00092662" w:rsidRPr="00424BD3">
        <w:rPr>
          <w:rFonts w:cs="Arial"/>
          <w:szCs w:val="24"/>
        </w:rPr>
        <w:fldChar w:fldCharType="begin"/>
      </w:r>
      <w:r w:rsidR="00990F3A">
        <w:rPr>
          <w:rFonts w:cs="Arial"/>
          <w:szCs w:val="24"/>
        </w:rPr>
        <w:instrText xml:space="preserve"> ADDIN ZOTERO_ITEM CSL_CITATION {"citationID":"JoJ4KgKd","properties":{"formattedCitation":"(Farrell, Ferrante, et al., 2020; Farrell, Francis, et al., 2020; Fink, 2020; Kertesz, 2020)","plainCitation":"(Farrell, Ferrante, et al., 2020; Farrell, Francis, et al., 2020; Fink, 2020; Kertesz, 2020)","noteIndex":0},"citationItems":[{"id":1479,"uris":["http://zotero.org/users/4946941/items/UJEKR29T"],"itemData":{"id":1479,"type":"article-journal","abstract":"Coronavirus disease 2019 (COVID-19) continues to impact older adults disproportionately, from severe illness and hospitalization to increased mortality risk. Concurrently, concerns about potential shortages of healthcare professionals and health supplies to address these needs have focused attention on how resources are ultimately allocated and used. Some strategies misguidedly use age as an arbitrary criterion, inappropriately disfavoring older adults. This statement represents the official policy position of the American Geriatrics Society (AGS). It is intended to inform stakeholders including hospitals, health systems, and policymakers about ethical considerations to consider when developing strategies for allocating scarce resources during an emergency involving older adults. Members of the AGS Ethics Committee collaborated with interprofessional experts in ethics, law, nursing, and medicine (including geriatrics, palliative care, emergency medicine, and pulmonology/critical care) to conduct a structured literature review and examine relevant reports. The resulting recommendations defend a particular view of distributive justice that maximizes relevant clinical factors and deemphasizes or eliminates factors placing arbitrary, disproportionate weight on advanced age. The AGS positions include (1) avoiding age per se as a means for excluding anyone from care; (2) assessing comorbidities and considering the disparate impact of social determinants of health; (3) encouraging decision makers to focus primarily on potential short-term (not long-term) outcomes; (4) avoiding ancillary criteria such as \"life-years saved\" and \"long-term predicted life expectancy\" that might disadvantage older people; (5) forming and staffing triage committees tasked with allocating scarce resources; (6) developing institutional resource allocation strategies that are transparent and applied uniformly; and (7) facilitating appropriate advance care planning. The statement includes recommendations that should be immediately implemented to address resource allocation strategies during COVID-19, aligning with AGS positions. The statement also includes recommendations for post-pandemic review. Such review would support revised strategies to ensure that governments and institutions have equitable emergency resource allocation strategies, avoid future discriminatory language and practice, and have appropriate guidance to develop national frameworks for emergent resource allocation decisions. J Am Geriatr Soc 68:1136-1142, 2020.","container-title":"Journal of the American Geriatrics Society","DOI":"10.1111/jgs.16537","ISSN":"1532-5415","issue":"6","journalAbbreviation":"J Am Geriatr Soc","language":"eng","note":"PMID: 32374440\nPMCID: PMC7267615","page":"1136-1142","source":"PubMed","title":"AGS Position Statement: Resource Allocation Strategies and Age-Related Considerations in the COVID-19 Era and Beyond","title-short":"AGS Position Statement","volume":"68","author":[{"family":"Farrell","given":"Timothy W."},{"family":"Ferrante","given":"Lauren E."},{"family":"Brown","given":"Teneille"},{"family":"Francis","given":"Leslie"},{"family":"Widera","given":"Eric"},{"family":"Rhodes","given":"Ramona"},{"family":"Rosen","given":"Tony"},{"family":"Hwang","given":"Ula"},{"family":"Witt","given":"Leah J."},{"family":"Thothala","given":"Niranjan"},{"family":"Liu","given":"Shan W."},{"family":"Vitale","given":"Caroline A."},{"family":"Braun","given":"Ursula K."},{"family":"Stephens","given":"Caroline"},{"family":"Saliba","given":"Debra"}],"issued":{"date-parts":[["2020",6]]}}},{"id":1476,"uris":["http://zotero.org/users/4946941/items/FS9K9ACJ"],"itemData":{"id":1476,"type":"article-journal","abstract":"Coronavirus disease 2019 (COVID-19) continues to impact older adults disproportionately with respect to serious consequences ranging from severe illness and hospitalization to increased mortality risk. Concurrently, concerns about potential shortages of healthcare professionals and health supplies to address these issues have focused attention on how these resources are ultimately allocated and used. Some strategies, for example, misguidedly use age as an arbitrary criterion that disfavors older adults in resource allocation decisions. This is a companion article to the American Geriatrics Society (AGS) position statement, “Resource Allocation Strategies and Age-Related Considerations in the COVID-19 Era and Beyond.” It is intended to inform stakeholders including hospitals, health systems, and policymakers about ethical considerations that should be considered when developing strategies for allocation of scarce resources during an emergency involving older adults. This review presents the legal and ethical background for the position statement and discusses these issues that informed the development of the AGS positions: (1) age as a determining factor, (2) age as a tiebreaker, (3) criteria with a differential impact on older adults, (4) individual choices and advance directives, (5) racial/ethnic disparities and resource allocation, and (6) scoring systems and their impact on older adults. It also considers the role of advance directives as expressions of individual preferences in pandemics. J Am Geriatr Soc 68:1143–1149, 2020.","container-title":"Journal of the American Geriatrics Society","DOI":"10.1111/jgs.16539","ISSN":"1532-5415","issue":"6","language":"en","note":"_eprint: https://onlinelibrary.wiley.com/doi/pdf/10.1111/jgs.16539","page":"1143-1149","source":"Wiley Online Library","title":"Rationing Limited Healthcare Resources in the COVID-19 Era and Beyond: Ethical Considerations Regarding Older Adults","title-short":"Rationing Limited Healthcare Resources in the COVID-19 Era and Beyond","volume":"68","author":[{"family":"Farrell","given":"Timothy W."},{"family":"Francis","given":"Leslie"},{"family":"Brown","given":"Teneille"},{"family":"Ferrante","given":"Lauren E."},{"family":"Widera","given":"Eric"},{"family":"Rhodes","given":"Ramona"},{"family":"Rosen","given":"Tony"},{"family":"Hwang","given":"Ula"},{"family":"Witt","given":"Leah J."},{"family":"Thothala","given":"Niranjan"},{"family":"Liu","given":"Shan W."},{"family":"Vitale","given":"Caroline A."},{"family":"Braun","given":"Ursula K."},{"family":"Stephens","given":"Caroline"},{"family":"Saliba","given":"Debra"}],"issued":{"date-parts":[["2020"]]}}},{"id":1483,"uris":["http://zotero.org/users/4946941/items/9USXDW7L"],"itemData":{"id":1483,"type":"article-newspaper","abstract":"Medical providers must not engage in “ruthless utilitarianism” in deciding who gets lifesaving treatment for the coronavirus, a federal civil rights officer warned.","container-title":"The New York Times","ISSN":"0362-4331","language":"en-US","section":"U.S.","source":"NYTimes.com","title":"U.S. Civil Rights Office Rejects Rationing Medical Care Based on Disability, Age","URL":"https://www.nytimes.com/2020/03/28/us/coronavirus-disabilities-rationing-ventilators-triage.html","author":[{"family":"Fink","given":"Sheri"}],"accessed":{"date-parts":[["2022",9,6]]},"issued":{"date-parts":[["2020",3,28]]}}},{"id":1487,"uris":["http://zotero.org/users/4946941/items/P4G4BV65"],"itemData":{"id":1487,"type":"post-weblog","abstract":"States and medical professionals have developed protocols for rationing acute medical care in the event of a limited supply. Many of these plans have the effect of discriminating against people with disabilities.","container-title":"Center for Medicare Advocacy","language":"en-US","title":"Advocacy Update: Medical Rationing","title-short":"Advocacy Update","URL":"https://medicareadvocacy.org/advocacy-update-medical-rationing/","author":[{"family":"Kertesz","given":"K"}],"accessed":{"date-parts":[["2022",9,6]]},"issued":{"date-parts":[["2020",7,16]]}}}],"schema":"https://github.com/citation-style-language/schema/raw/master/csl-citation.json"} </w:instrText>
      </w:r>
      <w:r w:rsidR="00092662" w:rsidRPr="00424BD3">
        <w:rPr>
          <w:rFonts w:cs="Arial"/>
          <w:szCs w:val="24"/>
        </w:rPr>
        <w:fldChar w:fldCharType="separate"/>
      </w:r>
      <w:r w:rsidR="00757C41" w:rsidRPr="00424BD3">
        <w:rPr>
          <w:rFonts w:cs="Arial"/>
        </w:rPr>
        <w:t>(Farrell, Ferrante, et al., 2020; Farrell, Francis, et al., 2020; Fink, 2020; Kertesz, 2020)</w:t>
      </w:r>
      <w:r w:rsidR="00092662" w:rsidRPr="00424BD3">
        <w:rPr>
          <w:rFonts w:cs="Arial"/>
          <w:szCs w:val="24"/>
        </w:rPr>
        <w:fldChar w:fldCharType="end"/>
      </w:r>
      <w:r w:rsidR="003A6C6F" w:rsidRPr="00424BD3">
        <w:rPr>
          <w:rFonts w:cs="Arial"/>
          <w:szCs w:val="24"/>
        </w:rPr>
        <w:t>.</w:t>
      </w:r>
    </w:p>
    <w:p w14:paraId="0D64F636" w14:textId="45B48D5C" w:rsidR="00F9549D" w:rsidRPr="00424BD3" w:rsidRDefault="00F9549D" w:rsidP="007E1E3B">
      <w:pPr>
        <w:pStyle w:val="Heading3"/>
        <w:spacing w:before="0" w:line="480" w:lineRule="auto"/>
        <w:rPr>
          <w:rFonts w:ascii="Arial" w:hAnsi="Arial" w:cs="Arial"/>
          <w:i/>
          <w:iCs/>
          <w:color w:val="auto"/>
        </w:rPr>
      </w:pPr>
      <w:bookmarkStart w:id="110" w:name="_Toc118232376"/>
      <w:r w:rsidRPr="00424BD3">
        <w:rPr>
          <w:rFonts w:ascii="Arial" w:hAnsi="Arial" w:cs="Arial"/>
          <w:b/>
          <w:bCs/>
          <w:i/>
          <w:iCs/>
          <w:color w:val="auto"/>
        </w:rPr>
        <w:t xml:space="preserve">Resources </w:t>
      </w:r>
      <w:r w:rsidR="00760BF7" w:rsidRPr="00424BD3">
        <w:rPr>
          <w:rFonts w:ascii="Arial" w:hAnsi="Arial" w:cs="Arial"/>
          <w:b/>
          <w:bCs/>
          <w:i/>
          <w:iCs/>
          <w:color w:val="auto"/>
        </w:rPr>
        <w:t>for</w:t>
      </w:r>
      <w:r w:rsidR="000A6E47" w:rsidRPr="00424BD3">
        <w:rPr>
          <w:rFonts w:ascii="Arial" w:hAnsi="Arial" w:cs="Arial"/>
          <w:b/>
          <w:bCs/>
          <w:i/>
          <w:iCs/>
          <w:color w:val="auto"/>
        </w:rPr>
        <w:t xml:space="preserve"> </w:t>
      </w:r>
      <w:r w:rsidR="00D3278B" w:rsidRPr="00424BD3">
        <w:rPr>
          <w:rFonts w:ascii="Arial" w:hAnsi="Arial" w:cs="Arial"/>
          <w:b/>
          <w:bCs/>
          <w:i/>
          <w:iCs/>
          <w:color w:val="auto"/>
        </w:rPr>
        <w:t>H</w:t>
      </w:r>
      <w:r w:rsidR="000A6E47" w:rsidRPr="00424BD3">
        <w:rPr>
          <w:rFonts w:ascii="Arial" w:hAnsi="Arial" w:cs="Arial"/>
          <w:b/>
          <w:bCs/>
          <w:i/>
          <w:iCs/>
          <w:color w:val="auto"/>
        </w:rPr>
        <w:t xml:space="preserve">ealthcare </w:t>
      </w:r>
      <w:r w:rsidR="00D3278B" w:rsidRPr="00424BD3">
        <w:rPr>
          <w:rFonts w:ascii="Arial" w:hAnsi="Arial" w:cs="Arial"/>
          <w:b/>
          <w:bCs/>
          <w:i/>
          <w:iCs/>
          <w:color w:val="auto"/>
        </w:rPr>
        <w:t>S</w:t>
      </w:r>
      <w:r w:rsidR="007147E7" w:rsidRPr="00424BD3">
        <w:rPr>
          <w:rFonts w:ascii="Arial" w:hAnsi="Arial" w:cs="Arial"/>
          <w:b/>
          <w:bCs/>
          <w:i/>
          <w:iCs/>
          <w:color w:val="auto"/>
        </w:rPr>
        <w:t xml:space="preserve">ervices and </w:t>
      </w:r>
      <w:r w:rsidR="00D3278B" w:rsidRPr="00424BD3">
        <w:rPr>
          <w:rFonts w:ascii="Arial" w:hAnsi="Arial" w:cs="Arial"/>
          <w:b/>
          <w:bCs/>
          <w:i/>
          <w:iCs/>
          <w:color w:val="auto"/>
        </w:rPr>
        <w:t>I</w:t>
      </w:r>
      <w:r w:rsidR="007147E7" w:rsidRPr="00424BD3">
        <w:rPr>
          <w:rFonts w:ascii="Arial" w:hAnsi="Arial" w:cs="Arial"/>
          <w:b/>
          <w:bCs/>
          <w:i/>
          <w:iCs/>
          <w:color w:val="auto"/>
        </w:rPr>
        <w:t xml:space="preserve">nsurance </w:t>
      </w:r>
      <w:r w:rsidR="00D3278B" w:rsidRPr="00424BD3">
        <w:rPr>
          <w:rFonts w:ascii="Arial" w:hAnsi="Arial" w:cs="Arial"/>
          <w:b/>
          <w:bCs/>
          <w:i/>
          <w:iCs/>
          <w:color w:val="auto"/>
        </w:rPr>
        <w:t>P</w:t>
      </w:r>
      <w:r w:rsidR="007147E7" w:rsidRPr="00424BD3">
        <w:rPr>
          <w:rFonts w:ascii="Arial" w:hAnsi="Arial" w:cs="Arial"/>
          <w:b/>
          <w:bCs/>
          <w:i/>
          <w:iCs/>
          <w:color w:val="auto"/>
        </w:rPr>
        <w:t>rovision</w:t>
      </w:r>
      <w:bookmarkEnd w:id="110"/>
      <w:r w:rsidR="004F3EA3" w:rsidRPr="00424BD3">
        <w:rPr>
          <w:rFonts w:ascii="Arial" w:hAnsi="Arial" w:cs="Arial"/>
          <w:b/>
          <w:bCs/>
          <w:i/>
          <w:iCs/>
          <w:color w:val="auto"/>
        </w:rPr>
        <w:t xml:space="preserve"> </w:t>
      </w:r>
    </w:p>
    <w:p w14:paraId="656FB4C1" w14:textId="01AD774E" w:rsidR="00A03762" w:rsidRPr="00424BD3" w:rsidRDefault="00A03762" w:rsidP="00745868">
      <w:pPr>
        <w:spacing w:after="0" w:line="480" w:lineRule="auto"/>
        <w:ind w:firstLine="720"/>
      </w:pPr>
      <w:r w:rsidRPr="00424BD3">
        <w:t xml:space="preserve">The women provided several recommendations for additional or extended healthcare services and insurance provision, including </w:t>
      </w:r>
      <w:r w:rsidR="00724AC6" w:rsidRPr="00424BD3">
        <w:t>carer pay and pay for older women’s work; home health services provision; preventative care screenings for women over 65 years;</w:t>
      </w:r>
      <w:r w:rsidR="0012195D" w:rsidRPr="00424BD3">
        <w:t xml:space="preserve"> </w:t>
      </w:r>
      <w:r w:rsidR="00B7227D" w:rsidRPr="00424BD3">
        <w:t>m</w:t>
      </w:r>
      <w:r w:rsidR="0012195D" w:rsidRPr="00424BD3">
        <w:t xml:space="preserve">ental health, dental, eye, hearing, and prescription drug coverage; </w:t>
      </w:r>
      <w:r w:rsidR="007E1E3B" w:rsidRPr="00424BD3">
        <w:t xml:space="preserve">and </w:t>
      </w:r>
      <w:r w:rsidR="0012195D" w:rsidRPr="00424BD3">
        <w:t>indigent care</w:t>
      </w:r>
      <w:r w:rsidR="007E1E3B" w:rsidRPr="00424BD3">
        <w:t>.</w:t>
      </w:r>
    </w:p>
    <w:p w14:paraId="6A2D9615" w14:textId="29056E47" w:rsidR="005732CA" w:rsidRPr="00424BD3" w:rsidRDefault="00F9549D" w:rsidP="00745868">
      <w:pPr>
        <w:pStyle w:val="Heading4"/>
        <w:spacing w:before="0" w:line="480" w:lineRule="auto"/>
        <w:rPr>
          <w:rFonts w:ascii="Arial" w:hAnsi="Arial" w:cs="Arial"/>
          <w:color w:val="auto"/>
        </w:rPr>
      </w:pPr>
      <w:r w:rsidRPr="00424BD3">
        <w:rPr>
          <w:rFonts w:ascii="Arial" w:hAnsi="Arial" w:cs="Arial"/>
          <w:color w:val="auto"/>
        </w:rPr>
        <w:lastRenderedPageBreak/>
        <w:t>C</w:t>
      </w:r>
      <w:r w:rsidR="005732CA" w:rsidRPr="00424BD3">
        <w:rPr>
          <w:rFonts w:ascii="Arial" w:hAnsi="Arial" w:cs="Arial"/>
          <w:color w:val="auto"/>
        </w:rPr>
        <w:t xml:space="preserve">arer </w:t>
      </w:r>
      <w:r w:rsidR="00BA0247">
        <w:rPr>
          <w:rFonts w:ascii="Arial" w:hAnsi="Arial" w:cs="Arial"/>
          <w:color w:val="auto"/>
        </w:rPr>
        <w:t>P</w:t>
      </w:r>
      <w:r w:rsidR="005732CA" w:rsidRPr="00424BD3">
        <w:rPr>
          <w:rFonts w:ascii="Arial" w:hAnsi="Arial" w:cs="Arial"/>
          <w:color w:val="auto"/>
        </w:rPr>
        <w:t xml:space="preserve">ay and </w:t>
      </w:r>
      <w:r w:rsidR="00BA0247">
        <w:rPr>
          <w:rFonts w:ascii="Arial" w:hAnsi="Arial" w:cs="Arial"/>
          <w:color w:val="auto"/>
        </w:rPr>
        <w:t>P</w:t>
      </w:r>
      <w:r w:rsidR="005732CA" w:rsidRPr="00424BD3">
        <w:rPr>
          <w:rFonts w:ascii="Arial" w:hAnsi="Arial" w:cs="Arial"/>
          <w:color w:val="auto"/>
        </w:rPr>
        <w:t xml:space="preserve">ay for </w:t>
      </w:r>
      <w:r w:rsidR="00BA0247">
        <w:rPr>
          <w:rFonts w:ascii="Arial" w:hAnsi="Arial" w:cs="Arial"/>
          <w:color w:val="auto"/>
        </w:rPr>
        <w:t>O</w:t>
      </w:r>
      <w:r w:rsidR="005732CA" w:rsidRPr="00424BD3">
        <w:rPr>
          <w:rFonts w:ascii="Arial" w:hAnsi="Arial" w:cs="Arial"/>
          <w:color w:val="auto"/>
        </w:rPr>
        <w:t xml:space="preserve">lder </w:t>
      </w:r>
      <w:r w:rsidR="00BA0247">
        <w:rPr>
          <w:rFonts w:ascii="Arial" w:hAnsi="Arial" w:cs="Arial"/>
          <w:color w:val="auto"/>
        </w:rPr>
        <w:t>W</w:t>
      </w:r>
      <w:r w:rsidR="005732CA" w:rsidRPr="00424BD3">
        <w:rPr>
          <w:rFonts w:ascii="Arial" w:hAnsi="Arial" w:cs="Arial"/>
          <w:color w:val="auto"/>
        </w:rPr>
        <w:t xml:space="preserve">omen’s </w:t>
      </w:r>
      <w:r w:rsidR="00BA0247">
        <w:rPr>
          <w:rFonts w:ascii="Arial" w:hAnsi="Arial" w:cs="Arial"/>
          <w:color w:val="auto"/>
        </w:rPr>
        <w:t>W</w:t>
      </w:r>
      <w:r w:rsidR="005732CA" w:rsidRPr="00424BD3">
        <w:rPr>
          <w:rFonts w:ascii="Arial" w:hAnsi="Arial" w:cs="Arial"/>
          <w:color w:val="auto"/>
        </w:rPr>
        <w:t>ork</w:t>
      </w:r>
    </w:p>
    <w:p w14:paraId="1E2E79B8" w14:textId="5E32AC52" w:rsidR="00EB7D48" w:rsidRPr="00424BD3" w:rsidRDefault="00EB73A2" w:rsidP="00745868">
      <w:pPr>
        <w:spacing w:after="0" w:line="480" w:lineRule="auto"/>
        <w:ind w:firstLine="720"/>
        <w:rPr>
          <w:rFonts w:cs="Arial"/>
          <w:szCs w:val="24"/>
        </w:rPr>
      </w:pPr>
      <w:r w:rsidRPr="00424BD3">
        <w:rPr>
          <w:rFonts w:cs="Arial"/>
          <w:szCs w:val="24"/>
        </w:rPr>
        <w:t xml:space="preserve">As noted in Chapter </w:t>
      </w:r>
      <w:r w:rsidR="00501579" w:rsidRPr="00424BD3">
        <w:rPr>
          <w:rFonts w:cs="Arial"/>
          <w:szCs w:val="24"/>
        </w:rPr>
        <w:t>Fou</w:t>
      </w:r>
      <w:r w:rsidRPr="00424BD3">
        <w:rPr>
          <w:rFonts w:cs="Arial"/>
          <w:szCs w:val="24"/>
        </w:rPr>
        <w:t>r, older women often give up work early or give up later life work opportunities in order to become the primary caregiver to a number of relatives in various circumstances. This has been the case for some of the women in this study. This impacts their income not only from work earnings but higher social security earnings they would have accrued had they been able to stay in the work force.</w:t>
      </w:r>
    </w:p>
    <w:p w14:paraId="1A7BFDF9" w14:textId="3E79EEE1" w:rsidR="005C222C" w:rsidRPr="00424BD3" w:rsidRDefault="00C72DB0" w:rsidP="00745868">
      <w:pPr>
        <w:spacing w:after="0" w:line="480" w:lineRule="auto"/>
        <w:ind w:firstLine="720"/>
        <w:rPr>
          <w:rFonts w:cs="Arial"/>
          <w:szCs w:val="24"/>
        </w:rPr>
      </w:pPr>
      <w:r w:rsidRPr="00424BD3">
        <w:rPr>
          <w:rFonts w:cs="Arial"/>
          <w:szCs w:val="24"/>
        </w:rPr>
        <w:t>The women’s responses confirm the literature which argues that informal</w:t>
      </w:r>
      <w:r w:rsidR="006719DB" w:rsidRPr="00424BD3">
        <w:rPr>
          <w:rFonts w:cs="Arial"/>
          <w:szCs w:val="24"/>
        </w:rPr>
        <w:t>, familial</w:t>
      </w:r>
      <w:r w:rsidR="00F56E10">
        <w:rPr>
          <w:rFonts w:cs="Arial"/>
          <w:szCs w:val="24"/>
        </w:rPr>
        <w:t>,</w:t>
      </w:r>
      <w:r w:rsidR="006719DB" w:rsidRPr="00424BD3">
        <w:rPr>
          <w:rFonts w:cs="Arial"/>
          <w:szCs w:val="24"/>
        </w:rPr>
        <w:t xml:space="preserve"> and </w:t>
      </w:r>
      <w:r w:rsidRPr="00424BD3">
        <w:rPr>
          <w:rFonts w:cs="Arial"/>
          <w:szCs w:val="24"/>
        </w:rPr>
        <w:t>unpaid car</w:t>
      </w:r>
      <w:r w:rsidR="006719DB" w:rsidRPr="00424BD3">
        <w:rPr>
          <w:rFonts w:cs="Arial"/>
          <w:szCs w:val="24"/>
        </w:rPr>
        <w:t xml:space="preserve">egiving is a </w:t>
      </w:r>
      <w:r w:rsidR="00F1466F" w:rsidRPr="00424BD3">
        <w:rPr>
          <w:rFonts w:cs="Arial"/>
          <w:szCs w:val="24"/>
        </w:rPr>
        <w:t xml:space="preserve">social determinant of health </w:t>
      </w:r>
      <w:r w:rsidR="00776783" w:rsidRPr="00424BD3">
        <w:rPr>
          <w:rFonts w:cs="Arial"/>
          <w:szCs w:val="24"/>
        </w:rPr>
        <w:t xml:space="preserve">and that, without </w:t>
      </w:r>
      <w:r w:rsidR="00FE3ABF" w:rsidRPr="00424BD3">
        <w:rPr>
          <w:rFonts w:cs="Arial"/>
          <w:szCs w:val="24"/>
        </w:rPr>
        <w:t>carer</w:t>
      </w:r>
      <w:r w:rsidR="00816106">
        <w:rPr>
          <w:rFonts w:cs="Arial"/>
          <w:szCs w:val="24"/>
        </w:rPr>
        <w:t>’</w:t>
      </w:r>
      <w:r w:rsidR="00FE3ABF" w:rsidRPr="00424BD3">
        <w:rPr>
          <w:rFonts w:cs="Arial"/>
          <w:szCs w:val="24"/>
        </w:rPr>
        <w:t>s pay or pay for ‘older women’s work’</w:t>
      </w:r>
      <w:r w:rsidR="00776783" w:rsidRPr="00424BD3">
        <w:rPr>
          <w:rFonts w:cs="Arial"/>
          <w:szCs w:val="24"/>
        </w:rPr>
        <w:t xml:space="preserve">, older women </w:t>
      </w:r>
      <w:r w:rsidR="00FE3ABF" w:rsidRPr="00424BD3">
        <w:rPr>
          <w:rFonts w:cs="Arial"/>
          <w:szCs w:val="24"/>
        </w:rPr>
        <w:t xml:space="preserve">face </w:t>
      </w:r>
      <w:r w:rsidR="00C5245F" w:rsidRPr="00424BD3">
        <w:rPr>
          <w:rFonts w:cs="Arial"/>
          <w:szCs w:val="24"/>
        </w:rPr>
        <w:t xml:space="preserve">worsening socio-economic status, an increase in social </w:t>
      </w:r>
      <w:r w:rsidR="00F372DB" w:rsidRPr="00424BD3">
        <w:rPr>
          <w:rFonts w:cs="Arial"/>
          <w:szCs w:val="24"/>
        </w:rPr>
        <w:t xml:space="preserve">isolation, and the concomitant issues that come with those circumstances (such as mental ill health). This means that older women who are unpaid carers or are unpaid for work they do, face </w:t>
      </w:r>
      <w:r w:rsidR="00FE3ABF" w:rsidRPr="00424BD3">
        <w:rPr>
          <w:rFonts w:cs="Arial"/>
          <w:szCs w:val="24"/>
        </w:rPr>
        <w:t xml:space="preserve">worsening health inequities </w:t>
      </w:r>
      <w:r w:rsidR="003D16C1" w:rsidRPr="00424BD3">
        <w:rPr>
          <w:rFonts w:cs="Arial"/>
          <w:szCs w:val="24"/>
        </w:rPr>
        <w:fldChar w:fldCharType="begin"/>
      </w:r>
      <w:r w:rsidR="00990F3A">
        <w:rPr>
          <w:rFonts w:cs="Arial"/>
          <w:szCs w:val="24"/>
        </w:rPr>
        <w:instrText xml:space="preserve"> ADDIN ZOTERO_ITEM CSL_CITATION {"citationID":"BffNihZY","properties":{"formattedCitation":"(Bindley et al., 2021; Strazdins et al., 2016)","plainCitation":"(Bindley et al., 2021; Strazdins et al., 2016)","noteIndex":0},"citationItems":[{"id":1494,"uris":["http://zotero.org/users/4946941/items/DUV6JANV"],"itemData":{"id":1494,"type":"article-journal","abstract":"Background:Caring at end-of-life is associated with financial burden, economic disadvantage, and psychosocial sequelae. Health and social welfare systems play a significant role in coordinating practical resources and support in this context. However, little is known about social policy and interactions with public institutions that shape experiences of informal carers with social welfare needs at end-of-life.Aim:To explore ways in which palliative care and welfare sector workers perceive and approach experiences and needs of the carers of people with life-limiting illnesses who receive government income support or housing assistance, in an area of recognised socioeconomic disadvantage.Design:An interpretive descriptive study employed in-depth, qualitative interviews to explore participants? reflections on working with carers of someone with a life-limiting illness. Data were analysed using the framework approach.Setting/participants:Twenty-one workers employed within three public services in Western Sydney were recruited.Results:Workers articulated understandings of welfare policy and its consequences for carers at end-of-life, including precariousness in relation to financial and housing circumstances. Identified resources and barriers to the navigation of social welfare needs by carers were categorised as personal, interpersonal and structural.Conclusions:Caring at end-of-life while navigating welfare needs was seen to be associated with precariousness by participants, particularly for carers positioned in vulnerable social locations. Findings highlighted experiences of burdensome system navigation, inconsistent processes and inequity. Further exploration of structural determinants of experience is needed, including aspects of palliative care and welfare practice and investment in inter-agency infrastructure for supporting carers at end-of-life.","container-title":"Palliative Medicine","DOI":"10.1177/0269216320966492","ISSN":"0269-2163","issue":"1","journalAbbreviation":"Palliat Med","language":"en","note":"publisher: SAGE Publications Ltd STM","page":"169-178","source":"SAGE Journals","title":"Caring precariously: An interpretive description of palliative care and welfare worker perspectives on end of life carers navigating social welfare","title-short":"Caring precariously","volume":"35","author":[{"family":"Bindley","given":"Kristin"},{"family":"Lewis","given":"Joanne"},{"family":"Travaglia","given":"Joanne"},{"family":"DiGiacomo","given":"Michelle"}],"issued":{"date-parts":[["2021",1,1]]}}},{"id":1491,"uris":["http://zotero.org/users/4946941/items/SLWPBLYW"],"itemData":{"id":1491,"type":"article-journal","abstract":"Time can be thought of as a resource that people need for good health. Healthy behaviour, accessing health services, working, resting and caring all require time. Like other resources, time is socially shaped, but its relevance to health and health inequality is yet to be established. Drawing from sociology and political economy, we set out the theoretical basis for two measures of time relevant to contemporary, market-based societies. We measure amount of time spent on care and work (paid and unpaid) and the intensity of time, which refers to rushing, effort and speed. Using data from wave 9 (N = 9177) of the Household, Income and Labour Dynamics of Australia Survey we found that time poverty (&gt; 80 h per week on care and work) and often or always rushing are barriers to physical activity and rushing is associated with poorer self-rated and mental health. Exploring their social patterning, we find that time-poor people have higher incomes and more time control. In contrast, rushing is linked to being a woman, lone parenthood, disability, lack of control and work–family conflicts. We supply a methodology to support quantitative investigations of time, and our findings underline time's dimensionality, social distribution and potential to influence health.","container-title":"Sociology of Health &amp; Illness","DOI":"10.1111/1467-9566.12300","ISSN":"1467-9566","issue":"1","language":"en","note":"_eprint: https://onlinelibrary.wiley.com/doi/pdf/10.1111/1467-9566.12300","page":"21-42","source":"Wiley Online Library","title":"Not all hours are equal: could time be a social determinant of health?","title-short":"Not all hours are equal","volume":"38","author":[{"family":"Strazdins","given":"Lyndall"},{"family":"Welsh","given":"Jennifer"},{"family":"Korda","given":"Rosemary"},{"family":"Broom","given":"Dorothy"},{"family":"Paolucci","given":"Francesco"}],"issued":{"date-parts":[["2016"]]}}}],"schema":"https://github.com/citation-style-language/schema/raw/master/csl-citation.json"} </w:instrText>
      </w:r>
      <w:r w:rsidR="003D16C1" w:rsidRPr="00424BD3">
        <w:rPr>
          <w:rFonts w:cs="Arial"/>
          <w:szCs w:val="24"/>
        </w:rPr>
        <w:fldChar w:fldCharType="separate"/>
      </w:r>
      <w:r w:rsidR="00CC2E1D" w:rsidRPr="00424BD3">
        <w:rPr>
          <w:rFonts w:cs="Arial"/>
        </w:rPr>
        <w:t>(Bindley et al., 2021; Strazdins et al., 2016)</w:t>
      </w:r>
      <w:r w:rsidR="003D16C1" w:rsidRPr="00424BD3">
        <w:rPr>
          <w:rFonts w:cs="Arial"/>
          <w:szCs w:val="24"/>
        </w:rPr>
        <w:fldChar w:fldCharType="end"/>
      </w:r>
      <w:r w:rsidR="00166ACD">
        <w:rPr>
          <w:rFonts w:cs="Arial"/>
          <w:szCs w:val="24"/>
        </w:rPr>
        <w:t>.</w:t>
      </w:r>
    </w:p>
    <w:p w14:paraId="4B25EF54" w14:textId="343BE002" w:rsidR="00FF44B7" w:rsidRPr="00424BD3" w:rsidRDefault="00FF44B7" w:rsidP="00745868">
      <w:pPr>
        <w:pStyle w:val="Heading4"/>
        <w:spacing w:before="0" w:line="480" w:lineRule="auto"/>
        <w:rPr>
          <w:rFonts w:ascii="Arial" w:hAnsi="Arial" w:cs="Arial"/>
          <w:color w:val="auto"/>
        </w:rPr>
      </w:pPr>
      <w:r w:rsidRPr="00424BD3">
        <w:rPr>
          <w:rFonts w:ascii="Arial" w:hAnsi="Arial" w:cs="Arial"/>
          <w:color w:val="auto"/>
        </w:rPr>
        <w:t>H</w:t>
      </w:r>
      <w:r w:rsidR="007D73EE" w:rsidRPr="00424BD3">
        <w:rPr>
          <w:rFonts w:ascii="Arial" w:hAnsi="Arial" w:cs="Arial"/>
          <w:color w:val="auto"/>
        </w:rPr>
        <w:t xml:space="preserve">ome </w:t>
      </w:r>
      <w:r w:rsidR="00D9488A">
        <w:rPr>
          <w:rFonts w:ascii="Arial" w:hAnsi="Arial" w:cs="Arial"/>
          <w:color w:val="auto"/>
        </w:rPr>
        <w:t>H</w:t>
      </w:r>
      <w:r w:rsidR="007D73EE" w:rsidRPr="00424BD3">
        <w:rPr>
          <w:rFonts w:ascii="Arial" w:hAnsi="Arial" w:cs="Arial"/>
          <w:color w:val="auto"/>
        </w:rPr>
        <w:t xml:space="preserve">ealth </w:t>
      </w:r>
      <w:r w:rsidR="00D9488A">
        <w:rPr>
          <w:rFonts w:ascii="Arial" w:hAnsi="Arial" w:cs="Arial"/>
          <w:color w:val="auto"/>
        </w:rPr>
        <w:t>S</w:t>
      </w:r>
      <w:r w:rsidR="007D73EE" w:rsidRPr="00424BD3">
        <w:rPr>
          <w:rFonts w:ascii="Arial" w:hAnsi="Arial" w:cs="Arial"/>
          <w:color w:val="auto"/>
        </w:rPr>
        <w:t>ervices</w:t>
      </w:r>
      <w:r w:rsidR="004F3EA3" w:rsidRPr="00424BD3">
        <w:rPr>
          <w:rFonts w:ascii="Arial" w:hAnsi="Arial" w:cs="Arial"/>
          <w:color w:val="auto"/>
        </w:rPr>
        <w:t xml:space="preserve"> </w:t>
      </w:r>
      <w:r w:rsidR="00D9488A">
        <w:rPr>
          <w:rFonts w:ascii="Arial" w:hAnsi="Arial" w:cs="Arial"/>
          <w:color w:val="auto"/>
        </w:rPr>
        <w:t>P</w:t>
      </w:r>
      <w:r w:rsidR="004F3EA3" w:rsidRPr="00424BD3">
        <w:rPr>
          <w:rFonts w:ascii="Arial" w:hAnsi="Arial" w:cs="Arial"/>
          <w:color w:val="auto"/>
        </w:rPr>
        <w:t>rovision</w:t>
      </w:r>
    </w:p>
    <w:p w14:paraId="19950C9D" w14:textId="29A610AE" w:rsidR="007D73EE" w:rsidRPr="00424BD3" w:rsidRDefault="00E46BA9" w:rsidP="007D73EE">
      <w:pPr>
        <w:spacing w:after="0" w:line="480" w:lineRule="auto"/>
        <w:ind w:firstLine="720"/>
        <w:rPr>
          <w:rFonts w:cs="Arial"/>
          <w:szCs w:val="24"/>
        </w:rPr>
      </w:pPr>
      <w:r w:rsidRPr="00424BD3">
        <w:rPr>
          <w:rFonts w:cs="Arial"/>
          <w:szCs w:val="24"/>
        </w:rPr>
        <w:t>A</w:t>
      </w:r>
      <w:r w:rsidR="007D73EE" w:rsidRPr="00424BD3">
        <w:rPr>
          <w:rFonts w:cs="Arial"/>
          <w:szCs w:val="24"/>
        </w:rPr>
        <w:t>dequate</w:t>
      </w:r>
      <w:r w:rsidR="007147E7" w:rsidRPr="00424BD3">
        <w:rPr>
          <w:rFonts w:cs="Arial"/>
          <w:szCs w:val="24"/>
        </w:rPr>
        <w:t xml:space="preserve">, affordable, and accessible </w:t>
      </w:r>
      <w:r w:rsidR="007D73EE" w:rsidRPr="00424BD3">
        <w:rPr>
          <w:rFonts w:cs="Arial"/>
          <w:szCs w:val="24"/>
        </w:rPr>
        <w:t xml:space="preserve">home health provision </w:t>
      </w:r>
      <w:r w:rsidR="009A43E5" w:rsidRPr="00424BD3">
        <w:rPr>
          <w:rFonts w:cs="Arial"/>
          <w:szCs w:val="24"/>
        </w:rPr>
        <w:t>was recommended by several of the women.</w:t>
      </w:r>
      <w:r w:rsidR="009A747B" w:rsidRPr="00424BD3">
        <w:rPr>
          <w:rFonts w:cs="Arial"/>
          <w:szCs w:val="24"/>
        </w:rPr>
        <w:t xml:space="preserve"> This </w:t>
      </w:r>
      <w:r w:rsidR="00973DCD" w:rsidRPr="00424BD3">
        <w:rPr>
          <w:rFonts w:cs="Arial"/>
          <w:szCs w:val="24"/>
        </w:rPr>
        <w:t>is related to their recommendation</w:t>
      </w:r>
      <w:r w:rsidR="00DB279F" w:rsidRPr="00424BD3">
        <w:rPr>
          <w:rFonts w:cs="Arial"/>
          <w:szCs w:val="24"/>
        </w:rPr>
        <w:t>s</w:t>
      </w:r>
      <w:r w:rsidR="00973DCD" w:rsidRPr="00424BD3">
        <w:rPr>
          <w:rFonts w:cs="Arial"/>
          <w:szCs w:val="24"/>
        </w:rPr>
        <w:t xml:space="preserve"> </w:t>
      </w:r>
      <w:r w:rsidR="00DB279F" w:rsidRPr="00424BD3">
        <w:rPr>
          <w:rFonts w:cs="Arial"/>
          <w:szCs w:val="24"/>
        </w:rPr>
        <w:t xml:space="preserve">for better access to care and </w:t>
      </w:r>
      <w:r w:rsidR="00973DCD" w:rsidRPr="00424BD3">
        <w:rPr>
          <w:rFonts w:cs="Arial"/>
          <w:szCs w:val="24"/>
        </w:rPr>
        <w:t>for paying older women for carer</w:t>
      </w:r>
      <w:r w:rsidR="00053C9E">
        <w:rPr>
          <w:rFonts w:cs="Arial"/>
          <w:szCs w:val="24"/>
        </w:rPr>
        <w:t>’</w:t>
      </w:r>
      <w:r w:rsidR="00973DCD" w:rsidRPr="00424BD3">
        <w:rPr>
          <w:rFonts w:cs="Arial"/>
          <w:szCs w:val="24"/>
        </w:rPr>
        <w:t xml:space="preserve">s work </w:t>
      </w:r>
      <w:r w:rsidR="001545FB" w:rsidRPr="00424BD3">
        <w:rPr>
          <w:rFonts w:cs="Arial"/>
          <w:szCs w:val="24"/>
        </w:rPr>
        <w:t>because of people’s desire to stay in their homes at the end of the</w:t>
      </w:r>
      <w:r w:rsidR="000A305E">
        <w:rPr>
          <w:rFonts w:cs="Arial"/>
          <w:szCs w:val="24"/>
        </w:rPr>
        <w:t>ir</w:t>
      </w:r>
      <w:r w:rsidR="001545FB" w:rsidRPr="00424BD3">
        <w:rPr>
          <w:rFonts w:cs="Arial"/>
          <w:szCs w:val="24"/>
        </w:rPr>
        <w:t xml:space="preserve"> </w:t>
      </w:r>
      <w:r w:rsidR="007C18F2" w:rsidRPr="00424BD3">
        <w:rPr>
          <w:rFonts w:cs="Arial"/>
          <w:szCs w:val="24"/>
        </w:rPr>
        <w:t>lives but</w:t>
      </w:r>
      <w:r w:rsidR="001545FB" w:rsidRPr="00424BD3">
        <w:rPr>
          <w:rFonts w:cs="Arial"/>
          <w:szCs w:val="24"/>
        </w:rPr>
        <w:t xml:space="preserve"> is specifically focused on </w:t>
      </w:r>
      <w:r w:rsidR="009175F9" w:rsidRPr="00424BD3">
        <w:rPr>
          <w:rFonts w:cs="Arial"/>
          <w:szCs w:val="24"/>
        </w:rPr>
        <w:t xml:space="preserve">the need for </w:t>
      </w:r>
      <w:r w:rsidR="005D4C7F" w:rsidRPr="00424BD3">
        <w:rPr>
          <w:rFonts w:cs="Arial"/>
          <w:szCs w:val="24"/>
        </w:rPr>
        <w:t xml:space="preserve">providing financial resources </w:t>
      </w:r>
      <w:r w:rsidR="009175F9" w:rsidRPr="00424BD3">
        <w:rPr>
          <w:rFonts w:cs="Arial"/>
          <w:szCs w:val="24"/>
        </w:rPr>
        <w:t xml:space="preserve">to ensure adequate </w:t>
      </w:r>
      <w:r w:rsidR="00D01325" w:rsidRPr="00424BD3">
        <w:rPr>
          <w:rFonts w:cs="Arial"/>
          <w:szCs w:val="24"/>
        </w:rPr>
        <w:t xml:space="preserve">and affordable </w:t>
      </w:r>
      <w:r w:rsidR="001545FB" w:rsidRPr="00424BD3">
        <w:rPr>
          <w:rFonts w:cs="Arial"/>
          <w:szCs w:val="24"/>
        </w:rPr>
        <w:t xml:space="preserve">home </w:t>
      </w:r>
      <w:r w:rsidR="005D4C7F" w:rsidRPr="00424BD3">
        <w:rPr>
          <w:rFonts w:cs="Arial"/>
          <w:szCs w:val="24"/>
        </w:rPr>
        <w:t>health</w:t>
      </w:r>
      <w:r w:rsidR="001545FB" w:rsidRPr="00424BD3">
        <w:rPr>
          <w:rFonts w:cs="Arial"/>
          <w:szCs w:val="24"/>
        </w:rPr>
        <w:t xml:space="preserve"> </w:t>
      </w:r>
      <w:r w:rsidR="004F3EA3" w:rsidRPr="00424BD3">
        <w:rPr>
          <w:rFonts w:cs="Arial"/>
          <w:szCs w:val="24"/>
        </w:rPr>
        <w:t>services provision</w:t>
      </w:r>
      <w:r w:rsidR="00D22A62" w:rsidRPr="00424BD3">
        <w:rPr>
          <w:rFonts w:cs="Arial"/>
          <w:szCs w:val="24"/>
        </w:rPr>
        <w:t xml:space="preserve"> is available for this purpose.</w:t>
      </w:r>
      <w:r w:rsidR="00920AB4" w:rsidRPr="00424BD3">
        <w:rPr>
          <w:rFonts w:cs="Arial"/>
          <w:szCs w:val="24"/>
        </w:rPr>
        <w:t xml:space="preserve"> </w:t>
      </w:r>
      <w:r w:rsidR="007D73EE" w:rsidRPr="00424BD3">
        <w:rPr>
          <w:rFonts w:cs="Arial"/>
          <w:szCs w:val="24"/>
        </w:rPr>
        <w:t>Sylvia</w:t>
      </w:r>
      <w:r w:rsidR="00145E36">
        <w:rPr>
          <w:rFonts w:cs="Arial"/>
          <w:szCs w:val="24"/>
        </w:rPr>
        <w:t xml:space="preserve"> and Kathryn</w:t>
      </w:r>
      <w:r w:rsidR="007D73EE" w:rsidRPr="00424BD3">
        <w:rPr>
          <w:rFonts w:cs="Arial"/>
          <w:szCs w:val="24"/>
        </w:rPr>
        <w:t>, who has had significant advocacy duties for family members in her lifetime, spoke about the need for aging-in-place policies</w:t>
      </w:r>
      <w:r w:rsidR="00F75112">
        <w:rPr>
          <w:rFonts w:cs="Arial"/>
          <w:szCs w:val="24"/>
        </w:rPr>
        <w:t xml:space="preserve">. </w:t>
      </w:r>
    </w:p>
    <w:p w14:paraId="354A8871" w14:textId="2F967324" w:rsidR="00C94B8F" w:rsidRPr="00424BD3" w:rsidRDefault="00C94B8F" w:rsidP="00745868">
      <w:pPr>
        <w:spacing w:after="0" w:line="480" w:lineRule="auto"/>
        <w:ind w:firstLine="720"/>
        <w:rPr>
          <w:rFonts w:cs="Arial"/>
          <w:szCs w:val="24"/>
        </w:rPr>
      </w:pPr>
      <w:r w:rsidRPr="00424BD3">
        <w:rPr>
          <w:rFonts w:cs="Arial"/>
          <w:szCs w:val="24"/>
        </w:rPr>
        <w:t xml:space="preserve">This recommendation is </w:t>
      </w:r>
      <w:r w:rsidR="003273FC" w:rsidRPr="00424BD3">
        <w:rPr>
          <w:rFonts w:cs="Arial"/>
          <w:szCs w:val="24"/>
        </w:rPr>
        <w:t xml:space="preserve">a reflection on the women’s lived experiences not only during the time of their interviews but of their familial health histories. Some have been </w:t>
      </w:r>
      <w:r w:rsidR="003273FC" w:rsidRPr="00424BD3">
        <w:rPr>
          <w:rFonts w:cs="Arial"/>
          <w:szCs w:val="24"/>
        </w:rPr>
        <w:lastRenderedPageBreak/>
        <w:t xml:space="preserve">caregivers or care advocates for a very long time in their families. Some have been caregivers or care advocates for multiple family members. </w:t>
      </w:r>
      <w:r w:rsidR="009361AE" w:rsidRPr="00424BD3">
        <w:rPr>
          <w:rFonts w:cs="Arial"/>
          <w:szCs w:val="24"/>
        </w:rPr>
        <w:t>Some have genealogical / family health histories that show patterns of unpaid caring throughout their generations</w:t>
      </w:r>
      <w:r w:rsidR="00D65C4E" w:rsidRPr="00424BD3">
        <w:rPr>
          <w:rFonts w:cs="Arial"/>
          <w:szCs w:val="24"/>
        </w:rPr>
        <w:t xml:space="preserve">, so these concerns and needs are long-standing in their lives. This recommendation also confirms the body of research on the need for more </w:t>
      </w:r>
      <w:r w:rsidR="0067376B" w:rsidRPr="00424BD3">
        <w:rPr>
          <w:rFonts w:cs="Arial"/>
          <w:szCs w:val="24"/>
        </w:rPr>
        <w:t xml:space="preserve">state-level or more state </w:t>
      </w:r>
      <w:r w:rsidR="00CB1C66" w:rsidRPr="00424BD3">
        <w:rPr>
          <w:rFonts w:cs="Arial"/>
          <w:szCs w:val="24"/>
        </w:rPr>
        <w:t>allowance</w:t>
      </w:r>
      <w:r w:rsidR="0067376B" w:rsidRPr="00424BD3">
        <w:rPr>
          <w:rFonts w:cs="Arial"/>
          <w:szCs w:val="24"/>
        </w:rPr>
        <w:t xml:space="preserve"> of federal </w:t>
      </w:r>
      <w:r w:rsidR="00CB1C66" w:rsidRPr="00424BD3">
        <w:rPr>
          <w:rFonts w:cs="Arial"/>
          <w:szCs w:val="24"/>
        </w:rPr>
        <w:t xml:space="preserve">funds for </w:t>
      </w:r>
      <w:r w:rsidR="00A52303" w:rsidRPr="00424BD3">
        <w:rPr>
          <w:rFonts w:cs="Arial"/>
          <w:szCs w:val="24"/>
        </w:rPr>
        <w:t xml:space="preserve">resources and </w:t>
      </w:r>
      <w:r w:rsidR="00D65C4E" w:rsidRPr="00424BD3">
        <w:rPr>
          <w:rFonts w:cs="Arial"/>
          <w:szCs w:val="24"/>
        </w:rPr>
        <w:t xml:space="preserve">supports for </w:t>
      </w:r>
      <w:r w:rsidR="00DF7014" w:rsidRPr="00424BD3">
        <w:rPr>
          <w:rFonts w:cs="Arial"/>
          <w:szCs w:val="24"/>
        </w:rPr>
        <w:t>provisions like adequate</w:t>
      </w:r>
      <w:r w:rsidR="00920AB4" w:rsidRPr="00424BD3">
        <w:rPr>
          <w:rFonts w:cs="Arial"/>
          <w:szCs w:val="24"/>
        </w:rPr>
        <w:t xml:space="preserve">, </w:t>
      </w:r>
      <w:r w:rsidR="00DF7014" w:rsidRPr="00424BD3">
        <w:rPr>
          <w:rFonts w:cs="Arial"/>
          <w:szCs w:val="24"/>
        </w:rPr>
        <w:t>affordable</w:t>
      </w:r>
      <w:r w:rsidR="00920AB4" w:rsidRPr="00424BD3">
        <w:rPr>
          <w:rFonts w:cs="Arial"/>
          <w:szCs w:val="24"/>
        </w:rPr>
        <w:t>, and accessible</w:t>
      </w:r>
      <w:r w:rsidR="00DF7014" w:rsidRPr="00424BD3">
        <w:rPr>
          <w:rFonts w:cs="Arial"/>
          <w:szCs w:val="24"/>
        </w:rPr>
        <w:t xml:space="preserve"> home health</w:t>
      </w:r>
      <w:r w:rsidR="00920AB4" w:rsidRPr="00424BD3">
        <w:rPr>
          <w:rFonts w:cs="Arial"/>
          <w:szCs w:val="24"/>
        </w:rPr>
        <w:t xml:space="preserve"> (</w:t>
      </w:r>
      <w:r w:rsidR="00EA113B" w:rsidRPr="00424BD3">
        <w:rPr>
          <w:rFonts w:cs="Arial"/>
          <w:szCs w:val="24"/>
        </w:rPr>
        <w:t xml:space="preserve">including </w:t>
      </w:r>
      <w:r w:rsidR="00920AB4" w:rsidRPr="00424BD3">
        <w:rPr>
          <w:rFonts w:cs="Arial"/>
          <w:szCs w:val="24"/>
        </w:rPr>
        <w:t>those noted as being provided under Tennessee’s CHOICES Act as discussed in Chapter Four)</w:t>
      </w:r>
      <w:r w:rsidR="00DF7014" w:rsidRPr="00424BD3">
        <w:rPr>
          <w:rFonts w:cs="Arial"/>
          <w:szCs w:val="24"/>
        </w:rPr>
        <w:t xml:space="preserve"> to allow aging in place</w:t>
      </w:r>
      <w:r w:rsidR="00CB1C66" w:rsidRPr="00424BD3">
        <w:rPr>
          <w:rFonts w:cs="Arial"/>
          <w:szCs w:val="24"/>
        </w:rPr>
        <w:t xml:space="preserve">. </w:t>
      </w:r>
      <w:r w:rsidR="004505D5" w:rsidRPr="00424BD3">
        <w:rPr>
          <w:rFonts w:cs="Arial"/>
          <w:szCs w:val="24"/>
        </w:rPr>
        <w:t>After the time of these interviews, the federal government has made some additional funding available</w:t>
      </w:r>
      <w:r w:rsidR="00BE1BF2" w:rsidRPr="00424BD3">
        <w:rPr>
          <w:rFonts w:cs="Arial"/>
          <w:szCs w:val="24"/>
        </w:rPr>
        <w:t xml:space="preserve"> </w:t>
      </w:r>
      <w:r w:rsidR="001B7C03" w:rsidRPr="00424BD3">
        <w:rPr>
          <w:rFonts w:cs="Arial"/>
          <w:szCs w:val="24"/>
        </w:rPr>
        <w:t xml:space="preserve">for Medicaid </w:t>
      </w:r>
      <w:r w:rsidR="00E732AC" w:rsidRPr="00424BD3">
        <w:rPr>
          <w:rFonts w:cs="Arial"/>
          <w:szCs w:val="24"/>
        </w:rPr>
        <w:t xml:space="preserve">(as opposed to Medicare-only) </w:t>
      </w:r>
      <w:r w:rsidR="001B7C03" w:rsidRPr="00424BD3">
        <w:rPr>
          <w:rFonts w:cs="Arial"/>
          <w:szCs w:val="24"/>
        </w:rPr>
        <w:t xml:space="preserve">recipients </w:t>
      </w:r>
      <w:r w:rsidR="00BE1BF2" w:rsidRPr="00424BD3">
        <w:rPr>
          <w:rFonts w:cs="Arial"/>
          <w:szCs w:val="24"/>
        </w:rPr>
        <w:t>for help with these issues</w:t>
      </w:r>
      <w:r w:rsidR="00906B5D" w:rsidRPr="00424BD3">
        <w:rPr>
          <w:rFonts w:cs="Arial"/>
          <w:szCs w:val="24"/>
        </w:rPr>
        <w:t>, through the “Build Back Better” plan</w:t>
      </w:r>
      <w:r w:rsidR="00822BB3" w:rsidRPr="00424BD3">
        <w:rPr>
          <w:rFonts w:cs="Arial"/>
          <w:szCs w:val="24"/>
        </w:rPr>
        <w:t xml:space="preserve"> </w:t>
      </w:r>
      <w:r w:rsidR="00822BB3" w:rsidRPr="00424BD3">
        <w:rPr>
          <w:rFonts w:cs="Arial"/>
          <w:szCs w:val="24"/>
        </w:rPr>
        <w:fldChar w:fldCharType="begin"/>
      </w:r>
      <w:r w:rsidR="00990F3A">
        <w:rPr>
          <w:rFonts w:cs="Arial"/>
          <w:szCs w:val="24"/>
        </w:rPr>
        <w:instrText xml:space="preserve"> ADDIN ZOTERO_ITEM CSL_CITATION {"citationID":"vb95OiOZ","properties":{"formattedCitation":"(Holly, 2021; The White House, n.d.)","plainCitation":"(Holly, 2021; The White House, n.d.)","noteIndex":0},"citationItems":[{"id":1503,"uris":["http://zotero.org/users/4946941/items/M8YNSHVA"],"itemData":{"id":1503,"type":"webpage","abstract":"President Joe Biden on Thursday went to bat for a significantly trimmed down version of his Build Back Better plan, a massive economic proposal that seeks","container-title":"Home Health Care News","language":"en-US","title":"Gutted Version of Biden’s ‘Build Back Better’ Plan Still Includes $150 Billion for In-Home Care","URL":"https://homehealthcarenews.com/2021/10/gutted-version-of-bidens-build-back-better-plan-still-includes-150-billion-for-in-home-care/","author":[{"family":"Holly","given":"Robert"}],"accessed":{"date-parts":[["2022",9,7]]},"issued":{"date-parts":[["2021",10,28]]}}},{"id":1505,"uris":["http://zotero.org/users/4946941/items/EJGWXC7I"],"itemData":{"id":1505,"type":"webpage","abstract":"President Biden’s three-part agenda to rescue, recover, and rebuild the country. It includes the American Rescue Plan, American Jobs Plan and American Families Plan.","container-title":"The White House","language":"en-US","title":"The Build Back Better Framework","URL":"https://www.whitehouse.gov/build-back-better/","author":[{"family":"The White House","given":""}],"accessed":{"date-parts":[["2022",9,7]]},"issued":{"literal":"n.d."}}}],"schema":"https://github.com/citation-style-language/schema/raw/master/csl-citation.json"} </w:instrText>
      </w:r>
      <w:r w:rsidR="00822BB3" w:rsidRPr="00424BD3">
        <w:rPr>
          <w:rFonts w:cs="Arial"/>
          <w:szCs w:val="24"/>
        </w:rPr>
        <w:fldChar w:fldCharType="separate"/>
      </w:r>
      <w:r w:rsidR="00822BB3" w:rsidRPr="00424BD3">
        <w:rPr>
          <w:rFonts w:cs="Arial"/>
        </w:rPr>
        <w:t>(Holly, 2021; The White House, n.d.)</w:t>
      </w:r>
      <w:r w:rsidR="00822BB3" w:rsidRPr="00424BD3">
        <w:rPr>
          <w:rFonts w:cs="Arial"/>
          <w:szCs w:val="24"/>
        </w:rPr>
        <w:fldChar w:fldCharType="end"/>
      </w:r>
      <w:r w:rsidR="00BE1BF2" w:rsidRPr="00424BD3">
        <w:rPr>
          <w:rFonts w:cs="Arial"/>
          <w:szCs w:val="24"/>
        </w:rPr>
        <w:t xml:space="preserve">. However, Tennessee, like many other states, chose to use </w:t>
      </w:r>
      <w:r w:rsidR="00064543" w:rsidRPr="00424BD3">
        <w:rPr>
          <w:rFonts w:cs="Arial"/>
          <w:szCs w:val="24"/>
        </w:rPr>
        <w:t>most of</w:t>
      </w:r>
      <w:r w:rsidR="00BE1BF2" w:rsidRPr="00424BD3">
        <w:rPr>
          <w:rFonts w:cs="Arial"/>
          <w:szCs w:val="24"/>
        </w:rPr>
        <w:t xml:space="preserve"> their </w:t>
      </w:r>
      <w:r w:rsidR="00F05F6B" w:rsidRPr="00424BD3">
        <w:rPr>
          <w:rFonts w:cs="Arial"/>
          <w:szCs w:val="24"/>
        </w:rPr>
        <w:t xml:space="preserve">Build Back Better </w:t>
      </w:r>
      <w:r w:rsidR="00BE1BF2" w:rsidRPr="00424BD3">
        <w:rPr>
          <w:rFonts w:cs="Arial"/>
          <w:szCs w:val="24"/>
        </w:rPr>
        <w:t xml:space="preserve">funding </w:t>
      </w:r>
      <w:r w:rsidR="00F05F6B" w:rsidRPr="00424BD3">
        <w:rPr>
          <w:rFonts w:cs="Arial"/>
          <w:szCs w:val="24"/>
        </w:rPr>
        <w:t>for</w:t>
      </w:r>
      <w:r w:rsidR="007B792F" w:rsidRPr="00424BD3">
        <w:rPr>
          <w:rFonts w:cs="Arial"/>
          <w:szCs w:val="24"/>
        </w:rPr>
        <w:t xml:space="preserve"> improving the healthcare workforce</w:t>
      </w:r>
      <w:r w:rsidR="000469EF" w:rsidRPr="00424BD3">
        <w:rPr>
          <w:rFonts w:cs="Arial"/>
          <w:szCs w:val="24"/>
        </w:rPr>
        <w:t xml:space="preserve"> and to reduce waiting lists for care</w:t>
      </w:r>
      <w:r w:rsidR="007B792F" w:rsidRPr="00424BD3">
        <w:rPr>
          <w:rFonts w:cs="Arial"/>
          <w:szCs w:val="24"/>
        </w:rPr>
        <w:t>, rather than making funding resources</w:t>
      </w:r>
      <w:r w:rsidR="00B00600" w:rsidRPr="00424BD3">
        <w:rPr>
          <w:rFonts w:cs="Arial"/>
          <w:szCs w:val="24"/>
        </w:rPr>
        <w:t xml:space="preserve"> or more appropriate eligibility changes</w:t>
      </w:r>
      <w:r w:rsidR="007B792F" w:rsidRPr="00424BD3">
        <w:rPr>
          <w:rFonts w:cs="Arial"/>
          <w:szCs w:val="24"/>
        </w:rPr>
        <w:t xml:space="preserve"> </w:t>
      </w:r>
      <w:r w:rsidR="000469EF" w:rsidRPr="00424BD3">
        <w:rPr>
          <w:rFonts w:cs="Arial"/>
          <w:szCs w:val="24"/>
        </w:rPr>
        <w:t xml:space="preserve">for in-home supports </w:t>
      </w:r>
      <w:r w:rsidR="007B792F" w:rsidRPr="00424BD3">
        <w:rPr>
          <w:rFonts w:cs="Arial"/>
          <w:szCs w:val="24"/>
        </w:rPr>
        <w:t>directly available to older people</w:t>
      </w:r>
      <w:r w:rsidR="00B00600" w:rsidRPr="00424BD3">
        <w:rPr>
          <w:rFonts w:cs="Arial"/>
          <w:szCs w:val="24"/>
        </w:rPr>
        <w:t xml:space="preserve"> on Medicare and Medica</w:t>
      </w:r>
      <w:r w:rsidR="00FF4D4D" w:rsidRPr="00424BD3">
        <w:rPr>
          <w:rFonts w:cs="Arial"/>
          <w:szCs w:val="24"/>
        </w:rPr>
        <w:t>id. Still, as noted by many</w:t>
      </w:r>
      <w:r w:rsidR="00906B5D" w:rsidRPr="00424BD3">
        <w:rPr>
          <w:rFonts w:cs="Arial"/>
          <w:szCs w:val="24"/>
        </w:rPr>
        <w:t xml:space="preserve">, the </w:t>
      </w:r>
      <w:r w:rsidR="00723E6E" w:rsidRPr="00424BD3">
        <w:rPr>
          <w:rFonts w:cs="Arial"/>
          <w:szCs w:val="24"/>
        </w:rPr>
        <w:t xml:space="preserve">Build Back Better plan initiatives are a </w:t>
      </w:r>
      <w:r w:rsidR="00BA7A3B" w:rsidRPr="00424BD3">
        <w:rPr>
          <w:rFonts w:cs="Arial"/>
          <w:szCs w:val="24"/>
        </w:rPr>
        <w:t xml:space="preserve">very </w:t>
      </w:r>
      <w:r w:rsidR="00723E6E" w:rsidRPr="00424BD3">
        <w:rPr>
          <w:rFonts w:cs="Arial"/>
          <w:szCs w:val="24"/>
        </w:rPr>
        <w:t xml:space="preserve">good start towards </w:t>
      </w:r>
      <w:r w:rsidR="002F10D9" w:rsidRPr="00424BD3">
        <w:rPr>
          <w:rFonts w:cs="Arial"/>
          <w:szCs w:val="24"/>
        </w:rPr>
        <w:t>meeting this recommendation by the women in this study.</w:t>
      </w:r>
      <w:r w:rsidR="007B792F" w:rsidRPr="00424BD3">
        <w:rPr>
          <w:rFonts w:cs="Arial"/>
          <w:szCs w:val="24"/>
        </w:rPr>
        <w:t xml:space="preserve"> </w:t>
      </w:r>
      <w:r w:rsidR="00C63229" w:rsidRPr="00424BD3">
        <w:rPr>
          <w:rFonts w:cs="Arial"/>
          <w:szCs w:val="24"/>
        </w:rPr>
        <w:fldChar w:fldCharType="begin"/>
      </w:r>
      <w:r w:rsidR="00023341">
        <w:rPr>
          <w:rFonts w:cs="Arial"/>
          <w:szCs w:val="24"/>
        </w:rPr>
        <w:instrText xml:space="preserve"> ADDIN ZOTERO_ITEM CSL_CITATION {"citationID":"ZLMc9nLc","properties":{"formattedCitation":"(Breysse et al., 2022; CMCS, 2021; Garfield et al., 2021; Holly, 2021; Mattson &amp; Bergfeld, 2017; Pellegrin, 2018b, 2021; Simmons-Duffin, 2021; Szanton et al., 2016; The White House, n.d.; TN Comptroller, 2022; TN TennCare, n.d.)","plainCitation":"(Breysse et al., 2022; CMCS, 2021; Garfield et al., 2021; Holly, 2021; Mattson &amp; Bergfeld, 2017; Pellegrin, 2018b, 2021; Simmons-Duffin, 2021; Szanton et al., 2016; The White House, n.d.; TN Comptroller, 2022; TN TennCare, n.d.)","noteIndex":0},"citationItems":[{"id":1498,"uris":["http://zotero.org/users/4946941/items/LBG3GVHS"],"itemData":{"id":1498,"type":"article-journal","abstract":"As American adults live longer, society must prioritize effective strategies promoting safe aging-in-place and decreasing institutional health care costs. Social determinants of health, especially housing, critically influence older adult health, particularly for disadvantaged, low-income older adults. Johns Hopkins University developed Community Aging in Place—Advancing Better Living for Elders (CAPABLE©), a client-centered, home-based program to improve older adults’ function and capacity to age in place. This evaluation studied CAPABLE’s long-term effectiveness in four distinct locations in California, North Carolina, Pennsylvania, and Vermont. Seven months after CAPABLE, intervention group participants experienced greater improvements than the control group in activities of daily living limitations (2-point vs. 0.7-point improvement, p = .012), falls efficacy (8.9-point improvement vs. 0.1-point worsening, p = .012), depression (1.3-point improvement vs. 0.4-point worsening, p = .021), and pain (1.5-point improvement vs. 0.3-point worsening, p = .002). These results add to existing research on short-term effectiveness in urban locales, showing CAPABLE yields long-term health improvement for older adults in micropolitan and small urban locations, with different implementation organizations, housing stocks, and clients.","container-title":"Journal of Applied Gerontology","DOI":"10.1177/07334648211042606","ISSN":"0733-4648","issue":"3","journalAbbreviation":"J Appl Gerontol","language":"en","note":"publisher: SAGE Publications Inc","page":"718-728","source":"SAGE Journals","title":"Aging Gracefully in Place: An Evaluation of the Capability of the CAPABLE© Approach","title-short":"Aging Gracefully in Place","volume":"41","author":[{"family":"Breysse","given":"Jill"},{"family":"Dixon","given":"Sherry"},{"family":"Wilson","given":"Jonathan"},{"family":"Szanton","given":"Sarah"}],"issued":{"date-parts":[["2022",3,1]]}}},{"id":1501,"uris":["http://zotero.org/users/4946941/items/LWDAAH2A"],"itemData":{"id":1501,"type":"webpage","container-title":"Centers for Medicare and Medicaid Services (CMCS), Medicaid.gov","note":"U.S. Department of Health and Human Services, Centers , Centers for Medicare &amp; Medicaid Services (CMS), Center for Medicaid and CHIP Services (CMSC)","title":"Strengthening and Investing in Home and Community Based Services for Medicaid Beneficiaries: American Rescue Plan Act of 2021 Section 9817 | Medicaid","URL":"https://www.medicaid.gov/medicaid/home-community-based-services/guidance/strengthening-and-investing-home-and-community-based-services-for-medicaid-beneficiaries-american-rescue-plan-act-of-2021-section-9817/index.html","author":[{"family":"CMCS","given":""}],"accessed":{"date-parts":[["2022",9,7]]},"issued":{"date-parts":[["2021"]]}}},{"id":670,"uris":["http://zotero.org/users/4946941/items/Q962X4MG"],"itemData":{"id":670,"type":"document","language":"en","title":"The Coverage Gap: Uninsured Poor Adults in States that Do No Expand Medicaid. Kaiser Family Foundation","URL":"https://www.kff.org/medicaid/issue-brief/the-coverage-gap-uninsured-poor-adults-in-states-that-do-not-expand-medicaid/","author":[{"family":"Garfield","given":"R."},{"family":"Orgera","given":"K."},{"family":"Damico","given":"A."}],"issued":{"date-parts":[["2021"]]}}},{"id":1503,"uris":["http://zotero.org/users/4946941/items/M8YNSHVA"],"itemData":{"id":1503,"type":"webpage","abstract":"President Joe Biden on Thursday went to bat for a significantly trimmed down version of his Build Back Better plan, a massive economic proposal that seeks","container-title":"Home Health Care News","language":"en-US","title":"Gutted Version of Biden’s ‘Build Back Better’ Plan Still Includes $150 Billion for In-Home Care","URL":"https://homehealthcarenews.com/2021/10/gutted-version-of-bidens-build-back-better-plan-still-includes-150-billion-for-in-home-care/","author":[{"family":"Holly","given":"Robert"}],"accessed":{"date-parts":[["2022",9,7]]},"issued":{"date-parts":[["2021",10,28]]}}},{"id":722,"uris":["http://zotero.org/users/4946941/items/33TXE9KU"],"itemData":{"id":722,"type":"chapter","container-title":"Tennessee Comptroller of the Treasury Office of Research and Accountability (TN Comptroller)","language":"en","title":"Senior long-term care in Tennessee: Trends and options","URL":"https://stagecomptroller.tn.gov/content/dam/cot/orea/advanced-search/orea-reports-2017/2017_OREA_SeniorLongTermCare.pdf","author":[{"family":"Mattson","given":"S."},{"family":"Bergfeld","given":"T."}],"issued":{"date-parts":[["2017"]]}}},{"id":761,"uris":["http://zotero.org/users/4946941/items/3JZKXXGH"],"itemData":{"id":761,"type":"document","language":"en","title":"b). Summary of Gov. Haslams’ FY 2018-2019 Amended Budget. The Sycamore Institute","URL":"https://www.sycamoreinstitutetn.org/gov-haslams-fy-2018-2019-amended-budget/","author":[{"family":"Pellegrin","given":"M."}],"issued":{"date-parts":[["2018"]]}},"label":"page"},{"id":763,"uris":["http://zotero.org/users/4946941/items/ALE7IKPW"],"itemData":{"id":763,"type":"document","language":"en","title":"Tennessee’s Budget in Brief: Summary of Gov. Lee’s FY 2022 Recommended Budget","URL":"https://www.sycamoreinstitutetn.org/wp-content/uploads/2021/02/2021.02.22-FINAL-FY-2022-Budget-in-Brief.pdf","author":[{"family":"Pellegrin","given":"M."}],"issued":{"date-parts":[["2021"]]}}},{"id":1499,"uris":["http://zotero.org/users/4946941/items/IG6BDBSN"],"itemData":{"id":1499,"type":"article-newspaper","abstract":"These services can make the difference between being able to live at home with family or landing in a nursing facility. But state Medicaid programs don't always pay for them.","container-title":"NPR","language":"en","section":"Policy-ish","source":"NPR","title":"New federal funds spur expansion of home care services for the elderly and disabled","URL":"https://www.npr.org/sections/health-shots/2021/10/21/1048082143/new-federal-funds-spur-expansion-of-home-care-services-for-the-elderly-and-disab","author":[{"family":"Simmons-Duffin","given":"Selena"}],"accessed":{"date-parts":[["2022",9,7]]},"issued":{"date-parts":[["2021",10,21]]}}},{"id":1496,"uris":["http://zotero.org/users/4946941/items/5LWQA7T6"],"itemData":{"id":1496,"type":"article-journal","abstract":"The Community Aging in Place, Advancing Better Living for Elders (CAPABLE) program, funded by the Center for Medicare and Medicaid Innovation, aims to reduce the impact of disability among low-income older adults by addressing individual capacities and the home environment. The program, described in this innovation profile, uses an interprofessional team (an occupational therapist, a registered nurse, and a handyman) to help participants achieve goals they set. For example, it provides assistive devices and makes home repairs and modifications that enable participants to navigate their homes more easily and safely. In the period 2012–15, a demonstration project enrolled 281 adults ages sixty-five and older who were dually eligible for Medicare and Medicaid and who had difficulty performing activities of daily living (ADLs). After completing the five-month program, 75 percent of participants had improved their performance of ADLs. Participants had difficulty with an average of 3.9 out of 8.0 ADLs at baseline, compared to 2.0 after five months. Symptoms of depression and the ability to perform instrumental ADLs such as shopping and managing medications also improved. Health systems are testing CAPABLE on a larger scale. The program has the potential to improve older adults’ ability to age in place.","container-title":"Health Affairs","DOI":"10.1377/hlthaff.2016.0140","ISSN":"0278-2715","issue":"9","note":"publisher: Health Affairs","page":"1558-1563","source":"healthaffairs.org (Atypon)","title":"Home-Based Care Program Reduces Disability And Promotes Aging In Place","volume":"35","author":[{"family":"Szanton","given":"Sarah L."},{"family":"Leff","given":"Bruce"},{"family":"Wolff","given":"Jennifer L."},{"family":"Roberts","given":"Laken"},{"family":"Gitlin","given":"Laura N."}],"issued":{"date-parts":[["2016",9]]}}},{"id":1505,"uris":["http://zotero.org/users/4946941/items/EJGWXC7I"],"itemData":{"id":1505,"type":"webpage","abstract":"President Biden’s three-part agenda to rescue, recover, and rebuild the country. It includes the American Rescue Plan, American Jobs Plan and American Families Plan.","container-title":"The White House","language":"en-US","title":"The Build Back Better Framework","URL":"https://www.whitehouse.gov/build-back-better/","author":[{"family":"The White House","given":""}],"accessed":{"date-parts":[["2022",9,7]]},"issued":{"literal":"n.d."}}},{"id":1214,"uris":["http://zotero.org/users/4946941/items/NZFEUTMZ"],"itemData":{"id":1214,"type":"webpage","container-title":"Tennessee Comptroller of the Treasury, Research and Education Accountability","language":"en","title":"Senior Long-Term Care in Tennessee: Trends and Options","title-short":"Senior Long-Term Care in Tennessee","URL":"https://comptroller.tn.gov/office-functions/research-and-education-accountability/publications/other-topics/content/senior-long-term-care-in-tennessee--trends-and-options0.html","author":[{"family":"TN Comptroller","given":""}],"accessed":{"date-parts":[["2022",7,22]]},"issued":{"date-parts":[["2022"]]}}},{"id":808,"uris":["http://zotero.org/users/4946941/items/IN3PWVXW"],"itemData":{"id":808,"type":"document","language":"en","publisher":"State of Tennessee, Division of TennCare (TN TennCare)","title":"TennCare Medicaid","URL":"https://www.tn.gov/tenncare/members-applicants/eligibility/tenncare-medicaid.html","author":[{"family":"TN TennCare","given":""}],"issued":{"literal":"n.d."}}}],"schema":"https://github.com/citation-style-language/schema/raw/master/csl-citation.json"} </w:instrText>
      </w:r>
      <w:r w:rsidR="00C63229" w:rsidRPr="00424BD3">
        <w:rPr>
          <w:rFonts w:cs="Arial"/>
          <w:szCs w:val="24"/>
        </w:rPr>
        <w:fldChar w:fldCharType="separate"/>
      </w:r>
      <w:r w:rsidR="00BA7A3B" w:rsidRPr="00424BD3">
        <w:rPr>
          <w:rFonts w:cs="Arial"/>
        </w:rPr>
        <w:t>(Breysse et al., 2022; CMCS, 2021; Garfield et al., 2021; Holly, 2021; Mattson &amp; Bergfeld, 2017; Pellegrin, 2018b, 2021; Simmons-Duffin, 2021; Szanton et al., 2016; The White House, n.d.; TN Comptroller, 2022; TN TennCare, n.d.)</w:t>
      </w:r>
      <w:r w:rsidR="00C63229" w:rsidRPr="00424BD3">
        <w:rPr>
          <w:rFonts w:cs="Arial"/>
          <w:szCs w:val="24"/>
        </w:rPr>
        <w:fldChar w:fldCharType="end"/>
      </w:r>
      <w:r w:rsidR="00A913FB">
        <w:rPr>
          <w:rFonts w:cs="Arial"/>
          <w:szCs w:val="24"/>
        </w:rPr>
        <w:t>.</w:t>
      </w:r>
      <w:r w:rsidR="00DF7014" w:rsidRPr="00424BD3">
        <w:rPr>
          <w:rFonts w:cs="Arial"/>
          <w:szCs w:val="24"/>
        </w:rPr>
        <w:t xml:space="preserve"> </w:t>
      </w:r>
    </w:p>
    <w:p w14:paraId="5E6B1340" w14:textId="414932D0" w:rsidR="005732CA" w:rsidRPr="00424BD3" w:rsidRDefault="00552189" w:rsidP="00745868">
      <w:pPr>
        <w:pStyle w:val="Heading4"/>
        <w:spacing w:before="0" w:line="480" w:lineRule="auto"/>
        <w:rPr>
          <w:rFonts w:ascii="Arial" w:hAnsi="Arial" w:cs="Arial"/>
          <w:color w:val="auto"/>
        </w:rPr>
      </w:pPr>
      <w:r w:rsidRPr="00424BD3">
        <w:rPr>
          <w:rFonts w:ascii="Arial" w:hAnsi="Arial" w:cs="Arial"/>
          <w:color w:val="auto"/>
        </w:rPr>
        <w:t>P</w:t>
      </w:r>
      <w:r w:rsidR="005732CA" w:rsidRPr="00424BD3">
        <w:rPr>
          <w:rFonts w:ascii="Arial" w:hAnsi="Arial" w:cs="Arial"/>
          <w:color w:val="auto"/>
        </w:rPr>
        <w:t xml:space="preserve">reventative </w:t>
      </w:r>
      <w:r w:rsidR="00D9488A">
        <w:rPr>
          <w:rFonts w:ascii="Arial" w:hAnsi="Arial" w:cs="Arial"/>
          <w:color w:val="auto"/>
        </w:rPr>
        <w:t>C</w:t>
      </w:r>
      <w:r w:rsidR="005732CA" w:rsidRPr="00424BD3">
        <w:rPr>
          <w:rFonts w:ascii="Arial" w:hAnsi="Arial" w:cs="Arial"/>
          <w:color w:val="auto"/>
        </w:rPr>
        <w:t xml:space="preserve">are </w:t>
      </w:r>
      <w:r w:rsidR="00D9488A">
        <w:rPr>
          <w:rFonts w:ascii="Arial" w:hAnsi="Arial" w:cs="Arial"/>
          <w:color w:val="auto"/>
        </w:rPr>
        <w:t>S</w:t>
      </w:r>
      <w:r w:rsidR="002D0BC2" w:rsidRPr="00424BD3">
        <w:rPr>
          <w:rFonts w:ascii="Arial" w:hAnsi="Arial" w:cs="Arial"/>
          <w:color w:val="auto"/>
        </w:rPr>
        <w:t xml:space="preserve">creenings </w:t>
      </w:r>
      <w:r w:rsidR="005732CA" w:rsidRPr="00424BD3">
        <w:rPr>
          <w:rFonts w:ascii="Arial" w:hAnsi="Arial" w:cs="Arial"/>
          <w:color w:val="auto"/>
        </w:rPr>
        <w:t xml:space="preserve">for </w:t>
      </w:r>
      <w:r w:rsidR="00D9488A">
        <w:rPr>
          <w:rFonts w:ascii="Arial" w:hAnsi="Arial" w:cs="Arial"/>
          <w:color w:val="auto"/>
        </w:rPr>
        <w:t>W</w:t>
      </w:r>
      <w:r w:rsidR="005732CA" w:rsidRPr="00424BD3">
        <w:rPr>
          <w:rFonts w:ascii="Arial" w:hAnsi="Arial" w:cs="Arial"/>
          <w:color w:val="auto"/>
        </w:rPr>
        <w:t xml:space="preserve">omen </w:t>
      </w:r>
      <w:r w:rsidR="00D9488A">
        <w:rPr>
          <w:rFonts w:ascii="Arial" w:hAnsi="Arial" w:cs="Arial"/>
          <w:color w:val="auto"/>
        </w:rPr>
        <w:t>O</w:t>
      </w:r>
      <w:r w:rsidR="005732CA" w:rsidRPr="00424BD3">
        <w:rPr>
          <w:rFonts w:ascii="Arial" w:hAnsi="Arial" w:cs="Arial"/>
          <w:color w:val="auto"/>
        </w:rPr>
        <w:t xml:space="preserve">ver 65 </w:t>
      </w:r>
      <w:r w:rsidR="00D9488A">
        <w:rPr>
          <w:rFonts w:ascii="Arial" w:hAnsi="Arial" w:cs="Arial"/>
          <w:color w:val="auto"/>
        </w:rPr>
        <w:t>Y</w:t>
      </w:r>
      <w:r w:rsidR="00724AC6" w:rsidRPr="00424BD3">
        <w:rPr>
          <w:rFonts w:ascii="Arial" w:hAnsi="Arial" w:cs="Arial"/>
          <w:color w:val="auto"/>
        </w:rPr>
        <w:t>ears</w:t>
      </w:r>
      <w:r w:rsidR="00D9488A">
        <w:rPr>
          <w:rFonts w:ascii="Arial" w:hAnsi="Arial" w:cs="Arial"/>
          <w:color w:val="auto"/>
        </w:rPr>
        <w:t xml:space="preserve"> of Age</w:t>
      </w:r>
    </w:p>
    <w:p w14:paraId="1A9BD2B1" w14:textId="600F029C" w:rsidR="005C222C" w:rsidRPr="00424BD3" w:rsidRDefault="00CA3488" w:rsidP="00745868">
      <w:pPr>
        <w:spacing w:after="0" w:line="480" w:lineRule="auto"/>
        <w:ind w:firstLine="720"/>
        <w:rPr>
          <w:rFonts w:cs="Arial"/>
          <w:szCs w:val="24"/>
        </w:rPr>
      </w:pPr>
      <w:r w:rsidRPr="00424BD3">
        <w:rPr>
          <w:rFonts w:cs="Arial"/>
          <w:szCs w:val="24"/>
        </w:rPr>
        <w:t xml:space="preserve">In the United States, screening </w:t>
      </w:r>
      <w:r w:rsidR="00747DEF" w:rsidRPr="00424BD3">
        <w:rPr>
          <w:rFonts w:cs="Arial"/>
          <w:szCs w:val="24"/>
        </w:rPr>
        <w:t xml:space="preserve">for certain diseases in older age </w:t>
      </w:r>
      <w:r w:rsidR="00D56BA0" w:rsidRPr="00424BD3">
        <w:rPr>
          <w:rFonts w:cs="Arial"/>
          <w:szCs w:val="24"/>
        </w:rPr>
        <w:t>is recommended to stop</w:t>
      </w:r>
      <w:r w:rsidR="00747DEF" w:rsidRPr="00424BD3">
        <w:rPr>
          <w:rFonts w:cs="Arial"/>
          <w:szCs w:val="24"/>
        </w:rPr>
        <w:t xml:space="preserve"> at certain ages</w:t>
      </w:r>
      <w:r w:rsidR="00C57C95" w:rsidRPr="00424BD3">
        <w:rPr>
          <w:rFonts w:cs="Arial"/>
          <w:szCs w:val="24"/>
        </w:rPr>
        <w:t xml:space="preserve"> </w:t>
      </w:r>
      <w:r w:rsidR="00D500F7" w:rsidRPr="00424BD3">
        <w:rPr>
          <w:rFonts w:cs="Arial"/>
          <w:szCs w:val="24"/>
        </w:rPr>
        <w:fldChar w:fldCharType="begin"/>
      </w:r>
      <w:r w:rsidR="00023341">
        <w:rPr>
          <w:rFonts w:cs="Arial"/>
          <w:szCs w:val="24"/>
        </w:rPr>
        <w:instrText xml:space="preserve"> ADDIN ZOTERO_ITEM CSL_CITATION {"citationID":"8NtU75OX","properties":{"formattedCitation":"(Cedars Sinai, n.d.; Cimons, 2020; U.S. PSTF, n.d.)","plainCitation":"(Cedars Sinai, n.d.; Cimons, 2020; U.S. PSTF, n.d.)","noteIndex":0},"citationItems":[{"id":1507,"uris":["http://zotero.org/users/4946941/items/MWASFS6L"],"itemData":{"id":1507,"type":"webpage","container-title":"Cedars-Sinai","language":"en-US","title":"Prevention Guidelines for Women 65+ Years Old","URL":"https://www.cedars-sinai.org/health-library/prevention-guidelines/prevention-guidelines-for-women-65.html","author":[{"family":"Cedars Sinai","given":""}],"accessed":{"date-parts":[["2022",9,7]]},"issued":{"literal":"n.d."}}},{"id":1511,"uris":["http://zotero.org/users/4946941/items/VFYF2KJR"],"itemData":{"id":1511,"type":"article-newspaper","abstract":"The dangers or problems certain tests could be greater than their potential benefits. But patients should always consult with their doctors, experts say.","container-title":"The Washington Post","ISSN":"0190-8286","language":"en-US","source":"www.washingtonpost.com","title":"As you grow older, some preventive medical tests can actually be skipped","URL":"https://www.washingtonpost.com/health/medical-tests-screening-skip-aging/2020/12/18/5bd0a088-3e34-11eb-8bc0-ae155bee4aff_story.html","author":[{"family":"Cimons","given":"Marlene"}],"accessed":{"date-parts":[["2022",9,7]]},"issued":{"date-parts":[["2020",12,19]]}}},{"id":1509,"uris":["http://zotero.org/users/4946941/items/99RD9TJI"],"itemData":{"id":1509,"type":"webpage","container-title":"U.S. Preventative Services Task Force (U.S. PSTF)","title":"Recommendations.","URL":"https://www.uspreventiveservicestaskforce.org/uspstf/topic_search_results?topic_status=P","author":[{"family":"U.S. PSTF","given":""}],"accessed":{"date-parts":[["2022",9,7]]},"issued":{"literal":"n.d."}}}],"schema":"https://github.com/citation-style-language/schema/raw/master/csl-citation.json"} </w:instrText>
      </w:r>
      <w:r w:rsidR="00D500F7" w:rsidRPr="00424BD3">
        <w:rPr>
          <w:rFonts w:cs="Arial"/>
          <w:szCs w:val="24"/>
        </w:rPr>
        <w:fldChar w:fldCharType="separate"/>
      </w:r>
      <w:r w:rsidR="00FD0F12" w:rsidRPr="00424BD3">
        <w:rPr>
          <w:rFonts w:cs="Arial"/>
        </w:rPr>
        <w:t>(Cedars Sinai, n.d.; Cimons, 2020; U.S. PSTF, n.d.)</w:t>
      </w:r>
      <w:r w:rsidR="00D500F7" w:rsidRPr="00424BD3">
        <w:rPr>
          <w:rFonts w:cs="Arial"/>
          <w:szCs w:val="24"/>
        </w:rPr>
        <w:fldChar w:fldCharType="end"/>
      </w:r>
      <w:r w:rsidR="00747DEF" w:rsidRPr="00424BD3">
        <w:rPr>
          <w:rFonts w:cs="Arial"/>
          <w:szCs w:val="24"/>
        </w:rPr>
        <w:t xml:space="preserve">. As noted by </w:t>
      </w:r>
      <w:r w:rsidR="00747DEF" w:rsidRPr="00424BD3">
        <w:rPr>
          <w:rFonts w:cs="Arial"/>
          <w:szCs w:val="24"/>
        </w:rPr>
        <w:lastRenderedPageBreak/>
        <w:t>the women in this study, this is a serious concern for older peop</w:t>
      </w:r>
      <w:r w:rsidR="00DE2EB3" w:rsidRPr="00424BD3">
        <w:rPr>
          <w:rFonts w:cs="Arial"/>
          <w:szCs w:val="24"/>
        </w:rPr>
        <w:t xml:space="preserve">le because </w:t>
      </w:r>
      <w:r w:rsidR="00E618E7" w:rsidRPr="00424BD3">
        <w:rPr>
          <w:rFonts w:cs="Arial"/>
          <w:szCs w:val="24"/>
        </w:rPr>
        <w:t>disease is not age-specific</w:t>
      </w:r>
      <w:r w:rsidR="00B0262E" w:rsidRPr="00424BD3">
        <w:rPr>
          <w:rFonts w:cs="Arial"/>
          <w:szCs w:val="24"/>
        </w:rPr>
        <w:t xml:space="preserve">, even if </w:t>
      </w:r>
      <w:r w:rsidR="00BB596D" w:rsidRPr="00424BD3">
        <w:rPr>
          <w:rFonts w:cs="Arial"/>
          <w:szCs w:val="24"/>
        </w:rPr>
        <w:t xml:space="preserve">older people </w:t>
      </w:r>
      <w:r w:rsidR="00B0262E" w:rsidRPr="00424BD3">
        <w:rPr>
          <w:rFonts w:cs="Arial"/>
          <w:szCs w:val="24"/>
        </w:rPr>
        <w:t xml:space="preserve">may be considered </w:t>
      </w:r>
      <w:r w:rsidR="00BB596D" w:rsidRPr="00424BD3">
        <w:rPr>
          <w:rFonts w:cs="Arial"/>
          <w:szCs w:val="24"/>
        </w:rPr>
        <w:t>at less risk</w:t>
      </w:r>
      <w:r w:rsidR="00DF36EB" w:rsidRPr="00424BD3">
        <w:rPr>
          <w:rFonts w:cs="Arial"/>
          <w:szCs w:val="24"/>
        </w:rPr>
        <w:t xml:space="preserve"> for a given disease</w:t>
      </w:r>
      <w:r w:rsidR="00E618E7" w:rsidRPr="00424BD3">
        <w:rPr>
          <w:rFonts w:cs="Arial"/>
          <w:szCs w:val="24"/>
        </w:rPr>
        <w:t xml:space="preserve">. In fact, several of the women have family health histories of older relatives </w:t>
      </w:r>
      <w:r w:rsidR="00E67083" w:rsidRPr="00424BD3">
        <w:rPr>
          <w:rFonts w:cs="Arial"/>
          <w:szCs w:val="24"/>
        </w:rPr>
        <w:t xml:space="preserve">who had diseases of which preventative </w:t>
      </w:r>
      <w:r w:rsidR="007757F6" w:rsidRPr="00424BD3">
        <w:rPr>
          <w:rFonts w:cs="Arial"/>
          <w:szCs w:val="24"/>
        </w:rPr>
        <w:t xml:space="preserve">screening had stopped prior to the age of which they were diagnosed. </w:t>
      </w:r>
      <w:r w:rsidR="00B16A39" w:rsidRPr="00424BD3">
        <w:rPr>
          <w:rFonts w:cs="Arial"/>
          <w:szCs w:val="24"/>
        </w:rPr>
        <w:t xml:space="preserve">As noted earlier in this dissertation, </w:t>
      </w:r>
      <w:r w:rsidR="00FA467E" w:rsidRPr="00424BD3">
        <w:rPr>
          <w:rFonts w:cs="Arial"/>
          <w:szCs w:val="24"/>
        </w:rPr>
        <w:t>the women have concerns about developing the diseases their family members developed or died from</w:t>
      </w:r>
      <w:r w:rsidR="001A71DB" w:rsidRPr="00424BD3">
        <w:rPr>
          <w:rFonts w:cs="Arial"/>
          <w:szCs w:val="24"/>
        </w:rPr>
        <w:t xml:space="preserve">, so they have asked for preventative screenings for those diseases, </w:t>
      </w:r>
      <w:r w:rsidR="008E01AF" w:rsidRPr="00424BD3">
        <w:rPr>
          <w:rFonts w:cs="Arial"/>
          <w:szCs w:val="24"/>
        </w:rPr>
        <w:t xml:space="preserve">only to be denied by their healthcare or insurance provider. </w:t>
      </w:r>
    </w:p>
    <w:p w14:paraId="56F56890" w14:textId="275A90E7" w:rsidR="004C45FA" w:rsidRPr="00424BD3" w:rsidRDefault="00EE14D5" w:rsidP="00AE2E7F">
      <w:pPr>
        <w:spacing w:after="0" w:line="480" w:lineRule="auto"/>
        <w:ind w:firstLine="720"/>
        <w:rPr>
          <w:rFonts w:cs="Arial"/>
          <w:szCs w:val="24"/>
        </w:rPr>
      </w:pPr>
      <w:r w:rsidRPr="00424BD3">
        <w:rPr>
          <w:rFonts w:cs="Arial"/>
          <w:szCs w:val="24"/>
        </w:rPr>
        <w:t>Current p</w:t>
      </w:r>
      <w:r w:rsidR="002D0BC2" w:rsidRPr="00424BD3">
        <w:rPr>
          <w:rFonts w:cs="Arial"/>
          <w:szCs w:val="24"/>
        </w:rPr>
        <w:t>reventative care screenings</w:t>
      </w:r>
      <w:r w:rsidR="00441719" w:rsidRPr="00424BD3">
        <w:rPr>
          <w:rFonts w:cs="Arial"/>
          <w:szCs w:val="24"/>
        </w:rPr>
        <w:t xml:space="preserve"> recommendations are at odds with the</w:t>
      </w:r>
      <w:r w:rsidRPr="00424BD3">
        <w:rPr>
          <w:rFonts w:cs="Arial"/>
          <w:szCs w:val="24"/>
        </w:rPr>
        <w:t xml:space="preserve"> </w:t>
      </w:r>
      <w:r w:rsidR="007205C0" w:rsidRPr="00424BD3">
        <w:rPr>
          <w:rFonts w:cs="Arial"/>
          <w:szCs w:val="24"/>
        </w:rPr>
        <w:t>desire</w:t>
      </w:r>
      <w:r w:rsidR="00DF7633" w:rsidRPr="00424BD3">
        <w:rPr>
          <w:rFonts w:cs="Arial"/>
          <w:szCs w:val="24"/>
        </w:rPr>
        <w:t>s</w:t>
      </w:r>
      <w:r w:rsidR="007205C0" w:rsidRPr="00424BD3">
        <w:rPr>
          <w:rFonts w:cs="Arial"/>
          <w:szCs w:val="24"/>
        </w:rPr>
        <w:t xml:space="preserve"> of the women in this study for continued screening into old age</w:t>
      </w:r>
      <w:r w:rsidR="00DF7633" w:rsidRPr="00424BD3">
        <w:rPr>
          <w:rFonts w:cs="Arial"/>
          <w:szCs w:val="24"/>
        </w:rPr>
        <w:t>, ev</w:t>
      </w:r>
      <w:r w:rsidR="004240DD" w:rsidRPr="00424BD3">
        <w:rPr>
          <w:rFonts w:cs="Arial"/>
          <w:szCs w:val="24"/>
        </w:rPr>
        <w:t xml:space="preserve">en as they reach the oldest of old ages. </w:t>
      </w:r>
      <w:r w:rsidR="00985D48" w:rsidRPr="00424BD3">
        <w:rPr>
          <w:rFonts w:cs="Arial"/>
          <w:szCs w:val="24"/>
        </w:rPr>
        <w:t>While there are</w:t>
      </w:r>
      <w:r w:rsidR="008C5EBC" w:rsidRPr="00424BD3">
        <w:rPr>
          <w:rFonts w:cs="Arial"/>
          <w:szCs w:val="24"/>
        </w:rPr>
        <w:t xml:space="preserve"> risk reasons that healthcare providers and health bodies have for the stoppage of </w:t>
      </w:r>
      <w:r w:rsidR="00C028F4" w:rsidRPr="00424BD3">
        <w:rPr>
          <w:rFonts w:cs="Arial"/>
          <w:szCs w:val="24"/>
        </w:rPr>
        <w:t xml:space="preserve">certain screenings, perhaps the best solution would be to allow older women </w:t>
      </w:r>
      <w:r w:rsidR="00DD0F98" w:rsidRPr="00424BD3">
        <w:rPr>
          <w:rFonts w:cs="Arial"/>
          <w:szCs w:val="24"/>
        </w:rPr>
        <w:t xml:space="preserve">in </w:t>
      </w:r>
      <w:r w:rsidR="0046109E" w:rsidRPr="00424BD3">
        <w:rPr>
          <w:rFonts w:cs="Arial"/>
          <w:szCs w:val="24"/>
        </w:rPr>
        <w:t>partnership</w:t>
      </w:r>
      <w:r w:rsidR="00DD0F98" w:rsidRPr="00424BD3">
        <w:rPr>
          <w:rFonts w:cs="Arial"/>
          <w:szCs w:val="24"/>
        </w:rPr>
        <w:t xml:space="preserve"> with their providers </w:t>
      </w:r>
      <w:r w:rsidR="00C028F4" w:rsidRPr="00424BD3">
        <w:rPr>
          <w:rFonts w:cs="Arial"/>
          <w:szCs w:val="24"/>
        </w:rPr>
        <w:t xml:space="preserve">to make well-informed </w:t>
      </w:r>
      <w:r w:rsidR="00B559F3" w:rsidRPr="00424BD3">
        <w:rPr>
          <w:rFonts w:cs="Arial"/>
          <w:szCs w:val="24"/>
        </w:rPr>
        <w:t xml:space="preserve">decisions regarding </w:t>
      </w:r>
      <w:r w:rsidR="0046109E" w:rsidRPr="00424BD3">
        <w:rPr>
          <w:rFonts w:cs="Arial"/>
          <w:szCs w:val="24"/>
        </w:rPr>
        <w:t xml:space="preserve">their own </w:t>
      </w:r>
      <w:r w:rsidR="005D75B8" w:rsidRPr="00424BD3">
        <w:rPr>
          <w:rFonts w:cs="Arial"/>
          <w:szCs w:val="24"/>
        </w:rPr>
        <w:t xml:space="preserve">preventative </w:t>
      </w:r>
      <w:r w:rsidR="00B559F3" w:rsidRPr="00424BD3">
        <w:rPr>
          <w:rFonts w:cs="Arial"/>
          <w:szCs w:val="24"/>
        </w:rPr>
        <w:t>screenings</w:t>
      </w:r>
      <w:r w:rsidR="005D75B8" w:rsidRPr="00424BD3">
        <w:rPr>
          <w:rFonts w:cs="Arial"/>
          <w:szCs w:val="24"/>
        </w:rPr>
        <w:t>.</w:t>
      </w:r>
    </w:p>
    <w:p w14:paraId="67018838" w14:textId="5A66F9AD" w:rsidR="005732CA" w:rsidRPr="00424BD3" w:rsidRDefault="00AE2E7F" w:rsidP="00AE2E7F">
      <w:pPr>
        <w:pStyle w:val="Heading4"/>
        <w:spacing w:before="0" w:line="480" w:lineRule="auto"/>
        <w:rPr>
          <w:rFonts w:ascii="Arial" w:hAnsi="Arial" w:cs="Arial"/>
          <w:color w:val="auto"/>
        </w:rPr>
      </w:pPr>
      <w:r w:rsidRPr="00424BD3">
        <w:rPr>
          <w:rFonts w:ascii="Arial" w:hAnsi="Arial" w:cs="Arial"/>
          <w:color w:val="auto"/>
        </w:rPr>
        <w:t xml:space="preserve">Coverage for </w:t>
      </w:r>
      <w:r w:rsidR="00D527E0">
        <w:rPr>
          <w:rFonts w:ascii="Arial" w:hAnsi="Arial" w:cs="Arial"/>
          <w:color w:val="auto"/>
        </w:rPr>
        <w:t>M</w:t>
      </w:r>
      <w:r w:rsidR="005732CA" w:rsidRPr="00424BD3">
        <w:rPr>
          <w:rFonts w:ascii="Arial" w:hAnsi="Arial" w:cs="Arial"/>
          <w:color w:val="auto"/>
        </w:rPr>
        <w:t xml:space="preserve">ental </w:t>
      </w:r>
      <w:r w:rsidR="00D527E0">
        <w:rPr>
          <w:rFonts w:ascii="Arial" w:hAnsi="Arial" w:cs="Arial"/>
          <w:color w:val="auto"/>
        </w:rPr>
        <w:t>H</w:t>
      </w:r>
      <w:r w:rsidR="005732CA" w:rsidRPr="00424BD3">
        <w:rPr>
          <w:rFonts w:ascii="Arial" w:hAnsi="Arial" w:cs="Arial"/>
          <w:color w:val="auto"/>
        </w:rPr>
        <w:t xml:space="preserve">ealth, </w:t>
      </w:r>
      <w:r w:rsidR="00D527E0">
        <w:rPr>
          <w:rFonts w:ascii="Arial" w:hAnsi="Arial" w:cs="Arial"/>
          <w:color w:val="auto"/>
        </w:rPr>
        <w:t>D</w:t>
      </w:r>
      <w:r w:rsidR="005732CA" w:rsidRPr="00424BD3">
        <w:rPr>
          <w:rFonts w:ascii="Arial" w:hAnsi="Arial" w:cs="Arial"/>
          <w:color w:val="auto"/>
        </w:rPr>
        <w:t xml:space="preserve">ental, </w:t>
      </w:r>
      <w:r w:rsidR="00D527E0">
        <w:rPr>
          <w:rFonts w:ascii="Arial" w:hAnsi="Arial" w:cs="Arial"/>
          <w:color w:val="auto"/>
        </w:rPr>
        <w:t>E</w:t>
      </w:r>
      <w:r w:rsidR="005732CA" w:rsidRPr="00424BD3">
        <w:rPr>
          <w:rFonts w:ascii="Arial" w:hAnsi="Arial" w:cs="Arial"/>
          <w:color w:val="auto"/>
        </w:rPr>
        <w:t xml:space="preserve">ye, </w:t>
      </w:r>
      <w:r w:rsidR="00D527E0">
        <w:rPr>
          <w:rFonts w:ascii="Arial" w:hAnsi="Arial" w:cs="Arial"/>
          <w:color w:val="auto"/>
        </w:rPr>
        <w:t>and H</w:t>
      </w:r>
      <w:r w:rsidR="005732CA" w:rsidRPr="00424BD3">
        <w:rPr>
          <w:rFonts w:ascii="Arial" w:hAnsi="Arial" w:cs="Arial"/>
          <w:color w:val="auto"/>
        </w:rPr>
        <w:t>earing</w:t>
      </w:r>
      <w:r w:rsidR="00D527E0">
        <w:rPr>
          <w:rFonts w:ascii="Arial" w:hAnsi="Arial" w:cs="Arial"/>
          <w:color w:val="auto"/>
        </w:rPr>
        <w:t xml:space="preserve"> Care</w:t>
      </w:r>
      <w:r w:rsidR="005732CA" w:rsidRPr="00424BD3">
        <w:rPr>
          <w:rFonts w:ascii="Arial" w:hAnsi="Arial" w:cs="Arial"/>
          <w:color w:val="auto"/>
        </w:rPr>
        <w:t xml:space="preserve">, and </w:t>
      </w:r>
      <w:r w:rsidR="00D527E0">
        <w:rPr>
          <w:rFonts w:ascii="Arial" w:hAnsi="Arial" w:cs="Arial"/>
          <w:color w:val="auto"/>
        </w:rPr>
        <w:t>P</w:t>
      </w:r>
      <w:r w:rsidR="005732CA" w:rsidRPr="00424BD3">
        <w:rPr>
          <w:rFonts w:ascii="Arial" w:hAnsi="Arial" w:cs="Arial"/>
          <w:color w:val="auto"/>
        </w:rPr>
        <w:t xml:space="preserve">rescription </w:t>
      </w:r>
      <w:r w:rsidR="00D527E0">
        <w:rPr>
          <w:rFonts w:ascii="Arial" w:hAnsi="Arial" w:cs="Arial"/>
          <w:color w:val="auto"/>
        </w:rPr>
        <w:t>D</w:t>
      </w:r>
      <w:r w:rsidR="005732CA" w:rsidRPr="00424BD3">
        <w:rPr>
          <w:rFonts w:ascii="Arial" w:hAnsi="Arial" w:cs="Arial"/>
          <w:color w:val="auto"/>
        </w:rPr>
        <w:t>rug</w:t>
      </w:r>
      <w:r w:rsidRPr="00424BD3">
        <w:rPr>
          <w:rFonts w:ascii="Arial" w:hAnsi="Arial" w:cs="Arial"/>
          <w:color w:val="auto"/>
        </w:rPr>
        <w:t>s</w:t>
      </w:r>
    </w:p>
    <w:p w14:paraId="173E5556" w14:textId="4C960BC7" w:rsidR="005732CA" w:rsidRPr="00424BD3" w:rsidRDefault="005732CA" w:rsidP="00AE2E7F">
      <w:pPr>
        <w:spacing w:after="0" w:line="480" w:lineRule="auto"/>
        <w:ind w:firstLine="720"/>
        <w:rPr>
          <w:rFonts w:cs="Arial"/>
          <w:szCs w:val="24"/>
        </w:rPr>
      </w:pPr>
      <w:r w:rsidRPr="00424BD3">
        <w:rPr>
          <w:rFonts w:cs="Arial"/>
          <w:szCs w:val="24"/>
        </w:rPr>
        <w:t xml:space="preserve">None of the women in this study qualify for TennCare, placing several of them in the “Medicare gap”. Only some of them can afford supplemental health insurance, leaving those who can’t without the ability to afford </w:t>
      </w:r>
      <w:r w:rsidR="00CB0769" w:rsidRPr="00424BD3">
        <w:rPr>
          <w:rFonts w:cs="Arial"/>
          <w:szCs w:val="24"/>
        </w:rPr>
        <w:t xml:space="preserve">healthcare </w:t>
      </w:r>
      <w:r w:rsidRPr="00424BD3">
        <w:rPr>
          <w:rFonts w:cs="Arial"/>
          <w:szCs w:val="24"/>
        </w:rPr>
        <w:t>services they need</w:t>
      </w:r>
      <w:r w:rsidR="000C28F1" w:rsidRPr="00424BD3">
        <w:rPr>
          <w:rFonts w:cs="Arial"/>
          <w:szCs w:val="24"/>
        </w:rPr>
        <w:t>, such as mental health</w:t>
      </w:r>
      <w:r w:rsidR="00CC729A" w:rsidRPr="00424BD3">
        <w:rPr>
          <w:rFonts w:cs="Arial"/>
          <w:szCs w:val="24"/>
        </w:rPr>
        <w:t xml:space="preserve"> care</w:t>
      </w:r>
      <w:r w:rsidR="000C28F1" w:rsidRPr="00424BD3">
        <w:rPr>
          <w:rFonts w:cs="Arial"/>
          <w:szCs w:val="24"/>
        </w:rPr>
        <w:t>, dental</w:t>
      </w:r>
      <w:r w:rsidR="00CC729A" w:rsidRPr="00424BD3">
        <w:rPr>
          <w:rFonts w:cs="Arial"/>
          <w:szCs w:val="24"/>
        </w:rPr>
        <w:t xml:space="preserve"> care</w:t>
      </w:r>
      <w:r w:rsidR="000C28F1" w:rsidRPr="00424BD3">
        <w:rPr>
          <w:rFonts w:cs="Arial"/>
          <w:szCs w:val="24"/>
        </w:rPr>
        <w:t>, eye</w:t>
      </w:r>
      <w:r w:rsidR="00CC729A" w:rsidRPr="00424BD3">
        <w:rPr>
          <w:rFonts w:cs="Arial"/>
          <w:szCs w:val="24"/>
        </w:rPr>
        <w:t xml:space="preserve"> </w:t>
      </w:r>
      <w:r w:rsidR="00053C9E" w:rsidRPr="00424BD3">
        <w:rPr>
          <w:rFonts w:cs="Arial"/>
          <w:szCs w:val="24"/>
        </w:rPr>
        <w:t>care,</w:t>
      </w:r>
      <w:r w:rsidR="000C28F1" w:rsidRPr="00424BD3">
        <w:rPr>
          <w:rFonts w:cs="Arial"/>
          <w:szCs w:val="24"/>
        </w:rPr>
        <w:t xml:space="preserve"> hearing</w:t>
      </w:r>
      <w:r w:rsidR="00CC729A" w:rsidRPr="00424BD3">
        <w:rPr>
          <w:rFonts w:cs="Arial"/>
          <w:szCs w:val="24"/>
        </w:rPr>
        <w:t xml:space="preserve"> care</w:t>
      </w:r>
      <w:r w:rsidR="000C28F1" w:rsidRPr="00424BD3">
        <w:rPr>
          <w:rFonts w:cs="Arial"/>
          <w:szCs w:val="24"/>
        </w:rPr>
        <w:t xml:space="preserve">, or </w:t>
      </w:r>
      <w:r w:rsidR="00CC729A" w:rsidRPr="00424BD3">
        <w:rPr>
          <w:rFonts w:cs="Arial"/>
          <w:szCs w:val="24"/>
        </w:rPr>
        <w:t xml:space="preserve">access to affordable </w:t>
      </w:r>
      <w:r w:rsidR="000C28F1" w:rsidRPr="00424BD3">
        <w:rPr>
          <w:rFonts w:cs="Arial"/>
          <w:szCs w:val="24"/>
        </w:rPr>
        <w:t>prescription drug</w:t>
      </w:r>
      <w:r w:rsidR="00A252C7" w:rsidRPr="00424BD3">
        <w:rPr>
          <w:rFonts w:cs="Arial"/>
          <w:szCs w:val="24"/>
        </w:rPr>
        <w:t>s</w:t>
      </w:r>
      <w:r w:rsidRPr="00424BD3">
        <w:rPr>
          <w:rFonts w:cs="Arial"/>
          <w:szCs w:val="24"/>
        </w:rPr>
        <w:t xml:space="preserve">. </w:t>
      </w:r>
      <w:r w:rsidR="00A04A01" w:rsidRPr="00424BD3">
        <w:rPr>
          <w:rFonts w:cs="Arial"/>
          <w:szCs w:val="24"/>
        </w:rPr>
        <w:t>This would also include more providers, facilities</w:t>
      </w:r>
      <w:r w:rsidR="004A1D28">
        <w:rPr>
          <w:rFonts w:cs="Arial"/>
          <w:szCs w:val="24"/>
        </w:rPr>
        <w:t>,</w:t>
      </w:r>
      <w:r w:rsidR="00A04A01" w:rsidRPr="00424BD3">
        <w:rPr>
          <w:rFonts w:cs="Arial"/>
          <w:szCs w:val="24"/>
        </w:rPr>
        <w:t xml:space="preserve"> and health programs that accept supplemental insurance and / or Medicare.</w:t>
      </w:r>
    </w:p>
    <w:p w14:paraId="4C27D49E" w14:textId="23E70F05" w:rsidR="00A04A01" w:rsidRPr="00424BD3" w:rsidRDefault="009826F0" w:rsidP="0035155A">
      <w:pPr>
        <w:spacing w:after="0" w:line="480" w:lineRule="auto"/>
        <w:ind w:firstLine="720"/>
        <w:rPr>
          <w:rFonts w:cs="Arial"/>
          <w:szCs w:val="24"/>
        </w:rPr>
      </w:pPr>
      <w:r w:rsidRPr="00424BD3">
        <w:rPr>
          <w:rFonts w:cs="Arial"/>
          <w:szCs w:val="24"/>
        </w:rPr>
        <w:t>F</w:t>
      </w:r>
      <w:r w:rsidR="00A04A01" w:rsidRPr="00424BD3">
        <w:rPr>
          <w:rFonts w:cs="Arial"/>
          <w:szCs w:val="24"/>
        </w:rPr>
        <w:t xml:space="preserve">or these women, concerns around Tennessee’s funding of services (or lack of it) and refusal to expand federal services such as Medicaid contributed to their </w:t>
      </w:r>
      <w:r w:rsidR="00A04A01" w:rsidRPr="00424BD3">
        <w:rPr>
          <w:rFonts w:cs="Arial"/>
          <w:szCs w:val="24"/>
        </w:rPr>
        <w:lastRenderedPageBreak/>
        <w:t xml:space="preserve">responses </w:t>
      </w:r>
      <w:r w:rsidR="00563C23" w:rsidRPr="00424BD3">
        <w:rPr>
          <w:rFonts w:cs="Arial"/>
          <w:szCs w:val="24"/>
        </w:rPr>
        <w:t xml:space="preserve">of </w:t>
      </w:r>
      <w:r w:rsidRPr="00424BD3">
        <w:rPr>
          <w:rFonts w:cs="Arial"/>
          <w:szCs w:val="24"/>
        </w:rPr>
        <w:t xml:space="preserve">lack of </w:t>
      </w:r>
      <w:r w:rsidR="00A04A01" w:rsidRPr="00424BD3">
        <w:rPr>
          <w:rFonts w:cs="Arial"/>
          <w:szCs w:val="24"/>
        </w:rPr>
        <w:t>access as their major concern of the health inequities they face.</w:t>
      </w:r>
      <w:r w:rsidR="00A52F92" w:rsidRPr="00424BD3">
        <w:rPr>
          <w:rFonts w:cs="Arial"/>
          <w:szCs w:val="24"/>
        </w:rPr>
        <w:t xml:space="preserve"> Their concerns about access for themselves most often referred to these areas that </w:t>
      </w:r>
      <w:r w:rsidR="00682084" w:rsidRPr="00424BD3">
        <w:rPr>
          <w:rFonts w:cs="Arial"/>
          <w:szCs w:val="24"/>
        </w:rPr>
        <w:t>may</w:t>
      </w:r>
      <w:r w:rsidR="00A52F92" w:rsidRPr="00424BD3">
        <w:rPr>
          <w:rFonts w:cs="Arial"/>
          <w:szCs w:val="24"/>
        </w:rPr>
        <w:t xml:space="preserve"> not </w:t>
      </w:r>
      <w:r w:rsidR="00682084" w:rsidRPr="00424BD3">
        <w:rPr>
          <w:rFonts w:cs="Arial"/>
          <w:szCs w:val="24"/>
        </w:rPr>
        <w:t xml:space="preserve">be </w:t>
      </w:r>
      <w:r w:rsidR="00A52F92" w:rsidRPr="00424BD3">
        <w:rPr>
          <w:rFonts w:cs="Arial"/>
          <w:szCs w:val="24"/>
        </w:rPr>
        <w:t xml:space="preserve">covered by </w:t>
      </w:r>
      <w:r w:rsidR="00536A34" w:rsidRPr="00424BD3">
        <w:rPr>
          <w:rFonts w:cs="Arial"/>
          <w:szCs w:val="24"/>
        </w:rPr>
        <w:t>the type of Medic</w:t>
      </w:r>
      <w:r w:rsidR="00526BEB" w:rsidRPr="00424BD3">
        <w:rPr>
          <w:rFonts w:cs="Arial"/>
          <w:szCs w:val="24"/>
        </w:rPr>
        <w:t>are for which they are eligible</w:t>
      </w:r>
      <w:r w:rsidR="007374CA" w:rsidRPr="00424BD3">
        <w:rPr>
          <w:rFonts w:cs="Arial"/>
          <w:szCs w:val="24"/>
        </w:rPr>
        <w:t xml:space="preserve"> </w:t>
      </w:r>
      <w:r w:rsidR="00922F96" w:rsidRPr="00424BD3">
        <w:rPr>
          <w:rFonts w:cs="Arial"/>
          <w:szCs w:val="24"/>
        </w:rPr>
        <w:fldChar w:fldCharType="begin"/>
      </w:r>
      <w:r w:rsidR="006B2E9B">
        <w:rPr>
          <w:rFonts w:cs="Arial"/>
          <w:szCs w:val="24"/>
        </w:rPr>
        <w:instrText xml:space="preserve"> ADDIN ZOTERO_ITEM CSL_CITATION {"citationID":"ImHKpyKL","properties":{"formattedCitation":"(CDC, 2021; Gunja &amp; Williams II, 2022; Kirzinger et al., 2019; Olson et al., 2022; Queen, n.d.; Tarazi et al., 2017)","plainCitation":"(CDC, 2021; Gunja &amp; Williams II, 2022; Kirzinger et al., 2019; Olson et al., 2022; Queen, n.d.; Tarazi et al., 2017)","noteIndex":0},"citationItems":[{"id":1513,"uris":["http://zotero.org/users/4946941/items/EPJ4IUPR"],"itemData":{"id":1513,"type":"webpage","abstract":"Oral Health for Older Americans","container-title":"Centers for Disease Control and Prevention (CDC), Division of Oral Health","language":"en-us","title":"Oral Health for Older Americans | Adult Oral Health | Basics |","URL":"https://www.cdc.gov/oralhealth/basics/adult-oral-health/adult_older.htm","author":[{"family":"CDC","given":""}],"accessed":{"date-parts":[["2022",9,7]]},"issued":{"date-parts":[["2021",5,5]]}}},{"id":1527,"uris":["http://zotero.org/users/4946941/items/THZAFKTX"],"itemData":{"id":1527,"type":"webpage","abstract":"Among older adults in 11 countries, Medicare beneficiaries in the United States were the most likely to report being diagnosed with a mental health condition.","container-title":"Commonwealthfund.org","language":"en","note":"DOI: 10.26099/crks-9c82","title":"Comparing Older Adults’ Mental Health Needs and Access to Treatment in the U.S. and Other High-Income Countries","URL":"https://www.commonwealthfund.org/publications/issue-briefs/2022/jan/comparing-older-adults-mental-health-needs-and-access-treatment","author":[{"family":"Gunja","given":"Munira Z."},{"family":"Williams II","given":"Reginald D."}],"accessed":{"date-parts":[["2022",9,7]]},"issued":{"date-parts":[["2022",1,21]]}}},{"id":1529,"uris":["http://zotero.org/users/4946941/items/83JGG8IP"],"itemData":{"id":1529,"type":"report","abstract":"This data note explores the attitudes and experiences of older adults, ages 65 and up, when it comes to prescription drugs and related policy proposals being discussed. Experiences across different…","language":"en-US","publisher":"Kaiser Family Foundation","title":"Data Note: Prescription Drugs and Older Adults","title-short":"Data Note","URL":"https://www.kff.org/health-reform/issue-brief/data-note-prescription-drugs-and-older-adults/","author":[{"family":"Kirzinger","given":"Ashley"},{"family":"Neuman","given":"Tricia"},{"family":"Cubanski","given":"Juliette"},{"family":"Brodie","given":"Mollyann"}],"accessed":{"date-parts":[["2022",9,7]]},"issued":{"date-parts":[["2019",8,9]]}}},{"id":1531,"uris":["http://zotero.org/users/4946941/items/3MY66NEB"],"itemData":{"id":1531,"type":"article-journal","abstract":"BACKGROUND: Cost-related nonadherence compromises successful and effective management of chronic disease. The Medicare Modernization Act of 2003 (MMA) and Patient Protection and Affordable Care Act of 2010 (ACA) aimed to increase the affordability of outpatient prescription drugs for older adults (older than age 64 years). The Medicare Part D prescription drug insurance coverage gap (“donut hole”) created by the MMA was fully closed in 2020 by the ACA.\n\nOBJECTIVES: To (1) describe prescription drug coverage and financial hardship from purchasing prescription drugs among older American adults for 2021, (2) compare these results with findings from data collected before the MMA and during the progressive elimination of the Medicare Part D coverage gap, and (3) compute the likelihood for financial hardship from purchasing prescription drugs using variables for year, prescription drug insurance coverage, health-related information, and demographics.\n\nMETHODS: Data were obtained from 4 nationally distributed, crosssectional surveys of older adults to track coverage for and financial hardship from purchasing prescription drugs. Surveys in 1998 and 2001 were mailed to national random samples of US seniors. Of 2,434 deliverable surveys, 700 (29%) provided useable data. Data were collected in 2015 and 2021 via online surveys sent to samples of US adults. Of 27,694 usable responses, 4,445 were from older adults. Descriptive statistics and logistic regression analyses described relationships among financial hardship and demographics, diagnoses, and daily prescription drug use.\n\nRESULTS: Five percent of older adults lacked prescription drug coverage in 2021, continuing a downward trend from 32% in 1998, 29% in 2001, and 9% in 2015. Contrastingly, 20% of older adults reported financial hardship from prescription drug purchases in 2021, bending an upward trend from 19% in 1998, 31% in 2001, and 36% in 2015. Financial hardship from purchasing prescription drugs was more likely to be reported by older adults lacking prescription drug insurance, taking multiple medications daily, and having a low annual household income across all survey years. The latter 2 of these 3 factors were still predictive of financial hardship from purchasing prescription drugs among older adults with prescription drug insurance.\n\nCONCLUSIONS: Financial hardship from purchasing prescription drugs is still experienced by many older adults after the full implementation of the MMA and ACA. Lacking prescription drug coverage, taking more than 5 prescription drugs daily, and a low annual household income may increase the likelihood of experiencing this financial hardship. Pharmacists can be a resource for older adults making choices about their prescription drug coverages and purchases.\n\nDISCLOSURES: Funding was provided by the American Association of Colleges of Pharmacy New Investigator Program, the University of Minnesota Grant-in-Aid of Research Program, the Peters Endowment for Pharmacy Practice Innovation, the Chapman University Research Program, and the University Minnesota Research Program.","container-title":"Journal of Managed Care &amp; Specialty Pharmacy","DOI":"10.18553/jmcp.2022.28.5.508","ISSN":"2376-0540","issue":"5","journalAbbreviation":"JMCP","note":"publisher: Academy of Managed Care Pharmacy","page":"508-517","source":"jmcp.org (Atypon)","title":"Financial hardship from purchasing prescription drugs among older adults in the United States before, during, and after the Medicare Part D “Donut Hole”: Findings from 1998, 2001, 2015, and 2021","title-short":"Financial hardship from purchasing prescription drugs among older adults in the United States before, during, and after the Medicare Part D “Donut Hole”","volume":"28","author":[{"family":"Olson","given":"Anthony W"},{"family":"Schommer","given":"Jon C"},{"family":"Mott","given":"David A"},{"family":"Adekunle","given":"OLajide"},{"family":"Brown","given":"Lawrence M"}],"issued":{"date-parts":[["2022",5]]}}},{"id":1515,"uris":["http://zotero.org/users/4946941/items/W58ISME8"],"itemData":{"id":1515,"type":"webpage","abstract":"Is vision insurance for seniors needed to supplement Medicare coverage? All About Vision reviews the pros and cons of supplemental vision insurance for seniors.","container-title":"All About Vision","language":"en-us","title":"Are vision insurance plans for seniors needed?","URL":"https://www.allaboutvision.com/vision-insurance/vision-plans-seniors/","author":[{"family":"Queen","given":"Karen"}],"accessed":{"date-parts":[["2022",9,7]]},"issued":{"literal":"n.d."}}},{"id":813,"uris":["http://zotero.org/users/4946941/items/MILGQ93J"],"itemData":{"id":813,"type":"article-journal","container-title":"Health services research","DOI":"10.1111/1475-6773.12515","issue":"3","language":"en","page":"1156","title":"Medicaid disenrollment and disparities in access to care: evidence from Tennessee","volume":"52","author":[{"family":"Tarazi","given":"W.W."},{"family":"Green","given":"T.L."},{"family":"Sabik","given":"L.M."}],"issued":{"date-parts":[["2017"]]}}}],"schema":"https://github.com/citation-style-language/schema/raw/master/csl-citation.json"} </w:instrText>
      </w:r>
      <w:r w:rsidR="00922F96" w:rsidRPr="00424BD3">
        <w:rPr>
          <w:rFonts w:cs="Arial"/>
          <w:szCs w:val="24"/>
        </w:rPr>
        <w:fldChar w:fldCharType="separate"/>
      </w:r>
      <w:r w:rsidR="00825486" w:rsidRPr="00424BD3">
        <w:rPr>
          <w:rFonts w:cs="Arial"/>
        </w:rPr>
        <w:t>(CDC, 2021; Gunja &amp; Williams II, 2022; Kirzinger et al., 2019; Olson et al., 2022; Queen, n.d.; Tarazi et al., 2017)</w:t>
      </w:r>
      <w:r w:rsidR="00922F96" w:rsidRPr="00424BD3">
        <w:rPr>
          <w:rFonts w:cs="Arial"/>
          <w:szCs w:val="24"/>
        </w:rPr>
        <w:fldChar w:fldCharType="end"/>
      </w:r>
      <w:r w:rsidR="00682084" w:rsidRPr="00424BD3">
        <w:rPr>
          <w:rFonts w:cs="Arial"/>
          <w:szCs w:val="24"/>
        </w:rPr>
        <w:t xml:space="preserve">, and that they could not afford the </w:t>
      </w:r>
      <w:r w:rsidR="00765CD3" w:rsidRPr="00424BD3">
        <w:rPr>
          <w:rFonts w:cs="Arial"/>
          <w:szCs w:val="24"/>
        </w:rPr>
        <w:t xml:space="preserve">costs associated their supplemental insurance (if they </w:t>
      </w:r>
      <w:r w:rsidR="00B64E41" w:rsidRPr="00424BD3">
        <w:rPr>
          <w:rFonts w:cs="Arial"/>
          <w:szCs w:val="24"/>
        </w:rPr>
        <w:t>had supplemental insurance)</w:t>
      </w:r>
      <w:r w:rsidR="00526BEB" w:rsidRPr="00424BD3">
        <w:rPr>
          <w:rFonts w:cs="Arial"/>
          <w:szCs w:val="24"/>
        </w:rPr>
        <w:t xml:space="preserve">. </w:t>
      </w:r>
      <w:r w:rsidR="008A60A7" w:rsidRPr="00424BD3">
        <w:rPr>
          <w:rFonts w:cs="Arial"/>
          <w:szCs w:val="24"/>
        </w:rPr>
        <w:t>This recommendation confirms th</w:t>
      </w:r>
      <w:r w:rsidR="00164E0A" w:rsidRPr="00424BD3">
        <w:rPr>
          <w:rFonts w:cs="Arial"/>
          <w:szCs w:val="24"/>
        </w:rPr>
        <w:t>e</w:t>
      </w:r>
      <w:r w:rsidR="008A60A7" w:rsidRPr="00424BD3">
        <w:rPr>
          <w:rFonts w:cs="Arial"/>
          <w:szCs w:val="24"/>
        </w:rPr>
        <w:t xml:space="preserve"> literature regarding access</w:t>
      </w:r>
      <w:r w:rsidR="0089659D" w:rsidRPr="00424BD3">
        <w:rPr>
          <w:rFonts w:cs="Arial"/>
          <w:szCs w:val="24"/>
        </w:rPr>
        <w:t xml:space="preserve"> and older women</w:t>
      </w:r>
      <w:r w:rsidR="008A60A7" w:rsidRPr="00424BD3">
        <w:rPr>
          <w:rFonts w:cs="Arial"/>
          <w:szCs w:val="24"/>
        </w:rPr>
        <w:t xml:space="preserve"> (mentioned throughout </w:t>
      </w:r>
      <w:r w:rsidR="0089659D" w:rsidRPr="00424BD3">
        <w:rPr>
          <w:rFonts w:cs="Arial"/>
          <w:szCs w:val="24"/>
        </w:rPr>
        <w:t xml:space="preserve">this dissertation) but also the literature that </w:t>
      </w:r>
      <w:r w:rsidR="00965535" w:rsidRPr="00424BD3">
        <w:rPr>
          <w:rFonts w:cs="Arial"/>
          <w:szCs w:val="24"/>
        </w:rPr>
        <w:t>discusses the lack of access to the healthcare areas</w:t>
      </w:r>
      <w:r w:rsidR="00FA499A" w:rsidRPr="00424BD3">
        <w:rPr>
          <w:rFonts w:cs="Arial"/>
          <w:szCs w:val="24"/>
        </w:rPr>
        <w:t xml:space="preserve"> noted in this recommendation</w:t>
      </w:r>
      <w:r w:rsidR="00965535" w:rsidRPr="00424BD3">
        <w:rPr>
          <w:rFonts w:cs="Arial"/>
          <w:szCs w:val="24"/>
        </w:rPr>
        <w:t>, and the need for older women to have</w:t>
      </w:r>
      <w:r w:rsidR="004F2CA5" w:rsidRPr="00424BD3">
        <w:rPr>
          <w:rFonts w:cs="Arial"/>
          <w:szCs w:val="24"/>
        </w:rPr>
        <w:t xml:space="preserve"> </w:t>
      </w:r>
      <w:r w:rsidR="00C671E4" w:rsidRPr="00424BD3">
        <w:rPr>
          <w:rFonts w:cs="Arial"/>
          <w:szCs w:val="24"/>
        </w:rPr>
        <w:t>coverage for these areas</w:t>
      </w:r>
      <w:r w:rsidR="00C85EF4" w:rsidRPr="00424BD3">
        <w:rPr>
          <w:rFonts w:cs="Arial"/>
          <w:szCs w:val="24"/>
        </w:rPr>
        <w:t xml:space="preserve"> </w:t>
      </w:r>
      <w:r w:rsidR="00C85EF4" w:rsidRPr="00424BD3">
        <w:rPr>
          <w:rFonts w:cs="Arial"/>
          <w:szCs w:val="24"/>
        </w:rPr>
        <w:fldChar w:fldCharType="begin"/>
      </w:r>
      <w:r w:rsidR="009C2001">
        <w:rPr>
          <w:rFonts w:cs="Arial"/>
          <w:szCs w:val="24"/>
        </w:rPr>
        <w:instrText xml:space="preserve"> ADDIN ZOTERO_ITEM CSL_CITATION {"citationID":"KkNfHZqY","properties":{"formattedCitation":"(Bunis, 2022; Gunja &amp; Williams II, 2022; Mahmoudi et al., 2018; Northridge et al., 2020)","plainCitation":"(Bunis, 2022; Gunja &amp; Williams II, 2022; Mahmoudi et al., 2018; Northridge et al., 2020)","noteIndex":0},"citationItems":[{"id":1533,"uris":["http://zotero.org/users/4946941/items/4ZU3AICZ"],"itemData":{"id":1533,"type":"webpage","abstract":"​​A new HHS report finds that Medicare beneficiaries of color and those with lower incomes were more likely to skip needed doses because of cost.​​","container-title":"American Association of Retired People (AARP)","language":"english","title":"​Millions of Older Americans Can't Afford Prescriptions","URL":"https://www.aarp.org/health/medicare-insurance/info-2022/drug-costs-survey.html","author":[{"family":"Bunis","given":"Dena"}],"accessed":{"date-parts":[["2022",9,7]]},"issued":{"date-parts":[["2022",1,19]]}}},{"id":1527,"uris":["http://zotero.org/users/4946941/items/THZAFKTX"],"itemData":{"id":1527,"type":"webpage","abstract":"Among older adults in 11 countries, Medicare beneficiaries in the United States were the most likely to report being diagnosed with a mental health condition.","container-title":"Commonwealthfund.org","language":"en","note":"DOI: 10.26099/crks-9c82","title":"Comparing Older Adults’ Mental Health Needs and Access to Treatment in the U.S. and Other High-Income Countries","URL":"https://www.commonwealthfund.org/publications/issue-briefs/2022/jan/comparing-older-adults-mental-health-needs-and-access-treatment","author":[{"family":"Gunja","given":"Munira Z."},{"family":"Williams II","given":"Reginald D."}],"accessed":{"date-parts":[["2022",9,7]]},"issued":{"date-parts":[["2022",1,21]]}}},{"id":1519,"uris":["http://zotero.org/users/4946941/items/5X892H7J"],"itemData":{"id":1519,"type":"article-journal","container-title":"JAMA Otolaryngology–Head &amp; Neck Surgery","DOI":"10.1001/jamaoto.2018.0273","ISSN":"2168-6181","issue":"6","journalAbbreviation":"JAMA Otolaryngol Head Neck Surg","language":"en","page":"498","source":"DOI.org (Crossref)","title":"Association Between Hearing Aid Use and Health Care Use and Cost Among Older Adults With Hearing Loss","volume":"144","author":[{"family":"Mahmoudi","given":"Elham"},{"family":"Zazove","given":"Philip"},{"family":"Meade","given":"Michelle"},{"family":"McKee","given":"Michael M."}],"issued":{"date-parts":[["2018",6,1]]}}},{"id":1524,"uris":["http://zotero.org/users/4946941/items/PNCJUXZT"],"itemData":{"id":1524,"type":"article-journal","abstract":"In the United States, people are more likely to have poor oral health if they are low-income, uninsured, and/or members of racial/ethnic minority, immigrant, or rural populations who have suboptimal access to quality oral health care. As a result, poor oral health serves as the national symbol of social inequality. There is increasing recognition among those in public health that oral diseases such as dental caries and periodontal disease and general health conditions such as obesity and diabetes are closely linked by sharing common risk factors, including excess sugar consumption and tobacco use, as well as underlying infection and inflammatory pathways. Hence, efforts to integrate oral health and primary health care, incorporate interventions at multiple levels to improve access to and quality of services, and create health care teams that provide patient-centered care in both safety net clinics and community settings may narrow the gaps in access to oral health care across the life course.","container-title":"Annual review of public health","DOI":"10.1146/annurev-publhealth-040119-094318","ISSN":"0163-7525","journalAbbreviation":"Annu Rev Public Health","note":"PMID: 31900100\nPMCID: PMC7125002","page":"513-535","source":"PubMed Central","title":"Disparities in Access to Oral Health Care","volume":"41","author":[{"family":"Northridge","given":"Mary E."},{"family":"Kumar","given":"Anjali"},{"family":"Kaur","given":"Raghbir"}],"issued":{"date-parts":[["2020",4,2]]}}}],"schema":"https://github.com/citation-style-language/schema/raw/master/csl-citation.json"} </w:instrText>
      </w:r>
      <w:r w:rsidR="00C85EF4" w:rsidRPr="00424BD3">
        <w:rPr>
          <w:rFonts w:cs="Arial"/>
          <w:szCs w:val="24"/>
        </w:rPr>
        <w:fldChar w:fldCharType="separate"/>
      </w:r>
      <w:r w:rsidR="0060468E" w:rsidRPr="00424BD3">
        <w:rPr>
          <w:rFonts w:cs="Arial"/>
        </w:rPr>
        <w:t>(Bunis, 2022; Gunja &amp; Williams II, 2022; Mahmoudi et al., 2018; Northridge et al., 2020)</w:t>
      </w:r>
      <w:r w:rsidR="00C85EF4" w:rsidRPr="00424BD3">
        <w:rPr>
          <w:rFonts w:cs="Arial"/>
          <w:szCs w:val="24"/>
        </w:rPr>
        <w:fldChar w:fldCharType="end"/>
      </w:r>
      <w:r w:rsidR="00C671E4" w:rsidRPr="00424BD3">
        <w:rPr>
          <w:rFonts w:cs="Arial"/>
          <w:szCs w:val="24"/>
        </w:rPr>
        <w:t>.</w:t>
      </w:r>
    </w:p>
    <w:p w14:paraId="0DCA0068" w14:textId="69A9AE3D" w:rsidR="009F19C4" w:rsidRPr="00424BD3" w:rsidRDefault="009F19C4" w:rsidP="0035155A">
      <w:pPr>
        <w:pStyle w:val="Heading4"/>
        <w:spacing w:before="0" w:line="480" w:lineRule="auto"/>
        <w:rPr>
          <w:rFonts w:ascii="Arial" w:hAnsi="Arial" w:cs="Arial"/>
          <w:color w:val="auto"/>
        </w:rPr>
      </w:pPr>
      <w:r w:rsidRPr="00424BD3">
        <w:rPr>
          <w:rFonts w:ascii="Arial" w:hAnsi="Arial" w:cs="Arial"/>
          <w:color w:val="auto"/>
        </w:rPr>
        <w:t xml:space="preserve">Indigent </w:t>
      </w:r>
      <w:r w:rsidR="00376619">
        <w:rPr>
          <w:rFonts w:ascii="Arial" w:hAnsi="Arial" w:cs="Arial"/>
          <w:color w:val="auto"/>
        </w:rPr>
        <w:t>C</w:t>
      </w:r>
      <w:r w:rsidRPr="00424BD3">
        <w:rPr>
          <w:rFonts w:ascii="Arial" w:hAnsi="Arial" w:cs="Arial"/>
          <w:color w:val="auto"/>
        </w:rPr>
        <w:t>are</w:t>
      </w:r>
    </w:p>
    <w:p w14:paraId="1C37D861" w14:textId="70C32435" w:rsidR="009F19C4" w:rsidRPr="00424BD3" w:rsidRDefault="009F19C4" w:rsidP="0035155A">
      <w:pPr>
        <w:spacing w:after="0" w:line="480" w:lineRule="auto"/>
        <w:ind w:firstLine="720"/>
        <w:rPr>
          <w:rFonts w:cs="Arial"/>
          <w:szCs w:val="24"/>
        </w:rPr>
      </w:pPr>
      <w:r w:rsidRPr="00424BD3">
        <w:rPr>
          <w:rFonts w:cs="Arial"/>
          <w:szCs w:val="24"/>
        </w:rPr>
        <w:t>Ruth, who was, once again, an outlier when it came to approval for universal care, spoke about the pitfalls, as she saw them, of universal health care provision on healthcare providers and systems. As discussed elsewhere in this chapter, she felt that clinicians and hospitals could not afford to provide care due to the low payments they receive from Medicare. Additionally, she feels this has a disproportionate impact on indigent care since so many private emergency clinics will not care for the indigent, leaving the indigent with access to only certain healthcare facilities, and leaving those healthcare facilities overburdened</w:t>
      </w:r>
      <w:r w:rsidR="003B54DE">
        <w:rPr>
          <w:rFonts w:cs="Arial"/>
          <w:szCs w:val="24"/>
        </w:rPr>
        <w:t>.</w:t>
      </w:r>
    </w:p>
    <w:p w14:paraId="0B36EBC8" w14:textId="293AF31E" w:rsidR="009F19C4" w:rsidRPr="00424BD3" w:rsidRDefault="009F19C4" w:rsidP="00A11371">
      <w:pPr>
        <w:spacing w:after="0" w:line="480" w:lineRule="auto"/>
        <w:ind w:firstLine="720"/>
        <w:rPr>
          <w:rFonts w:cs="Arial"/>
          <w:szCs w:val="24"/>
        </w:rPr>
      </w:pPr>
      <w:r w:rsidRPr="00424BD3">
        <w:rPr>
          <w:rFonts w:cs="Arial"/>
          <w:szCs w:val="24"/>
        </w:rPr>
        <w:t xml:space="preserve">Ruth’s </w:t>
      </w:r>
      <w:r w:rsidR="007950C1">
        <w:rPr>
          <w:rFonts w:cs="Arial"/>
          <w:szCs w:val="24"/>
        </w:rPr>
        <w:t>concerns</w:t>
      </w:r>
      <w:r w:rsidR="007950C1" w:rsidRPr="00424BD3">
        <w:rPr>
          <w:rFonts w:cs="Arial"/>
          <w:szCs w:val="24"/>
        </w:rPr>
        <w:t xml:space="preserve"> </w:t>
      </w:r>
      <w:r w:rsidRPr="00424BD3">
        <w:rPr>
          <w:rFonts w:cs="Arial"/>
          <w:szCs w:val="24"/>
        </w:rPr>
        <w:t xml:space="preserve">could be seen as a justification for universal healthcare because if all of her recommendations were enacted, that would constitute universal healthcare. However, </w:t>
      </w:r>
      <w:r w:rsidR="007950C1">
        <w:rPr>
          <w:rFonts w:cs="Arial"/>
          <w:szCs w:val="24"/>
        </w:rPr>
        <w:t xml:space="preserve">she accurately discussed </w:t>
      </w:r>
      <w:r w:rsidR="00C41594" w:rsidRPr="00424BD3">
        <w:rPr>
          <w:rFonts w:cs="Arial"/>
          <w:szCs w:val="24"/>
        </w:rPr>
        <w:t xml:space="preserve">the </w:t>
      </w:r>
      <w:r w:rsidR="00F24F3F">
        <w:rPr>
          <w:rFonts w:cs="Arial"/>
          <w:szCs w:val="24"/>
        </w:rPr>
        <w:t xml:space="preserve">financial </w:t>
      </w:r>
      <w:r w:rsidR="00C41594" w:rsidRPr="00424BD3">
        <w:rPr>
          <w:rFonts w:cs="Arial"/>
          <w:szCs w:val="24"/>
        </w:rPr>
        <w:t>burden of indigent care on hospitals</w:t>
      </w:r>
      <w:r w:rsidR="00FB6F0E" w:rsidRPr="00424BD3">
        <w:rPr>
          <w:rFonts w:cs="Arial"/>
          <w:szCs w:val="24"/>
        </w:rPr>
        <w:t xml:space="preserve"> </w:t>
      </w:r>
      <w:r w:rsidR="00FB6F0E" w:rsidRPr="00424BD3">
        <w:rPr>
          <w:rFonts w:cs="Arial"/>
          <w:szCs w:val="24"/>
        </w:rPr>
        <w:fldChar w:fldCharType="begin"/>
      </w:r>
      <w:r w:rsidR="00990F3A">
        <w:rPr>
          <w:rFonts w:cs="Arial"/>
          <w:szCs w:val="24"/>
        </w:rPr>
        <w:instrText xml:space="preserve"> ADDIN ZOTERO_ITEM CSL_CITATION {"citationID":"tXuROz5x","properties":{"formattedCitation":"(Community Catalyst, 2022)","plainCitation":"(Community Catalyst, 2022)","noteIndex":0},"citationItems":[{"id":1537,"uris":["http://zotero.org/users/4946941/items/LG4YKRX3"],"itemData":{"id":1537,"type":"webpage","abstract":"Community Catalyst’s first priority is quality affordable health care for all. We provide leadership and support to state and local consumer organizations, policymakers, and foundations working to change the health care system so it serves everyone.","container-title":"Community Catalyst","language":"en","title":"Hospital Accountability Project: Tennessee","URL":"https://www.communitycatalyst.org/initiatives-and-issues/initiatives/hospital-accountability-project/free-care/states/tennessee","author":[{"family":"Community Catalyst","given":""}],"accessed":{"date-parts":[["2022",9,7]]},"issued":{"date-parts":[["2022"]]}}}],"schema":"https://github.com/citation-style-language/schema/raw/master/csl-citation.json"} </w:instrText>
      </w:r>
      <w:r w:rsidR="00FB6F0E" w:rsidRPr="00424BD3">
        <w:rPr>
          <w:rFonts w:cs="Arial"/>
          <w:szCs w:val="24"/>
        </w:rPr>
        <w:fldChar w:fldCharType="separate"/>
      </w:r>
      <w:r w:rsidR="00FB6F0E" w:rsidRPr="00424BD3">
        <w:rPr>
          <w:rFonts w:cs="Arial"/>
        </w:rPr>
        <w:t>(Community Catalyst, 2022)</w:t>
      </w:r>
      <w:r w:rsidR="00FB6F0E" w:rsidRPr="00424BD3">
        <w:rPr>
          <w:rFonts w:cs="Arial"/>
          <w:szCs w:val="24"/>
        </w:rPr>
        <w:fldChar w:fldCharType="end"/>
      </w:r>
      <w:r w:rsidR="00FF7BE5" w:rsidRPr="00424BD3">
        <w:rPr>
          <w:rFonts w:cs="Arial"/>
          <w:szCs w:val="24"/>
        </w:rPr>
        <w:t>, her</w:t>
      </w:r>
      <w:r w:rsidR="0001288D" w:rsidRPr="00424BD3">
        <w:rPr>
          <w:rFonts w:cs="Arial"/>
          <w:szCs w:val="24"/>
        </w:rPr>
        <w:t xml:space="preserve"> </w:t>
      </w:r>
      <w:r w:rsidRPr="00424BD3">
        <w:rPr>
          <w:rFonts w:cs="Arial"/>
          <w:szCs w:val="24"/>
        </w:rPr>
        <w:t xml:space="preserve">concerns </w:t>
      </w:r>
      <w:r w:rsidR="00603A55" w:rsidRPr="00424BD3">
        <w:rPr>
          <w:rFonts w:cs="Arial"/>
          <w:szCs w:val="24"/>
        </w:rPr>
        <w:t xml:space="preserve">confirm </w:t>
      </w:r>
      <w:r w:rsidR="00D43FF7" w:rsidRPr="00424BD3">
        <w:rPr>
          <w:rFonts w:cs="Arial"/>
          <w:szCs w:val="24"/>
        </w:rPr>
        <w:t>common arguments</w:t>
      </w:r>
      <w:r w:rsidRPr="00424BD3">
        <w:rPr>
          <w:rFonts w:cs="Arial"/>
          <w:szCs w:val="24"/>
        </w:rPr>
        <w:t xml:space="preserve"> that are often </w:t>
      </w:r>
      <w:r w:rsidRPr="00424BD3">
        <w:rPr>
          <w:rFonts w:cs="Arial"/>
          <w:szCs w:val="24"/>
        </w:rPr>
        <w:lastRenderedPageBreak/>
        <w:t>used by policy and decision-makers</w:t>
      </w:r>
      <w:r w:rsidR="00D43FF7" w:rsidRPr="00424BD3">
        <w:rPr>
          <w:rFonts w:cs="Arial"/>
          <w:szCs w:val="24"/>
        </w:rPr>
        <w:t>, particularly conservative policy and decision-makers</w:t>
      </w:r>
      <w:r w:rsidR="0096718B" w:rsidRPr="00424BD3">
        <w:rPr>
          <w:rFonts w:cs="Arial"/>
          <w:szCs w:val="24"/>
        </w:rPr>
        <w:t xml:space="preserve">, </w:t>
      </w:r>
      <w:r w:rsidRPr="00424BD3">
        <w:rPr>
          <w:rFonts w:cs="Arial"/>
          <w:szCs w:val="24"/>
        </w:rPr>
        <w:t xml:space="preserve">when it comes to funding and resourcing decisions for healthcare provision </w:t>
      </w:r>
      <w:r w:rsidR="00E5312D" w:rsidRPr="00424BD3">
        <w:rPr>
          <w:rFonts w:cs="Arial"/>
          <w:szCs w:val="24"/>
        </w:rPr>
        <w:t xml:space="preserve">in the U.S. </w:t>
      </w:r>
      <w:r w:rsidRPr="00424BD3">
        <w:rPr>
          <w:rFonts w:cs="Arial"/>
          <w:szCs w:val="24"/>
        </w:rPr>
        <w:t>for the most vulnerable people in society, especially the elderly and particularly older indigent women</w:t>
      </w:r>
      <w:r w:rsidR="00711206" w:rsidRPr="00424BD3">
        <w:rPr>
          <w:rFonts w:cs="Arial"/>
          <w:szCs w:val="24"/>
        </w:rPr>
        <w:t xml:space="preserve"> </w:t>
      </w:r>
      <w:r w:rsidR="00711206" w:rsidRPr="00424BD3">
        <w:rPr>
          <w:rFonts w:cs="Arial"/>
          <w:szCs w:val="24"/>
        </w:rPr>
        <w:fldChar w:fldCharType="begin"/>
      </w:r>
      <w:r w:rsidR="00990F3A">
        <w:rPr>
          <w:rFonts w:cs="Arial"/>
          <w:szCs w:val="24"/>
        </w:rPr>
        <w:instrText xml:space="preserve"> ADDIN ZOTERO_ITEM CSL_CITATION {"citationID":"BwWvvcw9","properties":{"formattedCitation":"(Kirkland, 2015)","plainCitation":"(Kirkland, 2015)","noteIndex":0},"citationItems":[{"id":1539,"uris":["http://zotero.org/users/4946941/items/FS7URM2T"],"itemData":{"id":1539,"type":"webpage","abstract":"They make too much to be eligible for TennCare, but too little to qualify for insurance","container-title":"The Jackson Sun","language":"en-US","title":"A conservative’s view of Insure Tennessee","URL":"https://www.jacksonsun.com/story/opinion/columnists/2015/02/04/insure-tennessee-doctors-view/22819471/","author":[{"family":"Kirkland","given":"Dr Ronald H."}],"accessed":{"date-parts":[["2022",9,7]]},"issued":{"date-parts":[["2015",2,4]]}}}],"schema":"https://github.com/citation-style-language/schema/raw/master/csl-citation.json"} </w:instrText>
      </w:r>
      <w:r w:rsidR="00711206" w:rsidRPr="00424BD3">
        <w:rPr>
          <w:rFonts w:cs="Arial"/>
          <w:szCs w:val="24"/>
        </w:rPr>
        <w:fldChar w:fldCharType="separate"/>
      </w:r>
      <w:r w:rsidR="00711206" w:rsidRPr="00424BD3">
        <w:rPr>
          <w:rFonts w:cs="Arial"/>
        </w:rPr>
        <w:t>(Kirkland, 2015)</w:t>
      </w:r>
      <w:r w:rsidR="00711206" w:rsidRPr="00424BD3">
        <w:rPr>
          <w:rFonts w:cs="Arial"/>
          <w:szCs w:val="24"/>
        </w:rPr>
        <w:fldChar w:fldCharType="end"/>
      </w:r>
      <w:r w:rsidR="0096718B" w:rsidRPr="00424BD3">
        <w:rPr>
          <w:rFonts w:cs="Arial"/>
          <w:szCs w:val="24"/>
        </w:rPr>
        <w:t xml:space="preserve">. </w:t>
      </w:r>
      <w:r w:rsidR="00195982" w:rsidRPr="00424BD3">
        <w:rPr>
          <w:rFonts w:cs="Arial"/>
          <w:szCs w:val="24"/>
        </w:rPr>
        <w:t xml:space="preserve">Ruth’s </w:t>
      </w:r>
      <w:r w:rsidR="007C7CE9">
        <w:rPr>
          <w:rFonts w:cs="Arial"/>
          <w:szCs w:val="24"/>
        </w:rPr>
        <w:t>concerns</w:t>
      </w:r>
      <w:r w:rsidR="007C7CE9" w:rsidRPr="00424BD3">
        <w:rPr>
          <w:rFonts w:cs="Arial"/>
          <w:szCs w:val="24"/>
        </w:rPr>
        <w:t xml:space="preserve"> </w:t>
      </w:r>
      <w:r w:rsidR="00195982" w:rsidRPr="00424BD3">
        <w:rPr>
          <w:rFonts w:cs="Arial"/>
          <w:szCs w:val="24"/>
        </w:rPr>
        <w:t xml:space="preserve">also show the internal conflict, mentioned earlier in this dissertation, </w:t>
      </w:r>
      <w:r w:rsidR="00C5324F" w:rsidRPr="00424BD3">
        <w:rPr>
          <w:rFonts w:cs="Arial"/>
          <w:szCs w:val="24"/>
        </w:rPr>
        <w:t>of</w:t>
      </w:r>
      <w:r w:rsidR="00805FE0" w:rsidRPr="00424BD3">
        <w:rPr>
          <w:rFonts w:cs="Arial"/>
          <w:szCs w:val="24"/>
        </w:rPr>
        <w:t xml:space="preserve"> which solutions are the best solutions to tackle health inequities. </w:t>
      </w:r>
    </w:p>
    <w:p w14:paraId="7E6783E9" w14:textId="7889D976" w:rsidR="005732CA" w:rsidRPr="00424BD3" w:rsidRDefault="005732CA" w:rsidP="00A11371">
      <w:pPr>
        <w:pStyle w:val="Heading3"/>
        <w:spacing w:before="0" w:line="480" w:lineRule="auto"/>
        <w:rPr>
          <w:rFonts w:ascii="Arial" w:hAnsi="Arial" w:cs="Arial"/>
          <w:b/>
          <w:bCs/>
          <w:i/>
          <w:iCs/>
          <w:color w:val="auto"/>
        </w:rPr>
      </w:pPr>
      <w:bookmarkStart w:id="111" w:name="_Toc118232377"/>
      <w:r w:rsidRPr="00424BD3">
        <w:rPr>
          <w:rFonts w:ascii="Arial" w:hAnsi="Arial" w:cs="Arial"/>
          <w:b/>
          <w:bCs/>
          <w:i/>
          <w:iCs/>
          <w:color w:val="auto"/>
        </w:rPr>
        <w:t xml:space="preserve">More </w:t>
      </w:r>
      <w:r w:rsidR="00782596" w:rsidRPr="00424BD3">
        <w:rPr>
          <w:rFonts w:ascii="Arial" w:hAnsi="Arial" w:cs="Arial"/>
          <w:b/>
          <w:bCs/>
          <w:i/>
          <w:iCs/>
          <w:color w:val="auto"/>
        </w:rPr>
        <w:t>H</w:t>
      </w:r>
      <w:r w:rsidR="00664724" w:rsidRPr="00424BD3">
        <w:rPr>
          <w:rFonts w:ascii="Arial" w:hAnsi="Arial" w:cs="Arial"/>
          <w:b/>
          <w:bCs/>
          <w:i/>
          <w:iCs/>
          <w:color w:val="auto"/>
        </w:rPr>
        <w:t xml:space="preserve">ealth </w:t>
      </w:r>
      <w:r w:rsidR="00B94B92" w:rsidRPr="00424BD3">
        <w:rPr>
          <w:rFonts w:ascii="Arial" w:hAnsi="Arial" w:cs="Arial"/>
          <w:b/>
          <w:bCs/>
          <w:i/>
          <w:iCs/>
          <w:color w:val="auto"/>
        </w:rPr>
        <w:t>R</w:t>
      </w:r>
      <w:r w:rsidR="00664724" w:rsidRPr="00424BD3">
        <w:rPr>
          <w:rFonts w:ascii="Arial" w:hAnsi="Arial" w:cs="Arial"/>
          <w:b/>
          <w:bCs/>
          <w:i/>
          <w:iCs/>
          <w:color w:val="auto"/>
        </w:rPr>
        <w:t xml:space="preserve">esearch on </w:t>
      </w:r>
      <w:r w:rsidR="00B94B92" w:rsidRPr="00424BD3">
        <w:rPr>
          <w:rFonts w:ascii="Arial" w:hAnsi="Arial" w:cs="Arial"/>
          <w:b/>
          <w:bCs/>
          <w:i/>
          <w:iCs/>
          <w:color w:val="auto"/>
        </w:rPr>
        <w:t>O</w:t>
      </w:r>
      <w:r w:rsidRPr="00424BD3">
        <w:rPr>
          <w:rFonts w:ascii="Arial" w:hAnsi="Arial" w:cs="Arial"/>
          <w:b/>
          <w:bCs/>
          <w:i/>
          <w:iCs/>
          <w:color w:val="auto"/>
        </w:rPr>
        <w:t xml:space="preserve">lder </w:t>
      </w:r>
      <w:r w:rsidR="00B94B92" w:rsidRPr="00424BD3">
        <w:rPr>
          <w:rFonts w:ascii="Arial" w:hAnsi="Arial" w:cs="Arial"/>
          <w:b/>
          <w:bCs/>
          <w:i/>
          <w:iCs/>
          <w:color w:val="auto"/>
        </w:rPr>
        <w:t>W</w:t>
      </w:r>
      <w:r w:rsidRPr="00424BD3">
        <w:rPr>
          <w:rFonts w:ascii="Arial" w:hAnsi="Arial" w:cs="Arial"/>
          <w:b/>
          <w:bCs/>
          <w:i/>
          <w:iCs/>
          <w:color w:val="auto"/>
        </w:rPr>
        <w:t>omen</w:t>
      </w:r>
      <w:bookmarkEnd w:id="111"/>
    </w:p>
    <w:p w14:paraId="3F1A431C" w14:textId="1FA59A19" w:rsidR="00A26ED0" w:rsidRPr="00424BD3" w:rsidRDefault="00E6699F" w:rsidP="00061B81">
      <w:pPr>
        <w:spacing w:after="0" w:line="480" w:lineRule="auto"/>
        <w:ind w:firstLine="720"/>
        <w:rPr>
          <w:rFonts w:cs="Arial"/>
          <w:szCs w:val="24"/>
        </w:rPr>
      </w:pPr>
      <w:r w:rsidRPr="00424BD3">
        <w:rPr>
          <w:rFonts w:cs="Arial"/>
          <w:szCs w:val="24"/>
        </w:rPr>
        <w:t xml:space="preserve">This recommendation </w:t>
      </w:r>
      <w:r w:rsidR="00F86CDB" w:rsidRPr="00424BD3">
        <w:rPr>
          <w:rFonts w:cs="Arial"/>
          <w:szCs w:val="24"/>
        </w:rPr>
        <w:t>is in tandem with</w:t>
      </w:r>
      <w:r w:rsidRPr="00424BD3">
        <w:rPr>
          <w:rFonts w:cs="Arial"/>
          <w:szCs w:val="24"/>
        </w:rPr>
        <w:t xml:space="preserve"> the findings </w:t>
      </w:r>
      <w:r w:rsidR="00F86CDB" w:rsidRPr="00424BD3">
        <w:rPr>
          <w:rFonts w:cs="Arial"/>
          <w:szCs w:val="24"/>
        </w:rPr>
        <w:t xml:space="preserve">in Chapter Seven regarding gender bias in clinical care and health research and calls for an increase in health research on older women. </w:t>
      </w:r>
      <w:r w:rsidR="005732CA" w:rsidRPr="00424BD3">
        <w:rPr>
          <w:rFonts w:cs="Arial"/>
          <w:szCs w:val="24"/>
        </w:rPr>
        <w:t>Sylvia, who has worked in the healthcare field for her entire life, perceives that there is now a trend toward less medical health research on older women (and others) rather than more</w:t>
      </w:r>
      <w:r w:rsidR="007C7CE9">
        <w:rPr>
          <w:rFonts w:cs="Arial"/>
          <w:szCs w:val="24"/>
        </w:rPr>
        <w:t>.</w:t>
      </w:r>
      <w:r w:rsidR="00B178AE">
        <w:rPr>
          <w:rFonts w:cs="Arial"/>
          <w:szCs w:val="24"/>
        </w:rPr>
        <w:t xml:space="preserve"> </w:t>
      </w:r>
      <w:r w:rsidR="005732CA" w:rsidRPr="00424BD3">
        <w:rPr>
          <w:rFonts w:cs="Arial"/>
          <w:szCs w:val="24"/>
        </w:rPr>
        <w:t xml:space="preserve">Carolyn expressed this concern too, particularly for more health research focused on pre-menopause and post-menopause women, women’s heart health research, and also, interestingly, hormone research on men as they age in comparison to women. </w:t>
      </w:r>
      <w:r w:rsidR="00744841" w:rsidRPr="00424BD3">
        <w:rPr>
          <w:rFonts w:cs="Arial"/>
          <w:szCs w:val="24"/>
        </w:rPr>
        <w:t xml:space="preserve">The </w:t>
      </w:r>
      <w:r w:rsidR="0025504C" w:rsidRPr="00424BD3">
        <w:rPr>
          <w:rFonts w:cs="Arial"/>
          <w:szCs w:val="24"/>
        </w:rPr>
        <w:t>recommendation</w:t>
      </w:r>
      <w:r w:rsidR="00744841" w:rsidRPr="00424BD3">
        <w:rPr>
          <w:rFonts w:cs="Arial"/>
          <w:szCs w:val="24"/>
        </w:rPr>
        <w:t xml:space="preserve"> for more health research on older women </w:t>
      </w:r>
      <w:r w:rsidR="0025504C" w:rsidRPr="00424BD3">
        <w:rPr>
          <w:rFonts w:cs="Arial"/>
          <w:szCs w:val="24"/>
        </w:rPr>
        <w:t xml:space="preserve">confirms the literature on this issue </w:t>
      </w:r>
      <w:r w:rsidR="00FD296D" w:rsidRPr="00424BD3">
        <w:rPr>
          <w:rFonts w:cs="Arial"/>
          <w:szCs w:val="24"/>
        </w:rPr>
        <w:t xml:space="preserve">which goes </w:t>
      </w:r>
      <w:r w:rsidR="0025504C" w:rsidRPr="00424BD3">
        <w:rPr>
          <w:rFonts w:cs="Arial"/>
          <w:szCs w:val="24"/>
        </w:rPr>
        <w:t>as far back as the WHO’s call in 2007 (as covered in the literature review)</w:t>
      </w:r>
      <w:r w:rsidR="0025740F" w:rsidRPr="00424BD3">
        <w:rPr>
          <w:rFonts w:cs="Arial"/>
          <w:szCs w:val="24"/>
        </w:rPr>
        <w:t xml:space="preserve"> </w:t>
      </w:r>
      <w:r w:rsidR="0025740F" w:rsidRPr="00424BD3">
        <w:rPr>
          <w:rFonts w:cs="Arial"/>
          <w:szCs w:val="24"/>
        </w:rPr>
        <w:fldChar w:fldCharType="begin"/>
      </w:r>
      <w:r w:rsidR="0046301F">
        <w:rPr>
          <w:rFonts w:cs="Arial"/>
          <w:szCs w:val="24"/>
        </w:rPr>
        <w:instrText xml:space="preserve"> ADDIN ZOTERO_ITEM CSL_CITATION {"citationID":"LG4U6m9H","properties":{"formattedCitation":"(Bird, 2022; Davidson et al., 2022; Rochon et al., 2020; WHO, 2007)","plainCitation":"(Bird, 2022; Davidson et al., 2022; Rochon et al., 2020; WHO, 2007)","noteIndex":0},"citationItems":[{"id":1541,"uris":["http://zotero.org/users/4946941/items/INE9HE94"],"itemData":{"id":1541,"type":"webpage","abstract":"For far too long, the medical sciences have treated men and women as interchangeable subjects, favoring men's health for funding and the male body for study. This approach creates a problem, not just for women but for everyone. Not only does it miss a large and critical slice of the population, it leaves an unknown amount of science unexplored.","language":"en","title":"Underfunding of Research in Women's Health Issues Is the Biggest Missed Opportunity in Health Care","URL":"https://www.rand.org/blog/2022/02/underfunding-of-research-in-womens-health-issues-is.html","author":[{"family":"Bird","given":"Chloe E."}],"accessed":{"date-parts":[["2022",9,7]]},"issued":{"date-parts":[["2022",2,11]]}}},{"id":1543,"uris":["http://zotero.org/users/4946941/items/IT9YNLG3"],"itemData":{"id":1543,"type":"webpage","abstract":"women overlooked in medical research","language":"en","title":"Women have been overlooked in medical research for years | Northwell Health","URL":"https://www.northwell.edu/katz-institute-for-womens-health/articles/women-overlooked-in-medical-research","author":[{"family":"Davidson","given":"Karina"},{"literal":"PhD"},{"family":"Research","given":"Senior Vice President","dropping-particle":"of"},{"family":"Health","given":"Northwell"}],"accessed":{"date-parts":[["2022",9,7]]},"issued":{"date-parts":[["2022"]]}}},{"id":781,"uris":["http://zotero.org/users/4946941/items/87Z9NKXN"],"itemData":{"id":781,"type":"article-journal","container-title":"The Lancet","DOI":"10.1016/s0140-6736(20)30849-7","issue":"10236","language":"en","page":"1530–1532","title":"Increasing the visibility of older women in clinical research","volume":"395","author":[{"family":"Rochon","given":"P.A."},{"family":"Mason","given":"R."},{"family":"Gurwitz","given":"J.H."}],"issued":{"date-parts":[["2020"]]}}},{"id":865,"uris":["http://zotero.org/users/4946941/items/VQ4WB5EF"],"itemData":{"id":865,"type":"document","language":"en","note":"publisher-place: Geneva","publisher":"World Health Organization (WHO)","title":"Women, aging and health: A framework for action: Focus on gender","URL":"https://apps.who.int/iris/bitstream/handle/10665/43810/9789241563529_eng.pdf","author":[{"family":"WHO","given":""}],"issued":{"date-parts":[["2007"]]}}}],"schema":"https://github.com/citation-style-language/schema/raw/master/csl-citation.json"} </w:instrText>
      </w:r>
      <w:r w:rsidR="0025740F" w:rsidRPr="00424BD3">
        <w:rPr>
          <w:rFonts w:cs="Arial"/>
          <w:szCs w:val="24"/>
        </w:rPr>
        <w:fldChar w:fldCharType="separate"/>
      </w:r>
      <w:r w:rsidR="008C4786" w:rsidRPr="00424BD3">
        <w:rPr>
          <w:rFonts w:cs="Arial"/>
        </w:rPr>
        <w:t>(Bird, 2022; Davidson et al., 2022; Rochon et al., 2020; WHO, 2007)</w:t>
      </w:r>
      <w:r w:rsidR="0025740F" w:rsidRPr="00424BD3">
        <w:rPr>
          <w:rFonts w:cs="Arial"/>
          <w:szCs w:val="24"/>
        </w:rPr>
        <w:fldChar w:fldCharType="end"/>
      </w:r>
      <w:r w:rsidR="0025504C" w:rsidRPr="00424BD3">
        <w:rPr>
          <w:rFonts w:cs="Arial"/>
          <w:szCs w:val="24"/>
        </w:rPr>
        <w:t xml:space="preserve">. </w:t>
      </w:r>
    </w:p>
    <w:p w14:paraId="349A4C9F" w14:textId="3A59BF18" w:rsidR="00236E9E" w:rsidRPr="00424BD3" w:rsidRDefault="00236E9E" w:rsidP="00061B81">
      <w:pPr>
        <w:pStyle w:val="Heading2"/>
        <w:spacing w:before="0" w:line="480" w:lineRule="auto"/>
        <w:jc w:val="center"/>
        <w:rPr>
          <w:rFonts w:ascii="Arial" w:hAnsi="Arial" w:cs="Arial"/>
          <w:b/>
          <w:bCs/>
          <w:color w:val="auto"/>
          <w:sz w:val="24"/>
          <w:szCs w:val="24"/>
        </w:rPr>
      </w:pPr>
      <w:bookmarkStart w:id="112" w:name="_Toc118232378"/>
      <w:r w:rsidRPr="00424BD3">
        <w:rPr>
          <w:rFonts w:ascii="Arial" w:hAnsi="Arial" w:cs="Arial"/>
          <w:b/>
          <w:bCs/>
          <w:color w:val="auto"/>
          <w:sz w:val="24"/>
          <w:szCs w:val="24"/>
        </w:rPr>
        <w:t>Researcher</w:t>
      </w:r>
      <w:r w:rsidR="000B64BB">
        <w:rPr>
          <w:rFonts w:ascii="Arial" w:hAnsi="Arial" w:cs="Arial"/>
          <w:b/>
          <w:bCs/>
          <w:color w:val="auto"/>
          <w:sz w:val="24"/>
          <w:szCs w:val="24"/>
        </w:rPr>
        <w:t>’s</w:t>
      </w:r>
      <w:r w:rsidRPr="00424BD3">
        <w:rPr>
          <w:rFonts w:ascii="Arial" w:hAnsi="Arial" w:cs="Arial"/>
          <w:b/>
          <w:bCs/>
          <w:color w:val="auto"/>
          <w:sz w:val="24"/>
          <w:szCs w:val="24"/>
        </w:rPr>
        <w:t xml:space="preserve"> Recommendations</w:t>
      </w:r>
      <w:bookmarkEnd w:id="112"/>
    </w:p>
    <w:p w14:paraId="531619BF" w14:textId="467407AF" w:rsidR="00236E9E" w:rsidRPr="00424BD3" w:rsidRDefault="00236E9E" w:rsidP="00061B81">
      <w:pPr>
        <w:spacing w:after="0" w:line="480" w:lineRule="auto"/>
        <w:ind w:firstLine="720"/>
      </w:pPr>
      <w:r w:rsidRPr="00424BD3">
        <w:t xml:space="preserve">As noted throughout this dissertation, place matters in health, mortality, and health inequities </w:t>
      </w:r>
      <w:r w:rsidRPr="00424BD3">
        <w:fldChar w:fldCharType="begin"/>
      </w:r>
      <w:r w:rsidR="00990F3A">
        <w:instrText xml:space="preserve"> ADDIN ZOTERO_ITEM CSL_CITATION {"citationID":"3tIAGGYu","properties":{"formattedCitation":"(Arora et al., 2016; Bambra, 2016; Finkelstein et al., 2021; Kuuire &amp; Dassah, 2020; Macintyre et al., 2002; Marmot et al., 2012; Marmot &amp; Wilkinson, 2005; Wilkinson &amp; Marmot, 2003)","plainCitation":"(Arora et al., 2016; Bambra, 2016; Finkelstein et al., 2021; Kuuire &amp; Dassah, 2020; Macintyre et al., 2002; Marmot et al., 2012; Marmot &amp; Wilkinson, 2005; Wilkinson &amp; Marmot, 2003)","noteIndex":0},"citationItems":[{"id":584,"uris":["http://zotero.org/users/4946941/items/3BDPA5LL"],"itemData":{"id":584,"type":"article-journal","abstract":"Geographic disparities in life expectancy are substantial and not fully explained by differences in race and socioeconomic status. To develop policies that address these inequalities, it is essential to identify other factors that account for this variation. In this study we investigated whether population well-being—a comprehensive measure of physical, mental, and social health—helps explain geographic variation in life expectancy. At the county level, we found that for every 1-standard-deviation (4.2-point) increase in the well-being score, life expectancy was 1.9 years higher for females and 2.6 years higher for males. Life expectancy and well-being remained positively associated, even after race, poverty, and education were controlled for. In addition, well-being partially mediated the established associations of race, poverty, and education with life expectancy. These findings highlight well-being as an important metric of a population’s health and longevity and as a promising focus for intervention.","container-title":"Health Affairs","DOI":"10.1377/hlthaff.2016.0715","ISSN":"0278-2715","issue":"11","note":"publisher: Health Affairs","page":"2075-2082","source":"healthaffairs.org (Atypon)","title":"Population Well-Being Measures Help Explain Geographic Disparities In Life Expectancy At The County Level","volume":"35","author":[{"family":"Arora","given":"Anita"},{"family":"Spatz","given":"Erica"},{"family":"Herrin","given":"Jeph"},{"family":"Riley","given":"Carley"},{"family":"Roy","given":"Brita"},{"family":"Kell","given":"Kenneth"},{"family":"Coberley","given":"Carter"},{"family":"Rula","given":"Elizabeth"},{"family":"Krumholz","given":"Harlan M."}],"issued":{"date-parts":[["2016",11]]}}},{"id":1206,"uris":["http://zotero.org/users/4946941/items/W3L888N6"],"itemData":{"id":1206,"type":"article-journal","container-title":"Policy Press","title":"Health Divides: Where You Live Can Kill You.","author":[{"family":"Bambra","given":"Clare"}],"issued":{"date-parts":[["2016"]]}}},{"id":1019,"uris":["http://zotero.org/users/4946941/items/Y8H5X4PM"],"itemData":{"id":1019,"type":"article-journal","abstract":"We estimate the effect of current location on elderly mortality by analyzing outcomes of movers in the Medicare population. We control for movers' origin locations as well as a rich vector of pre-move health measures. We also develop a novel strategy to adjust for remaining unobservables, using the correlation of residual mortality with movers' origins to gauge the importance of omitted variables. We estimate substantial effects of current location. Moving from a tenth to a ninetieth percentile location would increase life expectancy at age 65 by 1.1 years, and equalizing location effects would reduce cross-sectional variation in life expectancy by 15 percent. Places with favorable life expectancy effects tend to have higher quality and quantity of health care, less extreme climates, lower crime rates, and higher socioeconomic status.","container-title":"American Economic Review","DOI":"10.1257/aer.20190825","ISSN":"0002-8282","issue":"8","language":"en","page":"2697-2735","source":"www.aeaweb.org","title":"Place-Based Drivers of Mortality: Evidence from Migration","title-short":"Place-Based Drivers of Mortality","volume":"111","author":[{"family":"Finkelstein","given":"Amy"},{"family":"Gentzkow","given":"Matthew"},{"family":"Williams","given":"Heidi"}],"issued":{"date-parts":[["2021",8]]}}},{"id":1022,"uris":["http://zotero.org/users/4946941/items/DG6YYRDD"],"itemData":{"id":1022,"type":"chapter","container-title":"International Encyclopedia of Human Geography","ISBN":"978-0-08-102296-2","language":"en","note":"DOI: 10.1016/B978-0-08-102295-5.10412-3","page":"125-128","publisher":"Elsevier","source":"DOI.org (Crossref)","title":"Place and Health","URL":"https://linkinghub.elsevier.com/retrieve/pii/B9780081022955104123","author":[{"family":"Kuuire","given":"Vincent"},{"family":"Dassah","given":"Ebenezer"}],"accessed":{"date-parts":[["2022",7,16]]},"issued":{"date-parts":[["2020"]]}}},{"id":1023,"uris":["http://zotero.org/users/4946941/items/GMVNFH4U"],"itemData":{"id":1023,"type":"article-journal","abstract":"In this paper we highlight what we consider to be a lack of adequate conceptualisation, operationalisation and measurement of “place effects”. We briefly review recent historical trends in the study of the effects of place on health in industrial countries, and argue that “place effects” often appear to have the status of a residual category, an unspecified black box of somewhat mystical influences on health which remain after investigators have controlled for a range of individual and place characteristics. We note that the distinction between “composition” and “context” may be more apparent than real, and that features of both material infrastructure and collective social functioning may influence health. We suggest using a framework of universal human needs as a basis for thinking about how places may influence health, and recommend the testing of hypotheses about specific chains of causation that might link place of residence with health outcomes.","collection-title":"Selected papers from the 9th International Symposium on Medical G eography","container-title":"Social Science &amp; Medicine","DOI":"10.1016/S0277-9536(01)00214-3","ISSN":"0277-9536","issue":"1","journalAbbreviation":"Social Science &amp; Medicine","language":"en","page":"125-139","source":"ScienceDirect","title":"Place effects on health: how can we conceptualise, operationalise and measure them?","title-short":"Place effects on health","volume":"55","author":[{"family":"Macintyre","given":"Sally"},{"family":"Ellaway","given":"Anne"},{"family":"Cummins","given":"Steven"}],"issued":{"date-parts":[["2002",7,1]]}}},{"id":719,"uris":["http://zotero.org/users/4946941/items/PYIIA728"],"itemData":{"id":719,"type":"article-journal","container-title":"The lancet","issue":"9846","language":"en","page":"1011–1029","title":"WHO European review of social determinants of health and the health divide","volume":"380","author":[{"family":"Marmot","given":"M."},{"family":"Allen","given":"J."},{"family":"Bell","given":"R."},{"family":"Bloomer","given":"E."},{"family":"Goldblatt","given":"P."}],"issued":{"date-parts":[["2012"]]}}},{"id":718,"uris":["http://zotero.org/users/4946941/items/7487FR7C"],"itemData":{"id":718,"type":"book","language":"en","publisher":"OUP Oxford","title":"Social determinants of health","editor":[{"family":"Marmot","given":"M."},{"family":"Wilkinson","given":"R."}],"issued":{"date-parts":[["2005"]]}}},{"id":861,"uris":["http://zotero.org/users/4946941/items/ZC4ELB7J"],"itemData":{"id":861,"type":"document","language":"en","title":"Social determinants of health: the solid facts. World Health Organization, Europe","URL":"https://www.euro.who.int/__data/assets/pdf_file/0005/98438/e81384.pdf","editor":[{"family":"Wilkinson","given":"R.G."},{"family":"Marmot","given":"M."}],"issued":{"date-parts":[["2003"]]}}}],"schema":"https://github.com/citation-style-language/schema/raw/master/csl-citation.json"} </w:instrText>
      </w:r>
      <w:r w:rsidRPr="00424BD3">
        <w:fldChar w:fldCharType="separate"/>
      </w:r>
      <w:r w:rsidRPr="00424BD3">
        <w:t>(Arora et al., 2016; Bambra, 2016; Finkelstein et al., 2021; Kuuire &amp; Dassah, 2020; Macintyre et al., 2002; Marmot et al., 2012; Marmot &amp; Wilkinson, 2005; Wilkinson &amp; Marmot, 2003)</w:t>
      </w:r>
      <w:r w:rsidRPr="00424BD3">
        <w:fldChar w:fldCharType="end"/>
      </w:r>
      <w:r w:rsidRPr="00424BD3">
        <w:t xml:space="preserve">, but this study has shown it matters for these older women </w:t>
      </w:r>
      <w:r w:rsidRPr="00424BD3">
        <w:lastRenderedPageBreak/>
        <w:t xml:space="preserve">in ways that requires a multi-level focus, rather than solely at local or national level. These women spoke of place at state level most of all, followed by places of individual clinical experiences they had. </w:t>
      </w:r>
      <w:r w:rsidR="00D2234D" w:rsidRPr="00424BD3">
        <w:t>Researchers, clinicians, and policymakers</w:t>
      </w:r>
      <w:r w:rsidRPr="00424BD3">
        <w:t xml:space="preserve"> must establish working partnerships with older women in order to translate or implement our research findings into adequate, representative, coordinated and comprehensive policies and services that mitigate their health inequities and genealogical health trajectories. </w:t>
      </w:r>
      <w:r w:rsidR="00117B97" w:rsidRPr="00424BD3">
        <w:t xml:space="preserve">In other words, </w:t>
      </w:r>
      <w:r w:rsidR="00FE2B4B" w:rsidRPr="00424BD3">
        <w:t xml:space="preserve">the democratic processes currently in place in the U.S. at federal, state, and local levels </w:t>
      </w:r>
      <w:r w:rsidR="00117B97" w:rsidRPr="00424BD3">
        <w:t>for</w:t>
      </w:r>
      <w:r w:rsidR="00FE2B4B" w:rsidRPr="00424BD3">
        <w:t xml:space="preserve"> policy and decision-making for older women’s health</w:t>
      </w:r>
      <w:r w:rsidR="00D2234D" w:rsidRPr="00424BD3">
        <w:t xml:space="preserve"> must be changed</w:t>
      </w:r>
      <w:r w:rsidR="00FE2B4B" w:rsidRPr="00424BD3">
        <w:t xml:space="preserve">. </w:t>
      </w:r>
      <w:r w:rsidRPr="00424BD3">
        <w:t xml:space="preserve">It is not enough to speak with </w:t>
      </w:r>
      <w:r w:rsidR="00CA7A01" w:rsidRPr="00424BD3">
        <w:t>older women</w:t>
      </w:r>
      <w:r w:rsidRPr="00424BD3">
        <w:t xml:space="preserve"> and leave them behind at the study door, moving forward on our own research agendas or with policy and decision makers to shape policies and interventions which affect them. Nor is it enough to primarily seek answers in impersonal surveys. </w:t>
      </w:r>
    </w:p>
    <w:p w14:paraId="5AAB8411" w14:textId="22BADE1C" w:rsidR="00C006A2" w:rsidRPr="00424BD3" w:rsidRDefault="00236E9E" w:rsidP="00582AC3">
      <w:pPr>
        <w:spacing w:after="0" w:line="480" w:lineRule="auto"/>
        <w:ind w:firstLine="720"/>
        <w:rPr>
          <w:rFonts w:cs="Arial"/>
          <w:szCs w:val="24"/>
        </w:rPr>
      </w:pPr>
      <w:r w:rsidRPr="00424BD3">
        <w:t>As one solution,</w:t>
      </w:r>
      <w:r w:rsidR="00FE2B4B" w:rsidRPr="00424BD3">
        <w:t xml:space="preserve"> </w:t>
      </w:r>
      <w:r w:rsidRPr="00424BD3">
        <w:t>representative working groups</w:t>
      </w:r>
      <w:r w:rsidR="00F50421" w:rsidRPr="00424BD3">
        <w:t xml:space="preserve"> should be established</w:t>
      </w:r>
      <w:r w:rsidRPr="00424BD3">
        <w:t xml:space="preserve">, particularly at the community and local levels, that consist of older women, all levels of policy and decision makers, clinicians, health researchers, national women’s and older people’s groups, economics and finance personnel, </w:t>
      </w:r>
      <w:r w:rsidR="00BC40FC" w:rsidRPr="00424BD3">
        <w:t>patient navigators</w:t>
      </w:r>
      <w:r w:rsidR="00BC30FE" w:rsidRPr="00424BD3">
        <w:t xml:space="preserve"> </w:t>
      </w:r>
      <w:r w:rsidR="00BC30FE" w:rsidRPr="00424BD3">
        <w:fldChar w:fldCharType="begin"/>
      </w:r>
      <w:r w:rsidR="00990F3A">
        <w:instrText xml:space="preserve"> ADDIN ZOTERO_ITEM CSL_CITATION {"citationID":"9xgTZILR","properties":{"formattedCitation":"(Natale-Pereira et al., 2011)","plainCitation":"(Natale-Pereira et al., 2011)","noteIndex":0},"citationItems":[{"id":1368,"uris":["http://zotero.org/users/4946941/items/VP34NJBK"],"itemData":{"id":1368,"type":"article-journal","abstract":"Despite many important efforts to increase equity in the US health care system, not all Americans have equal access to health care—or similar health outcomes. With the goal of lowering costs and increasing accessibility to health care, the nation's new health care reform legislation includes certain provisions that expand health insurance coverage to uninsured and underinsured populations, promote medical homes, and support coordination of care. These provisions may help narrow existing health care disparities. Many of the most vulnerable patients, however, may continue to have difficulty accessing and navigating the complex US health care delivery system. This article explores the unique role that patient navigation can play in improving health outcomes for racial and ethnic minorities, as well as other underserved populations, in the context of a changing healthcare environment. Patient navigators can not only facilitate improved health care access and quality for underserved populations through advocacy and care coordination, but they can also address deep-rooted issues related to distrust in providers and the health system that often lead to avoidance of health problems and non-compliance with treatment recommendations. By addressing many of the disparities associated with language and cultural differences and barriers, patient navigators can foster trust and empowerment within the communities they serve. Specific patient navigator activities are discussed, and metrics to evaluate program efforts are presented. Cancer 2011;117(15 suppl):3541–50. © 2011 American Cancer Society.","container-title":"Cancer","DOI":"10.1002/cncr.26264","ISSN":"1097-0142","issue":"S15","language":"en","note":"_eprint: https://onlinelibrary.wiley.com/doi/pdf/10.1002/cncr.26264","page":"3541-3550","source":"Wiley Online Library","title":"The role of patient navigators in eliminating health disparities","volume":"117","author":[{"family":"Natale-Pereira","given":"Ana"},{"family":"Enard","given":"Kimberly R."},{"family":"Nevarez","given":"Lucinda"},{"family":"Jones","given":"Lovell A."}],"issued":{"date-parts":[["2011"]]}}}],"schema":"https://github.com/citation-style-language/schema/raw/master/csl-citation.json"} </w:instrText>
      </w:r>
      <w:r w:rsidR="00BC30FE" w:rsidRPr="00424BD3">
        <w:fldChar w:fldCharType="separate"/>
      </w:r>
      <w:r w:rsidR="00BC30FE" w:rsidRPr="00424BD3">
        <w:rPr>
          <w:rFonts w:cs="Arial"/>
        </w:rPr>
        <w:t>(Natale-Pereira et al., 2011)</w:t>
      </w:r>
      <w:r w:rsidR="00BC30FE" w:rsidRPr="00424BD3">
        <w:fldChar w:fldCharType="end"/>
      </w:r>
      <w:r w:rsidR="00BC40FC" w:rsidRPr="00424BD3">
        <w:t xml:space="preserve">, </w:t>
      </w:r>
      <w:r w:rsidRPr="00424BD3">
        <w:t xml:space="preserve">and other relevant partners, to design, develop, and ensure on-going effective solutions to older women’s health inequities. These partnerships should exist in perpetuity, meeting on a regular basis, rather than one-off or short-term convenings. Local groups can then meet and collaborate with state and regional level policy and decision-makers to create more appropriate state-level policies and interventions to address older women’s health inequities. These groups could also consult with and include older women in developing and enacting campaigns, events, and other </w:t>
      </w:r>
      <w:r w:rsidRPr="00424BD3">
        <w:lastRenderedPageBreak/>
        <w:t xml:space="preserve">educational opportunities to challenge the stigma around older women’s health and familial and cultural norms about health and mortality. While much more still needs to be done, these suggestions provide helpful ideas for engaging spatially in mitigating and dismantling older women’s health inequities, the role of inequities in their genealogical health outcomes, and the destructive norms and stigma they face. </w:t>
      </w:r>
    </w:p>
    <w:p w14:paraId="440B4174" w14:textId="2E878607" w:rsidR="00CD4F0C" w:rsidRPr="00424BD3" w:rsidRDefault="00236E9E" w:rsidP="002B2EA1">
      <w:pPr>
        <w:spacing w:after="0" w:line="480" w:lineRule="auto"/>
        <w:ind w:firstLine="720"/>
      </w:pPr>
      <w:r w:rsidRPr="00424BD3">
        <w:t>Finally, where policies and interventions exist for removing discriminatory policies and interventions for older women</w:t>
      </w:r>
      <w:r w:rsidR="00B64EE1" w:rsidRPr="00424BD3">
        <w:t xml:space="preserve">, such as the Health Stigma and Discrimination Framework </w:t>
      </w:r>
      <w:r w:rsidR="00B64EE1" w:rsidRPr="00424BD3">
        <w:fldChar w:fldCharType="begin"/>
      </w:r>
      <w:r w:rsidR="00990F3A">
        <w:instrText xml:space="preserve"> ADDIN ZOTERO_ITEM CSL_CITATION {"citationID":"Lk0I8Nfj","properties":{"formattedCitation":"(Stangl et al., 2019)","plainCitation":"(Stangl et al., 2019)","noteIndex":0},"citationItems":[{"id":1545,"uris":["http://zotero.org/users/4946941/items/TC7GZMCZ"],"itemData":{"id":1545,"type":"article-journal","abstract":"Stigma is a well-documented barrier to health seeking behavior, engagement in care and adherence to treatment across a range of health conditions globally. In order to halt the stigmatization process and mitigate the harmful consequences of health-related stigma (i.e. stigma associated with health conditions), it is critical to have an explicit theoretical framework to guide intervention development, measurement, research, and policy. Existing stigma frameworks typically focus on one health condition in isolation and often concentrate on the psychological pathways occurring among individuals. This tendency has encouraged a siloed approach to research on health-related stigmas, focusing on individuals, impeding both comparisons across stigmatized conditions and research on innovations to reduce health-related stigma and improve health outcomes. We propose the Health Stigma and Discrimination Framework, which is a global, crosscutting framework based on theory, research, and practice, and demonstrate its application to a range of health conditions, including leprosy, epilepsy, mental health, cancer, HIV, and obesity/overweight. We also discuss how stigma related to race, gender, sexual orientation, class, and occupation intersects with health-related stigmas, and examine how the framework can be used to enhance research, programming, and policy efforts. Research and interventions inspired by a common framework will enable the field to identify similarities and differences in stigma processes across diseases and will amplify our collective ability to respond effectively and at-scale to a major driver of poor health outcomes globally.","container-title":"BMC Medicine","DOI":"10.1186/s12916-019-1271-3","ISSN":"1741-7015","issue":"1","journalAbbreviation":"BMC Medicine","page":"31","source":"BioMed Central","title":"The Health Stigma and Discrimination Framework: a global, crosscutting framework to inform research, intervention development, and policy on health-related stigmas","title-short":"The Health Stigma and Discrimination Framework","volume":"17","author":[{"family":"Stangl","given":"Anne L."},{"family":"Earnshaw","given":"Valerie A."},{"family":"Logie","given":"Carmen H."},{"family":"Brakel","given":"Wim","non-dropping-particle":"van"},{"family":"C. Simbayi","given":"Leickness"},{"family":"Barré","given":"Iman"},{"family":"Dovidio","given":"John F."}],"issued":{"date-parts":[["2019",2,15]]}}}],"schema":"https://github.com/citation-style-language/schema/raw/master/csl-citation.json"} </w:instrText>
      </w:r>
      <w:r w:rsidR="00B64EE1" w:rsidRPr="00424BD3">
        <w:fldChar w:fldCharType="separate"/>
      </w:r>
      <w:r w:rsidR="00B64EE1" w:rsidRPr="00424BD3">
        <w:rPr>
          <w:rFonts w:cs="Arial"/>
        </w:rPr>
        <w:t>(Stangl et al., 2019)</w:t>
      </w:r>
      <w:r w:rsidR="00B64EE1" w:rsidRPr="00424BD3">
        <w:fldChar w:fldCharType="end"/>
      </w:r>
      <w:r w:rsidR="0038212E" w:rsidRPr="00424BD3">
        <w:t xml:space="preserve">, </w:t>
      </w:r>
      <w:r w:rsidR="002E33DF" w:rsidRPr="00424BD3">
        <w:t xml:space="preserve">multi-level stigma interventions </w:t>
      </w:r>
      <w:r w:rsidR="00787397" w:rsidRPr="00424BD3">
        <w:fldChar w:fldCharType="begin"/>
      </w:r>
      <w:r w:rsidR="00990F3A">
        <w:instrText xml:space="preserve"> ADDIN ZOTERO_ITEM CSL_CITATION {"citationID":"FSEs8n3c","properties":{"formattedCitation":"(Rao et al., 2019)","plainCitation":"(Rao et al., 2019)","noteIndex":0},"citationItems":[{"id":1548,"uris":["http://zotero.org/users/4946941/items/5Y8BILU2"],"itemData":{"id":1548,"type":"article-journal","abstract":"Researchers have long recognized that stigma is a global, multi-level phenomenon requiring intervention approaches that target multiple levels including individual, interpersonal, community, and structural levels. While existing interventions have produced modest reductions in stigma, their full reach and impact remain limited by a nearly exclusive focus targeting only one level of analysis.","container-title":"BMC Medicine","DOI":"10.1186/s12916-018-1244-y","ISSN":"1741-7015","issue":"1","journalAbbreviation":"BMC Medicine","page":"41","source":"BioMed Central","title":"A systematic review of multi-level stigma interventions: state of the science and future directions","title-short":"A systematic review of multi-level stigma interventions","volume":"17","author":[{"family":"Rao","given":"Deepa"},{"family":"Elshafei","given":"Ahmed"},{"family":"Nguyen","given":"Minh"},{"family":"Hatzenbuehler","given":"Mark L."},{"family":"Frey","given":"Sarah"},{"family":"Go","given":"Vivian F."}],"issued":{"date-parts":[["2019",2,15]]}}}],"schema":"https://github.com/citation-style-language/schema/raw/master/csl-citation.json"} </w:instrText>
      </w:r>
      <w:r w:rsidR="00787397" w:rsidRPr="00424BD3">
        <w:fldChar w:fldCharType="separate"/>
      </w:r>
      <w:r w:rsidR="00787397" w:rsidRPr="00424BD3">
        <w:rPr>
          <w:rFonts w:cs="Arial"/>
        </w:rPr>
        <w:t>(Rao et al., 2019)</w:t>
      </w:r>
      <w:r w:rsidR="00787397" w:rsidRPr="00424BD3">
        <w:fldChar w:fldCharType="end"/>
      </w:r>
      <w:r w:rsidR="00803233" w:rsidRPr="00424BD3">
        <w:rPr>
          <w:rFonts w:cs="Arial"/>
          <w:szCs w:val="24"/>
        </w:rPr>
        <w:t>,</w:t>
      </w:r>
      <w:r w:rsidR="007B3283" w:rsidRPr="00424BD3">
        <w:rPr>
          <w:rFonts w:cs="Arial"/>
          <w:szCs w:val="24"/>
        </w:rPr>
        <w:t xml:space="preserve"> </w:t>
      </w:r>
      <w:r w:rsidR="002973EC" w:rsidRPr="00424BD3">
        <w:rPr>
          <w:rFonts w:cs="Arial"/>
          <w:szCs w:val="24"/>
        </w:rPr>
        <w:t xml:space="preserve">and U.S. acts such as Title VII of the Civil Rights Act of 1964, the Equal Pay Act of 1963, the Age Discrimination </w:t>
      </w:r>
      <w:r w:rsidR="00C00A00" w:rsidRPr="00424BD3">
        <w:rPr>
          <w:rFonts w:cs="Arial"/>
          <w:szCs w:val="24"/>
        </w:rPr>
        <w:t xml:space="preserve">in Employment Act of 1967, </w:t>
      </w:r>
      <w:r w:rsidR="00ED6DFA" w:rsidRPr="00424BD3">
        <w:rPr>
          <w:rFonts w:cs="Arial"/>
          <w:szCs w:val="24"/>
        </w:rPr>
        <w:t xml:space="preserve">Title IX of the Education Amendments of 1972, </w:t>
      </w:r>
      <w:r w:rsidR="00C00A00" w:rsidRPr="00424BD3">
        <w:rPr>
          <w:rFonts w:cs="Arial"/>
          <w:szCs w:val="24"/>
        </w:rPr>
        <w:t>the Rehabilitation Act of 1973 (covering employees and job applicants with disabilities), and the Civil Rights Act of 1991</w:t>
      </w:r>
      <w:r w:rsidR="0013713C" w:rsidRPr="00424BD3">
        <w:rPr>
          <w:rFonts w:cs="Arial"/>
          <w:szCs w:val="24"/>
        </w:rPr>
        <w:t>, the Equal Credit Opportunity Act, the Family and Medical Leave Act</w:t>
      </w:r>
      <w:r w:rsidR="00ED6DFA" w:rsidRPr="00424BD3">
        <w:rPr>
          <w:rFonts w:cs="Arial"/>
          <w:szCs w:val="24"/>
        </w:rPr>
        <w:t xml:space="preserve">, </w:t>
      </w:r>
      <w:r w:rsidR="00F61F94" w:rsidRPr="00424BD3">
        <w:rPr>
          <w:rFonts w:cs="Arial"/>
          <w:szCs w:val="24"/>
        </w:rPr>
        <w:t xml:space="preserve">the Violence Against Women Act, </w:t>
      </w:r>
      <w:r w:rsidR="00ED6DFA" w:rsidRPr="00424BD3">
        <w:rPr>
          <w:rFonts w:cs="Arial"/>
          <w:szCs w:val="24"/>
        </w:rPr>
        <w:t>and the Fair Housing Act</w:t>
      </w:r>
      <w:r w:rsidR="00805570" w:rsidRPr="00424BD3">
        <w:rPr>
          <w:rFonts w:cs="Arial"/>
          <w:szCs w:val="24"/>
        </w:rPr>
        <w:t xml:space="preserve"> </w:t>
      </w:r>
      <w:r w:rsidR="00AE0277" w:rsidRPr="00424BD3">
        <w:rPr>
          <w:rFonts w:cs="Arial"/>
          <w:szCs w:val="24"/>
        </w:rPr>
        <w:fldChar w:fldCharType="begin"/>
      </w:r>
      <w:r w:rsidR="00A62929">
        <w:rPr>
          <w:rFonts w:cs="Arial"/>
          <w:szCs w:val="24"/>
        </w:rPr>
        <w:instrText xml:space="preserve"> ADDIN ZOTERO_ITEM CSL_CITATION {"citationID":"db8e1qW8","properties":{"formattedCitation":"(FindLaw, 2017; FTC, n.d.; The White House, 2022)","plainCitation":"(FindLaw, 2017; FTC, n.d.; The White House, 2022)","noteIndex":0},"citationItems":[{"id":1553,"uris":["http://zotero.org/users/4946941/items/XVAAWH3D"],"itemData":{"id":1553,"type":"webpage","abstract":"Below is a list of federal laws that prohibit discrimination based on gender in a number of settings, and links to the full texts of those laws. (Note: Many states","container-title":"Findlaw","language":"en-US","title":"Gender Discrimination: Applicable Laws","title-short":"Gender Discrimination","URL":"https://www.findlaw.com/civilrights/discrimination/gender-discrimination-applicable-laws.html","author":[{"family":"FindLaw","given":""}],"accessed":{"date-parts":[["2022",9,8]]},"issued":{"date-parts":[["2017",7,27]]}}},{"id":1551,"uris":["http://zotero.org/users/4946941/items/TRHZ4USB"],"itemData":{"id":1551,"type":"webpage","abstract":"Equal Employment Opportunity Commission The laws enforced by EEOC makes it unlawful for Federal agencies to discriminate against employees and job applicants on the bases of race, color,","container-title":"Federal Trade Commission (FTC)","language":"en","title":"Protections Against Discrimination and Other Prohibited Practices","URL":"https://www.ftc.gov/policy-notices/no-fear-act/protections-against-discrimination","author":[{"family":"FTC","given":""}],"accessed":{"date-parts":[["2022",9,8]]},"issued":{"literal":"n.d."}}},{"id":1555,"uris":["http://zotero.org/users/4946941/items/5N59CYTS"],"itemData":{"id":1555,"type":"webpage","abstract":"This week, President Biden signed into law the Violence Against Women Act Reauthorization Act of 2022, bipartisan legislation passed by Congress as part","container-title":"The White House","language":"en-US","title":"Fact Sheet: Reauthorization of the Violence Against Women Act (VAWA)","title-short":"Fact Sheet","URL":"https://www.whitehouse.gov/briefing-room/statements-releases/2022/03/16/fact-sheet-reauthorization-of-the-violence-against-women-act-vawa/","author":[{"family":"The White House","given":""}],"accessed":{"date-parts":[["2022",9,8]]},"issued":{"date-parts":[["2022",3,16]]}}}],"schema":"https://github.com/citation-style-language/schema/raw/master/csl-citation.json"} </w:instrText>
      </w:r>
      <w:r w:rsidR="00AE0277" w:rsidRPr="00424BD3">
        <w:rPr>
          <w:rFonts w:cs="Arial"/>
          <w:szCs w:val="24"/>
        </w:rPr>
        <w:fldChar w:fldCharType="separate"/>
      </w:r>
      <w:r w:rsidR="00BE23BC" w:rsidRPr="00424BD3">
        <w:rPr>
          <w:rFonts w:cs="Arial"/>
        </w:rPr>
        <w:t>(FindLaw, 2017; FTC, n.d.; The White House, 2022)</w:t>
      </w:r>
      <w:r w:rsidR="00AE0277" w:rsidRPr="00424BD3">
        <w:rPr>
          <w:rFonts w:cs="Arial"/>
          <w:szCs w:val="24"/>
        </w:rPr>
        <w:fldChar w:fldCharType="end"/>
      </w:r>
      <w:r w:rsidRPr="00424BD3">
        <w:t xml:space="preserve">, policies and interventions should be meaningfully implemented for initial and continuing training and assessment for policymakers, other decision-makers, clinicians and others specifically involved in policymaking and health intervention decision-making for older women. This should include health inequities training and assessment for elected officials over and above standard ethics training or health inequities overview training </w:t>
      </w:r>
      <w:r w:rsidRPr="00424BD3">
        <w:fldChar w:fldCharType="begin"/>
      </w:r>
      <w:r w:rsidR="00990F3A">
        <w:instrText xml:space="preserve"> ADDIN ZOTERO_ITEM CSL_CITATION {"citationID":"vaRKaQH5","properties":{"formattedCitation":"(Lane et al., 2016; O\\uc0\\u8217{}Mara et al., 2015)","plainCitation":"(Lane et al., 2016; O’Mara et al., 2015)","noteIndex":0},"citationItems":[{"id":709,"uris":["http://zotero.org/users/4946941/items/F6HZ8TMV"],"itemData":{"id":709,"type":"article-journal","container-title":"Journal of best practices in health professions diversity: research, education and policy","issue":"1","language":"en","page":"1178","title":"Translational Research Training at Various Levels of Professional Experience to Address Health Disparities","volume":"9","author":[{"family":"Lane","given":"M."},{"family":"Bell","given":"R."},{"family":"Latham-Sadler","given":"B."},{"family":"Bradley","given":"C."},{"family":"Foxworth","given":"J."},{"family":"Smith","given":"N."},{"family":"Millar","given":"A.L."},{"family":"Hairston","given":"K.G."},{"family":"Roper","given":"B."},{"family":"Howlett","given":"A."}],"issued":{"date-parts":[["2016"]]}}},{"id":753,"uris":["http://zotero.org/users/4946941/items/DATALS3W"],"itemData":{"id":753,"type":"article-journal","container-title":"Academic medicine: journal of the Association of American Medical Colleges","issue":"2","language":"en","page":"161","title":"Should MD-PhD programs encourage graduate training in disciplines beyond conventional biomedical or clinical sciences?","volume":"90","author":[{"family":"O'Mara","given":"M.R.J."},{"family":"Hsu","given":"S.I."},{"family":"Wilson","given":"D.R."}],"issued":{"date-parts":[["2015"]]}}}],"schema":"https://github.com/citation-style-language/schema/raw/master/csl-citation.json"} </w:instrText>
      </w:r>
      <w:r w:rsidRPr="00424BD3">
        <w:fldChar w:fldCharType="separate"/>
      </w:r>
      <w:r w:rsidRPr="00424BD3">
        <w:t>(Lane et al., 2016; O’Mara et al., 2015)</w:t>
      </w:r>
      <w:r w:rsidRPr="00424BD3">
        <w:fldChar w:fldCharType="end"/>
      </w:r>
      <w:r w:rsidRPr="00424BD3">
        <w:t>. However, it is noted that these recommendations require a geopolitical environment and policymakers which are open to and willing to act upon a health inequities mitigation and health and mortality outcome partnership arrangements with the older women of Tennessee.</w:t>
      </w:r>
    </w:p>
    <w:p w14:paraId="66192D1C" w14:textId="2CC6E5F6" w:rsidR="008844E4" w:rsidRPr="00424BD3" w:rsidRDefault="008844E4" w:rsidP="000126EE">
      <w:pPr>
        <w:pStyle w:val="Heading2"/>
        <w:spacing w:before="0" w:line="480" w:lineRule="auto"/>
        <w:jc w:val="center"/>
        <w:rPr>
          <w:rFonts w:ascii="Arial" w:hAnsi="Arial" w:cs="Arial"/>
          <w:b/>
          <w:bCs/>
          <w:color w:val="auto"/>
          <w:sz w:val="24"/>
          <w:szCs w:val="24"/>
        </w:rPr>
      </w:pPr>
      <w:bookmarkStart w:id="113" w:name="_Toc118232379"/>
      <w:r w:rsidRPr="00424BD3">
        <w:rPr>
          <w:rFonts w:ascii="Arial" w:hAnsi="Arial" w:cs="Arial"/>
          <w:b/>
          <w:bCs/>
          <w:color w:val="auto"/>
          <w:sz w:val="24"/>
          <w:szCs w:val="24"/>
        </w:rPr>
        <w:lastRenderedPageBreak/>
        <w:t>Contribution</w:t>
      </w:r>
      <w:bookmarkEnd w:id="113"/>
    </w:p>
    <w:p w14:paraId="4B76E170" w14:textId="3E06E867" w:rsidR="00266409" w:rsidRPr="00424BD3" w:rsidRDefault="00486945" w:rsidP="00266409">
      <w:pPr>
        <w:spacing w:after="0" w:line="480" w:lineRule="auto"/>
        <w:ind w:firstLine="720"/>
        <w:rPr>
          <w:rFonts w:cs="Arial"/>
          <w:szCs w:val="24"/>
        </w:rPr>
      </w:pPr>
      <w:r w:rsidRPr="00424BD3">
        <w:rPr>
          <w:rFonts w:cs="Arial"/>
          <w:szCs w:val="24"/>
        </w:rPr>
        <w:t xml:space="preserve">This </w:t>
      </w:r>
      <w:r w:rsidR="004F547D" w:rsidRPr="00424BD3">
        <w:rPr>
          <w:rFonts w:cs="Arial"/>
          <w:szCs w:val="24"/>
        </w:rPr>
        <w:t>dissertation contributes to the health inequities body of knowledge and practice by demonstrat</w:t>
      </w:r>
      <w:r w:rsidR="00534D49" w:rsidRPr="00424BD3">
        <w:rPr>
          <w:rFonts w:cs="Arial"/>
          <w:szCs w:val="24"/>
        </w:rPr>
        <w:t>ing</w:t>
      </w:r>
      <w:r w:rsidR="004F547D" w:rsidRPr="00424BD3">
        <w:rPr>
          <w:rFonts w:cs="Arial"/>
          <w:szCs w:val="24"/>
        </w:rPr>
        <w:t xml:space="preserve"> the importance of creating health inequities policies and interventions for older women that incorporate intersectionality at all spatial levels </w:t>
      </w:r>
      <w:r w:rsidR="004F547D" w:rsidRPr="00424BD3">
        <w:rPr>
          <w:rFonts w:cs="Arial"/>
          <w:szCs w:val="24"/>
        </w:rPr>
        <w:fldChar w:fldCharType="begin"/>
      </w:r>
      <w:r w:rsidR="00990F3A">
        <w:rPr>
          <w:rFonts w:cs="Arial"/>
          <w:szCs w:val="24"/>
        </w:rPr>
        <w:instrText xml:space="preserve"> ADDIN ZOTERO_ITEM CSL_CITATION {"citationID":"Qx8LsltM","properties":{"formattedCitation":"(Homan et al., 2021)","plainCitation":"(Homan et al., 2021)","noteIndex":0},"citationItems":[{"id":1207,"uris":["http://zotero.org/users/4946941/items/EFNGAZSB"],"itemData":{"id":1207,"type":"article-journal","abstract":"This article advances the field by integrating insights from intersectionality perspectives with the emerging literatures on structural racism and structural sexism—which point to promising new ways to measure systems of inequality at a macro level—to introduce a structural intersectionality approach to population health. We demonstrate an application of structural intersectionality using administrative data representing macrolevel structural racism, structural sexism, and income inequality in U.S. states linked to individual data from the Behavioral Risk Factor Surveillance System to estimate multilevel models (N = 420,644 individuals nested in 76 state-years) investigating how intersecting dimensions of structural oppression shape health. Analyses show that these structural inequalities: (1) vary considerably across U.S. states, (2) intersect in numerous ways but do not strongly or positively covary, (3) individually and jointly shape health, and (4) are most consistently associated with poor health for black women. We conclude by outlining an agenda for future research on structural intersectionality and health.","container-title":"Journal of Health and Social Behavior","DOI":"10.1177/00221465211032947","ISSN":"0022-1465","issue":"3","journalAbbreviation":"J Health Soc Behav","language":"en","note":"publisher: SAGE Publications Inc","page":"350-370","source":"SAGE Journals","title":"Structural Intersectionality as a New Direction for Health Disparities Research","volume":"62","author":[{"family":"Homan","given":"Patricia"},{"family":"Brown","given":"Tyson H."},{"family":"King","given":"Brittany"}],"issued":{"date-parts":[["2021",9,1]]}}}],"schema":"https://github.com/citation-style-language/schema/raw/master/csl-citation.json"} </w:instrText>
      </w:r>
      <w:r w:rsidR="004F547D" w:rsidRPr="00424BD3">
        <w:rPr>
          <w:rFonts w:cs="Arial"/>
          <w:szCs w:val="24"/>
        </w:rPr>
        <w:fldChar w:fldCharType="separate"/>
      </w:r>
      <w:r w:rsidR="004F547D" w:rsidRPr="00424BD3">
        <w:rPr>
          <w:rFonts w:cs="Arial"/>
        </w:rPr>
        <w:t>(Homan et al., 2021)</w:t>
      </w:r>
      <w:r w:rsidR="004F547D" w:rsidRPr="00424BD3">
        <w:rPr>
          <w:rFonts w:cs="Arial"/>
          <w:szCs w:val="24"/>
        </w:rPr>
        <w:fldChar w:fldCharType="end"/>
      </w:r>
      <w:r w:rsidR="004F547D" w:rsidRPr="00424BD3">
        <w:rPr>
          <w:rFonts w:cs="Arial"/>
          <w:szCs w:val="24"/>
        </w:rPr>
        <w:t xml:space="preserve">. </w:t>
      </w:r>
      <w:r w:rsidR="00266409" w:rsidRPr="00424BD3">
        <w:rPr>
          <w:rFonts w:cs="Arial"/>
          <w:szCs w:val="24"/>
        </w:rPr>
        <w:t>This study has includ</w:t>
      </w:r>
      <w:r w:rsidR="0011304C" w:rsidRPr="00424BD3">
        <w:rPr>
          <w:rFonts w:cs="Arial"/>
          <w:szCs w:val="24"/>
        </w:rPr>
        <w:t>ed</w:t>
      </w:r>
      <w:r w:rsidR="00266409" w:rsidRPr="00424BD3">
        <w:rPr>
          <w:rFonts w:cs="Arial"/>
          <w:szCs w:val="24"/>
        </w:rPr>
        <w:t xml:space="preserve"> examinations of this intersectionality and multi-spatiality from the geopolitical context in which the women live; the lived experiences they have had which have influenced their perceptions about health, healthcare, policies</w:t>
      </w:r>
      <w:r w:rsidR="008E532D">
        <w:rPr>
          <w:rFonts w:cs="Arial"/>
          <w:szCs w:val="24"/>
        </w:rPr>
        <w:t>,</w:t>
      </w:r>
      <w:r w:rsidR="00266409" w:rsidRPr="00424BD3">
        <w:rPr>
          <w:rFonts w:cs="Arial"/>
          <w:szCs w:val="24"/>
        </w:rPr>
        <w:t xml:space="preserve"> and interventions; and their genealogical familial health impacts. </w:t>
      </w:r>
    </w:p>
    <w:p w14:paraId="23E166EE" w14:textId="1879BD9E" w:rsidR="00E10FC6" w:rsidRPr="00424BD3" w:rsidRDefault="00C73F08" w:rsidP="00C73F08">
      <w:pPr>
        <w:spacing w:after="0" w:line="480" w:lineRule="auto"/>
        <w:ind w:firstLine="720"/>
        <w:rPr>
          <w:rFonts w:cs="Arial"/>
          <w:szCs w:val="24"/>
        </w:rPr>
      </w:pPr>
      <w:r w:rsidRPr="00424BD3">
        <w:rPr>
          <w:rFonts w:cs="Arial"/>
          <w:szCs w:val="24"/>
        </w:rPr>
        <w:t xml:space="preserve">By examining a cohort of older women who </w:t>
      </w:r>
      <w:r w:rsidR="004F10FF" w:rsidRPr="00424BD3">
        <w:rPr>
          <w:rFonts w:cs="Arial"/>
          <w:szCs w:val="24"/>
        </w:rPr>
        <w:t xml:space="preserve">were born, lived, and worked </w:t>
      </w:r>
      <w:r w:rsidR="002D2E85" w:rsidRPr="00424BD3">
        <w:rPr>
          <w:rFonts w:cs="Arial"/>
          <w:szCs w:val="24"/>
        </w:rPr>
        <w:t xml:space="preserve">across various states within the U.S., but who have spent significant portions of time in their later lives in East Tennessee, this research has </w:t>
      </w:r>
      <w:r w:rsidR="00CF3021" w:rsidRPr="00424BD3">
        <w:rPr>
          <w:rFonts w:cs="Arial"/>
          <w:szCs w:val="24"/>
        </w:rPr>
        <w:t>examin</w:t>
      </w:r>
      <w:r w:rsidR="004A735A" w:rsidRPr="00424BD3">
        <w:rPr>
          <w:rFonts w:cs="Arial"/>
          <w:szCs w:val="24"/>
        </w:rPr>
        <w:t>ed</w:t>
      </w:r>
      <w:r w:rsidR="00CF3021" w:rsidRPr="00424BD3">
        <w:rPr>
          <w:rFonts w:cs="Arial"/>
          <w:szCs w:val="24"/>
        </w:rPr>
        <w:t xml:space="preserve"> their perceptions and experiences of the healthcare provision, policies</w:t>
      </w:r>
      <w:r w:rsidR="00B61F84">
        <w:rPr>
          <w:rFonts w:cs="Arial"/>
          <w:szCs w:val="24"/>
        </w:rPr>
        <w:t>,</w:t>
      </w:r>
      <w:r w:rsidR="00CF3021" w:rsidRPr="00424BD3">
        <w:rPr>
          <w:rFonts w:cs="Arial"/>
          <w:szCs w:val="24"/>
        </w:rPr>
        <w:t xml:space="preserve"> and interventions available to and affecting them </w:t>
      </w:r>
      <w:r w:rsidR="00F31724" w:rsidRPr="00424BD3">
        <w:rPr>
          <w:rFonts w:cs="Arial"/>
          <w:szCs w:val="24"/>
        </w:rPr>
        <w:t xml:space="preserve">at </w:t>
      </w:r>
      <w:r w:rsidR="00CF3021" w:rsidRPr="00424BD3">
        <w:rPr>
          <w:rFonts w:cs="Arial"/>
          <w:szCs w:val="24"/>
        </w:rPr>
        <w:t xml:space="preserve">federal, state, and local levels. </w:t>
      </w:r>
      <w:r w:rsidR="00D957F6" w:rsidRPr="00424BD3">
        <w:rPr>
          <w:rFonts w:cs="Arial"/>
          <w:szCs w:val="24"/>
        </w:rPr>
        <w:t xml:space="preserve">It has shown that </w:t>
      </w:r>
      <w:r w:rsidR="004451C1" w:rsidRPr="00424BD3">
        <w:rPr>
          <w:rFonts w:cs="Arial"/>
          <w:szCs w:val="24"/>
        </w:rPr>
        <w:t xml:space="preserve">this cohort of </w:t>
      </w:r>
      <w:r w:rsidR="00D957F6" w:rsidRPr="00424BD3">
        <w:rPr>
          <w:rFonts w:cs="Arial"/>
          <w:szCs w:val="24"/>
        </w:rPr>
        <w:t xml:space="preserve">older women </w:t>
      </w:r>
      <w:r w:rsidR="004451C1" w:rsidRPr="00424BD3">
        <w:rPr>
          <w:rFonts w:cs="Arial"/>
          <w:szCs w:val="24"/>
        </w:rPr>
        <w:t xml:space="preserve">were </w:t>
      </w:r>
      <w:r w:rsidR="00D957F6" w:rsidRPr="00424BD3">
        <w:rPr>
          <w:rFonts w:cs="Arial"/>
          <w:szCs w:val="24"/>
        </w:rPr>
        <w:t xml:space="preserve">aware of </w:t>
      </w:r>
      <w:r w:rsidR="00E10FC6" w:rsidRPr="00424BD3">
        <w:rPr>
          <w:rFonts w:cs="Arial"/>
          <w:szCs w:val="24"/>
        </w:rPr>
        <w:t>components of policies and interventions</w:t>
      </w:r>
      <w:r w:rsidR="004451C1" w:rsidRPr="00424BD3">
        <w:rPr>
          <w:rFonts w:cs="Arial"/>
          <w:szCs w:val="24"/>
        </w:rPr>
        <w:t xml:space="preserve"> at federal level, </w:t>
      </w:r>
      <w:r w:rsidR="000E1ADA" w:rsidRPr="00424BD3">
        <w:rPr>
          <w:rFonts w:cs="Arial"/>
          <w:szCs w:val="24"/>
        </w:rPr>
        <w:t xml:space="preserve">particularly Medicare, Medicaid, and the ACA, </w:t>
      </w:r>
      <w:r w:rsidR="004451C1" w:rsidRPr="00424BD3">
        <w:rPr>
          <w:rFonts w:cs="Arial"/>
          <w:szCs w:val="24"/>
        </w:rPr>
        <w:t xml:space="preserve">but were not aware of </w:t>
      </w:r>
      <w:r w:rsidR="000E1ADA" w:rsidRPr="00424BD3">
        <w:rPr>
          <w:rFonts w:cs="Arial"/>
          <w:szCs w:val="24"/>
        </w:rPr>
        <w:t xml:space="preserve">or did not mention </w:t>
      </w:r>
      <w:r w:rsidR="001B1E7D" w:rsidRPr="00424BD3">
        <w:rPr>
          <w:rFonts w:cs="Arial"/>
          <w:szCs w:val="24"/>
        </w:rPr>
        <w:t>state or local government level policies and interventions or resources at all</w:t>
      </w:r>
      <w:r w:rsidR="00974006" w:rsidRPr="00424BD3">
        <w:rPr>
          <w:rFonts w:cs="Arial"/>
          <w:szCs w:val="24"/>
        </w:rPr>
        <w:t xml:space="preserve">, neither for East Tennessee or any other state they had lived in prior to relocating to East Tennessee. This </w:t>
      </w:r>
      <w:r w:rsidR="003B64FE" w:rsidRPr="00424BD3">
        <w:rPr>
          <w:rFonts w:cs="Arial"/>
          <w:szCs w:val="24"/>
        </w:rPr>
        <w:t xml:space="preserve">research, therefore, </w:t>
      </w:r>
      <w:r w:rsidR="00CC6B73" w:rsidRPr="00424BD3">
        <w:rPr>
          <w:rFonts w:cs="Arial"/>
          <w:szCs w:val="24"/>
        </w:rPr>
        <w:t xml:space="preserve">confirms and </w:t>
      </w:r>
      <w:r w:rsidR="003B64FE" w:rsidRPr="00424BD3">
        <w:rPr>
          <w:rFonts w:cs="Arial"/>
          <w:szCs w:val="24"/>
        </w:rPr>
        <w:t xml:space="preserve">adds to the literature </w:t>
      </w:r>
      <w:r w:rsidR="00913D76" w:rsidRPr="00424BD3">
        <w:rPr>
          <w:rFonts w:cs="Arial"/>
          <w:szCs w:val="24"/>
        </w:rPr>
        <w:t>regarding the call</w:t>
      </w:r>
      <w:r w:rsidR="00673319" w:rsidRPr="00424BD3">
        <w:rPr>
          <w:rFonts w:cs="Arial"/>
          <w:szCs w:val="24"/>
        </w:rPr>
        <w:t xml:space="preserve"> for </w:t>
      </w:r>
      <w:r w:rsidR="003B64FE" w:rsidRPr="00424BD3">
        <w:rPr>
          <w:rFonts w:cs="Arial"/>
          <w:szCs w:val="24"/>
        </w:rPr>
        <w:t xml:space="preserve">more </w:t>
      </w:r>
      <w:r w:rsidR="004D4597" w:rsidRPr="00424BD3">
        <w:rPr>
          <w:rFonts w:cs="Arial"/>
          <w:szCs w:val="24"/>
        </w:rPr>
        <w:t xml:space="preserve">focused multi-spatial </w:t>
      </w:r>
      <w:r w:rsidR="00210838" w:rsidRPr="00424BD3">
        <w:rPr>
          <w:rFonts w:cs="Arial"/>
          <w:szCs w:val="24"/>
        </w:rPr>
        <w:t xml:space="preserve">intersectional research, policy and decision-making regarding women’s health and healthcare </w:t>
      </w:r>
      <w:r w:rsidR="00CC6B73" w:rsidRPr="00424BD3">
        <w:rPr>
          <w:rFonts w:cs="Arial"/>
          <w:szCs w:val="24"/>
        </w:rPr>
        <w:fldChar w:fldCharType="begin"/>
      </w:r>
      <w:r w:rsidR="00990F3A">
        <w:rPr>
          <w:rFonts w:cs="Arial"/>
          <w:szCs w:val="24"/>
        </w:rPr>
        <w:instrText xml:space="preserve"> ADDIN ZOTERO_ITEM CSL_CITATION {"citationID":"s24lIkP6","properties":{"formattedCitation":"(Homan et al., 2021)","plainCitation":"(Homan et al., 2021)","noteIndex":0},"citationItems":[{"id":1207,"uris":["http://zotero.org/users/4946941/items/EFNGAZSB"],"itemData":{"id":1207,"type":"article-journal","abstract":"This article advances the field by integrating insights from intersectionality perspectives with the emerging literatures on structural racism and structural sexism—which point to promising new ways to measure systems of inequality at a macro level—to introduce a structural intersectionality approach to population health. We demonstrate an application of structural intersectionality using administrative data representing macrolevel structural racism, structural sexism, and income inequality in U.S. states linked to individual data from the Behavioral Risk Factor Surveillance System to estimate multilevel models (N = 420,644 individuals nested in 76 state-years) investigating how intersecting dimensions of structural oppression shape health. Analyses show that these structural inequalities: (1) vary considerably across U.S. states, (2) intersect in numerous ways but do not strongly or positively covary, (3) individually and jointly shape health, and (4) are most consistently associated with poor health for black women. We conclude by outlining an agenda for future research on structural intersectionality and health.","container-title":"Journal of Health and Social Behavior","DOI":"10.1177/00221465211032947","ISSN":"0022-1465","issue":"3","journalAbbreviation":"J Health Soc Behav","language":"en","note":"publisher: SAGE Publications Inc","page":"350-370","source":"SAGE Journals","title":"Structural Intersectionality as a New Direction for Health Disparities Research","volume":"62","author":[{"family":"Homan","given":"Patricia"},{"family":"Brown","given":"Tyson H."},{"family":"King","given":"Brittany"}],"issued":{"date-parts":[["2021",9,1]]}}}],"schema":"https://github.com/citation-style-language/schema/raw/master/csl-citation.json"} </w:instrText>
      </w:r>
      <w:r w:rsidR="00CC6B73" w:rsidRPr="00424BD3">
        <w:rPr>
          <w:rFonts w:cs="Arial"/>
          <w:szCs w:val="24"/>
        </w:rPr>
        <w:fldChar w:fldCharType="separate"/>
      </w:r>
      <w:r w:rsidR="00CC6B73" w:rsidRPr="00424BD3">
        <w:rPr>
          <w:rFonts w:cs="Arial"/>
        </w:rPr>
        <w:t>(Homan et al., 2021)</w:t>
      </w:r>
      <w:r w:rsidR="00CC6B73" w:rsidRPr="00424BD3">
        <w:rPr>
          <w:rFonts w:cs="Arial"/>
          <w:szCs w:val="24"/>
        </w:rPr>
        <w:fldChar w:fldCharType="end"/>
      </w:r>
      <w:r w:rsidR="009646A0">
        <w:rPr>
          <w:rFonts w:cs="Arial"/>
          <w:szCs w:val="24"/>
        </w:rPr>
        <w:t>.</w:t>
      </w:r>
    </w:p>
    <w:p w14:paraId="5159E819" w14:textId="130945DC" w:rsidR="00C73F08" w:rsidRPr="00424BD3" w:rsidRDefault="00D621B7" w:rsidP="00C73F08">
      <w:pPr>
        <w:spacing w:after="0" w:line="480" w:lineRule="auto"/>
        <w:ind w:firstLine="720"/>
        <w:rPr>
          <w:rFonts w:cs="Arial"/>
          <w:szCs w:val="24"/>
        </w:rPr>
      </w:pPr>
      <w:r w:rsidRPr="00424BD3">
        <w:rPr>
          <w:rFonts w:cs="Arial"/>
          <w:szCs w:val="24"/>
        </w:rPr>
        <w:t xml:space="preserve">This study has examined the women’s perceptions of their childhood recollections of what their </w:t>
      </w:r>
      <w:r w:rsidR="001141B6">
        <w:rPr>
          <w:rFonts w:cs="Arial"/>
          <w:szCs w:val="24"/>
        </w:rPr>
        <w:t xml:space="preserve">family </w:t>
      </w:r>
      <w:r w:rsidRPr="00424BD3">
        <w:rPr>
          <w:rFonts w:cs="Arial"/>
          <w:szCs w:val="24"/>
        </w:rPr>
        <w:t>members</w:t>
      </w:r>
      <w:r w:rsidR="001141B6">
        <w:rPr>
          <w:rFonts w:cs="Arial"/>
          <w:szCs w:val="24"/>
        </w:rPr>
        <w:t>’</w:t>
      </w:r>
      <w:r w:rsidRPr="00424BD3">
        <w:rPr>
          <w:rFonts w:cs="Arial"/>
          <w:szCs w:val="24"/>
        </w:rPr>
        <w:t xml:space="preserve"> attitudes and beliefs seemed to </w:t>
      </w:r>
      <w:r w:rsidR="00A25EE1">
        <w:rPr>
          <w:rFonts w:cs="Arial"/>
          <w:szCs w:val="24"/>
        </w:rPr>
        <w:t xml:space="preserve">be </w:t>
      </w:r>
      <w:r w:rsidRPr="00424BD3">
        <w:rPr>
          <w:rFonts w:cs="Arial"/>
          <w:szCs w:val="24"/>
        </w:rPr>
        <w:t xml:space="preserve">about health, death, and the causes of </w:t>
      </w:r>
      <w:r w:rsidR="00094031" w:rsidRPr="00424BD3">
        <w:rPr>
          <w:rFonts w:cs="Arial"/>
          <w:szCs w:val="24"/>
        </w:rPr>
        <w:t>illness and</w:t>
      </w:r>
      <w:r w:rsidR="009906B4" w:rsidRPr="00424BD3">
        <w:rPr>
          <w:rFonts w:cs="Arial"/>
          <w:szCs w:val="24"/>
        </w:rPr>
        <w:t xml:space="preserve"> </w:t>
      </w:r>
      <w:r w:rsidRPr="00424BD3">
        <w:rPr>
          <w:rFonts w:cs="Arial"/>
          <w:szCs w:val="24"/>
        </w:rPr>
        <w:t>death of their family members</w:t>
      </w:r>
      <w:r w:rsidR="009906B4" w:rsidRPr="00424BD3">
        <w:rPr>
          <w:rFonts w:cs="Arial"/>
          <w:szCs w:val="24"/>
        </w:rPr>
        <w:t xml:space="preserve"> and peers</w:t>
      </w:r>
      <w:r w:rsidRPr="00424BD3">
        <w:rPr>
          <w:rFonts w:cs="Arial"/>
          <w:szCs w:val="24"/>
        </w:rPr>
        <w:t xml:space="preserve">. It </w:t>
      </w:r>
      <w:r w:rsidRPr="00424BD3">
        <w:rPr>
          <w:rFonts w:cs="Arial"/>
          <w:szCs w:val="24"/>
        </w:rPr>
        <w:lastRenderedPageBreak/>
        <w:t>has also examined the women’s perceptions, as children, of their own health in childhood and their attitudes and beliefs</w:t>
      </w:r>
      <w:r w:rsidR="00094031" w:rsidRPr="00424BD3">
        <w:rPr>
          <w:rFonts w:cs="Arial"/>
          <w:szCs w:val="24"/>
        </w:rPr>
        <w:t xml:space="preserve"> of health and death and the</w:t>
      </w:r>
      <w:r w:rsidRPr="00424BD3">
        <w:rPr>
          <w:rFonts w:cs="Arial"/>
          <w:szCs w:val="24"/>
        </w:rPr>
        <w:t xml:space="preserve"> </w:t>
      </w:r>
      <w:r w:rsidR="009906B4" w:rsidRPr="00424BD3">
        <w:rPr>
          <w:rFonts w:cs="Arial"/>
          <w:szCs w:val="24"/>
        </w:rPr>
        <w:t>causes of illness and death of their family members. As a result, t</w:t>
      </w:r>
      <w:r w:rsidR="004F547D" w:rsidRPr="00424BD3">
        <w:rPr>
          <w:rFonts w:cs="Arial"/>
          <w:szCs w:val="24"/>
        </w:rPr>
        <w:t>his research shows that investing in qualitative genealogical familial health beliefs, experiences, and attitudes history, as opposed to just family disease and illness risk history, helps researchers to understand whether genealogical replication of normed health narratives have situated their experiences</w:t>
      </w:r>
      <w:r w:rsidR="00C73F08" w:rsidRPr="00424BD3">
        <w:rPr>
          <w:rFonts w:cs="Arial"/>
          <w:szCs w:val="24"/>
        </w:rPr>
        <w:t>.</w:t>
      </w:r>
      <w:r w:rsidR="00200187" w:rsidRPr="00424BD3">
        <w:rPr>
          <w:rFonts w:cs="Arial"/>
          <w:szCs w:val="24"/>
        </w:rPr>
        <w:t xml:space="preserve"> </w:t>
      </w:r>
    </w:p>
    <w:p w14:paraId="3AB4850B" w14:textId="6D043E9A" w:rsidR="00D948D4" w:rsidRPr="00424BD3" w:rsidRDefault="002349FD" w:rsidP="00C73F08">
      <w:pPr>
        <w:spacing w:after="0" w:line="480" w:lineRule="auto"/>
        <w:ind w:firstLine="720"/>
        <w:rPr>
          <w:rFonts w:cs="Arial"/>
          <w:szCs w:val="24"/>
        </w:rPr>
      </w:pPr>
      <w:r w:rsidRPr="00424BD3">
        <w:rPr>
          <w:rFonts w:cs="Arial"/>
          <w:szCs w:val="24"/>
        </w:rPr>
        <w:t>By examining the women’s understandings of health literacy</w:t>
      </w:r>
      <w:r w:rsidR="00E64E01" w:rsidRPr="00424BD3">
        <w:rPr>
          <w:rFonts w:cs="Arial"/>
          <w:szCs w:val="24"/>
        </w:rPr>
        <w:t xml:space="preserve">, </w:t>
      </w:r>
      <w:r w:rsidRPr="00424BD3">
        <w:rPr>
          <w:rFonts w:cs="Arial"/>
          <w:szCs w:val="24"/>
        </w:rPr>
        <w:t xml:space="preserve">through </w:t>
      </w:r>
      <w:r w:rsidR="007D3E09" w:rsidRPr="00424BD3">
        <w:rPr>
          <w:rFonts w:cs="Arial"/>
          <w:szCs w:val="24"/>
        </w:rPr>
        <w:t xml:space="preserve">their answers </w:t>
      </w:r>
      <w:r w:rsidR="00491BB9" w:rsidRPr="00424BD3">
        <w:rPr>
          <w:rFonts w:cs="Arial"/>
          <w:szCs w:val="24"/>
        </w:rPr>
        <w:t>in</w:t>
      </w:r>
      <w:r w:rsidR="007D3E09" w:rsidRPr="00424BD3">
        <w:rPr>
          <w:rFonts w:cs="Arial"/>
          <w:szCs w:val="24"/>
        </w:rPr>
        <w:t xml:space="preserve"> defin</w:t>
      </w:r>
      <w:r w:rsidR="00491BB9" w:rsidRPr="00424BD3">
        <w:rPr>
          <w:rFonts w:cs="Arial"/>
          <w:szCs w:val="24"/>
        </w:rPr>
        <w:t>ing</w:t>
      </w:r>
      <w:r w:rsidR="007D3E09" w:rsidRPr="00424BD3">
        <w:rPr>
          <w:rFonts w:cs="Arial"/>
          <w:szCs w:val="24"/>
        </w:rPr>
        <w:t xml:space="preserve"> selected health terms</w:t>
      </w:r>
      <w:r w:rsidR="00E64E01" w:rsidRPr="00424BD3">
        <w:rPr>
          <w:rFonts w:cs="Arial"/>
          <w:szCs w:val="24"/>
        </w:rPr>
        <w:t xml:space="preserve">, this study </w:t>
      </w:r>
      <w:r w:rsidR="00FC36C7" w:rsidRPr="00424BD3">
        <w:rPr>
          <w:rFonts w:cs="Arial"/>
          <w:szCs w:val="24"/>
        </w:rPr>
        <w:t>also contributes t</w:t>
      </w:r>
      <w:r w:rsidR="00451024" w:rsidRPr="00424BD3">
        <w:rPr>
          <w:rFonts w:cs="Arial"/>
          <w:szCs w:val="24"/>
        </w:rPr>
        <w:t xml:space="preserve">o </w:t>
      </w:r>
      <w:r w:rsidR="00FC36C7" w:rsidRPr="00424BD3">
        <w:rPr>
          <w:rFonts w:cs="Arial"/>
          <w:szCs w:val="24"/>
        </w:rPr>
        <w:t xml:space="preserve">the understanding </w:t>
      </w:r>
      <w:r w:rsidR="00E64E01" w:rsidRPr="00424BD3">
        <w:rPr>
          <w:rFonts w:cs="Arial"/>
          <w:szCs w:val="24"/>
        </w:rPr>
        <w:t xml:space="preserve">of how their familial, </w:t>
      </w:r>
      <w:r w:rsidR="00FC36C7" w:rsidRPr="00424BD3">
        <w:rPr>
          <w:rFonts w:cs="Arial"/>
          <w:szCs w:val="24"/>
        </w:rPr>
        <w:t>geopolitical</w:t>
      </w:r>
      <w:r w:rsidR="00E02DEF">
        <w:rPr>
          <w:rFonts w:cs="Arial"/>
          <w:szCs w:val="24"/>
        </w:rPr>
        <w:t>,</w:t>
      </w:r>
      <w:r w:rsidR="00FC36C7" w:rsidRPr="00424BD3">
        <w:rPr>
          <w:rFonts w:cs="Arial"/>
          <w:szCs w:val="24"/>
        </w:rPr>
        <w:t xml:space="preserve"> and social culture</w:t>
      </w:r>
      <w:r w:rsidR="00E64E01" w:rsidRPr="00424BD3">
        <w:rPr>
          <w:rFonts w:cs="Arial"/>
          <w:szCs w:val="24"/>
        </w:rPr>
        <w:t xml:space="preserve">s </w:t>
      </w:r>
      <w:r w:rsidR="00491BB9" w:rsidRPr="00424BD3">
        <w:rPr>
          <w:rFonts w:cs="Arial"/>
          <w:szCs w:val="24"/>
        </w:rPr>
        <w:t xml:space="preserve">impact or influence women’s perceptions </w:t>
      </w:r>
      <w:r w:rsidR="00534E91" w:rsidRPr="00424BD3">
        <w:rPr>
          <w:rFonts w:cs="Arial"/>
          <w:szCs w:val="24"/>
        </w:rPr>
        <w:t xml:space="preserve">of </w:t>
      </w:r>
      <w:r w:rsidR="000D60D7" w:rsidRPr="00424BD3">
        <w:rPr>
          <w:rFonts w:cs="Arial"/>
          <w:szCs w:val="24"/>
        </w:rPr>
        <w:t xml:space="preserve">tenants of </w:t>
      </w:r>
      <w:r w:rsidR="00534E91" w:rsidRPr="00424BD3">
        <w:rPr>
          <w:rFonts w:cs="Arial"/>
          <w:szCs w:val="24"/>
        </w:rPr>
        <w:t xml:space="preserve">health inequities and the social determinants of health. </w:t>
      </w:r>
    </w:p>
    <w:p w14:paraId="165A2A5E" w14:textId="486D78C1" w:rsidR="002349FD" w:rsidRPr="00424BD3" w:rsidRDefault="000D60D7" w:rsidP="00C73F08">
      <w:pPr>
        <w:spacing w:after="0" w:line="480" w:lineRule="auto"/>
        <w:ind w:firstLine="720"/>
        <w:rPr>
          <w:rFonts w:cs="Arial"/>
          <w:szCs w:val="24"/>
        </w:rPr>
      </w:pPr>
      <w:r w:rsidRPr="00424BD3">
        <w:rPr>
          <w:rFonts w:cs="Arial"/>
          <w:szCs w:val="24"/>
        </w:rPr>
        <w:t>This study also add</w:t>
      </w:r>
      <w:r w:rsidR="00D948D4" w:rsidRPr="00424BD3">
        <w:rPr>
          <w:rFonts w:cs="Arial"/>
          <w:szCs w:val="24"/>
        </w:rPr>
        <w:t>s</w:t>
      </w:r>
      <w:r w:rsidRPr="00424BD3">
        <w:rPr>
          <w:rFonts w:cs="Arial"/>
          <w:szCs w:val="24"/>
        </w:rPr>
        <w:t xml:space="preserve"> to the literature regarding older women’s perc</w:t>
      </w:r>
      <w:r w:rsidR="009C5FF5" w:rsidRPr="00424BD3">
        <w:rPr>
          <w:rFonts w:cs="Arial"/>
          <w:szCs w:val="24"/>
        </w:rPr>
        <w:t>ep</w:t>
      </w:r>
      <w:r w:rsidRPr="00424BD3">
        <w:rPr>
          <w:rFonts w:cs="Arial"/>
          <w:szCs w:val="24"/>
        </w:rPr>
        <w:t xml:space="preserve">tions regarding </w:t>
      </w:r>
      <w:r w:rsidR="00D948D4" w:rsidRPr="00424BD3">
        <w:rPr>
          <w:rFonts w:cs="Arial"/>
          <w:szCs w:val="24"/>
        </w:rPr>
        <w:t xml:space="preserve">the </w:t>
      </w:r>
      <w:r w:rsidRPr="00424BD3">
        <w:rPr>
          <w:rFonts w:cs="Arial"/>
          <w:szCs w:val="24"/>
        </w:rPr>
        <w:t>impact of place on their health</w:t>
      </w:r>
      <w:r w:rsidR="00D948D4" w:rsidRPr="00424BD3">
        <w:rPr>
          <w:rFonts w:cs="Arial"/>
          <w:szCs w:val="24"/>
        </w:rPr>
        <w:t xml:space="preserve">, as shown throughout the dissertation – from their </w:t>
      </w:r>
      <w:r w:rsidRPr="00424BD3">
        <w:rPr>
          <w:rFonts w:cs="Arial"/>
          <w:szCs w:val="24"/>
        </w:rPr>
        <w:t>answers on how they feel place has affected their health, healthcare, and insurance experiences</w:t>
      </w:r>
      <w:r w:rsidR="00D948D4" w:rsidRPr="00424BD3">
        <w:rPr>
          <w:rFonts w:cs="Arial"/>
          <w:szCs w:val="24"/>
        </w:rPr>
        <w:t xml:space="preserve"> to how where they were born or grew up, lived, and worked contributed to their perceptions </w:t>
      </w:r>
      <w:r w:rsidR="00F1492F" w:rsidRPr="00424BD3">
        <w:rPr>
          <w:rFonts w:cs="Arial"/>
          <w:szCs w:val="24"/>
        </w:rPr>
        <w:t>across all of the findings in this study.</w:t>
      </w:r>
      <w:r w:rsidR="00B82D4C" w:rsidRPr="00424BD3">
        <w:rPr>
          <w:rFonts w:cs="Arial"/>
          <w:szCs w:val="24"/>
        </w:rPr>
        <w:t xml:space="preserve"> </w:t>
      </w:r>
    </w:p>
    <w:p w14:paraId="71F94E52" w14:textId="43721399" w:rsidR="004F547D" w:rsidRPr="00424BD3" w:rsidRDefault="006E667F" w:rsidP="00C73F08">
      <w:pPr>
        <w:spacing w:after="0" w:line="480" w:lineRule="auto"/>
        <w:ind w:firstLine="720"/>
        <w:rPr>
          <w:rFonts w:cs="Arial"/>
          <w:szCs w:val="24"/>
        </w:rPr>
      </w:pPr>
      <w:r w:rsidRPr="00424BD3">
        <w:rPr>
          <w:rFonts w:cs="Arial"/>
          <w:szCs w:val="24"/>
        </w:rPr>
        <w:t>T</w:t>
      </w:r>
      <w:r w:rsidR="00264C64" w:rsidRPr="00424BD3">
        <w:rPr>
          <w:rFonts w:cs="Arial"/>
          <w:szCs w:val="24"/>
        </w:rPr>
        <w:t xml:space="preserve">his study </w:t>
      </w:r>
      <w:r w:rsidR="003B0C16" w:rsidRPr="00424BD3">
        <w:rPr>
          <w:rFonts w:cs="Arial"/>
          <w:szCs w:val="24"/>
        </w:rPr>
        <w:t xml:space="preserve">shows </w:t>
      </w:r>
      <w:r w:rsidR="004F547D" w:rsidRPr="00424BD3">
        <w:rPr>
          <w:rFonts w:cs="Arial"/>
          <w:szCs w:val="24"/>
        </w:rPr>
        <w:t xml:space="preserve">how older women </w:t>
      </w:r>
      <w:r w:rsidR="003B0C16" w:rsidRPr="00424BD3">
        <w:rPr>
          <w:rFonts w:cs="Arial"/>
          <w:szCs w:val="24"/>
        </w:rPr>
        <w:t xml:space="preserve">may </w:t>
      </w:r>
      <w:r w:rsidR="004F547D" w:rsidRPr="00424BD3">
        <w:rPr>
          <w:rFonts w:cs="Arial"/>
          <w:szCs w:val="24"/>
        </w:rPr>
        <w:t>perceive and act upon the systemic drivers and social determinants of the health inequities they face</w:t>
      </w:r>
      <w:r w:rsidR="00016FDD" w:rsidRPr="00424BD3">
        <w:rPr>
          <w:rFonts w:cs="Arial"/>
          <w:szCs w:val="24"/>
        </w:rPr>
        <w:t xml:space="preserve">, such as </w:t>
      </w:r>
      <w:r w:rsidR="003B0C16" w:rsidRPr="00424BD3">
        <w:rPr>
          <w:rFonts w:cs="Arial"/>
          <w:szCs w:val="24"/>
        </w:rPr>
        <w:t xml:space="preserve">reverting to </w:t>
      </w:r>
      <w:r w:rsidR="00016FDD" w:rsidRPr="00424BD3">
        <w:rPr>
          <w:rFonts w:cs="Arial"/>
          <w:szCs w:val="24"/>
        </w:rPr>
        <w:t>the neoliberal norm of individual responsibility for health</w:t>
      </w:r>
      <w:r w:rsidR="003B0C16" w:rsidRPr="00424BD3">
        <w:rPr>
          <w:rFonts w:cs="Arial"/>
          <w:szCs w:val="24"/>
        </w:rPr>
        <w:t xml:space="preserve">, or to naming and taking up activism to </w:t>
      </w:r>
      <w:r w:rsidR="00BF08E1" w:rsidRPr="00424BD3">
        <w:rPr>
          <w:rFonts w:cs="Arial"/>
          <w:szCs w:val="24"/>
        </w:rPr>
        <w:t xml:space="preserve">mitigate against </w:t>
      </w:r>
      <w:r w:rsidR="002417C3" w:rsidRPr="00424BD3">
        <w:rPr>
          <w:rFonts w:cs="Arial"/>
          <w:szCs w:val="24"/>
        </w:rPr>
        <w:t xml:space="preserve">the systemic nature of racism, ageism, and gender-bias. </w:t>
      </w:r>
      <w:r w:rsidR="00BF08E1" w:rsidRPr="00424BD3">
        <w:rPr>
          <w:rFonts w:cs="Arial"/>
          <w:szCs w:val="24"/>
        </w:rPr>
        <w:t xml:space="preserve">The study has </w:t>
      </w:r>
      <w:r w:rsidR="009E51AC" w:rsidRPr="00424BD3">
        <w:rPr>
          <w:rFonts w:cs="Arial"/>
          <w:szCs w:val="24"/>
        </w:rPr>
        <w:t>contributed to research on older women’s health in</w:t>
      </w:r>
      <w:r w:rsidR="00DA3340" w:rsidRPr="00424BD3">
        <w:rPr>
          <w:rFonts w:cs="Arial"/>
          <w:szCs w:val="24"/>
        </w:rPr>
        <w:t>e</w:t>
      </w:r>
      <w:r w:rsidR="009E51AC" w:rsidRPr="00424BD3">
        <w:rPr>
          <w:rFonts w:cs="Arial"/>
          <w:szCs w:val="24"/>
        </w:rPr>
        <w:t xml:space="preserve">quities by adding </w:t>
      </w:r>
      <w:r w:rsidR="00DA3340" w:rsidRPr="00424BD3">
        <w:rPr>
          <w:rFonts w:cs="Arial"/>
          <w:szCs w:val="24"/>
        </w:rPr>
        <w:t>to</w:t>
      </w:r>
      <w:r w:rsidR="00493584">
        <w:rPr>
          <w:rFonts w:cs="Arial"/>
          <w:szCs w:val="24"/>
        </w:rPr>
        <w:t xml:space="preserve"> the</w:t>
      </w:r>
      <w:r w:rsidR="00DA3340" w:rsidRPr="00424BD3">
        <w:rPr>
          <w:rFonts w:cs="Arial"/>
          <w:szCs w:val="24"/>
        </w:rPr>
        <w:t xml:space="preserve"> limited body of literature through a </w:t>
      </w:r>
      <w:r w:rsidR="009E51AC" w:rsidRPr="00424BD3">
        <w:rPr>
          <w:rFonts w:cs="Arial"/>
          <w:szCs w:val="24"/>
        </w:rPr>
        <w:t xml:space="preserve">nuanced </w:t>
      </w:r>
      <w:r w:rsidR="0023570A" w:rsidRPr="00424BD3">
        <w:rPr>
          <w:rFonts w:cs="Arial"/>
          <w:szCs w:val="24"/>
        </w:rPr>
        <w:t>examination</w:t>
      </w:r>
      <w:r w:rsidR="003D6E6E" w:rsidRPr="00424BD3">
        <w:rPr>
          <w:rFonts w:cs="Arial"/>
          <w:szCs w:val="24"/>
        </w:rPr>
        <w:t xml:space="preserve"> of this marginalized group </w:t>
      </w:r>
      <w:r w:rsidR="003D6E6E" w:rsidRPr="00424BD3">
        <w:rPr>
          <w:rFonts w:cs="Arial"/>
          <w:szCs w:val="24"/>
        </w:rPr>
        <w:lastRenderedPageBreak/>
        <w:t xml:space="preserve">of people, of whom this study has confirmed much more research </w:t>
      </w:r>
      <w:r w:rsidR="00AC5232" w:rsidRPr="00424BD3">
        <w:rPr>
          <w:rFonts w:cs="Arial"/>
          <w:szCs w:val="24"/>
        </w:rPr>
        <w:t>is needed</w:t>
      </w:r>
      <w:r w:rsidR="0023570A" w:rsidRPr="00424BD3">
        <w:rPr>
          <w:rFonts w:cs="Arial"/>
          <w:szCs w:val="24"/>
        </w:rPr>
        <w:t xml:space="preserve">. </w:t>
      </w:r>
      <w:r w:rsidR="00AE778B" w:rsidRPr="00424BD3">
        <w:rPr>
          <w:rFonts w:cs="Arial"/>
          <w:szCs w:val="24"/>
        </w:rPr>
        <w:t>T</w:t>
      </w:r>
      <w:r w:rsidR="0023570A" w:rsidRPr="00424BD3">
        <w:rPr>
          <w:rFonts w:cs="Arial"/>
          <w:szCs w:val="24"/>
        </w:rPr>
        <w:t xml:space="preserve">his study </w:t>
      </w:r>
      <w:r w:rsidRPr="00424BD3">
        <w:rPr>
          <w:rFonts w:cs="Arial"/>
          <w:szCs w:val="24"/>
        </w:rPr>
        <w:t>aids in</w:t>
      </w:r>
      <w:r w:rsidR="00AC5232" w:rsidRPr="00424BD3">
        <w:rPr>
          <w:rFonts w:cs="Arial"/>
          <w:szCs w:val="24"/>
        </w:rPr>
        <w:t xml:space="preserve"> assist</w:t>
      </w:r>
      <w:r w:rsidRPr="00424BD3">
        <w:rPr>
          <w:rFonts w:cs="Arial"/>
          <w:szCs w:val="24"/>
        </w:rPr>
        <w:t>ing</w:t>
      </w:r>
      <w:r w:rsidR="004F547D" w:rsidRPr="00424BD3">
        <w:rPr>
          <w:rFonts w:cs="Arial"/>
          <w:szCs w:val="24"/>
        </w:rPr>
        <w:t xml:space="preserve"> researchers to determine what older women see as impacting them the most and what they want and need in tack</w:t>
      </w:r>
      <w:r w:rsidR="00291A65">
        <w:rPr>
          <w:rFonts w:cs="Arial"/>
          <w:szCs w:val="24"/>
        </w:rPr>
        <w:t>l</w:t>
      </w:r>
      <w:r w:rsidR="004F547D" w:rsidRPr="00424BD3">
        <w:rPr>
          <w:rFonts w:cs="Arial"/>
          <w:szCs w:val="24"/>
        </w:rPr>
        <w:t xml:space="preserve">ing their health inequities and / or negative health and mortality. </w:t>
      </w:r>
    </w:p>
    <w:p w14:paraId="6B689967" w14:textId="038BDACC" w:rsidR="003F595F" w:rsidRPr="00424BD3" w:rsidRDefault="003F595F" w:rsidP="003F595F">
      <w:pPr>
        <w:spacing w:after="0" w:line="480" w:lineRule="auto"/>
        <w:ind w:firstLine="720"/>
        <w:rPr>
          <w:rFonts w:cs="Arial"/>
          <w:szCs w:val="24"/>
        </w:rPr>
      </w:pPr>
      <w:r w:rsidRPr="00424BD3">
        <w:rPr>
          <w:rFonts w:cs="Arial"/>
          <w:szCs w:val="24"/>
        </w:rPr>
        <w:t xml:space="preserve">For health geography, this study adds to calls such as Kristen Beyer’s </w:t>
      </w:r>
      <w:r w:rsidRPr="00424BD3">
        <w:rPr>
          <w:rFonts w:cs="Arial"/>
          <w:szCs w:val="24"/>
        </w:rPr>
        <w:fldChar w:fldCharType="begin"/>
      </w:r>
      <w:r w:rsidR="00990F3A">
        <w:rPr>
          <w:rFonts w:cs="Arial"/>
          <w:szCs w:val="24"/>
        </w:rPr>
        <w:instrText xml:space="preserve"> ADDIN ZOTERO_ITEM CSL_CITATION {"citationID":"cpU2rGhz","properties":{"formattedCitation":"(2016)","plainCitation":"(2016)","noteIndex":0},"citationItems":[{"id":604,"uris":["http://zotero.org/users/4946941/items/QRRBMLHM"],"itemData":{"id":604,"type":"chapter","container-title":"Research Advances in Behavioral, Economic and Health Geography Inspired by Gerard Rushton","page":"85-98","title":"The Lessons of Dr. John Snow: A Call for Translational Health Geography.","author":[{"family":"Beyer","given":"Kirsten M. M."}],"issued":{"date-parts":[["2016"]]}},"suppress-author":true}],"schema":"https://github.com/citation-style-language/schema/raw/master/csl-citation.json"} </w:instrText>
      </w:r>
      <w:r w:rsidRPr="00424BD3">
        <w:rPr>
          <w:rFonts w:cs="Arial"/>
          <w:szCs w:val="24"/>
        </w:rPr>
        <w:fldChar w:fldCharType="separate"/>
      </w:r>
      <w:r w:rsidRPr="00424BD3">
        <w:rPr>
          <w:rFonts w:cs="Arial"/>
        </w:rPr>
        <w:t>(2016)</w:t>
      </w:r>
      <w:r w:rsidRPr="00424BD3">
        <w:rPr>
          <w:rFonts w:cs="Arial"/>
          <w:szCs w:val="24"/>
        </w:rPr>
        <w:fldChar w:fldCharType="end"/>
      </w:r>
      <w:r w:rsidRPr="00424BD3">
        <w:rPr>
          <w:rFonts w:cs="Arial"/>
          <w:szCs w:val="24"/>
        </w:rPr>
        <w:t xml:space="preserve"> for moving community-based health and small-area / local-level health inequities geography research from identification of spatial and relational inequalities in health towards a translational health geography. It has shown that comparing the gaps between perceptions, needs and wants of older women to what policies and interventions are in place, </w:t>
      </w:r>
      <w:r w:rsidR="00CD3ECE" w:rsidRPr="00424BD3">
        <w:rPr>
          <w:rFonts w:cs="Arial"/>
          <w:szCs w:val="24"/>
        </w:rPr>
        <w:t>resea</w:t>
      </w:r>
      <w:r w:rsidR="00C42866" w:rsidRPr="00424BD3">
        <w:rPr>
          <w:rFonts w:cs="Arial"/>
          <w:szCs w:val="24"/>
        </w:rPr>
        <w:t>r</w:t>
      </w:r>
      <w:r w:rsidR="00CD3ECE" w:rsidRPr="00424BD3">
        <w:rPr>
          <w:rFonts w:cs="Arial"/>
          <w:szCs w:val="24"/>
        </w:rPr>
        <w:t>chers</w:t>
      </w:r>
      <w:r w:rsidR="00C42866" w:rsidRPr="00424BD3">
        <w:rPr>
          <w:rFonts w:cs="Arial"/>
          <w:szCs w:val="24"/>
        </w:rPr>
        <w:t xml:space="preserve"> and policymakers </w:t>
      </w:r>
      <w:r w:rsidRPr="00424BD3">
        <w:rPr>
          <w:rFonts w:cs="Arial"/>
          <w:szCs w:val="24"/>
        </w:rPr>
        <w:t xml:space="preserve">can more readily identify where the policy and intervention foci should be, and co-produce translational strategies that allow policymakers and older women to work together for more effective, appropriate, efficient ‘health-in-all’ policies and interventions </w:t>
      </w:r>
      <w:r w:rsidRPr="00424BD3">
        <w:rPr>
          <w:rFonts w:cs="Arial"/>
          <w:szCs w:val="24"/>
        </w:rPr>
        <w:fldChar w:fldCharType="begin"/>
      </w:r>
      <w:r w:rsidR="00023341">
        <w:rPr>
          <w:rFonts w:cs="Arial"/>
          <w:szCs w:val="24"/>
        </w:rPr>
        <w:instrText xml:space="preserve"> ADDIN ZOTERO_ITEM CSL_CITATION {"citationID":"2Lu9QOeu","properties":{"formattedCitation":"(Epp, 1986; Fleming et al., 2008; Lane et al., 2016; O\\uc0\\u8217{}Mara et al., 2015; WHO, 2017b)","plainCitation":"(Epp, 1986; Fleming et al., 2008; Lane et al., 2016; O’Mara et al., 2015; WHO, 2017b)","noteIndex":0},"citationItems":[{"id":653,"uris":["http://zotero.org/users/4946941/items/5TC4VDBJ"],"itemData":{"id":653,"type":"article-journal","container-title":"Health Promotion International","issue":"4","language":"en","page":"419–428","title":"Achieving health for all: A framework for health promotion","volume":"1","author":[{"family":"Epp","given":"J."}],"issued":{"date-parts":[["1986"]]}}},{"id":668,"uris":["http://zotero.org/users/4946941/items/SYJYMISN"],"itemData":{"id":668,"type":"article-journal","container-title":"Ethnicity &amp; disease","issue":"2 Suppl 2","language":"en","page":"2","title":"The role of translational research in addressing health disparities: a conceptual framework","volume":"18","author":[{"family":"Fleming","given":"E.S."},{"family":"Perkins","given":"J."},{"family":"Easa","given":"D."},{"family":"Conde","given":"J.G."},{"family":"Baker","given":"R.S."},{"family":"Southerland","given":"W.M."},{"family":"Dottin","given":"R."},{"family":"Benabe","given":"J.E."},{"family":"E.O.","given":"Ofili"},{"family":"Bond","given":"V.C."},{"family":"McClure","given":"S.A."},{"family":"Sayre","given":"M.H."},{"family":"Beanan","given":"M.J."},{"family":"Norris","given":"K.C."}],"issued":{"date-parts":[["2008"]]}}},{"id":709,"uris":["http://zotero.org/users/4946941/items/F6HZ8TMV"],"itemData":{"id":709,"type":"article-journal","container-title":"Journal of best practices in health professions diversity: research, education and policy","issue":"1","language":"en","page":"1178","title":"Translational Research Training at Various Levels of Professional Experience to Address Health Disparities","volume":"9","author":[{"family":"Lane","given":"M."},{"family":"Bell","given":"R."},{"family":"Latham-Sadler","given":"B."},{"family":"Bradley","given":"C."},{"family":"Foxworth","given":"J."},{"family":"Smith","given":"N."},{"family":"Millar","given":"A.L."},{"family":"Hairston","given":"K.G."},{"family":"Roper","given":"B."},{"family":"Howlett","given":"A."}],"issued":{"date-parts":[["2016"]]}}},{"id":753,"uris":["http://zotero.org/users/4946941/items/DATALS3W"],"itemData":{"id":753,"type":"article-journal","container-title":"Academic medicine: journal of the Association of American Medical Colleges","issue":"2","language":"en","page":"161","title":"Should MD-PhD programs encourage graduate training in disciplines beyond conventional biomedical or clinical sciences?","volume":"90","author":[{"family":"O'Mara","given":"M.R.J."},{"family":"Hsu","given":"S.I."},{"family":"Wilson","given":"D.R."}],"issued":{"date-parts":[["2015"]]}}},{"id":869,"uris":["http://zotero.org/users/4946941/items/MG5NL5BX"],"itemData":{"id":869,"type":"document","language":"en","note":"publisher-place: Shanghai, China","publisher":"World Health Organization (WHO)","title":"Promoting health in the SDGs: Report on the 9th Global conference for health promotion","URL":"https://apps.who.int/iris/bitstream/handle/10665/259183/WHO-NMH-PND-17.5-eng.pdf","author":[{"family":"WHO","given":""}],"issued":{"date-parts":[["2017"]]}}}],"schema":"https://github.com/citation-style-language/schema/raw/master/csl-citation.json"} </w:instrText>
      </w:r>
      <w:r w:rsidRPr="00424BD3">
        <w:rPr>
          <w:rFonts w:cs="Arial"/>
          <w:szCs w:val="24"/>
        </w:rPr>
        <w:fldChar w:fldCharType="separate"/>
      </w:r>
      <w:r w:rsidRPr="00424BD3">
        <w:rPr>
          <w:rFonts w:cs="Arial"/>
          <w:szCs w:val="24"/>
        </w:rPr>
        <w:t>(Epp, 1986; Fleming et al., 2008; Lane et al., 2016; O’Mara et al., 2015; WHO, 2017b)</w:t>
      </w:r>
      <w:r w:rsidRPr="00424BD3">
        <w:rPr>
          <w:rFonts w:cs="Arial"/>
          <w:szCs w:val="24"/>
        </w:rPr>
        <w:fldChar w:fldCharType="end"/>
      </w:r>
      <w:r w:rsidRPr="00424BD3">
        <w:rPr>
          <w:rFonts w:cs="Arial"/>
          <w:szCs w:val="24"/>
        </w:rPr>
        <w:t xml:space="preserve">. </w:t>
      </w:r>
    </w:p>
    <w:p w14:paraId="5C327ADA" w14:textId="4EAC510B" w:rsidR="008844E4" w:rsidRPr="00424BD3" w:rsidRDefault="008844E4" w:rsidP="000126EE">
      <w:pPr>
        <w:spacing w:after="0" w:line="480" w:lineRule="auto"/>
        <w:ind w:firstLine="720"/>
        <w:rPr>
          <w:rFonts w:cs="Arial"/>
          <w:szCs w:val="24"/>
        </w:rPr>
      </w:pPr>
      <w:r w:rsidRPr="00424BD3">
        <w:rPr>
          <w:rFonts w:cs="Arial"/>
          <w:szCs w:val="24"/>
        </w:rPr>
        <w:t xml:space="preserve">This paper differs from earlier or other research by filling the current gap on health equity research focused solely on older women, a highly stigmatized demographic, particularly their lived experience and perceptions of national, state, and local policies and interventions that shape health and health inequities. It provides a </w:t>
      </w:r>
      <w:r w:rsidR="00B0675C" w:rsidRPr="00424BD3">
        <w:rPr>
          <w:rFonts w:cs="Arial"/>
          <w:szCs w:val="24"/>
        </w:rPr>
        <w:t>capture</w:t>
      </w:r>
      <w:r w:rsidRPr="00424BD3">
        <w:rPr>
          <w:rFonts w:cs="Arial"/>
          <w:szCs w:val="24"/>
        </w:rPr>
        <w:t xml:space="preserve"> of a cohort of women who live in an Appalachian region of the US, a deeply divided, equally stigmatized area of the country, but who’s ages and spatial inequalities, often preclude them from health inequities and policy studies </w:t>
      </w:r>
      <w:r w:rsidRPr="00424BD3">
        <w:rPr>
          <w:rFonts w:cs="Arial"/>
          <w:szCs w:val="24"/>
        </w:rPr>
        <w:fldChar w:fldCharType="begin"/>
      </w:r>
      <w:r w:rsidR="00990F3A">
        <w:rPr>
          <w:rFonts w:cs="Arial"/>
          <w:szCs w:val="24"/>
        </w:rPr>
        <w:instrText xml:space="preserve"> ADDIN ZOTERO_ITEM CSL_CITATION {"citationID":"hLCWMSex","properties":{"formattedCitation":"(Rochon et al., 2020)","plainCitation":"(Rochon et al., 2020)","noteIndex":0},"citationItems":[{"id":781,"uris":["http://zotero.org/users/4946941/items/87Z9NKXN"],"itemData":{"id":781,"type":"article-journal","container-title":"The Lancet","DOI":"10.1016/s0140-6736(20)30849-7","issue":"10236","language":"en","page":"1530–1532","title":"Increasing the visibility of older women in clinical research","volume":"395","author":[{"family":"Rochon","given":"P.A."},{"family":"Mason","given":"R."},{"family":"Gurwitz","given":"J.H."}],"issued":{"date-parts":[["2020"]]}}}],"schema":"https://github.com/citation-style-language/schema/raw/master/csl-citation.json"} </w:instrText>
      </w:r>
      <w:r w:rsidRPr="00424BD3">
        <w:rPr>
          <w:rFonts w:cs="Arial"/>
          <w:szCs w:val="24"/>
        </w:rPr>
        <w:fldChar w:fldCharType="separate"/>
      </w:r>
      <w:r w:rsidRPr="00424BD3">
        <w:rPr>
          <w:rFonts w:cs="Arial"/>
        </w:rPr>
        <w:t>(Rochon et al., 2020)</w:t>
      </w:r>
      <w:r w:rsidRPr="00424BD3">
        <w:rPr>
          <w:rFonts w:cs="Arial"/>
          <w:szCs w:val="24"/>
        </w:rPr>
        <w:fldChar w:fldCharType="end"/>
      </w:r>
      <w:r w:rsidRPr="00424BD3">
        <w:rPr>
          <w:rFonts w:cs="Arial"/>
          <w:szCs w:val="24"/>
        </w:rPr>
        <w:t>.</w:t>
      </w:r>
    </w:p>
    <w:p w14:paraId="689C02D6" w14:textId="44A47FA8" w:rsidR="00773763" w:rsidRPr="00424BD3" w:rsidRDefault="004721A5" w:rsidP="000126EE">
      <w:pPr>
        <w:spacing w:after="0" w:line="480" w:lineRule="auto"/>
        <w:ind w:firstLine="720"/>
        <w:rPr>
          <w:rFonts w:cs="Arial"/>
          <w:szCs w:val="24"/>
        </w:rPr>
      </w:pPr>
      <w:r w:rsidRPr="00424BD3">
        <w:rPr>
          <w:rFonts w:cs="Arial"/>
          <w:szCs w:val="24"/>
        </w:rPr>
        <w:t xml:space="preserve">All of these women come from different walks of lives and different geographic spaces and yet have managed to end up with very similar perceptions, with limited </w:t>
      </w:r>
      <w:r w:rsidRPr="00424BD3">
        <w:rPr>
          <w:rFonts w:cs="Arial"/>
          <w:szCs w:val="24"/>
        </w:rPr>
        <w:lastRenderedPageBreak/>
        <w:t>exception</w:t>
      </w:r>
      <w:r w:rsidR="003F595F" w:rsidRPr="00424BD3">
        <w:rPr>
          <w:rFonts w:cs="Arial"/>
          <w:szCs w:val="24"/>
        </w:rPr>
        <w:t xml:space="preserve">, regarding health inequities. </w:t>
      </w:r>
      <w:r w:rsidR="007714E9" w:rsidRPr="00424BD3">
        <w:rPr>
          <w:rFonts w:cs="Arial"/>
          <w:szCs w:val="24"/>
        </w:rPr>
        <w:t xml:space="preserve">By examining the women’s perceptions through the lens of ecosocial theory, this study </w:t>
      </w:r>
      <w:r w:rsidR="00E57470" w:rsidRPr="00424BD3">
        <w:rPr>
          <w:rFonts w:cs="Arial"/>
          <w:szCs w:val="24"/>
        </w:rPr>
        <w:t xml:space="preserve">provides a unique insight into </w:t>
      </w:r>
      <w:r w:rsidR="00D7119D" w:rsidRPr="00424BD3">
        <w:rPr>
          <w:rFonts w:cs="Arial"/>
          <w:szCs w:val="24"/>
        </w:rPr>
        <w:t xml:space="preserve">embodiment of </w:t>
      </w:r>
      <w:r w:rsidR="00E57470" w:rsidRPr="00424BD3">
        <w:rPr>
          <w:rFonts w:cs="Arial"/>
          <w:szCs w:val="24"/>
        </w:rPr>
        <w:t xml:space="preserve">older women </w:t>
      </w:r>
      <w:r w:rsidR="00D7119D" w:rsidRPr="00424BD3">
        <w:rPr>
          <w:rFonts w:cs="Arial"/>
          <w:szCs w:val="24"/>
        </w:rPr>
        <w:t>in and through</w:t>
      </w:r>
      <w:r w:rsidR="00E57470" w:rsidRPr="00424BD3">
        <w:rPr>
          <w:rFonts w:cs="Arial"/>
          <w:szCs w:val="24"/>
        </w:rPr>
        <w:t xml:space="preserve"> the </w:t>
      </w:r>
      <w:r w:rsidR="007D2BEA" w:rsidRPr="00424BD3">
        <w:rPr>
          <w:rFonts w:cs="Arial"/>
          <w:szCs w:val="24"/>
        </w:rPr>
        <w:t xml:space="preserve">systems and norms in which they have grown up, </w:t>
      </w:r>
      <w:r w:rsidR="00D7119D" w:rsidRPr="00424BD3">
        <w:rPr>
          <w:rFonts w:cs="Arial"/>
          <w:szCs w:val="24"/>
        </w:rPr>
        <w:t>and</w:t>
      </w:r>
      <w:r w:rsidR="007D2BEA" w:rsidRPr="00424BD3">
        <w:rPr>
          <w:rFonts w:cs="Arial"/>
          <w:szCs w:val="24"/>
        </w:rPr>
        <w:t xml:space="preserve"> how they have navigated, temporally and spatially, those norms</w:t>
      </w:r>
      <w:r w:rsidR="00D7119D" w:rsidRPr="00424BD3">
        <w:rPr>
          <w:rFonts w:cs="Arial"/>
          <w:szCs w:val="24"/>
        </w:rPr>
        <w:t xml:space="preserve"> and social determinants</w:t>
      </w:r>
      <w:r w:rsidR="007D2BEA" w:rsidRPr="00424BD3">
        <w:rPr>
          <w:rFonts w:cs="Arial"/>
          <w:szCs w:val="24"/>
        </w:rPr>
        <w:t xml:space="preserve">, to arrive at </w:t>
      </w:r>
      <w:r w:rsidR="00D71A56" w:rsidRPr="00424BD3">
        <w:rPr>
          <w:rFonts w:cs="Arial"/>
          <w:szCs w:val="24"/>
        </w:rPr>
        <w:t xml:space="preserve">how they approach the health inequities they face. </w:t>
      </w:r>
      <w:r w:rsidR="00486A9E" w:rsidRPr="00424BD3">
        <w:rPr>
          <w:rFonts w:cs="Arial"/>
          <w:szCs w:val="24"/>
        </w:rPr>
        <w:t>Using semi-structured interviews, it has allowed the women to tell their stories</w:t>
      </w:r>
      <w:r w:rsidR="007729C9" w:rsidRPr="00424BD3">
        <w:rPr>
          <w:rFonts w:cs="Arial"/>
          <w:szCs w:val="24"/>
        </w:rPr>
        <w:t xml:space="preserve">, thoughts, attitudes, and beliefs, and to explore social determinants of health in ways </w:t>
      </w:r>
      <w:r w:rsidR="00C159AC" w:rsidRPr="00424BD3">
        <w:rPr>
          <w:rFonts w:cs="Arial"/>
          <w:szCs w:val="24"/>
        </w:rPr>
        <w:t xml:space="preserve">some had never done, and in ways that allow researchers to </w:t>
      </w:r>
      <w:r w:rsidR="00396B67" w:rsidRPr="00424BD3">
        <w:rPr>
          <w:rFonts w:cs="Arial"/>
          <w:szCs w:val="24"/>
        </w:rPr>
        <w:t xml:space="preserve">understand the impacts of health inequities on these women through a genealogical lens. Incorporating a number of family systems theories </w:t>
      </w:r>
      <w:r w:rsidR="002A3DEF" w:rsidRPr="00424BD3">
        <w:rPr>
          <w:rFonts w:cs="Arial"/>
          <w:szCs w:val="24"/>
        </w:rPr>
        <w:t xml:space="preserve">has </w:t>
      </w:r>
      <w:r w:rsidR="00396B67" w:rsidRPr="00424BD3">
        <w:rPr>
          <w:rFonts w:cs="Arial"/>
          <w:szCs w:val="24"/>
        </w:rPr>
        <w:t>also contribute</w:t>
      </w:r>
      <w:r w:rsidR="002A3DEF" w:rsidRPr="00424BD3">
        <w:rPr>
          <w:rFonts w:cs="Arial"/>
          <w:szCs w:val="24"/>
        </w:rPr>
        <w:t>d</w:t>
      </w:r>
      <w:r w:rsidR="00396B67" w:rsidRPr="00424BD3">
        <w:rPr>
          <w:rFonts w:cs="Arial"/>
          <w:szCs w:val="24"/>
        </w:rPr>
        <w:t xml:space="preserve"> to the </w:t>
      </w:r>
      <w:r w:rsidR="00475FCB" w:rsidRPr="00424BD3">
        <w:rPr>
          <w:rFonts w:cs="Arial"/>
          <w:szCs w:val="24"/>
        </w:rPr>
        <w:t xml:space="preserve">understanding and confirmation of the necessity of </w:t>
      </w:r>
      <w:r w:rsidR="00396B67" w:rsidRPr="00424BD3">
        <w:rPr>
          <w:rFonts w:cs="Arial"/>
          <w:szCs w:val="24"/>
        </w:rPr>
        <w:t>genealogical</w:t>
      </w:r>
      <w:r w:rsidR="002A3DEF" w:rsidRPr="00424BD3">
        <w:rPr>
          <w:rFonts w:cs="Arial"/>
          <w:szCs w:val="24"/>
        </w:rPr>
        <w:t xml:space="preserve">ly-focused </w:t>
      </w:r>
      <w:r w:rsidR="008B5FC5" w:rsidRPr="00424BD3">
        <w:rPr>
          <w:rFonts w:cs="Arial"/>
          <w:szCs w:val="24"/>
        </w:rPr>
        <w:t xml:space="preserve">familial </w:t>
      </w:r>
      <w:r w:rsidR="002A3DEF" w:rsidRPr="00424BD3">
        <w:rPr>
          <w:rFonts w:cs="Arial"/>
          <w:szCs w:val="24"/>
        </w:rPr>
        <w:t>histories when looking at health inequities from a life</w:t>
      </w:r>
      <w:r w:rsidR="003A5F2E" w:rsidRPr="00424BD3">
        <w:rPr>
          <w:rFonts w:cs="Arial"/>
          <w:szCs w:val="24"/>
        </w:rPr>
        <w:t xml:space="preserve"> </w:t>
      </w:r>
      <w:r w:rsidR="002A3DEF" w:rsidRPr="00424BD3">
        <w:rPr>
          <w:rFonts w:cs="Arial"/>
          <w:szCs w:val="24"/>
        </w:rPr>
        <w:t xml:space="preserve">course perspective. </w:t>
      </w:r>
      <w:r w:rsidR="00773763" w:rsidRPr="00424BD3">
        <w:rPr>
          <w:rFonts w:cs="Arial"/>
          <w:szCs w:val="24"/>
        </w:rPr>
        <w:t xml:space="preserve">Additionally, in reference to silences framework theory, this study has focused on the silences these women </w:t>
      </w:r>
      <w:r w:rsidR="006D4FA7" w:rsidRPr="00424BD3">
        <w:rPr>
          <w:rFonts w:cs="Arial"/>
          <w:szCs w:val="24"/>
        </w:rPr>
        <w:t xml:space="preserve">used, consciously or sub-consciously in answers to the interview questions. By observing these silences and looking at where they happened and when, and by observing their body language and voice tone, this study </w:t>
      </w:r>
      <w:r w:rsidR="00E15A98" w:rsidRPr="00424BD3">
        <w:rPr>
          <w:rFonts w:cs="Arial"/>
          <w:szCs w:val="24"/>
        </w:rPr>
        <w:t>has</w:t>
      </w:r>
      <w:r w:rsidR="006D4FA7" w:rsidRPr="00424BD3">
        <w:rPr>
          <w:rFonts w:cs="Arial"/>
          <w:szCs w:val="24"/>
        </w:rPr>
        <w:t xml:space="preserve"> been able to </w:t>
      </w:r>
      <w:r w:rsidR="00F03578" w:rsidRPr="00424BD3">
        <w:rPr>
          <w:rFonts w:cs="Arial"/>
          <w:szCs w:val="24"/>
        </w:rPr>
        <w:t xml:space="preserve">provide some interpretations on what has gone unsaid by these women about health inequities. </w:t>
      </w:r>
      <w:r w:rsidR="00237817" w:rsidRPr="00424BD3">
        <w:rPr>
          <w:rFonts w:cs="Arial"/>
          <w:szCs w:val="24"/>
        </w:rPr>
        <w:t>Using t</w:t>
      </w:r>
      <w:r w:rsidR="00773763" w:rsidRPr="00424BD3">
        <w:rPr>
          <w:rFonts w:cs="Arial"/>
          <w:szCs w:val="24"/>
        </w:rPr>
        <w:t xml:space="preserve">hese methods and theories has </w:t>
      </w:r>
      <w:r w:rsidR="00F03578" w:rsidRPr="00424BD3">
        <w:rPr>
          <w:rFonts w:cs="Arial"/>
          <w:szCs w:val="24"/>
        </w:rPr>
        <w:t xml:space="preserve">helped </w:t>
      </w:r>
      <w:r w:rsidR="00773763" w:rsidRPr="00424BD3">
        <w:rPr>
          <w:rFonts w:cs="Arial"/>
          <w:szCs w:val="24"/>
        </w:rPr>
        <w:t>to reduce bias and misinterpretation</w:t>
      </w:r>
      <w:r w:rsidR="00F03578" w:rsidRPr="00424BD3">
        <w:rPr>
          <w:rFonts w:cs="Arial"/>
          <w:szCs w:val="24"/>
        </w:rPr>
        <w:t xml:space="preserve"> wherever possible, including </w:t>
      </w:r>
      <w:r w:rsidR="00F87713">
        <w:rPr>
          <w:rFonts w:cs="Arial"/>
          <w:szCs w:val="24"/>
        </w:rPr>
        <w:t>my</w:t>
      </w:r>
      <w:r w:rsidR="00A86597" w:rsidRPr="00424BD3">
        <w:rPr>
          <w:rFonts w:cs="Arial"/>
          <w:szCs w:val="24"/>
        </w:rPr>
        <w:t xml:space="preserve"> </w:t>
      </w:r>
      <w:r w:rsidR="00F03578" w:rsidRPr="00424BD3">
        <w:rPr>
          <w:rFonts w:cs="Arial"/>
          <w:szCs w:val="24"/>
        </w:rPr>
        <w:t xml:space="preserve">own bias and misinterpretation. </w:t>
      </w:r>
    </w:p>
    <w:p w14:paraId="4DBCF4F9" w14:textId="6567321C" w:rsidR="00D71A56" w:rsidRPr="00424BD3" w:rsidRDefault="00C97B07" w:rsidP="000126EE">
      <w:pPr>
        <w:spacing w:after="0" w:line="480" w:lineRule="auto"/>
        <w:ind w:firstLine="720"/>
        <w:rPr>
          <w:rFonts w:cs="Arial"/>
          <w:szCs w:val="24"/>
        </w:rPr>
      </w:pPr>
      <w:r w:rsidRPr="00424BD3">
        <w:rPr>
          <w:rFonts w:cs="Arial"/>
          <w:szCs w:val="24"/>
        </w:rPr>
        <w:t xml:space="preserve">This study has shown women aged 65 years and over face a unique set of circumstances compared to older men, younger women, and others given the geopolitical context in which they were raised, particularly in relation to patriarchy, gender-bias, </w:t>
      </w:r>
      <w:r w:rsidR="00CC7EB7" w:rsidRPr="00424BD3">
        <w:rPr>
          <w:rFonts w:cs="Arial"/>
          <w:szCs w:val="24"/>
        </w:rPr>
        <w:t xml:space="preserve">stigma, </w:t>
      </w:r>
      <w:r w:rsidRPr="00424BD3">
        <w:rPr>
          <w:rFonts w:cs="Arial"/>
          <w:szCs w:val="24"/>
        </w:rPr>
        <w:t xml:space="preserve">and limited women’s rights at the time of their birth and growing </w:t>
      </w:r>
      <w:r w:rsidRPr="00424BD3">
        <w:rPr>
          <w:rFonts w:cs="Arial"/>
          <w:szCs w:val="24"/>
        </w:rPr>
        <w:lastRenderedPageBreak/>
        <w:t>up.</w:t>
      </w:r>
      <w:r w:rsidR="00CD3726" w:rsidRPr="00424BD3">
        <w:rPr>
          <w:rFonts w:cs="Arial"/>
          <w:szCs w:val="24"/>
        </w:rPr>
        <w:t xml:space="preserve"> It has shown that</w:t>
      </w:r>
      <w:r w:rsidR="001F250E" w:rsidRPr="00424BD3">
        <w:rPr>
          <w:rFonts w:cs="Arial"/>
          <w:szCs w:val="24"/>
        </w:rPr>
        <w:t xml:space="preserve"> place matters deeply for older women regarding healthcare access, attitudes and beliefs towards health</w:t>
      </w:r>
      <w:r w:rsidR="00CF58E3" w:rsidRPr="00424BD3">
        <w:rPr>
          <w:rFonts w:cs="Arial"/>
          <w:szCs w:val="24"/>
        </w:rPr>
        <w:t>, healthcare,</w:t>
      </w:r>
      <w:r w:rsidR="001F250E" w:rsidRPr="00424BD3">
        <w:rPr>
          <w:rFonts w:cs="Arial"/>
          <w:szCs w:val="24"/>
        </w:rPr>
        <w:t xml:space="preserve"> and death, </w:t>
      </w:r>
      <w:r w:rsidR="00CF58E3" w:rsidRPr="00424BD3">
        <w:rPr>
          <w:rFonts w:cs="Arial"/>
          <w:szCs w:val="24"/>
        </w:rPr>
        <w:t xml:space="preserve">familial health history, </w:t>
      </w:r>
      <w:r w:rsidR="00F61CC8" w:rsidRPr="00424BD3">
        <w:rPr>
          <w:rFonts w:cs="Arial"/>
          <w:szCs w:val="24"/>
        </w:rPr>
        <w:t xml:space="preserve">and the decisions they make in order to </w:t>
      </w:r>
      <w:r w:rsidR="00366B03" w:rsidRPr="00424BD3">
        <w:rPr>
          <w:rFonts w:cs="Arial"/>
          <w:szCs w:val="24"/>
        </w:rPr>
        <w:t xml:space="preserve">challenge (or not) the </w:t>
      </w:r>
      <w:r w:rsidR="00CC7EB7" w:rsidRPr="00424BD3">
        <w:rPr>
          <w:rFonts w:cs="Arial"/>
          <w:szCs w:val="24"/>
        </w:rPr>
        <w:t>health inequities they face.</w:t>
      </w:r>
      <w:r w:rsidR="00181706" w:rsidRPr="00424BD3">
        <w:rPr>
          <w:rFonts w:cs="Arial"/>
          <w:szCs w:val="24"/>
        </w:rPr>
        <w:t xml:space="preserve"> </w:t>
      </w:r>
    </w:p>
    <w:p w14:paraId="7F6140C2" w14:textId="585B56FA" w:rsidR="008844E4" w:rsidRPr="00424BD3" w:rsidRDefault="00860761" w:rsidP="000126EE">
      <w:pPr>
        <w:pStyle w:val="Heading2"/>
        <w:spacing w:before="0" w:line="480" w:lineRule="auto"/>
        <w:jc w:val="center"/>
        <w:rPr>
          <w:rFonts w:ascii="Arial" w:hAnsi="Arial" w:cs="Arial"/>
          <w:b/>
          <w:bCs/>
          <w:color w:val="auto"/>
          <w:sz w:val="24"/>
          <w:szCs w:val="24"/>
        </w:rPr>
      </w:pPr>
      <w:bookmarkStart w:id="114" w:name="_Toc118232380"/>
      <w:r w:rsidRPr="00424BD3">
        <w:rPr>
          <w:rFonts w:ascii="Arial" w:hAnsi="Arial" w:cs="Arial"/>
          <w:b/>
          <w:bCs/>
          <w:color w:val="auto"/>
          <w:sz w:val="24"/>
          <w:szCs w:val="24"/>
        </w:rPr>
        <w:t>Implications</w:t>
      </w:r>
      <w:r w:rsidR="008844E4" w:rsidRPr="00424BD3">
        <w:rPr>
          <w:rFonts w:ascii="Arial" w:hAnsi="Arial" w:cs="Arial"/>
          <w:b/>
          <w:bCs/>
          <w:color w:val="auto"/>
          <w:sz w:val="24"/>
          <w:szCs w:val="24"/>
        </w:rPr>
        <w:t xml:space="preserve"> for Future Research</w:t>
      </w:r>
      <w:bookmarkEnd w:id="114"/>
    </w:p>
    <w:p w14:paraId="5B269E0F" w14:textId="053FF9D7" w:rsidR="00C14A8C" w:rsidRPr="00424BD3" w:rsidRDefault="00FF3F1B" w:rsidP="008524FC">
      <w:pPr>
        <w:spacing w:after="0" w:line="480" w:lineRule="auto"/>
        <w:ind w:firstLine="720"/>
      </w:pPr>
      <w:r w:rsidRPr="00424BD3">
        <w:t>Implications for this research include continued theoretical exploration of older women’s perceptions, awareness of and beliefs about the health inequities they face, particularly as woven through genealogical health histories and health norms frameworks. Because health inequities is an intersectional issue, more interdisciplinary</w:t>
      </w:r>
      <w:r w:rsidR="002E4821" w:rsidRPr="00424BD3">
        <w:t>, translational, implementation</w:t>
      </w:r>
      <w:r w:rsidR="006642B4" w:rsidRPr="00424BD3">
        <w:t>-oriented</w:t>
      </w:r>
      <w:r w:rsidRPr="00424BD3">
        <w:t xml:space="preserve"> qualitative research on these issues </w:t>
      </w:r>
      <w:r w:rsidR="00E652FC" w:rsidRPr="00424BD3">
        <w:t xml:space="preserve">is </w:t>
      </w:r>
      <w:r w:rsidRPr="00424BD3">
        <w:t>needed</w:t>
      </w:r>
      <w:r w:rsidR="00CE7504" w:rsidRPr="00424BD3">
        <w:t xml:space="preserve"> </w:t>
      </w:r>
      <w:r w:rsidR="00514FC7" w:rsidRPr="00424BD3">
        <w:fldChar w:fldCharType="begin"/>
      </w:r>
      <w:r w:rsidR="00990F3A">
        <w:instrText xml:space="preserve"> ADDIN ZOTERO_ITEM CSL_CITATION {"citationID":"OddgBmGV","properties":{"formattedCitation":"(Boulware et al., 2022; Breen et al., 2019; Homan et al., 2021; Jeffries et al., 2019; Kivits et al., 2019; Lapalme et al., 2020)","plainCitation":"(Boulware et al., 2022; Breen et al., 2019; Homan et al., 2021; Jeffries et al., 2019; Kivits et al., 2019; Lapalme et al., 2020)","noteIndex":0},"citationItems":[{"id":1407,"uris":["http://zotero.org/users/4946941/items/TSX39CAX"],"itemData":{"id":1407,"type":"article-journal","container-title":"New England Journal of Medicine","DOI":"10.1056/NEJMp2112233","ISSN":"0028-4793, 1533-4406","issue":"3","journalAbbreviation":"N Engl J Med","language":"en","page":"201-203","source":"DOI.org (Crossref)","title":"Combating Structural Inequities — Diversity, Equity, and Inclusion in Clinical and Translational Research","volume":"386","author":[{"family":"Boulware","given":"L. Ebony"},{"family":"Corbie","given":"Giselle"},{"family":"Aguilar-Gaxiola","given":"Sergio"},{"family":"Wilkins","given":"Consuelo H."},{"family":"Ruiz","given":"Raquel"},{"family":"Vitale","given":"Alfred"},{"family":"Egede","given":"Leonard E."}],"issued":{"date-parts":[["2022",1,20]]}}},{"id":1397,"uris":["http://zotero.org/users/4946941/items/86S5DPJ5"],"itemData":{"id":1397,"type":"article-journal","abstract":"Background: Despite decades of research and interventions, significant health disparities persist. Seventeen years is the estimated time to translate scientific discoveries into public health action. This Narrative Review argues that the translation process could be accelerated if representative data were gathered and used in more innovative and efficient ways.\n\nMethods: The National Institute on Minority Health and Health Disparities led a multiyear visioning process to identify research opportunities designed to frame the next decade of research and actions to improve minority health and reduce health disparities. “Big data” was identified as a research opportunity and experts collaborated on a systematic vision of how to use big data both to improve the granularity of information for place-based study and to efficiently translate health disparities research into improved population health. This Narrative Review is the result of that collaboration.\n\nResults: Big data could enhance the process of translating scientific findings into reduced health disparities by contributing information at fine spatial and temporal scales suited to interventions. In addition, big data could fill pressing needs for health care system, genomic, and social determinant data to understand mechanisms. Finally, big data could lead to appropriately personalized health care for demographic groups. Rich new resources, including social media, electronic health records, sensor information from digital devices, and crowd-sourced and citizen-collected data, have the potential to complement more traditional data from health surveys, administrative data, and investigator-initiated registries or cohorts. This Narrative Review argues for a renewed focus on translational research cycles to accomplish this continual assessment.\n\nConclusion: The promise of big data extends from etiology research to the evaluation of large-scale interventions and offers the opportunity to accelerate translation of health disparities studies. This data-rich world for health disparities research, however, will require continual assessment for efficacy, ethical rigor, and potential algorithmic or system bias.","container-title":"Health Equity","DOI":"10.1089/heq.2019.0042","issue":"1","note":"publisher: Mary Ann Liebert, Inc., publishers","page":"588-600","source":"liebertpub.com (Atypon)","title":"Translational Health Disparities Research in a Data-Rich World","volume":"3","author":[{"family":"Breen","given":"Nancy"},{"family":"Berrigan","given":"David"},{"family":"Jackson","given":"James S."},{"family":"Wong","given":"David W.S."},{"family":"Wood","given":"Frederick B."},{"family":"Denny","given":"Joshua C."},{"family":"Zhang","given":"Xinzhi"},{"family":"Bourne","given":"Philip E."}],"issued":{"date-parts":[["2019",7]]}}},{"id":1207,"uris":["http://zotero.org/users/4946941/items/EFNGAZSB"],"itemData":{"id":1207,"type":"article-journal","abstract":"This article advances the field by integrating insights from intersectionality perspectives with the emerging literatures on structural racism and structural sexism—which point to promising new ways to measure systems of inequality at a macro level—to introduce a structural intersectionality approach to population health. We demonstrate an application of structural intersectionality using administrative data representing macrolevel structural racism, structural sexism, and income inequality in U.S. states linked to individual data from the Behavioral Risk Factor Surveillance System to estimate multilevel models (N = 420,644 individuals nested in 76 state-years) investigating how intersecting dimensions of structural oppression shape health. Analyses show that these structural inequalities: (1) vary considerably across U.S. states, (2) intersect in numerous ways but do not strongly or positively covary, (3) individually and jointly shape health, and (4) are most consistently associated with poor health for black women. We conclude by outlining an agenda for future research on structural intersectionality and health.","container-title":"Journal of Health and Social Behavior","DOI":"10.1177/00221465211032947","ISSN":"0022-1465","issue":"3","journalAbbreviation":"J Health Soc Behav","language":"en","note":"publisher: SAGE Publications Inc","page":"350-370","source":"SAGE Journals","title":"Structural Intersectionality as a New Direction for Health Disparities Research","volume":"62","author":[{"family":"Homan","given":"Patricia"},{"family":"Brown","given":"Tyson H."},{"family":"King","given":"Brittany"}],"issued":{"date-parts":[["2021",9,1]]}}},{"id":1404,"uris":["http://zotero.org/users/4946941/items/QCJQKV5R"],"itemData":{"id":1404,"type":"article-journal","abstract":"Understanding health disparity causes is an important first step toward developing policies or interventions to eliminate disparities, but their nature makes identifying and addressing their causes challenging.\n\nPotential causal factors are often correlated, making it difficult to distinguish their effects. These factors may exist at different organizational levels (e.g., individual, family, neighborhood), each of which needs to be appropriately conceptualized and measured. The processes that generate health disparities may include complex relationships with feedback loops and dynamic properties that traditional statistical models represent poorly.\n\nBecause of this complexity, identifying disparities’ causes and remedies requires integrating findings from multiple methodologies. We highlight analytic methods and designs, multilevel approaches, complex systems modeling techniques, and qualitative methods that should be more broadly employed and adapted to advance health disparities research and identify approaches to mitigate them.","container-title":"American Journal of Public Health","DOI":"10.2105/AJPH.2018.304843","ISSN":"0090-0036","issue":"S1","journalAbbreviation":"Am J Public Health","note":"publisher: American Public Health Association","page":"S28-S33","source":"ajph.aphapublications.org (Atypon)","title":"Methodological Approaches to Understanding Causes of Health Disparities","volume":"109","author":[{"family":"Jeffries","given":"Neal"},{"family":"Zaslavsky","given":"Alan M."},{"family":"Diez Roux","given":"Ana V."},{"family":"Creswell","given":"John W."},{"family":"Palmer","given":"Richard C."},{"family":"Gregorich","given":"Steven E."},{"family":"Reschovsky","given":"James D."},{"family":"Graubard","given":"Barry I."},{"family":"Choi","given":"Kelvin"},{"family":"Pfeiffer","given":"Ruth M."},{"family":"Zhang","given":"Xinzhi"},{"family":"Breen","given":"Nancy"}],"issued":{"date-parts":[["2019",1]]}}},{"id":1393,"uris":["http://zotero.org/users/4946941/items/JNDNU5WD"],"itemData":{"id":1393,"type":"article-journal","abstract":"Public health constitutes a field of choice for developing interdisciplinary research. Targeting population health improvement necessarily entails embedding research and intervention within a variety of complementary disciplinary approaches. Medicine (and its scientific and professional domains), psychology, epidemiology, economics, social and political sciences, health services research, humanities, geography and legal science all involve research perspectives conducive to the observation, analysis, understanding and interpretation of health facts. When implementing and directing efficient and positive health actions for population, communities and people, the fact of working across disciplines—whether health be their main research focus and health improvement their aim—provides rich, innovative and relevant data for public health intervention.\n\nA number of definitions of interdisciplinarity are available in the literature.1 From these definitions, we retain two key characteristics: the encounter of two or more scientific disciplines and the interactive nature of the research process.\n\nThe need for interdisciplinary research and action today is supported by two main arguments. First, the prominence of population health intervention research2 calls for evidence-based data on the effectiveness and efficiency of interventions that are useful to decision makers and meet the needs and expectations of populations. It implies adopting a multiperspective approach to health problems, their multidimensional factors and possible levers of intervention, as well as embracing the complex dimension of health problems1; only joint work between disciplines can help …","container-title":"J Epidemiol Community Health","DOI":"10.1136/jech-2019-212511","ISSN":"0143-005X, 1470-2738","issue":"12","journalAbbreviation":"J Epidemiol Community Health","language":"en","license":"© Author(s) (or their employer(s)) 2019. Re-use permitted under CC BY-NC. No commercial re-use. See rights and permissions. Published by BMJ.. 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BMJ Publishing Group Ltd\nsection: Editorial\nPMID: 31594788","page":"1061-1062","source":"jech.bmj.com","title":"Interdisciplinary research in public health: the ‘why’ and the ‘how’","title-short":"Interdisciplinary research in public health","volume":"73","author":[{"family":"Kivits","given":"Joelle"},{"family":"Ricci","given":"Laetitia"},{"family":"Minary","given":"Laetitia"}],"issued":{"date-parts":[["2019",12,1]]}}},{"id":1403,"uris":["http://zotero.org/users/4946941/items/PTJQT6VT"],"itemData":{"id":1403,"type":"article-journal","abstract":"Intersectionality is increasingly adopted in research to understand the complex ways that social inequalities shape health. Intersectional research thus explores how multiple forms of oppression intersect and shape how marginalised social groups experience health issues. Yet intersectionality research has often neglected to focus on the upstream structural factors that (re)produce social inequalities in health. In this paper, we argue that intersectionality can further advance social inequality in health research when it is used to understand more than just the multiplicity of socially marginalised groups’ experiences and identities, but also how interlocking social structures and power relations perpetuate social inequalities in health. We suggest that analysing policy with an intersectional lens is a key entry point to empirically explicate the underlying mechanisms that permit social inequalities in health to persist. To illustrate our argument, we use the example of how an intersectional perspective can be adopted to better understand the role of tobacco control policies in contributing to social inequalities in smoking.","container-title":"Critical Public Health","DOI":"10.1080/09581596.2019.1584271","ISSN":"0958-1596","issue":"4","note":"publisher: Taylor &amp; Francis\n_eprint: https://doi.org/10.1080/09581596.2019.1584271","page":"494-500","source":"Taylor and Francis+NEJM","title":"More than a buzzword: how intersectionality can advance social inequalities in health research","title-short":"More than a buzzword","volume":"30","author":[{"family":"Lapalme","given":"Josée"},{"family":"Haines-Saah","given":"Rebecca"},{"family":"Frohlich","given":"Katherine L."}],"issued":{"date-parts":[["2020",8,7]]}}}],"schema":"https://github.com/citation-style-language/schema/raw/master/csl-citation.json"} </w:instrText>
      </w:r>
      <w:r w:rsidR="00514FC7" w:rsidRPr="00424BD3">
        <w:fldChar w:fldCharType="separate"/>
      </w:r>
      <w:r w:rsidR="00A041FA" w:rsidRPr="00424BD3">
        <w:rPr>
          <w:rFonts w:cs="Arial"/>
        </w:rPr>
        <w:t>(Boulware et al., 2022; Breen et al., 2019; Homan et al., 2021; Jeffries et al., 2019; Kivits et al., 2019; Lapalme et al., 2020)</w:t>
      </w:r>
      <w:r w:rsidR="00514FC7" w:rsidRPr="00424BD3">
        <w:fldChar w:fldCharType="end"/>
      </w:r>
      <w:r w:rsidR="00E652FC" w:rsidRPr="00424BD3">
        <w:rPr>
          <w:rFonts w:cs="Arial"/>
          <w:szCs w:val="24"/>
        </w:rPr>
        <w:t xml:space="preserve">, especially </w:t>
      </w:r>
      <w:r w:rsidR="00E652FC" w:rsidRPr="00424BD3">
        <w:t>for older women</w:t>
      </w:r>
      <w:r w:rsidR="002F7B94" w:rsidRPr="00424BD3">
        <w:t xml:space="preserve"> </w:t>
      </w:r>
      <w:r w:rsidR="002F7B94" w:rsidRPr="00424BD3">
        <w:fldChar w:fldCharType="begin"/>
      </w:r>
      <w:r w:rsidR="00990F3A">
        <w:instrText xml:space="preserve"> ADDIN ZOTERO_ITEM CSL_CITATION {"citationID":"xARfhFqN","properties":{"formattedCitation":"(McLemore &amp; Choo, 2019; Rochon et al., 2020)","plainCitation":"(McLemore &amp; Choo, 2019; Rochon et al., 2020)","noteIndex":0},"citationItems":[{"id":1402,"uris":["http://zotero.org/users/4946941/items/S8IKLEA7"],"itemData":{"id":1402,"type":"article-journal","container-title":"The Lancet","DOI":"10.1016/S0140-6736(19)32167-1","ISSN":"01406736","issue":"10204","journalAbbreviation":"The Lancet","language":"en","page":"1133","source":"DOI.org (Crossref)","title":"The right decisions need the right voices","volume":"394","author":[{"family":"McLemore","given":"Monica R"},{"family":"Choo","given":"Esther K"}],"issued":{"date-parts":[["2019",9]]}}},{"id":781,"uris":["http://zotero.org/users/4946941/items/87Z9NKXN"],"itemData":{"id":781,"type":"article-journal","container-title":"The Lancet","DOI":"10.1016/s0140-6736(20)30849-7","issue":"10236","language":"en","page":"1530–1532","title":"Increasing the visibility of older women in clinical research","volume":"395","author":[{"family":"Rochon","given":"P.A."},{"family":"Mason","given":"R."},{"family":"Gurwitz","given":"J.H."}],"issued":{"date-parts":[["2020"]]}}}],"schema":"https://github.com/citation-style-language/schema/raw/master/csl-citation.json"} </w:instrText>
      </w:r>
      <w:r w:rsidR="002F7B94" w:rsidRPr="00424BD3">
        <w:fldChar w:fldCharType="separate"/>
      </w:r>
      <w:r w:rsidR="00164D11" w:rsidRPr="00424BD3">
        <w:rPr>
          <w:rFonts w:cs="Arial"/>
        </w:rPr>
        <w:t>(McLemore &amp; Choo, 2019; Rochon et al., 2020)</w:t>
      </w:r>
      <w:r w:rsidR="002F7B94" w:rsidRPr="00424BD3">
        <w:fldChar w:fldCharType="end"/>
      </w:r>
      <w:r w:rsidR="00306E8B" w:rsidRPr="00424BD3">
        <w:t>, and particularly in health geographies</w:t>
      </w:r>
      <w:r w:rsidR="00CC7EC2" w:rsidRPr="00424BD3">
        <w:t xml:space="preserve"> </w:t>
      </w:r>
      <w:r w:rsidR="00E24D62" w:rsidRPr="00424BD3">
        <w:fldChar w:fldCharType="begin"/>
      </w:r>
      <w:r w:rsidR="00123267">
        <w:instrText xml:space="preserve"> ADDIN ZOTERO_ITEM CSL_CITATION {"citationID":"De6Q5QoQ","properties":{"formattedCitation":"(En\\uc0\\u223{}le-Reinhardt &amp; Helbrecht, 2022; Milton et al., 2015)","plainCitation":"(Enßle-Reinhardt &amp; Helbrecht, 2022; Milton et al., 2015)","noteIndex":0},"citationItems":[{"id":1417,"uris":["http://zotero.org/users/4946941/items/UQVQG942"],"itemData":{"id":1417,"type":"article-journal","abstract":"Age is a conceptual challenge for geographical research due to its twofold character as a marker of difference (age) and a dynamic process (ageing). The fluidity of the ageing process makes it difficult to employ age as an analytic variable for empirical research, perhaps even more so than for other social categories such as gender, ethnicity, social status, or sexual orientation. Drawing on qualitative research with 18 expert interviews and 4 focus group discussions with older people (n = 26) from diverse backgrounds in Berlin (Germany), this paper argues for a spatial perspective to grasp the individual, continuous process of ageing. Based on the spatial settings of (1) places of recreation, (2) places of work, and (3) home as examples, our empirical findings reveal how older people become aware of their own ageing through specific places and how the process of ageing is perceived in relation to both people of other age groups and one's personal lived lifetime. The intersectional approach of our research thus demonstrates how social diversity shapes the experience of later life. The paper concludes by proposing three ways how a spatial perspective on the ageing process can advance debates within geographies of ageing.","container-title":"The Canadian Geographer / Le Géographe canadien","DOI":"10.1111/cag.12727","ISSN":"1541-0064","issue":"1","language":"en","note":"_eprint: https://onlinelibrary.wiley.com/doi/pdf/10.1111/cag.12727","page":"172-183","source":"Wiley Online Library","title":"“That is when you realize your age”- A spatial approach to age(ing)","volume":"66","author":[{"family":"Enßle-Reinhardt","given":"Friederike"},{"family":"Helbrecht","given":"Ilse"}],"issued":{"date-parts":[["2022"]]}}},{"id":1420,"uris":["http://zotero.org/users/4946941/items/VKANWGEC"],"itemData":{"id":1420,"type":"article-journal","abstract":"A growing body of literature explores the relationship between the built environment and health, and the methodological challenges of understanding these complex interactions across the lifecourse. The impact of the neighbourhood environment on health and behaviour amongst older adults has received less attention, despite this age group being potentially more vulnerable to barriers in their surrounding social and physical environment. A qualitative geographical information systems (QGIS) approach was taken to facilitate the understanding of how older people over 70 in 5 UK towns interact with their local neighbourhood. The concept of neighbourhood changed seasonally and over the lifecourse, and was associated with social factors such as friends, family, or community activities, rather than places. Spaces stretched further than the local, which is problematic for older people who rely on variable public transport provision. QGIS techniques prompted rich discussions on interactions with and the meanings of ‘place’ in older people.","container-title":"Health &amp; Place","DOI":"10.1016/j.healthplace.2015.10.002","ISSN":"1353-8292","journalAbbreviation":"Health &amp; Place","language":"en","page":"127-133","source":"ScienceDirect","title":"A qualitative geographical information systems approach to explore how older people over 70 years interact with and define their neighbourhood environment","volume":"36","author":[{"family":"Milton","given":"Sarah"},{"family":"Pliakas","given":"Triantafyllos"},{"family":"Hawkesworth","given":"Sophie"},{"family":"Nanchahal","given":"Kiran"},{"family":"Grundy","given":"Chris"},{"family":"Amuzu","given":"Antoinette"},{"family":"Casas","given":"Juan-Pablo"},{"family":"Lock","given":"Karen"}],"issued":{"date-parts":[["2015",11,1]]}}}],"schema":"https://github.com/citation-style-language/schema/raw/master/csl-citation.json"} </w:instrText>
      </w:r>
      <w:r w:rsidR="00E24D62" w:rsidRPr="00424BD3">
        <w:fldChar w:fldCharType="separate"/>
      </w:r>
      <w:r w:rsidR="004F02A2" w:rsidRPr="00424BD3">
        <w:rPr>
          <w:rFonts w:cs="Arial"/>
          <w:szCs w:val="24"/>
        </w:rPr>
        <w:t>(Enßle-Reinhardt &amp; Helbrecht, 2022; Milton et al., 2015)</w:t>
      </w:r>
      <w:r w:rsidR="00E24D62" w:rsidRPr="00424BD3">
        <w:fldChar w:fldCharType="end"/>
      </w:r>
      <w:r w:rsidRPr="00424BD3">
        <w:t>. While each research tool has its purpose and contributes to the literature and the body of practice, it is imperative</w:t>
      </w:r>
      <w:r w:rsidR="00AA2556" w:rsidRPr="00424BD3">
        <w:t xml:space="preserve">, and this study has confirmed other recent studies, </w:t>
      </w:r>
      <w:r w:rsidRPr="00424BD3">
        <w:t xml:space="preserve">that researchers </w:t>
      </w:r>
      <w:r w:rsidR="00AA2556" w:rsidRPr="00424BD3">
        <w:t xml:space="preserve">and clinicians </w:t>
      </w:r>
      <w:r w:rsidRPr="00424BD3">
        <w:t xml:space="preserve">spend the time needed to establish working relationships with older women in order to better understand the nuanced perceptions of women relating to systemic determinants of health, policy, and interventions affecting women aged 65 </w:t>
      </w:r>
      <w:r w:rsidR="00815F08" w:rsidRPr="00424BD3">
        <w:t xml:space="preserve">years </w:t>
      </w:r>
      <w:r w:rsidRPr="00424BD3">
        <w:t>and over</w:t>
      </w:r>
      <w:r w:rsidR="00164D11" w:rsidRPr="00424BD3">
        <w:t xml:space="preserve"> </w:t>
      </w:r>
      <w:r w:rsidR="00BE532A" w:rsidRPr="00424BD3">
        <w:fldChar w:fldCharType="begin"/>
      </w:r>
      <w:r w:rsidR="00990F3A">
        <w:instrText xml:space="preserve"> ADDIN ZOTERO_ITEM CSL_CITATION {"citationID":"TC64Kamq","properties":{"formattedCitation":"(Bartz et al., 2020)","plainCitation":"(Bartz et al., 2020)","noteIndex":0},"citationItems":[{"id":1412,"uris":["http://zotero.org/users/4946941/items/7SFPWVHM"],"itemData":{"id":1412,"type":"article-journal","abstract":"Biological sex and sociocultural gender represent major sources of diversity among patients, and recent research has shown the association of sex and gender with health. A growing body of literature describes widespread associations of sex and gender with cells, organs, and the manner in which individual patients interact with health care systems. Sex- and gender-informed medicine is a young paradigm of clinical practice and medical research founded on this literature that considers the association of sex and gender with each element of the disease process from risk, to presentation, to response to therapy.Characteristics that underlie sex and gender involve both endogenous and exogenous factors that change throughout the life course. This review details clinical examples with broad applicability that highlight sex and gender differences in the key domains of genetics, epigenomic modifiers, hormonal milieu, immune function, neurocognitive aging process, vascular health, response to therapeutics, and interaction with health care systems. These domains interact with one another in multidimensional associations, contributing to the diversity of the sex and gender spectra. Novel research has identified differences of clinical relevance with the potential to improve care for all patients.Clinicians should consider incorporating sex and gender in their decision-making to practice precision medicine that integrates fundamental components of patient individuality. Recognizing the biological and environmental factors that affect the disease course is imperative to optimizing care for each patient. Research highlights the myriad ways sex and gender play a role in health and disease. However, these clinically relevant insights have yet to be systematically incorporated into care. The framework described in this review serves as a guide to help clinicians consider sex and gender as they practice precision medicine.","container-title":"JAMA Internal Medicine","DOI":"10.1001/jamainternmed.2019.7194","ISSN":"2168-6106","issue":"4","journalAbbreviation":"JAMA Internal Medicine","page":"574-583","source":"Silverchair","title":"Clinical Advances in Sex- and Gender-Informed Medicine to Improve the Health of All: A Review","title-short":"Clinical Advances in Sex- and Gender-Informed Medicine to Improve the Health of All","volume":"180","author":[{"family":"Bartz","given":"Deborah"},{"family":"Chitnis","given":"Tanuja"},{"family":"Kaiser","given":"Ursula B."},{"family":"Rich-Edwards","given":"Janet W."},{"family":"Rexrode","given":"Kathryn M."},{"family":"Pennell","given":"Page B."},{"family":"Goldstein","given":"Jill M."},{"family":"O’Neal","given":"Mary Angela"},{"family":"LeBoff","given":"Meryl"},{"family":"Behn","given":"Maya"},{"family":"Seely","given":"Ellen W."},{"family":"Joffe","given":"Hadine"},{"family":"Manson","given":"JoAnn E."}],"issued":{"date-parts":[["2020",4,1]]}}}],"schema":"https://github.com/citation-style-language/schema/raw/master/csl-citation.json"} </w:instrText>
      </w:r>
      <w:r w:rsidR="00BE532A" w:rsidRPr="00424BD3">
        <w:fldChar w:fldCharType="separate"/>
      </w:r>
      <w:r w:rsidR="00BE532A" w:rsidRPr="00424BD3">
        <w:rPr>
          <w:rFonts w:cs="Arial"/>
        </w:rPr>
        <w:t>(Bartz et al., 2020)</w:t>
      </w:r>
      <w:r w:rsidR="00BE532A" w:rsidRPr="00424BD3">
        <w:fldChar w:fldCharType="end"/>
      </w:r>
      <w:r w:rsidRPr="00424BD3">
        <w:t xml:space="preserve">. </w:t>
      </w:r>
    </w:p>
    <w:p w14:paraId="50FE5D51" w14:textId="42A975BD" w:rsidR="008844E4" w:rsidRPr="00424BD3" w:rsidRDefault="008844E4" w:rsidP="000126EE">
      <w:pPr>
        <w:spacing w:after="0" w:line="480" w:lineRule="auto"/>
        <w:ind w:firstLine="720"/>
        <w:rPr>
          <w:rFonts w:cs="Arial"/>
          <w:szCs w:val="24"/>
        </w:rPr>
      </w:pPr>
      <w:r w:rsidRPr="00424BD3">
        <w:rPr>
          <w:rFonts w:cs="Arial"/>
          <w:szCs w:val="24"/>
        </w:rPr>
        <w:t>This study is centered on older women born with the sex of female in three counties in East Tennessee. This study originally began as a comparison</w:t>
      </w:r>
      <w:r w:rsidR="00916666">
        <w:rPr>
          <w:rFonts w:cs="Arial"/>
          <w:szCs w:val="24"/>
        </w:rPr>
        <w:t xml:space="preserve"> </w:t>
      </w:r>
      <w:r w:rsidRPr="00424BD3">
        <w:rPr>
          <w:rFonts w:cs="Arial"/>
          <w:szCs w:val="24"/>
        </w:rPr>
        <w:t>/</w:t>
      </w:r>
      <w:r w:rsidR="00916666">
        <w:rPr>
          <w:rFonts w:cs="Arial"/>
          <w:szCs w:val="24"/>
        </w:rPr>
        <w:t xml:space="preserve"> </w:t>
      </w:r>
      <w:r w:rsidRPr="00424BD3">
        <w:rPr>
          <w:rFonts w:cs="Arial"/>
          <w:szCs w:val="24"/>
        </w:rPr>
        <w:t xml:space="preserve">contrast study between East Tennessee and Inverclyde, Scotland. It is highly recommended that </w:t>
      </w:r>
      <w:r w:rsidRPr="00424BD3">
        <w:rPr>
          <w:rFonts w:cs="Arial"/>
          <w:szCs w:val="24"/>
        </w:rPr>
        <w:lastRenderedPageBreak/>
        <w:t>future research should examine other geographical study areas. All other marginalized sub-groups of women,</w:t>
      </w:r>
      <w:r w:rsidR="00F27998" w:rsidRPr="00424BD3">
        <w:rPr>
          <w:rFonts w:cs="Arial"/>
          <w:szCs w:val="24"/>
        </w:rPr>
        <w:t xml:space="preserve"> and their</w:t>
      </w:r>
      <w:r w:rsidRPr="00424BD3">
        <w:rPr>
          <w:rFonts w:cs="Arial"/>
          <w:szCs w:val="24"/>
        </w:rPr>
        <w:t xml:space="preserve"> perceptions and experiences should also be examined, such as older Trans women’s, other women-identifying </w:t>
      </w:r>
      <w:r w:rsidR="00470515" w:rsidRPr="00424BD3">
        <w:rPr>
          <w:rFonts w:cs="Arial"/>
          <w:szCs w:val="24"/>
        </w:rPr>
        <w:t xml:space="preserve">as </w:t>
      </w:r>
      <w:r w:rsidRPr="00424BD3">
        <w:rPr>
          <w:rFonts w:cs="Arial"/>
          <w:szCs w:val="24"/>
        </w:rPr>
        <w:t xml:space="preserve">older women, and institutionalized older women, as well as racial and ethnic specific populations. As mentioned earlier in this paper, qualitative research, such as this study has addressed, could benefit significantly from investment in longitudinal studies on the issues encompassed in this study, particularly to capture the experiences and perceptions of the </w:t>
      </w:r>
      <w:r w:rsidR="00A271E1" w:rsidRPr="00424BD3">
        <w:rPr>
          <w:rFonts w:cs="Arial"/>
          <w:szCs w:val="24"/>
        </w:rPr>
        <w:t>“</w:t>
      </w:r>
      <w:r w:rsidRPr="00424BD3">
        <w:rPr>
          <w:rFonts w:cs="Arial"/>
          <w:szCs w:val="24"/>
        </w:rPr>
        <w:t>oldest old</w:t>
      </w:r>
      <w:r w:rsidR="00A271E1" w:rsidRPr="00424BD3">
        <w:rPr>
          <w:rFonts w:cs="Arial"/>
          <w:szCs w:val="24"/>
        </w:rPr>
        <w:t>”</w:t>
      </w:r>
      <w:r w:rsidRPr="00424BD3">
        <w:rPr>
          <w:rFonts w:cs="Arial"/>
          <w:szCs w:val="24"/>
        </w:rPr>
        <w:t xml:space="preserve"> women. </w:t>
      </w:r>
    </w:p>
    <w:p w14:paraId="652B1B59" w14:textId="18589260" w:rsidR="005460E3" w:rsidRPr="00424BD3" w:rsidRDefault="008844E4" w:rsidP="000126EE">
      <w:pPr>
        <w:spacing w:after="0" w:line="480" w:lineRule="auto"/>
        <w:ind w:firstLine="720"/>
        <w:rPr>
          <w:rFonts w:cs="Arial"/>
          <w:szCs w:val="24"/>
        </w:rPr>
      </w:pPr>
      <w:r w:rsidRPr="00424BD3">
        <w:rPr>
          <w:rFonts w:cs="Arial"/>
          <w:szCs w:val="24"/>
        </w:rPr>
        <w:t>A major finding in this research was the silences in these women’s lives surrounding health and death – social, geopolitical, cultural</w:t>
      </w:r>
      <w:r w:rsidR="00146060">
        <w:rPr>
          <w:rFonts w:cs="Arial"/>
          <w:szCs w:val="24"/>
        </w:rPr>
        <w:t>,</w:t>
      </w:r>
      <w:r w:rsidRPr="00424BD3">
        <w:rPr>
          <w:rFonts w:cs="Arial"/>
          <w:szCs w:val="24"/>
        </w:rPr>
        <w:t xml:space="preserve"> and familial. Future research would greatly benefit from focusing specifically on those silences in relation to older women’s health inequities. This study could also benefit from examination using other theoretical models and usage of other constructs</w:t>
      </w:r>
      <w:r w:rsidR="00916666">
        <w:rPr>
          <w:rFonts w:cs="Arial"/>
          <w:szCs w:val="24"/>
        </w:rPr>
        <w:t xml:space="preserve"> </w:t>
      </w:r>
      <w:r w:rsidRPr="00424BD3">
        <w:rPr>
          <w:rFonts w:cs="Arial"/>
          <w:szCs w:val="24"/>
        </w:rPr>
        <w:t>/</w:t>
      </w:r>
      <w:r w:rsidR="00916666">
        <w:rPr>
          <w:rFonts w:cs="Arial"/>
          <w:szCs w:val="24"/>
        </w:rPr>
        <w:t xml:space="preserve"> </w:t>
      </w:r>
      <w:r w:rsidRPr="00424BD3">
        <w:rPr>
          <w:rFonts w:cs="Arial"/>
          <w:szCs w:val="24"/>
        </w:rPr>
        <w:t xml:space="preserve">variables. </w:t>
      </w:r>
    </w:p>
    <w:p w14:paraId="491B1947" w14:textId="5F994B81" w:rsidR="00DB062E" w:rsidRPr="00424BD3" w:rsidRDefault="00AB7178" w:rsidP="00DB062E">
      <w:pPr>
        <w:spacing w:after="0" w:line="480" w:lineRule="auto"/>
        <w:ind w:firstLine="720"/>
        <w:rPr>
          <w:rFonts w:cs="Arial"/>
          <w:szCs w:val="24"/>
        </w:rPr>
      </w:pPr>
      <w:r>
        <w:rPr>
          <w:rFonts w:cs="Arial"/>
          <w:szCs w:val="24"/>
        </w:rPr>
        <w:t>C</w:t>
      </w:r>
      <w:r w:rsidR="005460E3" w:rsidRPr="00424BD3">
        <w:rPr>
          <w:rFonts w:cs="Arial"/>
          <w:szCs w:val="24"/>
        </w:rPr>
        <w:t>onsideration must be given to how to integrate the women’s recommendations with current policy frameworks given that it may be likely that policy and decision-makers will respond with reasons why changes to government</w:t>
      </w:r>
      <w:r w:rsidR="006978DD" w:rsidRPr="00424BD3">
        <w:rPr>
          <w:rFonts w:cs="Arial"/>
          <w:szCs w:val="24"/>
        </w:rPr>
        <w:t>, financial</w:t>
      </w:r>
      <w:r w:rsidR="00916666">
        <w:rPr>
          <w:rFonts w:cs="Arial"/>
          <w:szCs w:val="24"/>
        </w:rPr>
        <w:t xml:space="preserve"> </w:t>
      </w:r>
      <w:r w:rsidR="00414603" w:rsidRPr="00424BD3">
        <w:rPr>
          <w:rFonts w:cs="Arial"/>
          <w:szCs w:val="24"/>
        </w:rPr>
        <w:t>/</w:t>
      </w:r>
      <w:r w:rsidR="00916666">
        <w:rPr>
          <w:rFonts w:cs="Arial"/>
          <w:szCs w:val="24"/>
        </w:rPr>
        <w:t xml:space="preserve"> </w:t>
      </w:r>
      <w:r w:rsidR="00414603" w:rsidRPr="00424BD3">
        <w:rPr>
          <w:rFonts w:cs="Arial"/>
          <w:szCs w:val="24"/>
        </w:rPr>
        <w:t>funding,</w:t>
      </w:r>
      <w:r w:rsidR="005460E3" w:rsidRPr="00424BD3">
        <w:rPr>
          <w:rFonts w:cs="Arial"/>
          <w:szCs w:val="24"/>
        </w:rPr>
        <w:t xml:space="preserve"> and healthcare systems cannot be made. </w:t>
      </w:r>
      <w:r w:rsidR="00C7569F" w:rsidRPr="00424BD3">
        <w:rPr>
          <w:rFonts w:cs="Arial"/>
          <w:szCs w:val="24"/>
        </w:rPr>
        <w:t>A long-standing issue for researchers</w:t>
      </w:r>
      <w:r w:rsidR="001D19C3" w:rsidRPr="00424BD3">
        <w:rPr>
          <w:rFonts w:cs="Arial"/>
          <w:szCs w:val="24"/>
        </w:rPr>
        <w:t>, policy and decision-makers and citizens</w:t>
      </w:r>
      <w:r w:rsidR="00C7569F" w:rsidRPr="00424BD3">
        <w:rPr>
          <w:rFonts w:cs="Arial"/>
          <w:szCs w:val="24"/>
        </w:rPr>
        <w:t xml:space="preserve"> is how to </w:t>
      </w:r>
      <w:r w:rsidR="001D19C3" w:rsidRPr="00424BD3">
        <w:rPr>
          <w:rFonts w:cs="Arial"/>
          <w:szCs w:val="24"/>
        </w:rPr>
        <w:t xml:space="preserve">fund </w:t>
      </w:r>
      <w:r w:rsidR="003D78EA" w:rsidRPr="00424BD3">
        <w:rPr>
          <w:rFonts w:cs="Arial"/>
          <w:szCs w:val="24"/>
        </w:rPr>
        <w:t xml:space="preserve">systems that cover everyone equitably. In the U.S., </w:t>
      </w:r>
      <w:r w:rsidR="00E734D6" w:rsidRPr="00424BD3">
        <w:rPr>
          <w:rFonts w:cs="Arial"/>
          <w:szCs w:val="24"/>
        </w:rPr>
        <w:t>at the time of writing this disser</w:t>
      </w:r>
      <w:r w:rsidR="00395794" w:rsidRPr="00424BD3">
        <w:rPr>
          <w:rFonts w:cs="Arial"/>
          <w:szCs w:val="24"/>
        </w:rPr>
        <w:t>t</w:t>
      </w:r>
      <w:r w:rsidR="00E734D6" w:rsidRPr="00424BD3">
        <w:rPr>
          <w:rFonts w:cs="Arial"/>
          <w:szCs w:val="24"/>
        </w:rPr>
        <w:t>ation</w:t>
      </w:r>
      <w:r w:rsidR="003D78EA" w:rsidRPr="00424BD3">
        <w:rPr>
          <w:rFonts w:cs="Arial"/>
          <w:szCs w:val="24"/>
        </w:rPr>
        <w:t xml:space="preserve">, this brings the added question of how to </w:t>
      </w:r>
      <w:r w:rsidR="00A008FF" w:rsidRPr="00424BD3">
        <w:rPr>
          <w:rFonts w:cs="Arial"/>
          <w:szCs w:val="24"/>
        </w:rPr>
        <w:t>bring the</w:t>
      </w:r>
      <w:r w:rsidR="003D78EA" w:rsidRPr="00424BD3">
        <w:rPr>
          <w:rFonts w:cs="Arial"/>
          <w:szCs w:val="24"/>
        </w:rPr>
        <w:t xml:space="preserve"> </w:t>
      </w:r>
      <w:r w:rsidR="00216F7C" w:rsidRPr="00424BD3">
        <w:rPr>
          <w:rFonts w:cs="Arial"/>
          <w:szCs w:val="24"/>
        </w:rPr>
        <w:t xml:space="preserve">deeply partisan </w:t>
      </w:r>
      <w:r w:rsidR="00CE7B10" w:rsidRPr="00424BD3">
        <w:rPr>
          <w:rFonts w:cs="Arial"/>
          <w:szCs w:val="24"/>
        </w:rPr>
        <w:t xml:space="preserve">political bodies together to </w:t>
      </w:r>
      <w:r w:rsidR="00A008FF" w:rsidRPr="00424BD3">
        <w:rPr>
          <w:rFonts w:cs="Arial"/>
          <w:szCs w:val="24"/>
        </w:rPr>
        <w:t xml:space="preserve">create bipartisan solutions that </w:t>
      </w:r>
      <w:r w:rsidR="00E734D6" w:rsidRPr="00424BD3">
        <w:rPr>
          <w:rFonts w:cs="Arial"/>
          <w:szCs w:val="24"/>
        </w:rPr>
        <w:t>include older women as co-creators</w:t>
      </w:r>
      <w:r w:rsidR="00395794" w:rsidRPr="00424BD3">
        <w:rPr>
          <w:rFonts w:cs="Arial"/>
          <w:szCs w:val="24"/>
        </w:rPr>
        <w:t xml:space="preserve"> of policies and interventions which support all of them</w:t>
      </w:r>
      <w:r w:rsidR="00E734D6" w:rsidRPr="00424BD3">
        <w:rPr>
          <w:rFonts w:cs="Arial"/>
          <w:szCs w:val="24"/>
        </w:rPr>
        <w:t xml:space="preserve">. </w:t>
      </w:r>
      <w:r w:rsidR="00395794" w:rsidRPr="00424BD3">
        <w:rPr>
          <w:rFonts w:cs="Arial"/>
          <w:szCs w:val="24"/>
        </w:rPr>
        <w:t xml:space="preserve">Consideration must be given to whether or not such solutions are attainable, and who is for and against those solutions. </w:t>
      </w:r>
      <w:r w:rsidR="005460E3" w:rsidRPr="00424BD3">
        <w:rPr>
          <w:rFonts w:cs="Arial"/>
          <w:szCs w:val="24"/>
        </w:rPr>
        <w:t xml:space="preserve">Consideration must also be given to how to </w:t>
      </w:r>
      <w:r w:rsidR="005460E3" w:rsidRPr="00424BD3">
        <w:rPr>
          <w:rFonts w:cs="Arial"/>
          <w:szCs w:val="24"/>
        </w:rPr>
        <w:lastRenderedPageBreak/>
        <w:t>develop translational or implementation scientific methods that incorporate and co-produce the women’s recommendations, building on any current researching findings that may have recommendations on this</w:t>
      </w:r>
      <w:r w:rsidR="006978DD" w:rsidRPr="00424BD3">
        <w:rPr>
          <w:rFonts w:cs="Arial"/>
          <w:szCs w:val="24"/>
        </w:rPr>
        <w:t xml:space="preserve"> area</w:t>
      </w:r>
      <w:r w:rsidR="005460E3" w:rsidRPr="00424BD3">
        <w:rPr>
          <w:rFonts w:cs="Arial"/>
          <w:szCs w:val="24"/>
        </w:rPr>
        <w:t xml:space="preserve">. Researchers </w:t>
      </w:r>
      <w:r w:rsidR="005C72BD" w:rsidRPr="00424BD3">
        <w:rPr>
          <w:rFonts w:cs="Arial"/>
          <w:szCs w:val="24"/>
        </w:rPr>
        <w:t>also face how to</w:t>
      </w:r>
      <w:r w:rsidR="005460E3" w:rsidRPr="00424BD3">
        <w:rPr>
          <w:rFonts w:cs="Arial"/>
          <w:szCs w:val="24"/>
        </w:rPr>
        <w:t xml:space="preserve"> incorporate person-centered, intersectional, community-based and culturally competent ways o</w:t>
      </w:r>
      <w:r w:rsidR="005C72BD" w:rsidRPr="00424BD3">
        <w:rPr>
          <w:rFonts w:cs="Arial"/>
          <w:szCs w:val="24"/>
        </w:rPr>
        <w:t xml:space="preserve">f problem solving </w:t>
      </w:r>
      <w:r w:rsidR="005460E3" w:rsidRPr="00424BD3">
        <w:rPr>
          <w:rFonts w:cs="Arial"/>
          <w:szCs w:val="24"/>
        </w:rPr>
        <w:t xml:space="preserve">into </w:t>
      </w:r>
      <w:r w:rsidR="005C72BD" w:rsidRPr="00424BD3">
        <w:rPr>
          <w:rFonts w:cs="Arial"/>
          <w:szCs w:val="24"/>
        </w:rPr>
        <w:t>recommendations</w:t>
      </w:r>
      <w:r w:rsidR="005460E3" w:rsidRPr="00424BD3">
        <w:rPr>
          <w:rFonts w:cs="Arial"/>
          <w:szCs w:val="24"/>
        </w:rPr>
        <w:t xml:space="preserve"> for tackling older women’s health inequities.</w:t>
      </w:r>
      <w:r w:rsidR="000B570F" w:rsidRPr="00424BD3">
        <w:rPr>
          <w:rFonts w:cs="Arial"/>
          <w:szCs w:val="24"/>
        </w:rPr>
        <w:t xml:space="preserve"> This is a tall order</w:t>
      </w:r>
      <w:r w:rsidR="008A353A" w:rsidRPr="00424BD3">
        <w:rPr>
          <w:rFonts w:cs="Arial"/>
          <w:szCs w:val="24"/>
        </w:rPr>
        <w:t>.</w:t>
      </w:r>
      <w:r w:rsidR="00DB062E" w:rsidRPr="00424BD3">
        <w:rPr>
          <w:rFonts w:cs="Arial"/>
          <w:szCs w:val="24"/>
        </w:rPr>
        <w:t xml:space="preserve"> The study of older women and health inequities is a large area of study and comes with many questions – more than can be answered by the scope of this study. </w:t>
      </w:r>
    </w:p>
    <w:p w14:paraId="494EDC98" w14:textId="542E3F00" w:rsidR="008844E4" w:rsidRPr="00424BD3" w:rsidRDefault="00FD7CEF" w:rsidP="000126EE">
      <w:pPr>
        <w:spacing w:after="0" w:line="480" w:lineRule="auto"/>
        <w:ind w:firstLine="720"/>
        <w:rPr>
          <w:rFonts w:cs="Arial"/>
          <w:szCs w:val="24"/>
        </w:rPr>
      </w:pPr>
      <w:r w:rsidRPr="00424BD3">
        <w:rPr>
          <w:rFonts w:cs="Arial"/>
          <w:szCs w:val="24"/>
        </w:rPr>
        <w:t xml:space="preserve">This study was </w:t>
      </w:r>
      <w:r w:rsidR="008844E4" w:rsidRPr="00424BD3">
        <w:rPr>
          <w:rFonts w:cs="Arial"/>
          <w:szCs w:val="24"/>
        </w:rPr>
        <w:t>originally intended to incorporate creative methodologies as part of the research methodology and output functions, but this aspect of the study did not move forward for several reasons. Given that study interviews can form the basis of storytelling, creative methodologies are a vital and original way of sharing individual’s perceptions and experiences and should be considered in future research such as this.</w:t>
      </w:r>
    </w:p>
    <w:p w14:paraId="717189D5" w14:textId="2CA62222" w:rsidR="008844E4" w:rsidRPr="00424BD3" w:rsidRDefault="008844E4" w:rsidP="000126EE">
      <w:pPr>
        <w:pStyle w:val="Heading2"/>
        <w:spacing w:before="0" w:line="480" w:lineRule="auto"/>
        <w:jc w:val="center"/>
        <w:rPr>
          <w:rFonts w:ascii="Arial" w:hAnsi="Arial" w:cs="Arial"/>
          <w:b/>
          <w:bCs/>
          <w:color w:val="auto"/>
          <w:sz w:val="24"/>
          <w:szCs w:val="24"/>
        </w:rPr>
      </w:pPr>
      <w:bookmarkStart w:id="115" w:name="_Toc118232381"/>
      <w:r w:rsidRPr="00424BD3">
        <w:rPr>
          <w:rFonts w:ascii="Arial" w:hAnsi="Arial" w:cs="Arial"/>
          <w:b/>
          <w:bCs/>
          <w:color w:val="auto"/>
          <w:sz w:val="24"/>
          <w:szCs w:val="24"/>
        </w:rPr>
        <w:t>Final Note</w:t>
      </w:r>
      <w:r w:rsidR="00A8148C">
        <w:rPr>
          <w:rFonts w:ascii="Arial" w:hAnsi="Arial" w:cs="Arial"/>
          <w:b/>
          <w:bCs/>
          <w:color w:val="auto"/>
          <w:sz w:val="24"/>
          <w:szCs w:val="24"/>
        </w:rPr>
        <w:t xml:space="preserve"> and Epilogue</w:t>
      </w:r>
      <w:bookmarkEnd w:id="115"/>
    </w:p>
    <w:p w14:paraId="73F21A92" w14:textId="0FA00B1E" w:rsidR="00DE5F79" w:rsidRPr="00424BD3" w:rsidRDefault="00055221" w:rsidP="00DE5F79">
      <w:pPr>
        <w:spacing w:after="0" w:line="480" w:lineRule="auto"/>
        <w:ind w:firstLine="720"/>
        <w:rPr>
          <w:rFonts w:cs="Arial"/>
          <w:szCs w:val="24"/>
        </w:rPr>
      </w:pPr>
      <w:r w:rsidRPr="00424BD3">
        <w:rPr>
          <w:rFonts w:cs="Arial"/>
          <w:szCs w:val="24"/>
        </w:rPr>
        <w:t>At the start of</w:t>
      </w:r>
      <w:r w:rsidR="008844E4" w:rsidRPr="00424BD3">
        <w:rPr>
          <w:rFonts w:cs="Arial"/>
          <w:szCs w:val="24"/>
        </w:rPr>
        <w:t xml:space="preserve"> this dissertation</w:t>
      </w:r>
      <w:r w:rsidRPr="00424BD3">
        <w:rPr>
          <w:rFonts w:cs="Arial"/>
          <w:szCs w:val="24"/>
        </w:rPr>
        <w:t xml:space="preserve">, </w:t>
      </w:r>
      <w:r w:rsidR="00CA1E3C" w:rsidRPr="00424BD3">
        <w:rPr>
          <w:rFonts w:cs="Arial"/>
          <w:szCs w:val="24"/>
        </w:rPr>
        <w:t xml:space="preserve">Anita, Mary, Sharon, Margaret, Ruth, Deborah, Sylvia, Peggy, Barbara, Kathryn, Carolyn, and Cynthia, </w:t>
      </w:r>
      <w:r w:rsidR="008844E4" w:rsidRPr="00424BD3">
        <w:rPr>
          <w:rFonts w:cs="Arial"/>
          <w:szCs w:val="24"/>
        </w:rPr>
        <w:t>who’s experiences and perceptions have made up this study</w:t>
      </w:r>
      <w:r w:rsidRPr="00424BD3">
        <w:rPr>
          <w:rFonts w:cs="Arial"/>
          <w:szCs w:val="24"/>
        </w:rPr>
        <w:t>, were introduced</w:t>
      </w:r>
      <w:r w:rsidR="00CA1E3C" w:rsidRPr="00424BD3">
        <w:rPr>
          <w:rFonts w:cs="Arial"/>
          <w:szCs w:val="24"/>
        </w:rPr>
        <w:t xml:space="preserve">. </w:t>
      </w:r>
      <w:r w:rsidRPr="00424BD3">
        <w:rPr>
          <w:rFonts w:cs="Arial"/>
          <w:szCs w:val="24"/>
        </w:rPr>
        <w:t>S</w:t>
      </w:r>
      <w:r w:rsidR="008844E4" w:rsidRPr="00424BD3">
        <w:rPr>
          <w:rFonts w:cs="Arial"/>
          <w:szCs w:val="24"/>
        </w:rPr>
        <w:t>everal areas within the social determinants of health which impact health inequities, health and mortality outcomes for</w:t>
      </w:r>
      <w:r w:rsidR="00B609F4" w:rsidRPr="00424BD3">
        <w:rPr>
          <w:rFonts w:cs="Arial"/>
          <w:szCs w:val="24"/>
        </w:rPr>
        <w:t xml:space="preserve"> </w:t>
      </w:r>
      <w:r w:rsidR="00E15A98" w:rsidRPr="00424BD3">
        <w:rPr>
          <w:rFonts w:cs="Arial"/>
          <w:szCs w:val="24"/>
        </w:rPr>
        <w:t>them,</w:t>
      </w:r>
      <w:r w:rsidR="00B609F4" w:rsidRPr="00424BD3">
        <w:rPr>
          <w:rFonts w:cs="Arial"/>
          <w:szCs w:val="24"/>
        </w:rPr>
        <w:t xml:space="preserve"> and other</w:t>
      </w:r>
      <w:r w:rsidR="008844E4" w:rsidRPr="00424BD3">
        <w:rPr>
          <w:rFonts w:cs="Arial"/>
          <w:szCs w:val="24"/>
        </w:rPr>
        <w:t xml:space="preserve"> older women</w:t>
      </w:r>
      <w:r w:rsidRPr="00424BD3">
        <w:rPr>
          <w:rFonts w:cs="Arial"/>
          <w:szCs w:val="24"/>
        </w:rPr>
        <w:t xml:space="preserve"> were explored</w:t>
      </w:r>
      <w:r w:rsidR="008844E4" w:rsidRPr="00424BD3">
        <w:rPr>
          <w:rFonts w:cs="Arial"/>
          <w:szCs w:val="24"/>
        </w:rPr>
        <w:t xml:space="preserve">. Like many older women across the United States, they have endured and survived extraordinary things – abuse, neglect, disease and illness, incarceration, homelessness, divorce, single parenthood, poverty, geopolitical environments which further exacerbate their health and mortality outcomes, and social and cultural norms that lay the blame and responsibility for the health </w:t>
      </w:r>
      <w:r w:rsidR="008844E4" w:rsidRPr="00424BD3">
        <w:rPr>
          <w:rFonts w:cs="Arial"/>
          <w:szCs w:val="24"/>
        </w:rPr>
        <w:lastRenderedPageBreak/>
        <w:t>inequities they face solely on them. Having grown up in restrictive social and cultural norms (for women and for health), as well as in the post-WW2, Korean and Vietnam war</w:t>
      </w:r>
      <w:r w:rsidR="005368CE" w:rsidRPr="00424BD3">
        <w:rPr>
          <w:rFonts w:cs="Arial"/>
          <w:szCs w:val="24"/>
        </w:rPr>
        <w:t>s</w:t>
      </w:r>
      <w:r w:rsidR="008844E4" w:rsidRPr="00424BD3">
        <w:rPr>
          <w:rFonts w:cs="Arial"/>
          <w:szCs w:val="24"/>
        </w:rPr>
        <w:t xml:space="preserve">, and Jim Crow segregation eras, they have faced </w:t>
      </w:r>
      <w:r w:rsidR="00A257CC" w:rsidRPr="00424BD3">
        <w:rPr>
          <w:rFonts w:cs="Arial"/>
          <w:szCs w:val="24"/>
        </w:rPr>
        <w:t xml:space="preserve">unique </w:t>
      </w:r>
      <w:r w:rsidR="008844E4" w:rsidRPr="00424BD3">
        <w:rPr>
          <w:rFonts w:cs="Arial"/>
          <w:szCs w:val="24"/>
        </w:rPr>
        <w:t xml:space="preserve">challenges. These </w:t>
      </w:r>
      <w:r w:rsidR="00B609F4" w:rsidRPr="00424BD3">
        <w:rPr>
          <w:rFonts w:cs="Arial"/>
          <w:szCs w:val="24"/>
        </w:rPr>
        <w:t xml:space="preserve">challenges </w:t>
      </w:r>
      <w:r w:rsidR="008844E4" w:rsidRPr="00424BD3">
        <w:rPr>
          <w:rFonts w:cs="Arial"/>
          <w:szCs w:val="24"/>
        </w:rPr>
        <w:t>have all contributed to the genealogical health and mortality repercussions on the</w:t>
      </w:r>
      <w:r w:rsidR="007876AD" w:rsidRPr="00424BD3">
        <w:rPr>
          <w:rFonts w:cs="Arial"/>
          <w:szCs w:val="24"/>
        </w:rPr>
        <w:t>se</w:t>
      </w:r>
      <w:r w:rsidR="008844E4" w:rsidRPr="00424BD3">
        <w:rPr>
          <w:rFonts w:cs="Arial"/>
          <w:szCs w:val="24"/>
        </w:rPr>
        <w:t xml:space="preserve"> women’s lives. </w:t>
      </w:r>
      <w:r w:rsidR="00DE5F79" w:rsidRPr="00424BD3">
        <w:rPr>
          <w:rFonts w:cs="Arial"/>
          <w:szCs w:val="24"/>
        </w:rPr>
        <w:t xml:space="preserve">They were willing to talk about the most difficult and intimate life circumstances they have endured, how they have navigated them, and what they recommend to policy and decision-makers, clinicians, and researchers. Yet, the conflict remained that </w:t>
      </w:r>
      <w:r w:rsidR="00F87713">
        <w:rPr>
          <w:rFonts w:cs="Arial"/>
          <w:szCs w:val="24"/>
        </w:rPr>
        <w:t>I</w:t>
      </w:r>
      <w:r w:rsidR="00C473B4" w:rsidRPr="00424BD3">
        <w:rPr>
          <w:rFonts w:cs="Arial"/>
          <w:szCs w:val="24"/>
        </w:rPr>
        <w:t xml:space="preserve"> </w:t>
      </w:r>
      <w:r w:rsidR="00DE5F79" w:rsidRPr="00424BD3">
        <w:rPr>
          <w:rFonts w:cs="Arial"/>
          <w:szCs w:val="24"/>
        </w:rPr>
        <w:t xml:space="preserve">held a power position and was a stranger, and that their silences were also around these most difficult </w:t>
      </w:r>
      <w:r w:rsidR="00022079" w:rsidRPr="00424BD3">
        <w:rPr>
          <w:rFonts w:cs="Arial"/>
          <w:szCs w:val="24"/>
        </w:rPr>
        <w:t xml:space="preserve">and intimate </w:t>
      </w:r>
      <w:r w:rsidR="00DE5F79" w:rsidRPr="00424BD3">
        <w:rPr>
          <w:rFonts w:cs="Arial"/>
          <w:szCs w:val="24"/>
        </w:rPr>
        <w:t>circumstances</w:t>
      </w:r>
      <w:r w:rsidR="00022079" w:rsidRPr="00424BD3">
        <w:rPr>
          <w:rFonts w:cs="Arial"/>
          <w:szCs w:val="24"/>
        </w:rPr>
        <w:t xml:space="preserve">. It is difficult to </w:t>
      </w:r>
      <w:r w:rsidR="00DE5F79" w:rsidRPr="00424BD3">
        <w:rPr>
          <w:rFonts w:cs="Arial"/>
          <w:szCs w:val="24"/>
        </w:rPr>
        <w:t>know what they were withholding</w:t>
      </w:r>
      <w:r w:rsidR="00D73C2C" w:rsidRPr="00424BD3">
        <w:rPr>
          <w:rFonts w:cs="Arial"/>
          <w:szCs w:val="24"/>
        </w:rPr>
        <w:t xml:space="preserve"> which </w:t>
      </w:r>
      <w:r w:rsidR="0021113E" w:rsidRPr="00424BD3">
        <w:rPr>
          <w:rFonts w:cs="Arial"/>
          <w:szCs w:val="24"/>
        </w:rPr>
        <w:t>means that the findings and recommendations were made with this in mind</w:t>
      </w:r>
      <w:r w:rsidR="00DE5F79" w:rsidRPr="00424BD3">
        <w:rPr>
          <w:rFonts w:cs="Arial"/>
          <w:szCs w:val="24"/>
        </w:rPr>
        <w:t>.</w:t>
      </w:r>
      <w:r w:rsidR="0021113E" w:rsidRPr="00424BD3">
        <w:rPr>
          <w:rFonts w:cs="Arial"/>
          <w:szCs w:val="24"/>
        </w:rPr>
        <w:t xml:space="preserve"> Still, </w:t>
      </w:r>
      <w:r w:rsidR="004F3F31" w:rsidRPr="00424BD3">
        <w:rPr>
          <w:rFonts w:cs="Arial"/>
          <w:szCs w:val="24"/>
        </w:rPr>
        <w:t xml:space="preserve">with solutions such as longitudinal studies, allowing the women to read the findings and follow-up with any additional comments or clarifications – something doable with extensions to this study </w:t>
      </w:r>
      <w:r w:rsidR="00716304" w:rsidRPr="00424BD3">
        <w:rPr>
          <w:rFonts w:cs="Arial"/>
          <w:szCs w:val="24"/>
        </w:rPr>
        <w:t>–</w:t>
      </w:r>
      <w:r w:rsidR="004F3F31" w:rsidRPr="00424BD3">
        <w:rPr>
          <w:rFonts w:cs="Arial"/>
          <w:szCs w:val="24"/>
        </w:rPr>
        <w:t xml:space="preserve"> </w:t>
      </w:r>
      <w:r w:rsidR="00716304" w:rsidRPr="00424BD3">
        <w:rPr>
          <w:rFonts w:cs="Arial"/>
          <w:szCs w:val="24"/>
        </w:rPr>
        <w:t>the silences and limitations of this study are far outweighed by the knowledge</w:t>
      </w:r>
      <w:r w:rsidR="00823948" w:rsidRPr="00424BD3">
        <w:rPr>
          <w:rFonts w:cs="Arial"/>
          <w:szCs w:val="24"/>
        </w:rPr>
        <w:t xml:space="preserve"> and experiences these women bring to the research on older women and health inequities</w:t>
      </w:r>
      <w:r w:rsidR="003071A4">
        <w:rPr>
          <w:rFonts w:cs="Arial"/>
          <w:szCs w:val="24"/>
        </w:rPr>
        <w:t>.</w:t>
      </w:r>
    </w:p>
    <w:p w14:paraId="2BC1AFAF" w14:textId="49943C04" w:rsidR="008844E4" w:rsidRDefault="00FC7D78" w:rsidP="000126EE">
      <w:pPr>
        <w:spacing w:after="0" w:line="480" w:lineRule="auto"/>
        <w:ind w:firstLine="720"/>
        <w:rPr>
          <w:rFonts w:cs="Arial"/>
          <w:szCs w:val="24"/>
        </w:rPr>
      </w:pPr>
      <w:r w:rsidRPr="00424BD3">
        <w:rPr>
          <w:rFonts w:cs="Arial"/>
          <w:szCs w:val="24"/>
        </w:rPr>
        <w:t>This study has</w:t>
      </w:r>
      <w:r w:rsidR="007876AD" w:rsidRPr="00424BD3">
        <w:rPr>
          <w:rFonts w:cs="Arial"/>
          <w:szCs w:val="24"/>
        </w:rPr>
        <w:t xml:space="preserve"> </w:t>
      </w:r>
      <w:r w:rsidR="008844E4" w:rsidRPr="00424BD3">
        <w:rPr>
          <w:rFonts w:cs="Arial"/>
          <w:szCs w:val="24"/>
        </w:rPr>
        <w:t xml:space="preserve">shown that one of the most important things in tackling older women’s health inequities is listening – listening to older women, listening to their silences, listening to their recommendations. By regularly and deeply listening to older women, </w:t>
      </w:r>
      <w:r w:rsidR="00FD0244" w:rsidRPr="00424BD3">
        <w:rPr>
          <w:rFonts w:cs="Arial"/>
          <w:szCs w:val="24"/>
        </w:rPr>
        <w:t>researchers</w:t>
      </w:r>
      <w:r w:rsidR="007F7C54" w:rsidRPr="00424BD3">
        <w:rPr>
          <w:rFonts w:cs="Arial"/>
          <w:szCs w:val="24"/>
        </w:rPr>
        <w:t xml:space="preserve">, clinicians, </w:t>
      </w:r>
      <w:r w:rsidR="005B7B40">
        <w:rPr>
          <w:rFonts w:cs="Arial"/>
          <w:szCs w:val="24"/>
        </w:rPr>
        <w:t xml:space="preserve">and </w:t>
      </w:r>
      <w:r w:rsidR="007F7C54" w:rsidRPr="00424BD3">
        <w:rPr>
          <w:rFonts w:cs="Arial"/>
          <w:szCs w:val="24"/>
        </w:rPr>
        <w:t>policy and other decision-makers</w:t>
      </w:r>
      <w:r w:rsidR="008844E4" w:rsidRPr="00424BD3">
        <w:rPr>
          <w:rFonts w:cs="Arial"/>
          <w:szCs w:val="24"/>
        </w:rPr>
        <w:t xml:space="preserve"> can create spatially representative, intersectional, sustainable, and critically engaged policy and intervention design partnerships that provide for their and their family’s health needs and wants. </w:t>
      </w:r>
      <w:r w:rsidR="007F5C1E" w:rsidRPr="00424BD3">
        <w:rPr>
          <w:rFonts w:cs="Arial"/>
          <w:szCs w:val="24"/>
        </w:rPr>
        <w:t xml:space="preserve">As stated in Chapter </w:t>
      </w:r>
      <w:r w:rsidR="00FD2674" w:rsidRPr="00424BD3">
        <w:rPr>
          <w:rFonts w:cs="Arial"/>
          <w:szCs w:val="24"/>
        </w:rPr>
        <w:t>Seven</w:t>
      </w:r>
      <w:r w:rsidR="007F5C1E" w:rsidRPr="00424BD3">
        <w:rPr>
          <w:rFonts w:cs="Arial"/>
          <w:szCs w:val="24"/>
        </w:rPr>
        <w:t xml:space="preserve">, their responses help shape an understanding of the time and places which developed their health story, the knowing of which centers </w:t>
      </w:r>
      <w:r w:rsidR="007F5C1E" w:rsidRPr="00424BD3">
        <w:rPr>
          <w:rFonts w:cs="Arial"/>
          <w:szCs w:val="24"/>
        </w:rPr>
        <w:lastRenderedPageBreak/>
        <w:t xml:space="preserve">them in the solution to the health inequities that affect them. </w:t>
      </w:r>
      <w:r w:rsidR="008844E4" w:rsidRPr="00424BD3">
        <w:rPr>
          <w:rFonts w:cs="Arial"/>
          <w:szCs w:val="24"/>
        </w:rPr>
        <w:t>Nothing for them, without them.</w:t>
      </w:r>
    </w:p>
    <w:p w14:paraId="2EAAFE7E" w14:textId="0D393D40" w:rsidR="00A8148C" w:rsidRDefault="00A8148C" w:rsidP="000126EE">
      <w:pPr>
        <w:spacing w:after="0" w:line="480" w:lineRule="auto"/>
        <w:ind w:firstLine="720"/>
        <w:rPr>
          <w:rFonts w:cs="Arial"/>
          <w:szCs w:val="24"/>
        </w:rPr>
      </w:pPr>
      <w:r>
        <w:rPr>
          <w:rFonts w:cs="Arial"/>
          <w:szCs w:val="24"/>
        </w:rPr>
        <w:t xml:space="preserve">After reading my dissertation and hearing my dissertation defense presentation, my committee members asked me to add an epilogue discussing </w:t>
      </w:r>
      <w:r w:rsidR="00B932BC">
        <w:rPr>
          <w:rFonts w:cs="Arial"/>
          <w:szCs w:val="24"/>
        </w:rPr>
        <w:t xml:space="preserve">the heavy emotional labor that went into this dissertation both on my part and the part of the women in this study. They asked me to </w:t>
      </w:r>
      <w:r w:rsidR="00040C93">
        <w:rPr>
          <w:rFonts w:cs="Arial"/>
          <w:szCs w:val="24"/>
        </w:rPr>
        <w:t xml:space="preserve">write it in the format of a spoken word poem since I am </w:t>
      </w:r>
      <w:r w:rsidR="005A7529">
        <w:rPr>
          <w:rFonts w:cs="Arial"/>
          <w:szCs w:val="24"/>
        </w:rPr>
        <w:t xml:space="preserve">a </w:t>
      </w:r>
      <w:r w:rsidR="004667A7">
        <w:rPr>
          <w:rFonts w:cs="Arial"/>
          <w:szCs w:val="24"/>
        </w:rPr>
        <w:t xml:space="preserve">professional spoken word </w:t>
      </w:r>
      <w:r w:rsidR="005A7529">
        <w:rPr>
          <w:rFonts w:cs="Arial"/>
          <w:szCs w:val="24"/>
        </w:rPr>
        <w:t xml:space="preserve">performer, with the great luck to also </w:t>
      </w:r>
      <w:r w:rsidR="004667A7">
        <w:rPr>
          <w:rFonts w:cs="Arial"/>
          <w:szCs w:val="24"/>
        </w:rPr>
        <w:t xml:space="preserve">have published </w:t>
      </w:r>
      <w:r w:rsidR="00232F31">
        <w:rPr>
          <w:rFonts w:cs="Arial"/>
          <w:szCs w:val="24"/>
        </w:rPr>
        <w:t>and won an award or two</w:t>
      </w:r>
      <w:r w:rsidR="005A7529">
        <w:rPr>
          <w:rFonts w:cs="Arial"/>
          <w:szCs w:val="24"/>
        </w:rPr>
        <w:t xml:space="preserve">. </w:t>
      </w:r>
      <w:r w:rsidR="00846A04">
        <w:rPr>
          <w:rFonts w:cs="Arial"/>
          <w:szCs w:val="24"/>
        </w:rPr>
        <w:t>I am honored to do so.</w:t>
      </w:r>
    </w:p>
    <w:p w14:paraId="6087DCF1" w14:textId="77777777" w:rsidR="00506049" w:rsidRDefault="00506049" w:rsidP="00506049">
      <w:pPr>
        <w:rPr>
          <w:rFonts w:cs="Arial"/>
          <w:szCs w:val="24"/>
        </w:rPr>
      </w:pPr>
    </w:p>
    <w:p w14:paraId="7D2AE4A3" w14:textId="2C3AA2E4" w:rsidR="00BC2054" w:rsidRDefault="00BC2054" w:rsidP="00506049">
      <w:pPr>
        <w:rPr>
          <w:rFonts w:cs="Arial"/>
          <w:szCs w:val="24"/>
        </w:rPr>
      </w:pPr>
      <w:r w:rsidRPr="004C1042">
        <w:rPr>
          <w:rFonts w:cs="Arial"/>
          <w:szCs w:val="24"/>
        </w:rPr>
        <w:t>Genealogy Tells</w:t>
      </w:r>
    </w:p>
    <w:p w14:paraId="12B679B1" w14:textId="77777777" w:rsidR="00BC2054" w:rsidRPr="004C1042" w:rsidRDefault="00BC2054" w:rsidP="00BC2054">
      <w:pPr>
        <w:spacing w:after="0" w:line="240" w:lineRule="auto"/>
        <w:rPr>
          <w:rFonts w:cs="Arial"/>
          <w:szCs w:val="24"/>
        </w:rPr>
      </w:pPr>
      <w:r w:rsidRPr="004C1042">
        <w:rPr>
          <w:rFonts w:cs="Arial"/>
          <w:szCs w:val="24"/>
        </w:rPr>
        <w:t xml:space="preserve">In the two years of writing of this dissertation, </w:t>
      </w:r>
    </w:p>
    <w:p w14:paraId="7D672A94" w14:textId="77777777" w:rsidR="00BC2054" w:rsidRPr="004C1042" w:rsidRDefault="00BC2054" w:rsidP="00BC2054">
      <w:pPr>
        <w:spacing w:after="0" w:line="240" w:lineRule="auto"/>
        <w:rPr>
          <w:rFonts w:cs="Arial"/>
          <w:szCs w:val="24"/>
        </w:rPr>
      </w:pPr>
      <w:r w:rsidRPr="004C1042">
        <w:rPr>
          <w:rFonts w:cs="Arial"/>
          <w:szCs w:val="24"/>
        </w:rPr>
        <w:t>I lost fourteen loved ones.</w:t>
      </w:r>
    </w:p>
    <w:p w14:paraId="79D96134" w14:textId="77777777" w:rsidR="00BC2054" w:rsidRPr="004C1042" w:rsidRDefault="00BC2054" w:rsidP="00BC2054">
      <w:pPr>
        <w:spacing w:after="0" w:line="240" w:lineRule="auto"/>
        <w:rPr>
          <w:rFonts w:cs="Arial"/>
          <w:szCs w:val="24"/>
        </w:rPr>
      </w:pPr>
      <w:r w:rsidRPr="004C1042">
        <w:rPr>
          <w:rFonts w:cs="Arial"/>
          <w:szCs w:val="24"/>
        </w:rPr>
        <w:t xml:space="preserve">The last two were three weeks before </w:t>
      </w:r>
    </w:p>
    <w:p w14:paraId="23730865" w14:textId="77777777" w:rsidR="00BC2054" w:rsidRPr="004C1042" w:rsidRDefault="00BC2054" w:rsidP="00BC2054">
      <w:pPr>
        <w:spacing w:after="0" w:line="240" w:lineRule="auto"/>
        <w:rPr>
          <w:rFonts w:cs="Arial"/>
          <w:szCs w:val="24"/>
        </w:rPr>
      </w:pPr>
      <w:r w:rsidRPr="004C1042">
        <w:rPr>
          <w:rFonts w:cs="Arial"/>
          <w:szCs w:val="24"/>
        </w:rPr>
        <w:t>my dissertation defense.</w:t>
      </w:r>
    </w:p>
    <w:p w14:paraId="0F15D1F4" w14:textId="77777777" w:rsidR="00BC2054" w:rsidRPr="004C1042" w:rsidRDefault="00BC2054" w:rsidP="00BC2054">
      <w:pPr>
        <w:spacing w:after="0" w:line="240" w:lineRule="auto"/>
        <w:rPr>
          <w:rFonts w:cs="Arial"/>
          <w:szCs w:val="24"/>
        </w:rPr>
      </w:pPr>
      <w:r w:rsidRPr="004C1042">
        <w:rPr>
          <w:rFonts w:cs="Arial"/>
          <w:szCs w:val="24"/>
        </w:rPr>
        <w:t>There came a point when I stopped</w:t>
      </w:r>
    </w:p>
    <w:p w14:paraId="53242726" w14:textId="61B31835" w:rsidR="00BC2054" w:rsidRPr="004C1042" w:rsidRDefault="00BC2054" w:rsidP="00BC2054">
      <w:pPr>
        <w:spacing w:after="0" w:line="240" w:lineRule="auto"/>
        <w:rPr>
          <w:rFonts w:cs="Arial"/>
          <w:szCs w:val="24"/>
        </w:rPr>
      </w:pPr>
      <w:r w:rsidRPr="004C1042">
        <w:rPr>
          <w:rFonts w:cs="Arial"/>
          <w:szCs w:val="24"/>
        </w:rPr>
        <w:t>telling people</w:t>
      </w:r>
      <w:r w:rsidR="00B46423">
        <w:rPr>
          <w:rFonts w:cs="Arial"/>
          <w:szCs w:val="24"/>
        </w:rPr>
        <w:t>,</w:t>
      </w:r>
      <w:r w:rsidRPr="004C1042">
        <w:rPr>
          <w:rFonts w:cs="Arial"/>
          <w:szCs w:val="24"/>
        </w:rPr>
        <w:t xml:space="preserve"> and</w:t>
      </w:r>
    </w:p>
    <w:p w14:paraId="2CFECEC6" w14:textId="77777777" w:rsidR="00BC2054" w:rsidRPr="004C1042" w:rsidRDefault="00BC2054" w:rsidP="00BC2054">
      <w:pPr>
        <w:spacing w:after="0" w:line="240" w:lineRule="auto"/>
        <w:rPr>
          <w:rFonts w:cs="Arial"/>
          <w:szCs w:val="24"/>
        </w:rPr>
      </w:pPr>
      <w:r w:rsidRPr="004C1042">
        <w:rPr>
          <w:rFonts w:cs="Arial"/>
          <w:szCs w:val="24"/>
        </w:rPr>
        <w:t xml:space="preserve">wrapped myself in the silences </w:t>
      </w:r>
    </w:p>
    <w:p w14:paraId="464F3FF8" w14:textId="77777777" w:rsidR="00BC2054" w:rsidRPr="004C1042" w:rsidRDefault="00BC2054" w:rsidP="00BC2054">
      <w:pPr>
        <w:spacing w:after="0" w:line="240" w:lineRule="auto"/>
        <w:rPr>
          <w:rFonts w:cs="Arial"/>
          <w:szCs w:val="24"/>
        </w:rPr>
      </w:pPr>
      <w:r w:rsidRPr="004C1042">
        <w:rPr>
          <w:rFonts w:cs="Arial"/>
          <w:szCs w:val="24"/>
        </w:rPr>
        <w:t xml:space="preserve">the women I studied also embraced </w:t>
      </w:r>
    </w:p>
    <w:p w14:paraId="6955F637" w14:textId="77777777" w:rsidR="00BC2054" w:rsidRPr="004C1042" w:rsidRDefault="00BC2054" w:rsidP="00BC2054">
      <w:pPr>
        <w:spacing w:after="0" w:line="240" w:lineRule="auto"/>
        <w:rPr>
          <w:rFonts w:cs="Arial"/>
          <w:szCs w:val="24"/>
        </w:rPr>
      </w:pPr>
      <w:r w:rsidRPr="004C1042">
        <w:rPr>
          <w:rFonts w:cs="Arial"/>
          <w:szCs w:val="24"/>
        </w:rPr>
        <w:t>with fierce self-protection.</w:t>
      </w:r>
    </w:p>
    <w:p w14:paraId="21D3961E" w14:textId="77777777" w:rsidR="00BC2054" w:rsidRPr="004C1042" w:rsidRDefault="00BC2054" w:rsidP="00BC2054">
      <w:pPr>
        <w:spacing w:after="0" w:line="240" w:lineRule="auto"/>
        <w:rPr>
          <w:rFonts w:cs="Arial"/>
          <w:szCs w:val="24"/>
        </w:rPr>
      </w:pPr>
      <w:r w:rsidRPr="004C1042">
        <w:rPr>
          <w:rFonts w:cs="Arial"/>
          <w:szCs w:val="24"/>
        </w:rPr>
        <w:t xml:space="preserve">Everyday my losses sang to me, </w:t>
      </w:r>
    </w:p>
    <w:p w14:paraId="4D32B339" w14:textId="77777777" w:rsidR="00BC2054" w:rsidRPr="004C1042" w:rsidRDefault="00BC2054" w:rsidP="00BC2054">
      <w:pPr>
        <w:spacing w:after="0" w:line="240" w:lineRule="auto"/>
        <w:rPr>
          <w:rFonts w:cs="Arial"/>
          <w:szCs w:val="24"/>
        </w:rPr>
      </w:pPr>
      <w:r w:rsidRPr="004C1042">
        <w:rPr>
          <w:rFonts w:cs="Arial"/>
          <w:szCs w:val="24"/>
        </w:rPr>
        <w:t xml:space="preserve">wrapped in the stories of these women. </w:t>
      </w:r>
    </w:p>
    <w:p w14:paraId="2D125FA2" w14:textId="77777777" w:rsidR="00BC2054" w:rsidRPr="004C1042" w:rsidRDefault="00BC2054" w:rsidP="00BC2054">
      <w:pPr>
        <w:spacing w:after="0" w:line="240" w:lineRule="auto"/>
        <w:rPr>
          <w:rFonts w:cs="Arial"/>
          <w:szCs w:val="24"/>
        </w:rPr>
      </w:pPr>
      <w:r w:rsidRPr="004C1042">
        <w:rPr>
          <w:rFonts w:cs="Arial"/>
          <w:szCs w:val="24"/>
        </w:rPr>
        <w:t xml:space="preserve">Tales that were telling my story, </w:t>
      </w:r>
    </w:p>
    <w:p w14:paraId="34EBA018" w14:textId="77777777" w:rsidR="00BC2054" w:rsidRPr="004C1042" w:rsidRDefault="00BC2054" w:rsidP="00BC2054">
      <w:pPr>
        <w:spacing w:after="0" w:line="240" w:lineRule="auto"/>
        <w:rPr>
          <w:rFonts w:cs="Arial"/>
          <w:szCs w:val="24"/>
        </w:rPr>
      </w:pPr>
      <w:r w:rsidRPr="004C1042">
        <w:rPr>
          <w:rFonts w:cs="Arial"/>
          <w:szCs w:val="24"/>
        </w:rPr>
        <w:t xml:space="preserve">their story, </w:t>
      </w:r>
    </w:p>
    <w:p w14:paraId="4E69952E" w14:textId="77777777" w:rsidR="00BC2054" w:rsidRPr="004C1042" w:rsidRDefault="00BC2054" w:rsidP="00BC2054">
      <w:pPr>
        <w:spacing w:after="0" w:line="240" w:lineRule="auto"/>
        <w:rPr>
          <w:rFonts w:cs="Arial"/>
          <w:szCs w:val="24"/>
        </w:rPr>
      </w:pPr>
      <w:r w:rsidRPr="004C1042">
        <w:rPr>
          <w:rFonts w:cs="Arial"/>
          <w:szCs w:val="24"/>
        </w:rPr>
        <w:t xml:space="preserve">our story. </w:t>
      </w:r>
    </w:p>
    <w:p w14:paraId="438CE518" w14:textId="77777777" w:rsidR="00BC2054" w:rsidRPr="004C1042" w:rsidRDefault="00BC2054" w:rsidP="00BC2054">
      <w:pPr>
        <w:spacing w:after="0" w:line="240" w:lineRule="auto"/>
        <w:rPr>
          <w:rFonts w:cs="Arial"/>
          <w:szCs w:val="24"/>
        </w:rPr>
      </w:pPr>
    </w:p>
    <w:p w14:paraId="0F3DAC54" w14:textId="77777777" w:rsidR="00BC2054" w:rsidRPr="004C1042" w:rsidRDefault="00BC2054" w:rsidP="00BC2054">
      <w:pPr>
        <w:spacing w:after="0" w:line="240" w:lineRule="auto"/>
        <w:rPr>
          <w:rFonts w:cs="Arial"/>
          <w:szCs w:val="24"/>
        </w:rPr>
      </w:pPr>
      <w:r w:rsidRPr="004C1042">
        <w:rPr>
          <w:rFonts w:cs="Arial"/>
          <w:szCs w:val="24"/>
        </w:rPr>
        <w:t xml:space="preserve">But will it ever be enough, </w:t>
      </w:r>
    </w:p>
    <w:p w14:paraId="4C08C77D" w14:textId="77777777" w:rsidR="00BC2054" w:rsidRPr="004C1042" w:rsidRDefault="00BC2054" w:rsidP="00BC2054">
      <w:pPr>
        <w:spacing w:after="0" w:line="240" w:lineRule="auto"/>
        <w:rPr>
          <w:rFonts w:cs="Arial"/>
          <w:szCs w:val="24"/>
        </w:rPr>
      </w:pPr>
      <w:r w:rsidRPr="004C1042">
        <w:rPr>
          <w:rFonts w:cs="Arial"/>
          <w:szCs w:val="24"/>
        </w:rPr>
        <w:t xml:space="preserve">to research, </w:t>
      </w:r>
    </w:p>
    <w:p w14:paraId="07D9F05D" w14:textId="77777777" w:rsidR="00BC2054" w:rsidRPr="004C1042" w:rsidRDefault="00BC2054" w:rsidP="00BC2054">
      <w:pPr>
        <w:spacing w:after="0" w:line="240" w:lineRule="auto"/>
        <w:rPr>
          <w:rFonts w:cs="Arial"/>
          <w:szCs w:val="24"/>
        </w:rPr>
      </w:pPr>
      <w:r w:rsidRPr="004C1042">
        <w:rPr>
          <w:rFonts w:cs="Arial"/>
          <w:szCs w:val="24"/>
        </w:rPr>
        <w:t xml:space="preserve">write, </w:t>
      </w:r>
    </w:p>
    <w:p w14:paraId="4EE6CD1E" w14:textId="77777777" w:rsidR="00BC2054" w:rsidRPr="004C1042" w:rsidRDefault="00BC2054" w:rsidP="00BC2054">
      <w:pPr>
        <w:spacing w:after="0" w:line="240" w:lineRule="auto"/>
        <w:rPr>
          <w:rFonts w:cs="Arial"/>
          <w:szCs w:val="24"/>
        </w:rPr>
      </w:pPr>
      <w:r w:rsidRPr="004C1042">
        <w:rPr>
          <w:rFonts w:cs="Arial"/>
          <w:szCs w:val="24"/>
        </w:rPr>
        <w:t xml:space="preserve">ask, </w:t>
      </w:r>
    </w:p>
    <w:p w14:paraId="0757CD9F" w14:textId="77777777" w:rsidR="00BC2054" w:rsidRPr="004C1042" w:rsidRDefault="00BC2054" w:rsidP="00BC2054">
      <w:pPr>
        <w:spacing w:after="0" w:line="240" w:lineRule="auto"/>
        <w:rPr>
          <w:rFonts w:cs="Arial"/>
          <w:szCs w:val="24"/>
        </w:rPr>
      </w:pPr>
      <w:r w:rsidRPr="004C1042">
        <w:rPr>
          <w:rFonts w:cs="Arial"/>
          <w:szCs w:val="24"/>
        </w:rPr>
        <w:t xml:space="preserve">examine, </w:t>
      </w:r>
    </w:p>
    <w:p w14:paraId="4E77F872" w14:textId="77777777" w:rsidR="00BC2054" w:rsidRPr="004C1042" w:rsidRDefault="00BC2054" w:rsidP="00BC2054">
      <w:pPr>
        <w:spacing w:after="0" w:line="240" w:lineRule="auto"/>
        <w:rPr>
          <w:rFonts w:cs="Arial"/>
          <w:szCs w:val="24"/>
        </w:rPr>
      </w:pPr>
      <w:r w:rsidRPr="004C1042">
        <w:rPr>
          <w:rFonts w:cs="Arial"/>
          <w:szCs w:val="24"/>
        </w:rPr>
        <w:t xml:space="preserve">advocate, </w:t>
      </w:r>
    </w:p>
    <w:p w14:paraId="6B830348" w14:textId="77777777" w:rsidR="00BC2054" w:rsidRPr="004C1042" w:rsidRDefault="00BC2054" w:rsidP="00BC2054">
      <w:pPr>
        <w:spacing w:after="0" w:line="240" w:lineRule="auto"/>
        <w:rPr>
          <w:rFonts w:cs="Arial"/>
          <w:szCs w:val="24"/>
        </w:rPr>
      </w:pPr>
      <w:r w:rsidRPr="004C1042">
        <w:rPr>
          <w:rFonts w:cs="Arial"/>
          <w:szCs w:val="24"/>
        </w:rPr>
        <w:t xml:space="preserve">explain, </w:t>
      </w:r>
    </w:p>
    <w:p w14:paraId="1C21C124" w14:textId="77777777" w:rsidR="00BC2054" w:rsidRPr="004C1042" w:rsidRDefault="00BC2054" w:rsidP="00BC2054">
      <w:pPr>
        <w:spacing w:after="0" w:line="240" w:lineRule="auto"/>
        <w:rPr>
          <w:rFonts w:cs="Arial"/>
          <w:szCs w:val="24"/>
        </w:rPr>
      </w:pPr>
      <w:r w:rsidRPr="004C1042">
        <w:rPr>
          <w:rFonts w:cs="Arial"/>
          <w:szCs w:val="24"/>
        </w:rPr>
        <w:t xml:space="preserve">beg, </w:t>
      </w:r>
    </w:p>
    <w:p w14:paraId="55FB4FC7" w14:textId="77777777" w:rsidR="00BC2054" w:rsidRPr="004C1042" w:rsidRDefault="00BC2054" w:rsidP="00BC2054">
      <w:pPr>
        <w:spacing w:after="0" w:line="240" w:lineRule="auto"/>
        <w:rPr>
          <w:rFonts w:cs="Arial"/>
          <w:szCs w:val="24"/>
        </w:rPr>
      </w:pPr>
      <w:r w:rsidRPr="004C1042">
        <w:rPr>
          <w:rFonts w:cs="Arial"/>
          <w:szCs w:val="24"/>
        </w:rPr>
        <w:t>plead,</w:t>
      </w:r>
    </w:p>
    <w:p w14:paraId="25306CFF" w14:textId="77777777" w:rsidR="00BC2054" w:rsidRPr="004C1042" w:rsidRDefault="00BC2054" w:rsidP="00BC2054">
      <w:pPr>
        <w:spacing w:after="0" w:line="240" w:lineRule="auto"/>
        <w:rPr>
          <w:rFonts w:cs="Arial"/>
          <w:szCs w:val="24"/>
        </w:rPr>
      </w:pPr>
      <w:r w:rsidRPr="004C1042">
        <w:rPr>
          <w:rFonts w:cs="Arial"/>
          <w:szCs w:val="24"/>
        </w:rPr>
        <w:t xml:space="preserve">and steal </w:t>
      </w:r>
    </w:p>
    <w:p w14:paraId="4DD23519" w14:textId="77777777" w:rsidR="00BC2054" w:rsidRPr="004C1042" w:rsidRDefault="00BC2054" w:rsidP="00BC2054">
      <w:pPr>
        <w:spacing w:after="0" w:line="240" w:lineRule="auto"/>
        <w:rPr>
          <w:rFonts w:cs="Arial"/>
          <w:szCs w:val="24"/>
        </w:rPr>
      </w:pPr>
      <w:r w:rsidRPr="004C1042">
        <w:rPr>
          <w:rFonts w:cs="Arial"/>
          <w:szCs w:val="24"/>
        </w:rPr>
        <w:t xml:space="preserve">for people at the margins, </w:t>
      </w:r>
    </w:p>
    <w:p w14:paraId="144BDE58" w14:textId="77777777" w:rsidR="00BC2054" w:rsidRPr="004C1042" w:rsidRDefault="00BC2054" w:rsidP="00BC2054">
      <w:pPr>
        <w:spacing w:after="0" w:line="240" w:lineRule="auto"/>
        <w:rPr>
          <w:rFonts w:cs="Arial"/>
          <w:szCs w:val="24"/>
        </w:rPr>
      </w:pPr>
      <w:r w:rsidRPr="004C1042">
        <w:rPr>
          <w:rFonts w:cs="Arial"/>
          <w:szCs w:val="24"/>
        </w:rPr>
        <w:t>people closed</w:t>
      </w:r>
      <w:r>
        <w:rPr>
          <w:rFonts w:cs="Arial"/>
          <w:szCs w:val="24"/>
        </w:rPr>
        <w:t>-</w:t>
      </w:r>
      <w:r w:rsidRPr="004C1042">
        <w:rPr>
          <w:rFonts w:cs="Arial"/>
          <w:szCs w:val="24"/>
        </w:rPr>
        <w:t>up in institutions,</w:t>
      </w:r>
    </w:p>
    <w:p w14:paraId="3D9D9CC7" w14:textId="77777777" w:rsidR="00BC2054" w:rsidRPr="004C1042" w:rsidRDefault="00BC2054" w:rsidP="00BC2054">
      <w:pPr>
        <w:spacing w:after="0" w:line="240" w:lineRule="auto"/>
        <w:rPr>
          <w:rFonts w:cs="Arial"/>
          <w:szCs w:val="24"/>
        </w:rPr>
      </w:pPr>
      <w:r w:rsidRPr="004C1042">
        <w:rPr>
          <w:rFonts w:cs="Arial"/>
          <w:szCs w:val="24"/>
        </w:rPr>
        <w:lastRenderedPageBreak/>
        <w:t>people hidden in plain sight,</w:t>
      </w:r>
    </w:p>
    <w:p w14:paraId="62944AB8" w14:textId="77777777" w:rsidR="00BC2054" w:rsidRPr="004C1042" w:rsidRDefault="00BC2054" w:rsidP="00BC2054">
      <w:pPr>
        <w:spacing w:after="0" w:line="240" w:lineRule="auto"/>
        <w:rPr>
          <w:rFonts w:cs="Arial"/>
          <w:szCs w:val="24"/>
        </w:rPr>
      </w:pPr>
      <w:r w:rsidRPr="004C1042">
        <w:rPr>
          <w:rFonts w:cs="Arial"/>
          <w:szCs w:val="24"/>
        </w:rPr>
        <w:t xml:space="preserve">people mocked, </w:t>
      </w:r>
    </w:p>
    <w:p w14:paraId="6E03592C" w14:textId="77777777" w:rsidR="00BC2054" w:rsidRPr="004C1042" w:rsidRDefault="00BC2054" w:rsidP="00BC2054">
      <w:pPr>
        <w:spacing w:after="0" w:line="240" w:lineRule="auto"/>
        <w:rPr>
          <w:rFonts w:cs="Arial"/>
          <w:szCs w:val="24"/>
        </w:rPr>
      </w:pPr>
      <w:r w:rsidRPr="004C1042">
        <w:rPr>
          <w:rFonts w:cs="Arial"/>
          <w:szCs w:val="24"/>
        </w:rPr>
        <w:t xml:space="preserve">ridiculed, </w:t>
      </w:r>
    </w:p>
    <w:p w14:paraId="1180CF25" w14:textId="77777777" w:rsidR="00BC2054" w:rsidRPr="004C1042" w:rsidRDefault="00BC2054" w:rsidP="00BC2054">
      <w:pPr>
        <w:spacing w:after="0" w:line="240" w:lineRule="auto"/>
        <w:rPr>
          <w:rFonts w:cs="Arial"/>
          <w:szCs w:val="24"/>
        </w:rPr>
      </w:pPr>
      <w:r w:rsidRPr="004C1042">
        <w:rPr>
          <w:rFonts w:cs="Arial"/>
          <w:szCs w:val="24"/>
        </w:rPr>
        <w:t xml:space="preserve">stigmatized, </w:t>
      </w:r>
    </w:p>
    <w:p w14:paraId="1597701F" w14:textId="77777777" w:rsidR="00BC2054" w:rsidRPr="004C1042" w:rsidRDefault="00BC2054" w:rsidP="00BC2054">
      <w:pPr>
        <w:spacing w:after="0" w:line="240" w:lineRule="auto"/>
        <w:rPr>
          <w:rFonts w:cs="Arial"/>
          <w:szCs w:val="24"/>
        </w:rPr>
      </w:pPr>
      <w:r w:rsidRPr="004C1042">
        <w:rPr>
          <w:rFonts w:cs="Arial"/>
          <w:szCs w:val="24"/>
        </w:rPr>
        <w:t xml:space="preserve">antagonized, </w:t>
      </w:r>
    </w:p>
    <w:p w14:paraId="6DB51925" w14:textId="77777777" w:rsidR="00BC2054" w:rsidRPr="004C1042" w:rsidRDefault="00BC2054" w:rsidP="00BC2054">
      <w:pPr>
        <w:spacing w:after="0" w:line="240" w:lineRule="auto"/>
        <w:rPr>
          <w:rFonts w:cs="Arial"/>
          <w:szCs w:val="24"/>
        </w:rPr>
      </w:pPr>
      <w:r w:rsidRPr="004C1042">
        <w:rPr>
          <w:rFonts w:cs="Arial"/>
          <w:szCs w:val="24"/>
        </w:rPr>
        <w:t xml:space="preserve">inculcated, </w:t>
      </w:r>
    </w:p>
    <w:p w14:paraId="57929002" w14:textId="77777777" w:rsidR="00BC2054" w:rsidRPr="004C1042" w:rsidRDefault="00BC2054" w:rsidP="00BC2054">
      <w:pPr>
        <w:spacing w:after="0" w:line="240" w:lineRule="auto"/>
        <w:rPr>
          <w:rFonts w:cs="Arial"/>
          <w:szCs w:val="24"/>
        </w:rPr>
      </w:pPr>
      <w:r w:rsidRPr="004C1042">
        <w:rPr>
          <w:rFonts w:cs="Arial"/>
          <w:szCs w:val="24"/>
        </w:rPr>
        <w:t>invaded?</w:t>
      </w:r>
    </w:p>
    <w:p w14:paraId="2CAB8866" w14:textId="77777777" w:rsidR="00BC2054" w:rsidRPr="004C1042" w:rsidRDefault="00BC2054" w:rsidP="00BC2054">
      <w:pPr>
        <w:spacing w:after="0" w:line="240" w:lineRule="auto"/>
        <w:rPr>
          <w:rFonts w:cs="Arial"/>
          <w:szCs w:val="24"/>
        </w:rPr>
      </w:pPr>
    </w:p>
    <w:p w14:paraId="4B9C8B91" w14:textId="77777777" w:rsidR="00BC2054" w:rsidRPr="004C1042" w:rsidRDefault="00BC2054" w:rsidP="00BC2054">
      <w:pPr>
        <w:spacing w:after="0" w:line="240" w:lineRule="auto"/>
        <w:rPr>
          <w:rFonts w:cs="Arial"/>
          <w:szCs w:val="24"/>
        </w:rPr>
      </w:pPr>
      <w:r w:rsidRPr="004C1042">
        <w:rPr>
          <w:rFonts w:cs="Arial"/>
          <w:szCs w:val="24"/>
        </w:rPr>
        <w:t xml:space="preserve">Genealogy tells. </w:t>
      </w:r>
    </w:p>
    <w:p w14:paraId="4FA323B3" w14:textId="77777777" w:rsidR="00BC2054" w:rsidRPr="004C1042" w:rsidRDefault="00BC2054" w:rsidP="00BC2054">
      <w:pPr>
        <w:spacing w:after="0" w:line="240" w:lineRule="auto"/>
        <w:rPr>
          <w:rFonts w:cs="Arial"/>
          <w:szCs w:val="24"/>
        </w:rPr>
      </w:pPr>
      <w:r w:rsidRPr="004C1042">
        <w:rPr>
          <w:rFonts w:cs="Arial"/>
          <w:szCs w:val="24"/>
        </w:rPr>
        <w:t xml:space="preserve">It tells stories you want to hear. </w:t>
      </w:r>
    </w:p>
    <w:p w14:paraId="409D64B1" w14:textId="77777777" w:rsidR="00BC2054" w:rsidRPr="004C1042" w:rsidRDefault="00BC2054" w:rsidP="00BC2054">
      <w:pPr>
        <w:spacing w:after="0" w:line="240" w:lineRule="auto"/>
        <w:rPr>
          <w:rFonts w:cs="Arial"/>
          <w:szCs w:val="24"/>
        </w:rPr>
      </w:pPr>
      <w:r w:rsidRPr="004C1042">
        <w:rPr>
          <w:rFonts w:cs="Arial"/>
          <w:szCs w:val="24"/>
        </w:rPr>
        <w:t xml:space="preserve">Glorious, vain, proud moments of </w:t>
      </w:r>
    </w:p>
    <w:p w14:paraId="712CABE5" w14:textId="77777777" w:rsidR="00BC2054" w:rsidRPr="004C1042" w:rsidRDefault="00BC2054" w:rsidP="00BC2054">
      <w:pPr>
        <w:spacing w:after="0" w:line="240" w:lineRule="auto"/>
        <w:rPr>
          <w:rFonts w:cs="Arial"/>
          <w:szCs w:val="24"/>
        </w:rPr>
      </w:pPr>
      <w:r w:rsidRPr="004C1042">
        <w:rPr>
          <w:rFonts w:cs="Arial"/>
          <w:szCs w:val="24"/>
        </w:rPr>
        <w:t xml:space="preserve">anchoring us in history, </w:t>
      </w:r>
    </w:p>
    <w:p w14:paraId="59CB68F9" w14:textId="77777777" w:rsidR="00BC2054" w:rsidRPr="004C1042" w:rsidRDefault="00BC2054" w:rsidP="00BC2054">
      <w:pPr>
        <w:spacing w:after="0" w:line="240" w:lineRule="auto"/>
        <w:rPr>
          <w:rFonts w:cs="Arial"/>
          <w:szCs w:val="24"/>
        </w:rPr>
      </w:pPr>
      <w:r w:rsidRPr="004C1042">
        <w:rPr>
          <w:rFonts w:cs="Arial"/>
          <w:szCs w:val="24"/>
        </w:rPr>
        <w:t xml:space="preserve">It tells stories you don’t want to hear. </w:t>
      </w:r>
    </w:p>
    <w:p w14:paraId="6B87112A" w14:textId="77777777" w:rsidR="00BC2054" w:rsidRPr="004C1042" w:rsidRDefault="00BC2054" w:rsidP="00BC2054">
      <w:pPr>
        <w:spacing w:after="0" w:line="240" w:lineRule="auto"/>
        <w:rPr>
          <w:rFonts w:cs="Arial"/>
          <w:szCs w:val="24"/>
        </w:rPr>
      </w:pPr>
      <w:r w:rsidRPr="004C1042">
        <w:rPr>
          <w:rFonts w:cs="Arial"/>
          <w:szCs w:val="24"/>
        </w:rPr>
        <w:t>It challenges tales told by the victors,</w:t>
      </w:r>
    </w:p>
    <w:p w14:paraId="37AA6A00" w14:textId="77777777" w:rsidR="00BC2054" w:rsidRPr="004C1042" w:rsidRDefault="00BC2054" w:rsidP="00BC2054">
      <w:pPr>
        <w:spacing w:after="0" w:line="240" w:lineRule="auto"/>
        <w:rPr>
          <w:rFonts w:cs="Arial"/>
          <w:szCs w:val="24"/>
        </w:rPr>
      </w:pPr>
      <w:r w:rsidRPr="004C1042">
        <w:rPr>
          <w:rFonts w:cs="Arial"/>
          <w:szCs w:val="24"/>
        </w:rPr>
        <w:t>tales of people bought and sold by</w:t>
      </w:r>
    </w:p>
    <w:p w14:paraId="1FB151A7" w14:textId="77777777" w:rsidR="00BC2054" w:rsidRPr="004C1042" w:rsidRDefault="00BC2054" w:rsidP="00BC2054">
      <w:pPr>
        <w:spacing w:after="0" w:line="240" w:lineRule="auto"/>
        <w:rPr>
          <w:rFonts w:cs="Arial"/>
          <w:szCs w:val="24"/>
        </w:rPr>
      </w:pPr>
      <w:r w:rsidRPr="004C1042">
        <w:rPr>
          <w:rFonts w:cs="Arial"/>
          <w:szCs w:val="24"/>
        </w:rPr>
        <w:t xml:space="preserve">people who let their consciouses go, </w:t>
      </w:r>
    </w:p>
    <w:p w14:paraId="70962A5D" w14:textId="77777777" w:rsidR="00BC2054" w:rsidRPr="004C1042" w:rsidRDefault="00BC2054" w:rsidP="00BC2054">
      <w:pPr>
        <w:spacing w:after="0" w:line="240" w:lineRule="auto"/>
        <w:rPr>
          <w:rFonts w:cs="Arial"/>
          <w:szCs w:val="24"/>
        </w:rPr>
      </w:pPr>
      <w:r w:rsidRPr="004C1042">
        <w:rPr>
          <w:rFonts w:cs="Arial"/>
          <w:szCs w:val="24"/>
        </w:rPr>
        <w:t xml:space="preserve">people in our family histories devoid of </w:t>
      </w:r>
    </w:p>
    <w:p w14:paraId="4BE4228D" w14:textId="77777777" w:rsidR="00BC2054" w:rsidRPr="004C1042" w:rsidRDefault="00BC2054" w:rsidP="00BC2054">
      <w:pPr>
        <w:spacing w:after="0" w:line="240" w:lineRule="auto"/>
        <w:rPr>
          <w:rFonts w:cs="Arial"/>
          <w:szCs w:val="24"/>
        </w:rPr>
      </w:pPr>
      <w:r w:rsidRPr="004C1042">
        <w:rPr>
          <w:rFonts w:cs="Arial"/>
          <w:szCs w:val="24"/>
        </w:rPr>
        <w:t xml:space="preserve">all rational reason, </w:t>
      </w:r>
    </w:p>
    <w:p w14:paraId="0A0E634D" w14:textId="77777777" w:rsidR="00BC2054" w:rsidRPr="004C1042" w:rsidRDefault="00BC2054" w:rsidP="00BC2054">
      <w:pPr>
        <w:spacing w:after="0" w:line="240" w:lineRule="auto"/>
        <w:rPr>
          <w:rFonts w:cs="Arial"/>
          <w:szCs w:val="24"/>
        </w:rPr>
      </w:pPr>
      <w:r w:rsidRPr="004C1042">
        <w:rPr>
          <w:rFonts w:cs="Arial"/>
          <w:szCs w:val="24"/>
        </w:rPr>
        <w:t>people harming, hurting, and being harmed.</w:t>
      </w:r>
    </w:p>
    <w:p w14:paraId="65043FE9" w14:textId="77777777" w:rsidR="00BC2054" w:rsidRPr="004C1042" w:rsidRDefault="00BC2054" w:rsidP="00BC2054">
      <w:pPr>
        <w:spacing w:after="0" w:line="240" w:lineRule="auto"/>
        <w:rPr>
          <w:rFonts w:cs="Arial"/>
          <w:szCs w:val="24"/>
        </w:rPr>
      </w:pPr>
    </w:p>
    <w:p w14:paraId="6F14BDA9" w14:textId="77777777" w:rsidR="00BC2054" w:rsidRPr="004C1042" w:rsidRDefault="00BC2054" w:rsidP="00BC2054">
      <w:pPr>
        <w:spacing w:after="0" w:line="240" w:lineRule="auto"/>
        <w:rPr>
          <w:rFonts w:cs="Arial"/>
          <w:szCs w:val="24"/>
        </w:rPr>
      </w:pPr>
      <w:r w:rsidRPr="004C1042">
        <w:rPr>
          <w:rFonts w:cs="Arial"/>
          <w:szCs w:val="24"/>
        </w:rPr>
        <w:t>In the body, genealogy tells of</w:t>
      </w:r>
    </w:p>
    <w:p w14:paraId="09BCEB71" w14:textId="77777777" w:rsidR="00BC2054" w:rsidRPr="004C1042" w:rsidRDefault="00BC2054" w:rsidP="00BC2054">
      <w:pPr>
        <w:spacing w:after="0" w:line="240" w:lineRule="auto"/>
        <w:rPr>
          <w:rFonts w:cs="Arial"/>
          <w:szCs w:val="24"/>
        </w:rPr>
      </w:pPr>
      <w:r w:rsidRPr="004C1042">
        <w:rPr>
          <w:rFonts w:cs="Arial"/>
          <w:szCs w:val="24"/>
        </w:rPr>
        <w:t xml:space="preserve">the emotional labor of a woman’s labor, </w:t>
      </w:r>
    </w:p>
    <w:p w14:paraId="2FA10905" w14:textId="77777777" w:rsidR="00BC2054" w:rsidRPr="004C1042" w:rsidRDefault="00BC2054" w:rsidP="00BC2054">
      <w:pPr>
        <w:spacing w:after="0" w:line="240" w:lineRule="auto"/>
        <w:rPr>
          <w:rFonts w:cs="Arial"/>
          <w:szCs w:val="24"/>
        </w:rPr>
      </w:pPr>
      <w:r w:rsidRPr="004C1042">
        <w:rPr>
          <w:rFonts w:cs="Arial"/>
          <w:szCs w:val="24"/>
        </w:rPr>
        <w:t xml:space="preserve">and the death and health and sickness </w:t>
      </w:r>
    </w:p>
    <w:p w14:paraId="4FE3DCC8" w14:textId="77777777" w:rsidR="00BC2054" w:rsidRPr="004C1042" w:rsidRDefault="00BC2054" w:rsidP="00BC2054">
      <w:pPr>
        <w:spacing w:after="0" w:line="240" w:lineRule="auto"/>
        <w:rPr>
          <w:rFonts w:cs="Arial"/>
          <w:szCs w:val="24"/>
        </w:rPr>
      </w:pPr>
      <w:r w:rsidRPr="004C1042">
        <w:rPr>
          <w:rFonts w:cs="Arial"/>
          <w:szCs w:val="24"/>
        </w:rPr>
        <w:t xml:space="preserve">embodied in our families. </w:t>
      </w:r>
    </w:p>
    <w:p w14:paraId="7399C7EF" w14:textId="77777777" w:rsidR="00BC2054" w:rsidRPr="004C1042" w:rsidRDefault="00BC2054" w:rsidP="00BC2054">
      <w:pPr>
        <w:spacing w:after="0" w:line="240" w:lineRule="auto"/>
        <w:rPr>
          <w:rFonts w:cs="Arial"/>
          <w:szCs w:val="24"/>
        </w:rPr>
      </w:pPr>
    </w:p>
    <w:p w14:paraId="6D980F83" w14:textId="77777777" w:rsidR="00BC2054" w:rsidRPr="004C1042" w:rsidRDefault="00BC2054" w:rsidP="00BC2054">
      <w:pPr>
        <w:spacing w:after="0" w:line="240" w:lineRule="auto"/>
        <w:rPr>
          <w:rFonts w:cs="Arial"/>
          <w:szCs w:val="24"/>
        </w:rPr>
      </w:pPr>
      <w:r w:rsidRPr="004C1042">
        <w:rPr>
          <w:rFonts w:cs="Arial"/>
          <w:szCs w:val="24"/>
        </w:rPr>
        <w:t>I heard their stories and their losses</w:t>
      </w:r>
    </w:p>
    <w:p w14:paraId="7D97FFCF" w14:textId="77777777" w:rsidR="00BC2054" w:rsidRPr="004C1042" w:rsidRDefault="00BC2054" w:rsidP="00BC2054">
      <w:pPr>
        <w:spacing w:after="0" w:line="240" w:lineRule="auto"/>
        <w:rPr>
          <w:rFonts w:cs="Arial"/>
          <w:szCs w:val="24"/>
        </w:rPr>
      </w:pPr>
      <w:r w:rsidRPr="004C1042">
        <w:rPr>
          <w:rFonts w:cs="Arial"/>
          <w:szCs w:val="24"/>
        </w:rPr>
        <w:t xml:space="preserve">while I lay across </w:t>
      </w:r>
    </w:p>
    <w:p w14:paraId="4B3DA5B4" w14:textId="77777777" w:rsidR="00BC2054" w:rsidRPr="004C1042" w:rsidRDefault="00BC2054" w:rsidP="00BC2054">
      <w:pPr>
        <w:spacing w:after="0" w:line="240" w:lineRule="auto"/>
        <w:rPr>
          <w:rFonts w:cs="Arial"/>
          <w:szCs w:val="24"/>
        </w:rPr>
      </w:pPr>
      <w:r w:rsidRPr="004C1042">
        <w:rPr>
          <w:rFonts w:cs="Arial"/>
          <w:szCs w:val="24"/>
        </w:rPr>
        <w:t xml:space="preserve">the hospital bed of my father </w:t>
      </w:r>
    </w:p>
    <w:p w14:paraId="170ACDD3" w14:textId="77777777" w:rsidR="00BC2054" w:rsidRPr="004C1042" w:rsidRDefault="00BC2054" w:rsidP="00BC2054">
      <w:pPr>
        <w:spacing w:after="0" w:line="240" w:lineRule="auto"/>
        <w:rPr>
          <w:rFonts w:cs="Arial"/>
          <w:szCs w:val="24"/>
        </w:rPr>
      </w:pPr>
      <w:r w:rsidRPr="004C1042">
        <w:rPr>
          <w:rFonts w:cs="Arial"/>
          <w:szCs w:val="24"/>
        </w:rPr>
        <w:t xml:space="preserve">while I raged at preventable death, </w:t>
      </w:r>
    </w:p>
    <w:p w14:paraId="1486CC8E" w14:textId="77777777" w:rsidR="00BC2054" w:rsidRPr="004C1042" w:rsidRDefault="00BC2054" w:rsidP="00BC2054">
      <w:pPr>
        <w:spacing w:after="0" w:line="240" w:lineRule="auto"/>
        <w:rPr>
          <w:rFonts w:cs="Arial"/>
          <w:szCs w:val="24"/>
        </w:rPr>
      </w:pPr>
      <w:r w:rsidRPr="004C1042">
        <w:rPr>
          <w:rFonts w:cs="Arial"/>
          <w:szCs w:val="24"/>
        </w:rPr>
        <w:t xml:space="preserve">systematic death, </w:t>
      </w:r>
    </w:p>
    <w:p w14:paraId="12622035" w14:textId="77777777" w:rsidR="00BC2054" w:rsidRPr="004C1042" w:rsidRDefault="00BC2054" w:rsidP="00BC2054">
      <w:pPr>
        <w:spacing w:after="0" w:line="240" w:lineRule="auto"/>
        <w:rPr>
          <w:rFonts w:cs="Arial"/>
          <w:szCs w:val="24"/>
        </w:rPr>
      </w:pPr>
      <w:r w:rsidRPr="004C1042">
        <w:rPr>
          <w:rFonts w:cs="Arial"/>
          <w:szCs w:val="24"/>
        </w:rPr>
        <w:t xml:space="preserve">avoidable death. </w:t>
      </w:r>
    </w:p>
    <w:p w14:paraId="597A42B5" w14:textId="77777777" w:rsidR="00BC2054" w:rsidRPr="004C1042" w:rsidRDefault="00BC2054" w:rsidP="00BC2054">
      <w:pPr>
        <w:spacing w:after="0" w:line="240" w:lineRule="auto"/>
        <w:rPr>
          <w:rFonts w:cs="Arial"/>
          <w:szCs w:val="24"/>
        </w:rPr>
      </w:pPr>
    </w:p>
    <w:p w14:paraId="425DEF19" w14:textId="77777777" w:rsidR="00BC2054" w:rsidRPr="004C1042" w:rsidRDefault="00BC2054" w:rsidP="00BC2054">
      <w:pPr>
        <w:spacing w:after="0" w:line="240" w:lineRule="auto"/>
        <w:rPr>
          <w:rFonts w:cs="Arial"/>
          <w:szCs w:val="24"/>
        </w:rPr>
      </w:pPr>
      <w:r w:rsidRPr="004C1042">
        <w:rPr>
          <w:rFonts w:cs="Arial"/>
          <w:szCs w:val="24"/>
        </w:rPr>
        <w:t xml:space="preserve">The women raged too and cried, </w:t>
      </w:r>
    </w:p>
    <w:p w14:paraId="28AA67A7" w14:textId="77777777" w:rsidR="00BC2054" w:rsidRPr="004C1042" w:rsidRDefault="00BC2054" w:rsidP="00BC2054">
      <w:pPr>
        <w:spacing w:after="0" w:line="240" w:lineRule="auto"/>
        <w:rPr>
          <w:rFonts w:cs="Arial"/>
          <w:szCs w:val="24"/>
        </w:rPr>
      </w:pPr>
      <w:r w:rsidRPr="004C1042">
        <w:rPr>
          <w:rFonts w:cs="Arial"/>
          <w:szCs w:val="24"/>
        </w:rPr>
        <w:t xml:space="preserve">stunned and exhausted from </w:t>
      </w:r>
    </w:p>
    <w:p w14:paraId="2C5735C8" w14:textId="77777777" w:rsidR="00BC2054" w:rsidRPr="004C1042" w:rsidRDefault="00BC2054" w:rsidP="00BC2054">
      <w:pPr>
        <w:spacing w:after="0" w:line="240" w:lineRule="auto"/>
        <w:rPr>
          <w:rFonts w:cs="Arial"/>
          <w:szCs w:val="24"/>
        </w:rPr>
      </w:pPr>
      <w:r w:rsidRPr="004C1042">
        <w:rPr>
          <w:rFonts w:cs="Arial"/>
          <w:szCs w:val="24"/>
        </w:rPr>
        <w:t xml:space="preserve">the illnesses and deaths of </w:t>
      </w:r>
    </w:p>
    <w:p w14:paraId="28B6F168" w14:textId="77777777" w:rsidR="00BC2054" w:rsidRPr="004C1042" w:rsidRDefault="00BC2054" w:rsidP="00BC2054">
      <w:pPr>
        <w:spacing w:after="0" w:line="240" w:lineRule="auto"/>
        <w:rPr>
          <w:rFonts w:cs="Arial"/>
          <w:szCs w:val="24"/>
        </w:rPr>
      </w:pPr>
      <w:r w:rsidRPr="004C1042">
        <w:rPr>
          <w:rFonts w:cs="Arial"/>
          <w:szCs w:val="24"/>
        </w:rPr>
        <w:t xml:space="preserve">mothers, </w:t>
      </w:r>
    </w:p>
    <w:p w14:paraId="0D57DBA8" w14:textId="77777777" w:rsidR="00BC2054" w:rsidRPr="004C1042" w:rsidRDefault="00BC2054" w:rsidP="00BC2054">
      <w:pPr>
        <w:spacing w:after="0" w:line="240" w:lineRule="auto"/>
        <w:rPr>
          <w:rFonts w:cs="Arial"/>
          <w:szCs w:val="24"/>
        </w:rPr>
      </w:pPr>
      <w:r w:rsidRPr="004C1042">
        <w:rPr>
          <w:rFonts w:cs="Arial"/>
          <w:szCs w:val="24"/>
        </w:rPr>
        <w:t xml:space="preserve">fathers, </w:t>
      </w:r>
    </w:p>
    <w:p w14:paraId="7E926A55" w14:textId="77777777" w:rsidR="00BC2054" w:rsidRPr="004C1042" w:rsidRDefault="00BC2054" w:rsidP="00BC2054">
      <w:pPr>
        <w:spacing w:after="0" w:line="240" w:lineRule="auto"/>
        <w:rPr>
          <w:rFonts w:cs="Arial"/>
          <w:szCs w:val="24"/>
        </w:rPr>
      </w:pPr>
      <w:r w:rsidRPr="004C1042">
        <w:rPr>
          <w:rFonts w:cs="Arial"/>
          <w:szCs w:val="24"/>
        </w:rPr>
        <w:t xml:space="preserve">sisters, </w:t>
      </w:r>
    </w:p>
    <w:p w14:paraId="520648D2" w14:textId="77777777" w:rsidR="00BC2054" w:rsidRPr="004C1042" w:rsidRDefault="00BC2054" w:rsidP="00BC2054">
      <w:pPr>
        <w:spacing w:after="0" w:line="240" w:lineRule="auto"/>
        <w:rPr>
          <w:rFonts w:cs="Arial"/>
          <w:szCs w:val="24"/>
        </w:rPr>
      </w:pPr>
      <w:r w:rsidRPr="004C1042">
        <w:rPr>
          <w:rFonts w:cs="Arial"/>
          <w:szCs w:val="24"/>
        </w:rPr>
        <w:t xml:space="preserve">brothers, </w:t>
      </w:r>
    </w:p>
    <w:p w14:paraId="56248990" w14:textId="77777777" w:rsidR="00BC2054" w:rsidRPr="004C1042" w:rsidRDefault="00BC2054" w:rsidP="00BC2054">
      <w:pPr>
        <w:spacing w:after="0" w:line="240" w:lineRule="auto"/>
        <w:rPr>
          <w:rFonts w:cs="Arial"/>
          <w:szCs w:val="24"/>
        </w:rPr>
      </w:pPr>
      <w:r w:rsidRPr="004C1042">
        <w:rPr>
          <w:rFonts w:cs="Arial"/>
          <w:szCs w:val="24"/>
        </w:rPr>
        <w:t xml:space="preserve">uncles, </w:t>
      </w:r>
    </w:p>
    <w:p w14:paraId="52BE3B05" w14:textId="77777777" w:rsidR="00BC2054" w:rsidRPr="004C1042" w:rsidRDefault="00BC2054" w:rsidP="00BC2054">
      <w:pPr>
        <w:spacing w:after="0" w:line="240" w:lineRule="auto"/>
        <w:rPr>
          <w:rFonts w:cs="Arial"/>
          <w:szCs w:val="24"/>
        </w:rPr>
      </w:pPr>
      <w:r w:rsidRPr="004C1042">
        <w:rPr>
          <w:rFonts w:cs="Arial"/>
          <w:szCs w:val="24"/>
        </w:rPr>
        <w:t>aunts,</w:t>
      </w:r>
    </w:p>
    <w:p w14:paraId="66EB0342" w14:textId="77777777" w:rsidR="00BC2054" w:rsidRPr="004C1042" w:rsidRDefault="00BC2054" w:rsidP="00BC2054">
      <w:pPr>
        <w:spacing w:after="0" w:line="240" w:lineRule="auto"/>
        <w:rPr>
          <w:rFonts w:cs="Arial"/>
          <w:szCs w:val="24"/>
        </w:rPr>
      </w:pPr>
      <w:r w:rsidRPr="004C1042">
        <w:rPr>
          <w:rFonts w:cs="Arial"/>
          <w:szCs w:val="24"/>
        </w:rPr>
        <w:t>husbands,</w:t>
      </w:r>
    </w:p>
    <w:p w14:paraId="60E8F003" w14:textId="77777777" w:rsidR="00BC2054" w:rsidRPr="004C1042" w:rsidRDefault="00BC2054" w:rsidP="00BC2054">
      <w:pPr>
        <w:spacing w:after="0" w:line="240" w:lineRule="auto"/>
        <w:rPr>
          <w:rFonts w:cs="Arial"/>
          <w:szCs w:val="24"/>
        </w:rPr>
      </w:pPr>
      <w:r w:rsidRPr="004C1042">
        <w:rPr>
          <w:rFonts w:cs="Arial"/>
          <w:szCs w:val="24"/>
        </w:rPr>
        <w:t>wives,</w:t>
      </w:r>
    </w:p>
    <w:p w14:paraId="634C98A7" w14:textId="77777777" w:rsidR="00BC2054" w:rsidRPr="004C1042" w:rsidRDefault="00BC2054" w:rsidP="00BC2054">
      <w:pPr>
        <w:spacing w:after="0" w:line="240" w:lineRule="auto"/>
        <w:rPr>
          <w:rFonts w:cs="Arial"/>
          <w:szCs w:val="24"/>
        </w:rPr>
      </w:pPr>
      <w:r w:rsidRPr="004C1042">
        <w:rPr>
          <w:rFonts w:cs="Arial"/>
          <w:szCs w:val="24"/>
        </w:rPr>
        <w:t>partners,</w:t>
      </w:r>
    </w:p>
    <w:p w14:paraId="0C891849" w14:textId="77777777" w:rsidR="00BC2054" w:rsidRPr="004C1042" w:rsidRDefault="00BC2054" w:rsidP="00BC2054">
      <w:pPr>
        <w:spacing w:after="0" w:line="240" w:lineRule="auto"/>
        <w:rPr>
          <w:rFonts w:cs="Arial"/>
          <w:szCs w:val="24"/>
        </w:rPr>
      </w:pPr>
      <w:r w:rsidRPr="004C1042">
        <w:rPr>
          <w:rFonts w:cs="Arial"/>
          <w:szCs w:val="24"/>
        </w:rPr>
        <w:t>children.</w:t>
      </w:r>
    </w:p>
    <w:p w14:paraId="0275654A" w14:textId="77777777" w:rsidR="00BC2054" w:rsidRPr="004C1042" w:rsidRDefault="00BC2054" w:rsidP="00BC2054">
      <w:pPr>
        <w:spacing w:after="0" w:line="240" w:lineRule="auto"/>
        <w:rPr>
          <w:rFonts w:cs="Arial"/>
          <w:szCs w:val="24"/>
        </w:rPr>
      </w:pPr>
    </w:p>
    <w:p w14:paraId="6CBB8745" w14:textId="77777777" w:rsidR="00BC2054" w:rsidRPr="004C1042" w:rsidRDefault="00BC2054" w:rsidP="00BC2054">
      <w:pPr>
        <w:spacing w:after="0" w:line="240" w:lineRule="auto"/>
        <w:rPr>
          <w:rFonts w:cs="Arial"/>
          <w:szCs w:val="24"/>
        </w:rPr>
      </w:pPr>
      <w:r w:rsidRPr="004C1042">
        <w:rPr>
          <w:rFonts w:cs="Arial"/>
          <w:szCs w:val="24"/>
        </w:rPr>
        <w:lastRenderedPageBreak/>
        <w:t xml:space="preserve">Decades and centuries of </w:t>
      </w:r>
    </w:p>
    <w:p w14:paraId="71415588" w14:textId="77777777" w:rsidR="00BC2054" w:rsidRPr="004C1042" w:rsidRDefault="00BC2054" w:rsidP="00BC2054">
      <w:pPr>
        <w:spacing w:after="0" w:line="240" w:lineRule="auto"/>
        <w:rPr>
          <w:rFonts w:cs="Arial"/>
          <w:szCs w:val="24"/>
        </w:rPr>
      </w:pPr>
      <w:r w:rsidRPr="004C1042">
        <w:rPr>
          <w:rFonts w:cs="Arial"/>
          <w:szCs w:val="24"/>
        </w:rPr>
        <w:t xml:space="preserve">preventable, </w:t>
      </w:r>
    </w:p>
    <w:p w14:paraId="727B2FB9" w14:textId="77777777" w:rsidR="00BC2054" w:rsidRPr="004C1042" w:rsidRDefault="00BC2054" w:rsidP="00BC2054">
      <w:pPr>
        <w:spacing w:after="0" w:line="240" w:lineRule="auto"/>
        <w:rPr>
          <w:rFonts w:cs="Arial"/>
          <w:szCs w:val="24"/>
        </w:rPr>
      </w:pPr>
      <w:r w:rsidRPr="004C1042">
        <w:rPr>
          <w:rFonts w:cs="Arial"/>
          <w:szCs w:val="24"/>
        </w:rPr>
        <w:t xml:space="preserve">avoidable </w:t>
      </w:r>
    </w:p>
    <w:p w14:paraId="7AE2CD01" w14:textId="77777777" w:rsidR="00BC2054" w:rsidRPr="004C1042" w:rsidRDefault="00BC2054" w:rsidP="00BC2054">
      <w:pPr>
        <w:spacing w:after="0" w:line="240" w:lineRule="auto"/>
        <w:rPr>
          <w:rFonts w:cs="Arial"/>
          <w:szCs w:val="24"/>
        </w:rPr>
      </w:pPr>
      <w:r w:rsidRPr="004C1042">
        <w:rPr>
          <w:rFonts w:cs="Arial"/>
          <w:szCs w:val="24"/>
        </w:rPr>
        <w:t xml:space="preserve">unknowning. </w:t>
      </w:r>
    </w:p>
    <w:p w14:paraId="69DFA8DB" w14:textId="77777777" w:rsidR="00BC2054" w:rsidRPr="004C1042" w:rsidRDefault="00BC2054" w:rsidP="00BC2054">
      <w:pPr>
        <w:spacing w:after="0" w:line="240" w:lineRule="auto"/>
        <w:rPr>
          <w:rFonts w:cs="Arial"/>
          <w:szCs w:val="24"/>
        </w:rPr>
      </w:pPr>
    </w:p>
    <w:p w14:paraId="445DBF63" w14:textId="77777777" w:rsidR="00BC2054" w:rsidRPr="004C1042" w:rsidRDefault="00BC2054" w:rsidP="00BC2054">
      <w:pPr>
        <w:spacing w:after="0" w:line="240" w:lineRule="auto"/>
        <w:rPr>
          <w:rFonts w:cs="Arial"/>
          <w:szCs w:val="24"/>
        </w:rPr>
      </w:pPr>
      <w:r w:rsidRPr="004C1042">
        <w:rPr>
          <w:rFonts w:cs="Arial"/>
          <w:szCs w:val="24"/>
        </w:rPr>
        <w:t>Unknowing in cultures telling them</w:t>
      </w:r>
    </w:p>
    <w:p w14:paraId="5B840D08" w14:textId="77777777" w:rsidR="00BC2054" w:rsidRPr="004C1042" w:rsidRDefault="00BC2054" w:rsidP="00BC2054">
      <w:pPr>
        <w:spacing w:after="0" w:line="240" w:lineRule="auto"/>
        <w:rPr>
          <w:rFonts w:cs="Arial"/>
          <w:szCs w:val="24"/>
        </w:rPr>
      </w:pPr>
      <w:r w:rsidRPr="004C1042">
        <w:rPr>
          <w:rFonts w:cs="Arial"/>
          <w:szCs w:val="24"/>
        </w:rPr>
        <w:t>it was our fault for illness,</w:t>
      </w:r>
    </w:p>
    <w:p w14:paraId="73F4E477" w14:textId="77777777" w:rsidR="00BC2054" w:rsidRPr="004C1042" w:rsidRDefault="00BC2054" w:rsidP="00BC2054">
      <w:pPr>
        <w:spacing w:after="0" w:line="240" w:lineRule="auto"/>
        <w:rPr>
          <w:rFonts w:cs="Arial"/>
          <w:szCs w:val="24"/>
        </w:rPr>
      </w:pPr>
      <w:r w:rsidRPr="004C1042">
        <w:rPr>
          <w:rFonts w:cs="Arial"/>
          <w:szCs w:val="24"/>
        </w:rPr>
        <w:t xml:space="preserve">hidden in the women’s desire to be seen alive </w:t>
      </w:r>
    </w:p>
    <w:p w14:paraId="14ED8D0A" w14:textId="77777777" w:rsidR="00BC2054" w:rsidRPr="004C1042" w:rsidRDefault="00BC2054" w:rsidP="00BC2054">
      <w:pPr>
        <w:spacing w:after="0" w:line="240" w:lineRule="auto"/>
        <w:rPr>
          <w:rFonts w:cs="Arial"/>
          <w:szCs w:val="24"/>
        </w:rPr>
      </w:pPr>
      <w:r w:rsidRPr="004C1042">
        <w:rPr>
          <w:rFonts w:cs="Arial"/>
          <w:szCs w:val="24"/>
        </w:rPr>
        <w:t xml:space="preserve">before they go missing in the margins, </w:t>
      </w:r>
    </w:p>
    <w:p w14:paraId="78486A02" w14:textId="77777777" w:rsidR="00BC2054" w:rsidRPr="004C1042" w:rsidRDefault="00BC2054" w:rsidP="00BC2054">
      <w:pPr>
        <w:spacing w:after="0" w:line="240" w:lineRule="auto"/>
        <w:rPr>
          <w:rFonts w:cs="Arial"/>
          <w:szCs w:val="24"/>
        </w:rPr>
      </w:pPr>
      <w:r w:rsidRPr="004C1042">
        <w:rPr>
          <w:rFonts w:cs="Arial"/>
          <w:szCs w:val="24"/>
        </w:rPr>
        <w:t>knowing something’s</w:t>
      </w:r>
      <w:r>
        <w:rPr>
          <w:rFonts w:cs="Arial"/>
          <w:szCs w:val="24"/>
        </w:rPr>
        <w:t>...</w:t>
      </w:r>
      <w:r w:rsidRPr="004C1042">
        <w:rPr>
          <w:rFonts w:cs="Arial"/>
          <w:szCs w:val="24"/>
        </w:rPr>
        <w:t>not</w:t>
      </w:r>
      <w:r>
        <w:rPr>
          <w:rFonts w:cs="Arial"/>
          <w:szCs w:val="24"/>
        </w:rPr>
        <w:t>…</w:t>
      </w:r>
      <w:r w:rsidRPr="004C1042">
        <w:rPr>
          <w:rFonts w:cs="Arial"/>
          <w:szCs w:val="24"/>
        </w:rPr>
        <w:t>right</w:t>
      </w:r>
      <w:r>
        <w:rPr>
          <w:rFonts w:cs="Arial"/>
          <w:szCs w:val="24"/>
        </w:rPr>
        <w:t>!</w:t>
      </w:r>
    </w:p>
    <w:p w14:paraId="0D17C378" w14:textId="77777777" w:rsidR="00BC2054" w:rsidRPr="004C1042" w:rsidRDefault="00BC2054" w:rsidP="00BC2054">
      <w:pPr>
        <w:spacing w:after="0" w:line="240" w:lineRule="auto"/>
        <w:rPr>
          <w:rFonts w:cs="Arial"/>
          <w:szCs w:val="24"/>
        </w:rPr>
      </w:pPr>
    </w:p>
    <w:p w14:paraId="63B28611" w14:textId="77777777" w:rsidR="00BC2054" w:rsidRPr="004C1042" w:rsidRDefault="00BC2054" w:rsidP="00BC2054">
      <w:pPr>
        <w:spacing w:after="0" w:line="240" w:lineRule="auto"/>
        <w:rPr>
          <w:rFonts w:cs="Arial"/>
          <w:szCs w:val="24"/>
        </w:rPr>
      </w:pPr>
      <w:r w:rsidRPr="004C1042">
        <w:rPr>
          <w:rFonts w:cs="Arial"/>
          <w:szCs w:val="24"/>
        </w:rPr>
        <w:t xml:space="preserve">It’s not right that we live and die </w:t>
      </w:r>
    </w:p>
    <w:p w14:paraId="52CE3236" w14:textId="77777777" w:rsidR="00BC2054" w:rsidRPr="004C1042" w:rsidRDefault="00BC2054" w:rsidP="00BC2054">
      <w:pPr>
        <w:spacing w:after="0" w:line="240" w:lineRule="auto"/>
        <w:rPr>
          <w:rFonts w:cs="Arial"/>
          <w:szCs w:val="24"/>
        </w:rPr>
      </w:pPr>
      <w:r w:rsidRPr="004C1042">
        <w:rPr>
          <w:rFonts w:cs="Arial"/>
          <w:szCs w:val="24"/>
        </w:rPr>
        <w:t xml:space="preserve">like we do in such wealthy places, </w:t>
      </w:r>
    </w:p>
    <w:p w14:paraId="4B691B02" w14:textId="77777777" w:rsidR="00BC2054" w:rsidRPr="004C1042" w:rsidRDefault="00BC2054" w:rsidP="00BC2054">
      <w:pPr>
        <w:spacing w:after="0" w:line="240" w:lineRule="auto"/>
        <w:rPr>
          <w:rFonts w:cs="Arial"/>
          <w:szCs w:val="24"/>
        </w:rPr>
      </w:pPr>
      <w:r w:rsidRPr="004C1042">
        <w:rPr>
          <w:rFonts w:cs="Arial"/>
          <w:szCs w:val="24"/>
        </w:rPr>
        <w:t xml:space="preserve">that we scrape and bow just to </w:t>
      </w:r>
    </w:p>
    <w:p w14:paraId="1A3DE9F4" w14:textId="77777777" w:rsidR="00BC2054" w:rsidRPr="004C1042" w:rsidRDefault="00BC2054" w:rsidP="00BC2054">
      <w:pPr>
        <w:spacing w:after="0" w:line="240" w:lineRule="auto"/>
        <w:rPr>
          <w:rFonts w:cs="Arial"/>
          <w:szCs w:val="24"/>
        </w:rPr>
      </w:pPr>
      <w:r w:rsidRPr="004C1042">
        <w:rPr>
          <w:rFonts w:cs="Arial"/>
          <w:szCs w:val="24"/>
        </w:rPr>
        <w:t xml:space="preserve">buy our right to age. </w:t>
      </w:r>
    </w:p>
    <w:p w14:paraId="54450164" w14:textId="77777777" w:rsidR="00BC2054" w:rsidRDefault="00BC2054" w:rsidP="00BC2054">
      <w:pPr>
        <w:spacing w:after="0" w:line="240" w:lineRule="auto"/>
        <w:rPr>
          <w:rFonts w:cs="Arial"/>
          <w:szCs w:val="24"/>
        </w:rPr>
      </w:pPr>
      <w:r w:rsidRPr="004C1042">
        <w:rPr>
          <w:rFonts w:cs="Arial"/>
          <w:szCs w:val="24"/>
        </w:rPr>
        <w:t>That some think</w:t>
      </w:r>
      <w:r>
        <w:rPr>
          <w:rFonts w:cs="Arial"/>
          <w:szCs w:val="24"/>
        </w:rPr>
        <w:t xml:space="preserve"> health and aging </w:t>
      </w:r>
    </w:p>
    <w:p w14:paraId="76534BAA" w14:textId="77777777" w:rsidR="00BC2054" w:rsidRPr="004C1042" w:rsidRDefault="00BC2054" w:rsidP="00BC2054">
      <w:pPr>
        <w:spacing w:after="0" w:line="240" w:lineRule="auto"/>
        <w:rPr>
          <w:rFonts w:cs="Arial"/>
          <w:szCs w:val="24"/>
        </w:rPr>
      </w:pPr>
      <w:r>
        <w:rPr>
          <w:rFonts w:cs="Arial"/>
          <w:szCs w:val="24"/>
        </w:rPr>
        <w:t xml:space="preserve">are </w:t>
      </w:r>
      <w:r w:rsidRPr="004C1042">
        <w:rPr>
          <w:rFonts w:cs="Arial"/>
          <w:szCs w:val="24"/>
        </w:rPr>
        <w:t>not a right.</w:t>
      </w:r>
    </w:p>
    <w:p w14:paraId="748AC000" w14:textId="77777777" w:rsidR="00BC2054" w:rsidRPr="004C1042" w:rsidRDefault="00BC2054" w:rsidP="00BC2054">
      <w:pPr>
        <w:spacing w:after="0" w:line="240" w:lineRule="auto"/>
        <w:rPr>
          <w:rFonts w:cs="Arial"/>
          <w:szCs w:val="24"/>
        </w:rPr>
      </w:pPr>
    </w:p>
    <w:p w14:paraId="09F4BAF6" w14:textId="77777777" w:rsidR="00BC2054" w:rsidRDefault="00BC2054" w:rsidP="00BC2054">
      <w:pPr>
        <w:spacing w:after="0" w:line="240" w:lineRule="auto"/>
        <w:rPr>
          <w:rFonts w:cs="Arial"/>
          <w:szCs w:val="24"/>
        </w:rPr>
      </w:pPr>
      <w:r w:rsidRPr="004C1042">
        <w:rPr>
          <w:rFonts w:cs="Arial"/>
          <w:szCs w:val="24"/>
        </w:rPr>
        <w:t xml:space="preserve">Instead, they train little girls, </w:t>
      </w:r>
    </w:p>
    <w:p w14:paraId="0CB525B2" w14:textId="77777777" w:rsidR="00BC2054" w:rsidRPr="004C1042" w:rsidRDefault="00BC2054" w:rsidP="00BC2054">
      <w:pPr>
        <w:spacing w:after="0" w:line="240" w:lineRule="auto"/>
        <w:rPr>
          <w:rFonts w:cs="Arial"/>
          <w:szCs w:val="24"/>
        </w:rPr>
      </w:pPr>
      <w:r>
        <w:rPr>
          <w:rFonts w:cs="Arial"/>
          <w:szCs w:val="24"/>
        </w:rPr>
        <w:t>telling them,</w:t>
      </w:r>
    </w:p>
    <w:p w14:paraId="1C73C53B" w14:textId="77777777" w:rsidR="00BC2054" w:rsidRPr="004C1042" w:rsidRDefault="00BC2054" w:rsidP="00BC2054">
      <w:pPr>
        <w:spacing w:after="0" w:line="240" w:lineRule="auto"/>
        <w:rPr>
          <w:rFonts w:cs="Arial"/>
          <w:szCs w:val="24"/>
        </w:rPr>
      </w:pPr>
      <w:r>
        <w:rPr>
          <w:rFonts w:cs="Arial"/>
          <w:szCs w:val="24"/>
        </w:rPr>
        <w:t>“D</w:t>
      </w:r>
      <w:r w:rsidRPr="004C1042">
        <w:rPr>
          <w:rFonts w:cs="Arial"/>
          <w:szCs w:val="24"/>
        </w:rPr>
        <w:t xml:space="preserve">on’t say a word, </w:t>
      </w:r>
    </w:p>
    <w:p w14:paraId="20621851" w14:textId="77777777" w:rsidR="00BC2054" w:rsidRDefault="00BC2054" w:rsidP="00BC2054">
      <w:pPr>
        <w:spacing w:after="0" w:line="240" w:lineRule="auto"/>
        <w:rPr>
          <w:rFonts w:cs="Arial"/>
          <w:szCs w:val="24"/>
        </w:rPr>
      </w:pPr>
      <w:r w:rsidRPr="004C1042">
        <w:rPr>
          <w:rFonts w:cs="Arial"/>
          <w:szCs w:val="24"/>
        </w:rPr>
        <w:t xml:space="preserve">you see what they did to </w:t>
      </w:r>
    </w:p>
    <w:p w14:paraId="6E4B9186" w14:textId="77777777" w:rsidR="00BC2054" w:rsidRPr="004C1042" w:rsidRDefault="00BC2054" w:rsidP="00BC2054">
      <w:pPr>
        <w:spacing w:after="0" w:line="240" w:lineRule="auto"/>
        <w:rPr>
          <w:rFonts w:cs="Arial"/>
          <w:szCs w:val="24"/>
        </w:rPr>
      </w:pPr>
      <w:r w:rsidRPr="004C1042">
        <w:rPr>
          <w:rFonts w:cs="Arial"/>
          <w:szCs w:val="24"/>
        </w:rPr>
        <w:t>the mockingbird</w:t>
      </w:r>
      <w:r>
        <w:rPr>
          <w:rFonts w:cs="Arial"/>
          <w:szCs w:val="24"/>
        </w:rPr>
        <w:t>…”</w:t>
      </w:r>
      <w:r w:rsidRPr="004C1042">
        <w:rPr>
          <w:rFonts w:cs="Arial"/>
          <w:szCs w:val="24"/>
        </w:rPr>
        <w:t xml:space="preserve"> </w:t>
      </w:r>
    </w:p>
    <w:p w14:paraId="641AA110" w14:textId="77777777" w:rsidR="00BC2054" w:rsidRPr="004C1042" w:rsidRDefault="00BC2054" w:rsidP="00BC2054">
      <w:pPr>
        <w:spacing w:after="0" w:line="240" w:lineRule="auto"/>
        <w:rPr>
          <w:rFonts w:cs="Arial"/>
          <w:szCs w:val="24"/>
        </w:rPr>
      </w:pPr>
    </w:p>
    <w:p w14:paraId="6CA1C57E" w14:textId="77777777" w:rsidR="00BC2054" w:rsidRPr="004C1042" w:rsidRDefault="00BC2054" w:rsidP="00BC2054">
      <w:pPr>
        <w:spacing w:after="0" w:line="240" w:lineRule="auto"/>
        <w:rPr>
          <w:rFonts w:cs="Arial"/>
          <w:szCs w:val="24"/>
        </w:rPr>
      </w:pPr>
      <w:r w:rsidRPr="004C1042">
        <w:rPr>
          <w:rFonts w:cs="Arial"/>
          <w:szCs w:val="24"/>
        </w:rPr>
        <w:t xml:space="preserve">“Daddy, get up from that bed </w:t>
      </w:r>
    </w:p>
    <w:p w14:paraId="15225515" w14:textId="77777777" w:rsidR="00BC2054" w:rsidRPr="004C1042" w:rsidRDefault="00BC2054" w:rsidP="00BC2054">
      <w:pPr>
        <w:spacing w:after="0" w:line="240" w:lineRule="auto"/>
        <w:rPr>
          <w:rFonts w:cs="Arial"/>
          <w:szCs w:val="24"/>
        </w:rPr>
      </w:pPr>
      <w:r w:rsidRPr="004C1042">
        <w:rPr>
          <w:rFonts w:cs="Arial"/>
          <w:szCs w:val="24"/>
        </w:rPr>
        <w:t>and walk out of here!” I cried.</w:t>
      </w:r>
    </w:p>
    <w:p w14:paraId="6126C617" w14:textId="77777777" w:rsidR="00BC2054" w:rsidRPr="004C1042" w:rsidRDefault="00BC2054" w:rsidP="00BC2054">
      <w:pPr>
        <w:spacing w:after="0" w:line="240" w:lineRule="auto"/>
        <w:rPr>
          <w:rFonts w:cs="Arial"/>
          <w:szCs w:val="24"/>
        </w:rPr>
      </w:pPr>
      <w:r w:rsidRPr="004C1042">
        <w:rPr>
          <w:rFonts w:cs="Arial"/>
          <w:szCs w:val="24"/>
        </w:rPr>
        <w:t xml:space="preserve">“Momma, don’t let go when </w:t>
      </w:r>
    </w:p>
    <w:p w14:paraId="278A5ACA" w14:textId="77777777" w:rsidR="00BC2054" w:rsidRPr="004C1042" w:rsidRDefault="00BC2054" w:rsidP="00BC2054">
      <w:pPr>
        <w:spacing w:after="0" w:line="240" w:lineRule="auto"/>
        <w:rPr>
          <w:rFonts w:cs="Arial"/>
          <w:szCs w:val="24"/>
        </w:rPr>
      </w:pPr>
      <w:r w:rsidRPr="004C1042">
        <w:rPr>
          <w:rFonts w:cs="Arial"/>
          <w:szCs w:val="24"/>
        </w:rPr>
        <w:t>you’ve got this far!” these women cried.</w:t>
      </w:r>
    </w:p>
    <w:p w14:paraId="01C9C995" w14:textId="77777777" w:rsidR="00BC2054" w:rsidRPr="004C1042" w:rsidRDefault="00BC2054" w:rsidP="00BC2054">
      <w:pPr>
        <w:spacing w:after="0" w:line="240" w:lineRule="auto"/>
        <w:rPr>
          <w:rFonts w:cs="Arial"/>
          <w:szCs w:val="24"/>
        </w:rPr>
      </w:pPr>
      <w:r w:rsidRPr="004C1042">
        <w:rPr>
          <w:rFonts w:cs="Arial"/>
          <w:szCs w:val="24"/>
        </w:rPr>
        <w:t>It’s too soon,</w:t>
      </w:r>
    </w:p>
    <w:p w14:paraId="35471692" w14:textId="77777777" w:rsidR="00BC2054" w:rsidRPr="004C1042" w:rsidRDefault="00BC2054" w:rsidP="00BC2054">
      <w:pPr>
        <w:spacing w:after="0" w:line="240" w:lineRule="auto"/>
        <w:rPr>
          <w:rFonts w:cs="Arial"/>
          <w:szCs w:val="24"/>
        </w:rPr>
      </w:pPr>
      <w:r w:rsidRPr="004C1042">
        <w:rPr>
          <w:rFonts w:cs="Arial"/>
          <w:szCs w:val="24"/>
        </w:rPr>
        <w:t xml:space="preserve">too late, </w:t>
      </w:r>
    </w:p>
    <w:p w14:paraId="0339B6C9" w14:textId="77777777" w:rsidR="00BC2054" w:rsidRPr="004C1042" w:rsidRDefault="00BC2054" w:rsidP="00BC2054">
      <w:pPr>
        <w:spacing w:after="0" w:line="240" w:lineRule="auto"/>
        <w:rPr>
          <w:rFonts w:cs="Arial"/>
          <w:szCs w:val="24"/>
        </w:rPr>
      </w:pPr>
      <w:r w:rsidRPr="004C1042">
        <w:rPr>
          <w:rFonts w:cs="Arial"/>
          <w:szCs w:val="24"/>
        </w:rPr>
        <w:t>too far from what should have been.</w:t>
      </w:r>
    </w:p>
    <w:p w14:paraId="5825FC08" w14:textId="77777777" w:rsidR="00BC2054" w:rsidRPr="004C1042" w:rsidRDefault="00BC2054" w:rsidP="00BC2054">
      <w:pPr>
        <w:spacing w:after="0" w:line="240" w:lineRule="auto"/>
        <w:rPr>
          <w:rFonts w:cs="Arial"/>
          <w:szCs w:val="24"/>
        </w:rPr>
      </w:pPr>
      <w:r w:rsidRPr="004C1042">
        <w:rPr>
          <w:rFonts w:cs="Arial"/>
          <w:szCs w:val="24"/>
        </w:rPr>
        <w:t xml:space="preserve"> </w:t>
      </w:r>
    </w:p>
    <w:p w14:paraId="4442B5E5" w14:textId="77777777" w:rsidR="00BC2054" w:rsidRPr="004C1042" w:rsidRDefault="00BC2054" w:rsidP="00BC2054">
      <w:pPr>
        <w:spacing w:after="0" w:line="240" w:lineRule="auto"/>
        <w:rPr>
          <w:rFonts w:cs="Arial"/>
          <w:szCs w:val="24"/>
        </w:rPr>
      </w:pPr>
      <w:r w:rsidRPr="004C1042">
        <w:rPr>
          <w:rFonts w:cs="Arial"/>
          <w:szCs w:val="24"/>
        </w:rPr>
        <w:t xml:space="preserve">Life, we want life, </w:t>
      </w:r>
    </w:p>
    <w:p w14:paraId="4E48EDC1" w14:textId="77777777" w:rsidR="00BC2054" w:rsidRPr="004C1042" w:rsidRDefault="00BC2054" w:rsidP="00BC2054">
      <w:pPr>
        <w:spacing w:after="0" w:line="240" w:lineRule="auto"/>
        <w:rPr>
          <w:rFonts w:cs="Arial"/>
          <w:szCs w:val="24"/>
        </w:rPr>
      </w:pPr>
      <w:r w:rsidRPr="004C1042">
        <w:rPr>
          <w:rFonts w:cs="Arial"/>
          <w:szCs w:val="24"/>
        </w:rPr>
        <w:t xml:space="preserve">We want it to never end. </w:t>
      </w:r>
    </w:p>
    <w:p w14:paraId="5ED5DD9A" w14:textId="77777777" w:rsidR="00BC2054" w:rsidRPr="004C1042" w:rsidRDefault="00BC2054" w:rsidP="00BC2054">
      <w:pPr>
        <w:spacing w:after="0" w:line="240" w:lineRule="auto"/>
        <w:rPr>
          <w:rFonts w:cs="Arial"/>
          <w:szCs w:val="24"/>
        </w:rPr>
      </w:pPr>
      <w:r w:rsidRPr="004C1042">
        <w:rPr>
          <w:rFonts w:cs="Arial"/>
          <w:szCs w:val="24"/>
        </w:rPr>
        <w:t xml:space="preserve">But what I really want, </w:t>
      </w:r>
    </w:p>
    <w:p w14:paraId="4DA34AA4" w14:textId="77777777" w:rsidR="00BC2054" w:rsidRPr="004C1042" w:rsidRDefault="00BC2054" w:rsidP="00BC2054">
      <w:pPr>
        <w:spacing w:after="0" w:line="240" w:lineRule="auto"/>
        <w:rPr>
          <w:rFonts w:cs="Arial"/>
          <w:szCs w:val="24"/>
        </w:rPr>
      </w:pPr>
      <w:r w:rsidRPr="004C1042">
        <w:rPr>
          <w:rFonts w:cs="Arial"/>
          <w:szCs w:val="24"/>
        </w:rPr>
        <w:t>is for</w:t>
      </w:r>
      <w:r>
        <w:rPr>
          <w:rFonts w:cs="Arial"/>
          <w:szCs w:val="24"/>
        </w:rPr>
        <w:t>…</w:t>
      </w:r>
      <w:r w:rsidRPr="004C1042">
        <w:rPr>
          <w:rFonts w:cs="Arial"/>
          <w:szCs w:val="24"/>
        </w:rPr>
        <w:t xml:space="preserve"> you</w:t>
      </w:r>
      <w:r>
        <w:rPr>
          <w:rFonts w:cs="Arial"/>
          <w:szCs w:val="24"/>
        </w:rPr>
        <w:t>…</w:t>
      </w:r>
      <w:r w:rsidRPr="004C1042">
        <w:rPr>
          <w:rFonts w:cs="Arial"/>
          <w:szCs w:val="24"/>
        </w:rPr>
        <w:t xml:space="preserve"> to never end.</w:t>
      </w:r>
    </w:p>
    <w:p w14:paraId="0C734C6C" w14:textId="77777777" w:rsidR="00BC2054" w:rsidRPr="004C1042" w:rsidRDefault="00BC2054" w:rsidP="00BC2054">
      <w:pPr>
        <w:spacing w:after="0" w:line="240" w:lineRule="auto"/>
        <w:rPr>
          <w:rFonts w:cs="Arial"/>
          <w:szCs w:val="24"/>
        </w:rPr>
      </w:pPr>
    </w:p>
    <w:p w14:paraId="3E4792B7" w14:textId="77777777" w:rsidR="00BC2054" w:rsidRPr="004C1042" w:rsidRDefault="00BC2054" w:rsidP="00BC2054">
      <w:pPr>
        <w:spacing w:after="0" w:line="240" w:lineRule="auto"/>
        <w:rPr>
          <w:rFonts w:cs="Arial"/>
          <w:szCs w:val="24"/>
        </w:rPr>
      </w:pPr>
      <w:r w:rsidRPr="004C1042">
        <w:rPr>
          <w:rFonts w:cs="Arial"/>
          <w:szCs w:val="24"/>
        </w:rPr>
        <w:t>I wrote and wrote</w:t>
      </w:r>
      <w:r>
        <w:rPr>
          <w:rFonts w:cs="Arial"/>
          <w:szCs w:val="24"/>
        </w:rPr>
        <w:t>,</w:t>
      </w:r>
      <w:r w:rsidRPr="004C1042">
        <w:rPr>
          <w:rFonts w:cs="Arial"/>
          <w:szCs w:val="24"/>
        </w:rPr>
        <w:t xml:space="preserve"> and </w:t>
      </w:r>
    </w:p>
    <w:p w14:paraId="5AD45B42" w14:textId="77777777" w:rsidR="00BC2054" w:rsidRPr="004C1042" w:rsidRDefault="00BC2054" w:rsidP="00BC2054">
      <w:pPr>
        <w:spacing w:after="0" w:line="240" w:lineRule="auto"/>
        <w:rPr>
          <w:rFonts w:cs="Arial"/>
          <w:szCs w:val="24"/>
        </w:rPr>
      </w:pPr>
      <w:r w:rsidRPr="004C1042">
        <w:rPr>
          <w:rFonts w:cs="Arial"/>
          <w:szCs w:val="24"/>
        </w:rPr>
        <w:t>got lost in the writing.</w:t>
      </w:r>
    </w:p>
    <w:p w14:paraId="1FBDD895" w14:textId="77777777" w:rsidR="00BC2054" w:rsidRPr="004C1042" w:rsidRDefault="00BC2054" w:rsidP="00BC2054">
      <w:pPr>
        <w:spacing w:after="0" w:line="240" w:lineRule="auto"/>
        <w:rPr>
          <w:rFonts w:cs="Arial"/>
          <w:szCs w:val="24"/>
        </w:rPr>
      </w:pPr>
      <w:r w:rsidRPr="004C1042">
        <w:rPr>
          <w:rFonts w:cs="Arial"/>
          <w:szCs w:val="24"/>
        </w:rPr>
        <w:t xml:space="preserve">I gave up a million times, swearing, </w:t>
      </w:r>
    </w:p>
    <w:p w14:paraId="512A8B4B" w14:textId="77777777" w:rsidR="00BC2054" w:rsidRPr="004C1042" w:rsidRDefault="00BC2054" w:rsidP="00BC2054">
      <w:pPr>
        <w:spacing w:after="0" w:line="240" w:lineRule="auto"/>
        <w:rPr>
          <w:rFonts w:cs="Arial"/>
          <w:szCs w:val="24"/>
        </w:rPr>
      </w:pPr>
      <w:r w:rsidRPr="004C1042">
        <w:rPr>
          <w:rFonts w:cs="Arial"/>
          <w:szCs w:val="24"/>
        </w:rPr>
        <w:t xml:space="preserve">“I can’t do this work </w:t>
      </w:r>
    </w:p>
    <w:p w14:paraId="682E9ACE" w14:textId="77777777" w:rsidR="00BC2054" w:rsidRPr="004C1042" w:rsidRDefault="00BC2054" w:rsidP="00BC2054">
      <w:pPr>
        <w:spacing w:after="0" w:line="240" w:lineRule="auto"/>
        <w:rPr>
          <w:rFonts w:cs="Arial"/>
          <w:szCs w:val="24"/>
        </w:rPr>
      </w:pPr>
      <w:r w:rsidRPr="004C1042">
        <w:rPr>
          <w:rFonts w:cs="Arial"/>
          <w:szCs w:val="24"/>
        </w:rPr>
        <w:t>one more second of this day.”</w:t>
      </w:r>
    </w:p>
    <w:p w14:paraId="5EF5B384" w14:textId="77777777" w:rsidR="00BC2054" w:rsidRPr="004C1042" w:rsidRDefault="00BC2054" w:rsidP="00BC2054">
      <w:pPr>
        <w:spacing w:after="0" w:line="240" w:lineRule="auto"/>
        <w:rPr>
          <w:rFonts w:cs="Arial"/>
          <w:szCs w:val="24"/>
        </w:rPr>
      </w:pPr>
      <w:r w:rsidRPr="004C1042">
        <w:rPr>
          <w:rFonts w:cs="Arial"/>
          <w:szCs w:val="24"/>
        </w:rPr>
        <w:t>Still, I did because I was held</w:t>
      </w:r>
    </w:p>
    <w:p w14:paraId="12F4B143" w14:textId="77777777" w:rsidR="00BC2054" w:rsidRPr="004C1042" w:rsidRDefault="00BC2054" w:rsidP="00BC2054">
      <w:pPr>
        <w:spacing w:after="0" w:line="240" w:lineRule="auto"/>
        <w:rPr>
          <w:rFonts w:cs="Arial"/>
          <w:szCs w:val="24"/>
        </w:rPr>
      </w:pPr>
      <w:r w:rsidRPr="004C1042">
        <w:rPr>
          <w:rFonts w:cs="Arial"/>
          <w:szCs w:val="24"/>
        </w:rPr>
        <w:t>up by my ancestors and buoyed</w:t>
      </w:r>
    </w:p>
    <w:p w14:paraId="504116CE" w14:textId="77777777" w:rsidR="00BC2054" w:rsidRPr="004C1042" w:rsidRDefault="00BC2054" w:rsidP="00BC2054">
      <w:pPr>
        <w:spacing w:after="0" w:line="240" w:lineRule="auto"/>
        <w:rPr>
          <w:rFonts w:cs="Arial"/>
          <w:szCs w:val="24"/>
        </w:rPr>
      </w:pPr>
      <w:r w:rsidRPr="004C1042">
        <w:rPr>
          <w:rFonts w:cs="Arial"/>
          <w:szCs w:val="24"/>
        </w:rPr>
        <w:t>by those who wouldn’t let go</w:t>
      </w:r>
    </w:p>
    <w:p w14:paraId="6C14B0E7" w14:textId="77777777" w:rsidR="00BC2054" w:rsidRPr="004C1042" w:rsidRDefault="00BC2054" w:rsidP="00BC2054">
      <w:pPr>
        <w:spacing w:after="0" w:line="240" w:lineRule="auto"/>
        <w:rPr>
          <w:rFonts w:cs="Arial"/>
          <w:szCs w:val="24"/>
        </w:rPr>
      </w:pPr>
      <w:r w:rsidRPr="004C1042">
        <w:rPr>
          <w:rFonts w:cs="Arial"/>
          <w:szCs w:val="24"/>
        </w:rPr>
        <w:t>of my dream.</w:t>
      </w:r>
    </w:p>
    <w:p w14:paraId="70D3867A" w14:textId="77777777" w:rsidR="00BC2054" w:rsidRPr="004C1042" w:rsidRDefault="00BC2054" w:rsidP="00BC2054">
      <w:pPr>
        <w:spacing w:after="0" w:line="240" w:lineRule="auto"/>
        <w:rPr>
          <w:rFonts w:cs="Arial"/>
          <w:szCs w:val="24"/>
        </w:rPr>
      </w:pPr>
    </w:p>
    <w:p w14:paraId="7DDADA32" w14:textId="77777777" w:rsidR="00BC2054" w:rsidRPr="004C1042" w:rsidRDefault="00BC2054" w:rsidP="00BC2054">
      <w:pPr>
        <w:spacing w:after="0" w:line="240" w:lineRule="auto"/>
        <w:rPr>
          <w:rFonts w:cs="Arial"/>
          <w:szCs w:val="24"/>
        </w:rPr>
      </w:pPr>
      <w:r w:rsidRPr="004C1042">
        <w:rPr>
          <w:rFonts w:cs="Arial"/>
          <w:szCs w:val="24"/>
        </w:rPr>
        <w:t xml:space="preserve">No, it will never be enough. </w:t>
      </w:r>
    </w:p>
    <w:p w14:paraId="4FF1B550" w14:textId="77777777" w:rsidR="00BC2054" w:rsidRPr="004C1042" w:rsidRDefault="00BC2054" w:rsidP="00BC2054">
      <w:pPr>
        <w:spacing w:after="0" w:line="240" w:lineRule="auto"/>
        <w:rPr>
          <w:rFonts w:cs="Arial"/>
          <w:szCs w:val="24"/>
        </w:rPr>
      </w:pPr>
    </w:p>
    <w:p w14:paraId="06C58F5D" w14:textId="77777777" w:rsidR="00BC2054" w:rsidRPr="004C1042" w:rsidRDefault="00BC2054" w:rsidP="00BC2054">
      <w:pPr>
        <w:spacing w:after="0" w:line="240" w:lineRule="auto"/>
        <w:rPr>
          <w:rFonts w:cs="Arial"/>
          <w:szCs w:val="24"/>
        </w:rPr>
      </w:pPr>
      <w:r w:rsidRPr="004C1042">
        <w:rPr>
          <w:rFonts w:cs="Arial"/>
          <w:szCs w:val="24"/>
        </w:rPr>
        <w:t>But we and genealogies tell these tales.</w:t>
      </w:r>
    </w:p>
    <w:p w14:paraId="64199955" w14:textId="77777777" w:rsidR="00BC2054" w:rsidRPr="004C1042" w:rsidRDefault="00BC2054" w:rsidP="00BC2054">
      <w:pPr>
        <w:spacing w:after="0" w:line="240" w:lineRule="auto"/>
        <w:rPr>
          <w:rFonts w:cs="Arial"/>
          <w:szCs w:val="24"/>
        </w:rPr>
      </w:pPr>
      <w:r w:rsidRPr="004C1042">
        <w:rPr>
          <w:rFonts w:cs="Arial"/>
          <w:szCs w:val="24"/>
        </w:rPr>
        <w:t xml:space="preserve">We trace our histories to go </w:t>
      </w:r>
    </w:p>
    <w:p w14:paraId="451C34B6" w14:textId="77777777" w:rsidR="00BC2054" w:rsidRPr="004C1042" w:rsidRDefault="00BC2054" w:rsidP="00BC2054">
      <w:pPr>
        <w:spacing w:after="0" w:line="240" w:lineRule="auto"/>
        <w:rPr>
          <w:rFonts w:cs="Arial"/>
          <w:szCs w:val="24"/>
        </w:rPr>
      </w:pPr>
      <w:r w:rsidRPr="004C1042">
        <w:rPr>
          <w:rFonts w:cs="Arial"/>
          <w:szCs w:val="24"/>
        </w:rPr>
        <w:t xml:space="preserve">down in the earth and </w:t>
      </w:r>
    </w:p>
    <w:p w14:paraId="742887D2" w14:textId="3D3FFE85" w:rsidR="00A94958" w:rsidRPr="00BC2054" w:rsidRDefault="00BC2054" w:rsidP="00A94958">
      <w:pPr>
        <w:spacing w:after="0" w:line="240" w:lineRule="auto"/>
        <w:rPr>
          <w:rFonts w:cs="Arial"/>
          <w:szCs w:val="24"/>
        </w:rPr>
      </w:pPr>
      <w:r w:rsidRPr="004C1042">
        <w:rPr>
          <w:rFonts w:cs="Arial"/>
          <w:szCs w:val="24"/>
        </w:rPr>
        <w:t>let it claim us as home.</w:t>
      </w:r>
    </w:p>
    <w:p w14:paraId="6345BFEA" w14:textId="2038541A" w:rsidR="00733F56" w:rsidRDefault="00733F56" w:rsidP="00733F56">
      <w:pPr>
        <w:spacing w:after="0" w:line="240" w:lineRule="auto"/>
      </w:pPr>
    </w:p>
    <w:p w14:paraId="6763C7A4" w14:textId="6C662083" w:rsidR="00AC2A87" w:rsidRPr="00424BD3" w:rsidRDefault="00AC2A87" w:rsidP="000126EE">
      <w:pPr>
        <w:spacing w:after="0" w:line="480" w:lineRule="auto"/>
      </w:pPr>
      <w:r w:rsidRPr="00424BD3">
        <w:br w:type="page"/>
      </w:r>
    </w:p>
    <w:p w14:paraId="38887BAC" w14:textId="09BCEE92" w:rsidR="00AC2A87" w:rsidRPr="00424BD3" w:rsidRDefault="0052670E" w:rsidP="000126EE">
      <w:pPr>
        <w:pStyle w:val="Heading1"/>
        <w:spacing w:before="0" w:line="480" w:lineRule="auto"/>
        <w:jc w:val="center"/>
        <w:rPr>
          <w:rFonts w:ascii="Arial" w:hAnsi="Arial" w:cs="Arial"/>
          <w:b/>
          <w:bCs/>
          <w:color w:val="auto"/>
          <w:sz w:val="24"/>
          <w:szCs w:val="24"/>
        </w:rPr>
      </w:pPr>
      <w:bookmarkStart w:id="116" w:name="_Toc118232382"/>
      <w:r w:rsidRPr="00424BD3">
        <w:rPr>
          <w:rFonts w:ascii="Arial" w:hAnsi="Arial" w:cs="Arial"/>
          <w:b/>
          <w:bCs/>
          <w:color w:val="auto"/>
          <w:sz w:val="24"/>
          <w:szCs w:val="24"/>
        </w:rPr>
        <w:lastRenderedPageBreak/>
        <w:t>LIST OF REFERENCES</w:t>
      </w:r>
      <w:bookmarkEnd w:id="116"/>
    </w:p>
    <w:p w14:paraId="43F7E091" w14:textId="77777777" w:rsidR="00506049" w:rsidRDefault="00E032AD" w:rsidP="00506049">
      <w:pPr>
        <w:pStyle w:val="Bibliography"/>
      </w:pPr>
      <w:r w:rsidRPr="00424BD3">
        <w:fldChar w:fldCharType="begin"/>
      </w:r>
      <w:r w:rsidR="00506049">
        <w:instrText xml:space="preserve"> ADDIN ZOTERO_BIBL {"uncited":[],"omitted":[],"custom":[]} CSL_BIBLIOGRAPHY </w:instrText>
      </w:r>
      <w:r w:rsidRPr="00424BD3">
        <w:fldChar w:fldCharType="separate"/>
      </w:r>
      <w:r w:rsidR="00506049">
        <w:t xml:space="preserve">AARP. (2021). </w:t>
      </w:r>
      <w:r w:rsidR="00506049">
        <w:rPr>
          <w:i/>
          <w:iCs/>
        </w:rPr>
        <w:t>Older Americans Act Funded by American Rescue Plan</w:t>
      </w:r>
      <w:r w:rsidR="00506049">
        <w:t>. American Association of Retired People (AARP). https://states.aarp.org/west-virginia/older-americans-act-funded-by-american-rescue-plan</w:t>
      </w:r>
    </w:p>
    <w:p w14:paraId="176F0680" w14:textId="77777777" w:rsidR="00506049" w:rsidRDefault="00506049" w:rsidP="00506049">
      <w:pPr>
        <w:pStyle w:val="Bibliography"/>
      </w:pPr>
      <w:r>
        <w:t xml:space="preserve">AARP. (2022, March 15). </w:t>
      </w:r>
      <w:r>
        <w:rPr>
          <w:i/>
          <w:iCs/>
        </w:rPr>
        <w:t>Shameful Contrast: Inequality at the Intersection of Age and Gender. 15th Annual AARP-United Nations Briefing.</w:t>
      </w:r>
      <w:r>
        <w:t xml:space="preserve"> American Association of Retired People (AARP) International. https://www.aarpinternational.org/initiatives/aarp-at-the-united-nations/unbriefingseries/2022unbriefing</w:t>
      </w:r>
    </w:p>
    <w:p w14:paraId="19591E97" w14:textId="77777777" w:rsidR="00506049" w:rsidRDefault="00506049" w:rsidP="00506049">
      <w:pPr>
        <w:pStyle w:val="Bibliography"/>
      </w:pPr>
      <w:r>
        <w:t xml:space="preserve">ACL. (2022). </w:t>
      </w:r>
      <w:r>
        <w:rPr>
          <w:i/>
          <w:iCs/>
        </w:rPr>
        <w:t>Older Americans Act</w:t>
      </w:r>
      <w:r>
        <w:t>. Administration for Community Living (ACL). https://acl.gov/about-acl/authorizing-statutes/older-americans-act</w:t>
      </w:r>
    </w:p>
    <w:p w14:paraId="0AF74247" w14:textId="77777777" w:rsidR="00506049" w:rsidRDefault="00506049" w:rsidP="00506049">
      <w:pPr>
        <w:pStyle w:val="Bibliography"/>
      </w:pPr>
      <w:r>
        <w:t xml:space="preserve">AFMC. (2018). </w:t>
      </w:r>
      <w:r>
        <w:rPr>
          <w:i/>
          <w:iCs/>
        </w:rPr>
        <w:t>Chapter 1 Concepts of Health and Illness | AFMC Primer on Population Health</w:t>
      </w:r>
      <w:r>
        <w:t>. The Association of Faculties of Medicine of Canada (AFMC). https://phprimer.afmc.ca/en/part-i/chapter-1/#_spiritualhealth</w:t>
      </w:r>
    </w:p>
    <w:p w14:paraId="4AB652D8" w14:textId="77777777" w:rsidR="00506049" w:rsidRDefault="00506049" w:rsidP="00506049">
      <w:pPr>
        <w:pStyle w:val="Bibliography"/>
      </w:pPr>
      <w:r>
        <w:t xml:space="preserve">Afshar, S., Roderick, P. J., Kowal, P., Dimitrov, B. D., &amp; Hill, A. G. (2015). Multimorbidity and the inequalities of global ageing: A cross-sectional study of 28 countries using the World Health Surveys. </w:t>
      </w:r>
      <w:r>
        <w:rPr>
          <w:i/>
          <w:iCs/>
        </w:rPr>
        <w:t>BMC Public Health</w:t>
      </w:r>
      <w:r>
        <w:t xml:space="preserve">, </w:t>
      </w:r>
      <w:r>
        <w:rPr>
          <w:i/>
          <w:iCs/>
        </w:rPr>
        <w:t>15</w:t>
      </w:r>
      <w:r>
        <w:t>(1), 776. https://doi.org/10.1186/s12889-015-2008-7</w:t>
      </w:r>
    </w:p>
    <w:p w14:paraId="4F94F306" w14:textId="77777777" w:rsidR="00506049" w:rsidRDefault="00506049" w:rsidP="00506049">
      <w:pPr>
        <w:pStyle w:val="Bibliography"/>
      </w:pPr>
      <w:r>
        <w:t xml:space="preserve">AHRQ. (2016, May). </w:t>
      </w:r>
      <w:r>
        <w:rPr>
          <w:i/>
          <w:iCs/>
        </w:rPr>
        <w:t>Chartbook on Access to Health Care</w:t>
      </w:r>
      <w:r>
        <w:t xml:space="preserve"> [U.S. Government]. Agency for Healthcare Research and Quality (AHRQ). https://www.ahrq.gov/research/findings/nhqrdr/chartbooks/access/index.html</w:t>
      </w:r>
    </w:p>
    <w:p w14:paraId="203BFCC1" w14:textId="77777777" w:rsidR="00506049" w:rsidRDefault="00506049" w:rsidP="00506049">
      <w:pPr>
        <w:pStyle w:val="Bibliography"/>
      </w:pPr>
      <w:r>
        <w:t xml:space="preserve">Akguloglu, G. E., &amp; Con Wright, G. (2021). Exempting the state and responsibilizing individuals during pandemic governance: Analyzing the health minister’s responses to the Covid-19 pandemic in Turkey. </w:t>
      </w:r>
      <w:r>
        <w:rPr>
          <w:i/>
          <w:iCs/>
        </w:rPr>
        <w:t>Health</w:t>
      </w:r>
      <w:r>
        <w:t>, 13634593211060766. https://doi.org/10.1177/13634593211060766</w:t>
      </w:r>
    </w:p>
    <w:p w14:paraId="385C4E35" w14:textId="77777777" w:rsidR="00506049" w:rsidRDefault="00506049" w:rsidP="00506049">
      <w:pPr>
        <w:pStyle w:val="Bibliography"/>
      </w:pPr>
      <w:r>
        <w:t xml:space="preserve">Alcalde-Rubio, L., Hernández-Aguado, I., Parker, L. A., Bueno-Vergara, E., &amp; Chilet-Rosell, E. (2020). Gender disparities in clinical practice: Are there any solutions? Scoping review of interventions to overcome or reduce gender bias in clinical practice. </w:t>
      </w:r>
      <w:r>
        <w:rPr>
          <w:i/>
          <w:iCs/>
        </w:rPr>
        <w:t>International Journal for Equity in Health</w:t>
      </w:r>
      <w:r>
        <w:t xml:space="preserve">, </w:t>
      </w:r>
      <w:r>
        <w:rPr>
          <w:i/>
          <w:iCs/>
        </w:rPr>
        <w:t>19</w:t>
      </w:r>
      <w:r>
        <w:t>(1), 166. https://doi.org/10.1186/s12939-020-01283-4</w:t>
      </w:r>
    </w:p>
    <w:p w14:paraId="483115C7" w14:textId="77777777" w:rsidR="00506049" w:rsidRDefault="00506049" w:rsidP="00506049">
      <w:pPr>
        <w:pStyle w:val="Bibliography"/>
      </w:pPr>
      <w:r>
        <w:t xml:space="preserve">Allison, M. A., Attisha, E., Lerner, M., De Pinto, C. D., Beers, N. S., Gibson, E. J., Gorski, P., Kjolhede, C., O’Leary, S. C., Schumacher, H., &amp; Weiss-Harrison, A. (2019). The Link Between School Attendance and Good Health. </w:t>
      </w:r>
      <w:r>
        <w:rPr>
          <w:i/>
          <w:iCs/>
        </w:rPr>
        <w:t>Pediatrics</w:t>
      </w:r>
      <w:r>
        <w:t xml:space="preserve">, </w:t>
      </w:r>
      <w:r>
        <w:rPr>
          <w:i/>
          <w:iCs/>
        </w:rPr>
        <w:t>143</w:t>
      </w:r>
      <w:r>
        <w:t>(2), e20183648. https://doi.org/10.1542/peds.2018-3648</w:t>
      </w:r>
    </w:p>
    <w:p w14:paraId="1E1D5AEC" w14:textId="77777777" w:rsidR="00506049" w:rsidRDefault="00506049" w:rsidP="00506049">
      <w:pPr>
        <w:pStyle w:val="Bibliography"/>
      </w:pPr>
      <w:r>
        <w:t xml:space="preserve">Alshenqeeti, H. (2014). Interviewing as a Data Collection Method: A Critical Review. </w:t>
      </w:r>
      <w:r>
        <w:rPr>
          <w:i/>
          <w:iCs/>
        </w:rPr>
        <w:t>English Linguistics Research</w:t>
      </w:r>
      <w:r>
        <w:t xml:space="preserve">, </w:t>
      </w:r>
      <w:r>
        <w:rPr>
          <w:i/>
          <w:iCs/>
        </w:rPr>
        <w:t>3</w:t>
      </w:r>
      <w:r>
        <w:t>(1), Article 1. https://doi.org/10.5430/elr.v3n1p39</w:t>
      </w:r>
    </w:p>
    <w:p w14:paraId="6735CB3A" w14:textId="77777777" w:rsidR="00506049" w:rsidRDefault="00506049" w:rsidP="00506049">
      <w:pPr>
        <w:pStyle w:val="Bibliography"/>
      </w:pPr>
      <w:r>
        <w:lastRenderedPageBreak/>
        <w:t xml:space="preserve">AMA. (2022). </w:t>
      </w:r>
      <w:r>
        <w:rPr>
          <w:i/>
          <w:iCs/>
        </w:rPr>
        <w:t>Reducing disparities in health care</w:t>
      </w:r>
      <w:r>
        <w:t>. American Medical Association (AMA). https://www.ama-assn.org/delivering-care/patient-support-advocacy/reducing-disparities-health-care</w:t>
      </w:r>
    </w:p>
    <w:p w14:paraId="15C25274" w14:textId="77777777" w:rsidR="00506049" w:rsidRDefault="00506049" w:rsidP="00506049">
      <w:pPr>
        <w:pStyle w:val="Bibliography"/>
      </w:pPr>
      <w:r>
        <w:t xml:space="preserve">APA. (2018). </w:t>
      </w:r>
      <w:r>
        <w:rPr>
          <w:i/>
          <w:iCs/>
        </w:rPr>
        <w:t>Mental Health Disparities: Appalachian People</w:t>
      </w:r>
      <w:r>
        <w:t>. American Psychiatry Association (APA). https://www.psychiatry.org/File%20Library/Psychiatrists/Cultural-Competency/Mental-Health-Disparities/Mental-Health-Facts-for-Appalachian-People.pdf</w:t>
      </w:r>
    </w:p>
    <w:p w14:paraId="5AE1F292" w14:textId="77777777" w:rsidR="00506049" w:rsidRDefault="00506049" w:rsidP="00506049">
      <w:pPr>
        <w:pStyle w:val="Bibliography"/>
      </w:pPr>
      <w:r>
        <w:t xml:space="preserve">Arber, S. (2006). Gender trajectories: How age and marital status influence patterns of gender inequality in later life. In </w:t>
      </w:r>
      <w:r>
        <w:rPr>
          <w:i/>
          <w:iCs/>
        </w:rPr>
        <w:t>Ageing and diversity: Multiple pathways and cultural migrations</w:t>
      </w:r>
      <w:r>
        <w:t xml:space="preserve"> (pp. 61–76). Policy Press.</w:t>
      </w:r>
    </w:p>
    <w:p w14:paraId="2923C15A" w14:textId="77777777" w:rsidR="00506049" w:rsidRDefault="00506049" w:rsidP="00506049">
      <w:pPr>
        <w:pStyle w:val="Bibliography"/>
      </w:pPr>
      <w:r>
        <w:t xml:space="preserve">Arora, A., Spatz, E., Herrin, J., Riley, C., Roy, B., Kell, K., Coberley, C., Rula, E., &amp; Krumholz, H. M. (2016). Population Well-Being Measures Help Explain Geographic Disparities In Life Expectancy At The County Level. </w:t>
      </w:r>
      <w:r>
        <w:rPr>
          <w:i/>
          <w:iCs/>
        </w:rPr>
        <w:t>Health Affairs</w:t>
      </w:r>
      <w:r>
        <w:t xml:space="preserve">, </w:t>
      </w:r>
      <w:r>
        <w:rPr>
          <w:i/>
          <w:iCs/>
        </w:rPr>
        <w:t>35</w:t>
      </w:r>
      <w:r>
        <w:t>(11), 2075–2082. https://doi.org/10.1377/hlthaff.2016.0715</w:t>
      </w:r>
    </w:p>
    <w:p w14:paraId="5BBD6C44" w14:textId="77777777" w:rsidR="00506049" w:rsidRDefault="00506049" w:rsidP="00506049">
      <w:pPr>
        <w:pStyle w:val="Bibliography"/>
      </w:pPr>
      <w:r>
        <w:t xml:space="preserve">Ashida, S., Hadley, D. W., Goergen, A. F., Skapinsky, K. F., Devlin, H. C., &amp; Koehly, L. M. (2011). The Importance of Older Family Members in Providing Social Resources and Promoting Cancer Screening in Families With a Hereditary Cancer Syndrome. </w:t>
      </w:r>
      <w:r>
        <w:rPr>
          <w:i/>
          <w:iCs/>
        </w:rPr>
        <w:t>The Gerontologist</w:t>
      </w:r>
      <w:r>
        <w:t xml:space="preserve">, </w:t>
      </w:r>
      <w:r>
        <w:rPr>
          <w:i/>
          <w:iCs/>
        </w:rPr>
        <w:t>51</w:t>
      </w:r>
      <w:r>
        <w:t>(6), 833–842. https://doi.org/10.1093/geront/gnr049</w:t>
      </w:r>
    </w:p>
    <w:p w14:paraId="0CEF4CFD" w14:textId="77777777" w:rsidR="00506049" w:rsidRDefault="00506049" w:rsidP="00506049">
      <w:pPr>
        <w:pStyle w:val="Bibliography"/>
      </w:pPr>
      <w:r>
        <w:t xml:space="preserve">Atkinson, D., &amp; Dodds, K. (Eds.). (2000). </w:t>
      </w:r>
      <w:r>
        <w:rPr>
          <w:i/>
          <w:iCs/>
        </w:rPr>
        <w:t>Geopolitical Traditions: Critical Histories of a Century of Geopolitical Thought</w:t>
      </w:r>
      <w:r>
        <w:t>. Routledge. https://doi.org/10.4324/9780203449110</w:t>
      </w:r>
    </w:p>
    <w:p w14:paraId="5369490C" w14:textId="77777777" w:rsidR="00506049" w:rsidRDefault="00506049" w:rsidP="00506049">
      <w:pPr>
        <w:pStyle w:val="Bibliography"/>
      </w:pPr>
      <w:r>
        <w:t xml:space="preserve">Axelsson, L., Benzein, E., Lindberg, J., &amp; Persson, C. (2020). Processes toward the end of life and dialysis withdrawal Physicians’ and nurses’ perspectives. </w:t>
      </w:r>
      <w:r>
        <w:rPr>
          <w:i/>
          <w:iCs/>
        </w:rPr>
        <w:t>Nursing Ethics</w:t>
      </w:r>
      <w:r>
        <w:t xml:space="preserve">, </w:t>
      </w:r>
      <w:r>
        <w:rPr>
          <w:i/>
          <w:iCs/>
        </w:rPr>
        <w:t>27</w:t>
      </w:r>
      <w:r>
        <w:t>(2), 419–432. https://doi.org/10.1177/0969733019848050</w:t>
      </w:r>
    </w:p>
    <w:p w14:paraId="0924219C" w14:textId="77777777" w:rsidR="00506049" w:rsidRDefault="00506049" w:rsidP="00506049">
      <w:pPr>
        <w:pStyle w:val="Bibliography"/>
      </w:pPr>
      <w:r>
        <w:t xml:space="preserve">Babaei, S., &amp; Taleghani, F. (2019). Compassionate Care Challenges and Barriers in Clinical Nurses: A Qualitative Study. </w:t>
      </w:r>
      <w:r>
        <w:rPr>
          <w:i/>
          <w:iCs/>
        </w:rPr>
        <w:t>Iranian Journal of Nursing and Midwifery Research</w:t>
      </w:r>
      <w:r>
        <w:t xml:space="preserve">, </w:t>
      </w:r>
      <w:r>
        <w:rPr>
          <w:i/>
          <w:iCs/>
        </w:rPr>
        <w:t>24</w:t>
      </w:r>
      <w:r>
        <w:t>(3), 213–219. https://doi.org/10.4103/ijnmr.IJNMR_100_18</w:t>
      </w:r>
    </w:p>
    <w:p w14:paraId="4A2A25C1" w14:textId="77777777" w:rsidR="00506049" w:rsidRDefault="00506049" w:rsidP="00506049">
      <w:pPr>
        <w:pStyle w:val="Bibliography"/>
      </w:pPr>
      <w:r>
        <w:t xml:space="preserve">Backett, K. C., &amp; Davison, C. (1995). Lifecourse and lifestyle: The social and cultural location of health behaviours. </w:t>
      </w:r>
      <w:r>
        <w:rPr>
          <w:i/>
          <w:iCs/>
        </w:rPr>
        <w:t>Social Science &amp; Medicine</w:t>
      </w:r>
      <w:r>
        <w:t xml:space="preserve">, </w:t>
      </w:r>
      <w:r>
        <w:rPr>
          <w:i/>
          <w:iCs/>
        </w:rPr>
        <w:t>40</w:t>
      </w:r>
      <w:r>
        <w:t>(5), 629–638. https://doi.org/10.1016/0277-9536(95)80007-7</w:t>
      </w:r>
    </w:p>
    <w:p w14:paraId="4DF72CE9" w14:textId="77777777" w:rsidR="00506049" w:rsidRDefault="00506049" w:rsidP="00506049">
      <w:pPr>
        <w:pStyle w:val="Bibliography"/>
      </w:pPr>
      <w:r>
        <w:t xml:space="preserve">Bambra, C. (2016). Health Divides: Where You Live Can Kill You. </w:t>
      </w:r>
      <w:r>
        <w:rPr>
          <w:i/>
          <w:iCs/>
        </w:rPr>
        <w:t>Policy Press</w:t>
      </w:r>
      <w:r>
        <w:t>.</w:t>
      </w:r>
    </w:p>
    <w:p w14:paraId="1E82D1A5" w14:textId="77777777" w:rsidR="00506049" w:rsidRDefault="00506049" w:rsidP="00506049">
      <w:pPr>
        <w:pStyle w:val="Bibliography"/>
      </w:pPr>
      <w:r>
        <w:t xml:space="preserve">Bambra, C., Gibson, M., Sowden, A., Wright, K., Whitehead, M., &amp; Petticrew, M. (2010). Tackling the wider social determinants of health and health inequalities: Evidence from systematic reviews. </w:t>
      </w:r>
      <w:r>
        <w:rPr>
          <w:i/>
          <w:iCs/>
        </w:rPr>
        <w:t>Journal of Epidemiology &amp; Community Health</w:t>
      </w:r>
      <w:r>
        <w:t xml:space="preserve">, </w:t>
      </w:r>
      <w:r>
        <w:rPr>
          <w:i/>
          <w:iCs/>
        </w:rPr>
        <w:t>64</w:t>
      </w:r>
      <w:r>
        <w:t>(4), 284–291. https://doi.org/10.1136/jech.2008.082743</w:t>
      </w:r>
    </w:p>
    <w:p w14:paraId="1BB1691B" w14:textId="77777777" w:rsidR="00506049" w:rsidRDefault="00506049" w:rsidP="00506049">
      <w:pPr>
        <w:pStyle w:val="Bibliography"/>
      </w:pPr>
      <w:r>
        <w:t xml:space="preserve">Banks, N. (2019). </w:t>
      </w:r>
      <w:r>
        <w:rPr>
          <w:i/>
          <w:iCs/>
        </w:rPr>
        <w:t>Black women’s labor market history reveals deep-seated race and gender discrimination</w:t>
      </w:r>
      <w:r>
        <w:t>. https://policycommons.net/artifacts/1408998/black-womens-labor-market-history-reveals-deep-seated-race-and-gender-discrimination/2023262/</w:t>
      </w:r>
    </w:p>
    <w:p w14:paraId="0019F333" w14:textId="77777777" w:rsidR="00506049" w:rsidRDefault="00506049" w:rsidP="00506049">
      <w:pPr>
        <w:pStyle w:val="Bibliography"/>
      </w:pPr>
      <w:r>
        <w:lastRenderedPageBreak/>
        <w:t xml:space="preserve">Bartz, D., Chitnis, T., Kaiser, U. B., Rich-Edwards, J. W., Rexrode, K. M., Pennell, P. B., Goldstein, J. M., O’Neal, M. A., LeBoff, M., Behn, M., Seely, E. W., Joffe, H., &amp; Manson, J. E. (2020). Clinical Advances in Sex- and Gender-Informed Medicine to Improve the Health of All: A Review. </w:t>
      </w:r>
      <w:r>
        <w:rPr>
          <w:i/>
          <w:iCs/>
        </w:rPr>
        <w:t>JAMA Internal Medicine</w:t>
      </w:r>
      <w:r>
        <w:t xml:space="preserve">, </w:t>
      </w:r>
      <w:r>
        <w:rPr>
          <w:i/>
          <w:iCs/>
        </w:rPr>
        <w:t>180</w:t>
      </w:r>
      <w:r>
        <w:t>(4), 574–583. https://doi.org/10.1001/jamainternmed.2019.7194</w:t>
      </w:r>
    </w:p>
    <w:p w14:paraId="7E939C74" w14:textId="77777777" w:rsidR="00506049" w:rsidRDefault="00506049" w:rsidP="00506049">
      <w:pPr>
        <w:pStyle w:val="Bibliography"/>
      </w:pPr>
      <w:r>
        <w:t xml:space="preserve">Baru, R. V., &amp; Mohan, M. (2018). Globalisation and neoliberalism as structural drivers of health inequities. </w:t>
      </w:r>
      <w:r>
        <w:rPr>
          <w:i/>
          <w:iCs/>
        </w:rPr>
        <w:t>Health Research Policy and Systems</w:t>
      </w:r>
      <w:r>
        <w:t xml:space="preserve">, </w:t>
      </w:r>
      <w:r>
        <w:rPr>
          <w:i/>
          <w:iCs/>
        </w:rPr>
        <w:t>16</w:t>
      </w:r>
      <w:r>
        <w:t>(1), 91. https://doi.org/10.1186/s12961-018-0365-2</w:t>
      </w:r>
    </w:p>
    <w:p w14:paraId="7FE5FF6E" w14:textId="77777777" w:rsidR="00506049" w:rsidRDefault="00506049" w:rsidP="00506049">
      <w:pPr>
        <w:pStyle w:val="Bibliography"/>
      </w:pPr>
      <w:r>
        <w:t xml:space="preserve">Bécares, L., &amp; Zhang, N. (2018). Perceived Interpersonal Discrimination and Older Women’s Mental Health: Accumulation Across Domains, Attributions, and Time. </w:t>
      </w:r>
      <w:r>
        <w:rPr>
          <w:i/>
          <w:iCs/>
        </w:rPr>
        <w:t>American Journal of Epidemiology</w:t>
      </w:r>
      <w:r>
        <w:t xml:space="preserve">, </w:t>
      </w:r>
      <w:r>
        <w:rPr>
          <w:i/>
          <w:iCs/>
        </w:rPr>
        <w:t>187</w:t>
      </w:r>
      <w:r>
        <w:t>(5), 924–932. https://doi.org/10.1093/aje/kwx326</w:t>
      </w:r>
    </w:p>
    <w:p w14:paraId="35851F2A" w14:textId="77777777" w:rsidR="00506049" w:rsidRDefault="00506049" w:rsidP="00506049">
      <w:pPr>
        <w:pStyle w:val="Bibliography"/>
      </w:pPr>
      <w:r>
        <w:t xml:space="preserve">Bedlin, H. (2021). </w:t>
      </w:r>
      <w:r>
        <w:rPr>
          <w:i/>
          <w:iCs/>
        </w:rPr>
        <w:t>American Rescue Plan Improves Senior Health and Financial Security</w:t>
      </w:r>
      <w:r>
        <w:t>. National Council on Aging. https://www.ncoa.org/article/american-rescue-plan-improves-senior-health-and-financial-security</w:t>
      </w:r>
    </w:p>
    <w:p w14:paraId="4F096001" w14:textId="77777777" w:rsidR="00506049" w:rsidRDefault="00506049" w:rsidP="00506049">
      <w:pPr>
        <w:pStyle w:val="Bibliography"/>
      </w:pPr>
      <w:r>
        <w:t xml:space="preserve">Behringer, B., &amp; Friedell, G. H. (2006). Appalachia: Where Place Matters in Health. </w:t>
      </w:r>
      <w:r>
        <w:rPr>
          <w:i/>
          <w:iCs/>
        </w:rPr>
        <w:t>Preventing Chronic Disease</w:t>
      </w:r>
      <w:r>
        <w:t xml:space="preserve">, </w:t>
      </w:r>
      <w:r>
        <w:rPr>
          <w:i/>
          <w:iCs/>
        </w:rPr>
        <w:t>3</w:t>
      </w:r>
      <w:r>
        <w:t>(4), A113.</w:t>
      </w:r>
    </w:p>
    <w:p w14:paraId="35B4E6B9" w14:textId="77777777" w:rsidR="00506049" w:rsidRDefault="00506049" w:rsidP="00506049">
      <w:pPr>
        <w:pStyle w:val="Bibliography"/>
      </w:pPr>
      <w:r>
        <w:t xml:space="preserve">Bennett College. (2019, January 25). Rev. Dr. William Barber and daughter Dr. Sharrelle Barber to hold event at Bennett on Saturday. </w:t>
      </w:r>
      <w:r>
        <w:rPr>
          <w:i/>
          <w:iCs/>
        </w:rPr>
        <w:t>Bennett College</w:t>
      </w:r>
      <w:r>
        <w:t>. https://www.bennett.edu/news/sisters-for-justice-featuring-sharrelle-barber-and-rev-william-barber/</w:t>
      </w:r>
    </w:p>
    <w:p w14:paraId="7804114F" w14:textId="77777777" w:rsidR="00506049" w:rsidRDefault="00506049" w:rsidP="00506049">
      <w:pPr>
        <w:pStyle w:val="Bibliography"/>
      </w:pPr>
      <w:r>
        <w:t xml:space="preserve">Berg, B. L., &amp; Lune, H. (2017). </w:t>
      </w:r>
      <w:r>
        <w:rPr>
          <w:i/>
          <w:iCs/>
        </w:rPr>
        <w:t>Qualitative research methods for the social sciences</w:t>
      </w:r>
      <w:r>
        <w:t xml:space="preserve"> (Ninth edition). Pearson.</w:t>
      </w:r>
    </w:p>
    <w:p w14:paraId="4F18F630" w14:textId="77777777" w:rsidR="00506049" w:rsidRDefault="00506049" w:rsidP="00506049">
      <w:pPr>
        <w:pStyle w:val="Bibliography"/>
      </w:pPr>
      <w:r>
        <w:t xml:space="preserve">Berwick, D. M. (2020). The Moral Determinants of Health. </w:t>
      </w:r>
      <w:r>
        <w:rPr>
          <w:i/>
          <w:iCs/>
        </w:rPr>
        <w:t>JAMA</w:t>
      </w:r>
      <w:r>
        <w:t xml:space="preserve">, </w:t>
      </w:r>
      <w:r>
        <w:rPr>
          <w:i/>
          <w:iCs/>
        </w:rPr>
        <w:t>324</w:t>
      </w:r>
      <w:r>
        <w:t>(3), 225–226. https://doi.org/10.1001/jama.2020.11129</w:t>
      </w:r>
    </w:p>
    <w:p w14:paraId="0BA97E43" w14:textId="77777777" w:rsidR="00506049" w:rsidRDefault="00506049" w:rsidP="00506049">
      <w:pPr>
        <w:pStyle w:val="Bibliography"/>
      </w:pPr>
      <w:r>
        <w:t xml:space="preserve">Best Places. (n.d). </w:t>
      </w:r>
      <w:r>
        <w:rPr>
          <w:i/>
          <w:iCs/>
        </w:rPr>
        <w:t>Tennessee: 428 Cities</w:t>
      </w:r>
      <w:r>
        <w:t>. Best Places. https://www.bestplaces.net/find/state.aspx?state=tn</w:t>
      </w:r>
    </w:p>
    <w:p w14:paraId="005D7642" w14:textId="77777777" w:rsidR="00506049" w:rsidRDefault="00506049" w:rsidP="00506049">
      <w:pPr>
        <w:pStyle w:val="Bibliography"/>
      </w:pPr>
      <w:r>
        <w:t xml:space="preserve">Beyer, K. M. M. (2016). The Lessons of Dr. John Snow: A Call for Translational Health Geography. In </w:t>
      </w:r>
      <w:r>
        <w:rPr>
          <w:i/>
          <w:iCs/>
        </w:rPr>
        <w:t>Research Advances in Behavioral, Economic and Health Geography Inspired by Gerard Rushton</w:t>
      </w:r>
      <w:r>
        <w:t xml:space="preserve"> (pp. 85–98).</w:t>
      </w:r>
    </w:p>
    <w:p w14:paraId="1C8E7202" w14:textId="77777777" w:rsidR="00506049" w:rsidRDefault="00506049" w:rsidP="00506049">
      <w:pPr>
        <w:pStyle w:val="Bibliography"/>
      </w:pPr>
      <w:r>
        <w:t xml:space="preserve">Bierman, A. S., &amp; Clancy, C. M. (2001). Health disparities among older women: Identifying opportunities to improve quality of care and functional health outcomes. </w:t>
      </w:r>
      <w:r>
        <w:rPr>
          <w:i/>
          <w:iCs/>
        </w:rPr>
        <w:t>Journal of the American Medical Women’s Association (1972)</w:t>
      </w:r>
      <w:r>
        <w:t xml:space="preserve">, </w:t>
      </w:r>
      <w:r>
        <w:rPr>
          <w:i/>
          <w:iCs/>
        </w:rPr>
        <w:t>56</w:t>
      </w:r>
      <w:r>
        <w:t>(4), 155–159, 188.</w:t>
      </w:r>
    </w:p>
    <w:p w14:paraId="1FB87AC4" w14:textId="77777777" w:rsidR="00506049" w:rsidRDefault="00506049" w:rsidP="00506049">
      <w:pPr>
        <w:pStyle w:val="Bibliography"/>
      </w:pPr>
      <w:r>
        <w:t xml:space="preserve">Bindley, K., Lewis, J., Travaglia, J., &amp; DiGiacomo, M. (2021). Caring precariously: An interpretive description of palliative care and welfare worker perspectives on end of life carers navigating social welfare. </w:t>
      </w:r>
      <w:r>
        <w:rPr>
          <w:i/>
          <w:iCs/>
        </w:rPr>
        <w:t>Palliative Medicine</w:t>
      </w:r>
      <w:r>
        <w:t xml:space="preserve">, </w:t>
      </w:r>
      <w:r>
        <w:rPr>
          <w:i/>
          <w:iCs/>
        </w:rPr>
        <w:t>35</w:t>
      </w:r>
      <w:r>
        <w:t>(1), 169–178. https://doi.org/10.1177/0269216320966492</w:t>
      </w:r>
    </w:p>
    <w:p w14:paraId="034A705F" w14:textId="77777777" w:rsidR="00506049" w:rsidRDefault="00506049" w:rsidP="00506049">
      <w:pPr>
        <w:pStyle w:val="Bibliography"/>
      </w:pPr>
      <w:r>
        <w:lastRenderedPageBreak/>
        <w:t xml:space="preserve">Bird, C. E. (2022, February 11). </w:t>
      </w:r>
      <w:r>
        <w:rPr>
          <w:i/>
          <w:iCs/>
        </w:rPr>
        <w:t>Underfunding of Research in Women’s Health Issues Is the Biggest Missed Opportunity in Health Care</w:t>
      </w:r>
      <w:r>
        <w:t>. https://www.rand.org/blog/2022/02/underfunding-of-research-in-womens-health-issues-is.html</w:t>
      </w:r>
    </w:p>
    <w:p w14:paraId="59C5A4B5" w14:textId="77777777" w:rsidR="00506049" w:rsidRDefault="00506049" w:rsidP="00506049">
      <w:pPr>
        <w:pStyle w:val="Bibliography"/>
      </w:pPr>
      <w:r>
        <w:t xml:space="preserve">Blomley, N. (2008). The spaces of critical geography. </w:t>
      </w:r>
      <w:r>
        <w:rPr>
          <w:i/>
          <w:iCs/>
        </w:rPr>
        <w:t>Progress in Human Geography</w:t>
      </w:r>
      <w:r>
        <w:t xml:space="preserve">, </w:t>
      </w:r>
      <w:r>
        <w:rPr>
          <w:i/>
          <w:iCs/>
        </w:rPr>
        <w:t>32</w:t>
      </w:r>
      <w:r>
        <w:t>(2), 285–293. https://doi.org/10.1177/0309132507084401</w:t>
      </w:r>
    </w:p>
    <w:p w14:paraId="0E4C9671" w14:textId="77777777" w:rsidR="00506049" w:rsidRDefault="00506049" w:rsidP="00506049">
      <w:pPr>
        <w:pStyle w:val="Bibliography"/>
      </w:pPr>
      <w:r>
        <w:t xml:space="preserve">Bodner, E., Shrira, A., Bergman, Y. S., Cohen-Fridel, S., &amp; Grossman, E. S. (2015). The interaction between aging and death anxieties predicts ageism. </w:t>
      </w:r>
      <w:r>
        <w:rPr>
          <w:i/>
          <w:iCs/>
        </w:rPr>
        <w:t>Personality and Individual Differences</w:t>
      </w:r>
      <w:r>
        <w:t xml:space="preserve">, </w:t>
      </w:r>
      <w:r>
        <w:rPr>
          <w:i/>
          <w:iCs/>
        </w:rPr>
        <w:t>86</w:t>
      </w:r>
      <w:r>
        <w:t>, 15–19. https://doi.org/10.1016/j.paid.2015.05.022</w:t>
      </w:r>
    </w:p>
    <w:p w14:paraId="2B3419A2" w14:textId="77777777" w:rsidR="00506049" w:rsidRDefault="00506049" w:rsidP="00506049">
      <w:pPr>
        <w:pStyle w:val="Bibliography"/>
      </w:pPr>
      <w:r>
        <w:t xml:space="preserve">Boulware, L. E., Corbie, G., Aguilar-Gaxiola, S., Wilkins, C. H., Ruiz, R., Vitale, A., &amp; Egede, L. E. (2022). Combating Structural Inequities—Diversity, Equity, and Inclusion in Clinical and Translational Research. </w:t>
      </w:r>
      <w:r>
        <w:rPr>
          <w:i/>
          <w:iCs/>
        </w:rPr>
        <w:t>New England Journal of Medicine</w:t>
      </w:r>
      <w:r>
        <w:t xml:space="preserve">, </w:t>
      </w:r>
      <w:r>
        <w:rPr>
          <w:i/>
          <w:iCs/>
        </w:rPr>
        <w:t>386</w:t>
      </w:r>
      <w:r>
        <w:t>(3), 201–203. https://doi.org/10.1056/NEJMp2112233</w:t>
      </w:r>
    </w:p>
    <w:p w14:paraId="08C8389E" w14:textId="77777777" w:rsidR="00506049" w:rsidRDefault="00506049" w:rsidP="00506049">
      <w:pPr>
        <w:pStyle w:val="Bibliography"/>
      </w:pPr>
      <w:r>
        <w:t xml:space="preserve">Boyd, K. M. (2000). Disease, illness, sickness, health, healing and wholeness: Exploring some elusive concepts. </w:t>
      </w:r>
      <w:r>
        <w:rPr>
          <w:i/>
          <w:iCs/>
        </w:rPr>
        <w:t>Medical Humanities</w:t>
      </w:r>
      <w:r>
        <w:t xml:space="preserve">, </w:t>
      </w:r>
      <w:r>
        <w:rPr>
          <w:i/>
          <w:iCs/>
        </w:rPr>
        <w:t>26</w:t>
      </w:r>
      <w:r>
        <w:t>(1), 9–17. https://doi.org/10.1136/mh.26.1.9</w:t>
      </w:r>
    </w:p>
    <w:p w14:paraId="0430B3EF" w14:textId="77777777" w:rsidR="00506049" w:rsidRDefault="00506049" w:rsidP="00506049">
      <w:pPr>
        <w:pStyle w:val="Bibliography"/>
      </w:pPr>
      <w:r>
        <w:t xml:space="preserve">Braveman, P., Arkin, E., Orleans, T., Proctor, D., Acker, J., &amp; Plough, A. (2018). What is health equity? </w:t>
      </w:r>
      <w:r>
        <w:rPr>
          <w:i/>
          <w:iCs/>
        </w:rPr>
        <w:t>Behavioral Science &amp; Policy</w:t>
      </w:r>
      <w:r>
        <w:t xml:space="preserve">, </w:t>
      </w:r>
      <w:r>
        <w:rPr>
          <w:i/>
          <w:iCs/>
        </w:rPr>
        <w:t>4</w:t>
      </w:r>
      <w:r>
        <w:t>(1), 1–14. https://doi.org/10.1353/bsp.2018.0000</w:t>
      </w:r>
    </w:p>
    <w:p w14:paraId="5B738395" w14:textId="77777777" w:rsidR="00506049" w:rsidRDefault="00506049" w:rsidP="00506049">
      <w:pPr>
        <w:pStyle w:val="Bibliography"/>
      </w:pPr>
      <w:r>
        <w:t xml:space="preserve">Breen, N., Berrigan, D., Jackson, J. S., Wong, D. W. S., Wood, F. B., Denny, J. C., Zhang, X., &amp; Bourne, P. E. (2019). Translational Health Disparities Research in a Data-Rich World. </w:t>
      </w:r>
      <w:r>
        <w:rPr>
          <w:i/>
          <w:iCs/>
        </w:rPr>
        <w:t>Health Equity</w:t>
      </w:r>
      <w:r>
        <w:t xml:space="preserve">, </w:t>
      </w:r>
      <w:r>
        <w:rPr>
          <w:i/>
          <w:iCs/>
        </w:rPr>
        <w:t>3</w:t>
      </w:r>
      <w:r>
        <w:t>(1), 588–600. https://doi.org/10.1089/heq.2019.0042</w:t>
      </w:r>
    </w:p>
    <w:p w14:paraId="798BC7F6" w14:textId="77777777" w:rsidR="00506049" w:rsidRDefault="00506049" w:rsidP="00506049">
      <w:pPr>
        <w:pStyle w:val="Bibliography"/>
      </w:pPr>
      <w:r>
        <w:t xml:space="preserve">Breysse, J., Dixon, S., Wilson, J., &amp; Szanton, S. (2022). Aging Gracefully in Place: An Evaluation of the Capability of the CAPABLE© Approach. </w:t>
      </w:r>
      <w:r>
        <w:rPr>
          <w:i/>
          <w:iCs/>
        </w:rPr>
        <w:t>Journal of Applied Gerontology</w:t>
      </w:r>
      <w:r>
        <w:t xml:space="preserve">, </w:t>
      </w:r>
      <w:r>
        <w:rPr>
          <w:i/>
          <w:iCs/>
        </w:rPr>
        <w:t>41</w:t>
      </w:r>
      <w:r>
        <w:t>(3), 718–728. https://doi.org/10.1177/07334648211042606</w:t>
      </w:r>
    </w:p>
    <w:p w14:paraId="02832A99" w14:textId="77777777" w:rsidR="00506049" w:rsidRDefault="00506049" w:rsidP="00506049">
      <w:pPr>
        <w:pStyle w:val="Bibliography"/>
      </w:pPr>
      <w:r>
        <w:t xml:space="preserve">Broderick, C. B. (1993). </w:t>
      </w:r>
      <w:r>
        <w:rPr>
          <w:i/>
          <w:iCs/>
        </w:rPr>
        <w:t>Understanding Family Process: Basics of Family Systems Theory</w:t>
      </w:r>
      <w:r>
        <w:t>. SAGE.</w:t>
      </w:r>
    </w:p>
    <w:p w14:paraId="7D05D75E" w14:textId="77777777" w:rsidR="00506049" w:rsidRDefault="00506049" w:rsidP="00506049">
      <w:pPr>
        <w:pStyle w:val="Bibliography"/>
      </w:pPr>
      <w:r>
        <w:t xml:space="preserve">Bronfenbrenner, U. (1986). Ecology of the family as a context for human development: Research perspectives. </w:t>
      </w:r>
      <w:r>
        <w:rPr>
          <w:i/>
          <w:iCs/>
        </w:rPr>
        <w:t>Developmental Psychology</w:t>
      </w:r>
      <w:r>
        <w:t xml:space="preserve">, </w:t>
      </w:r>
      <w:r>
        <w:rPr>
          <w:i/>
          <w:iCs/>
        </w:rPr>
        <w:t>22</w:t>
      </w:r>
      <w:r>
        <w:t>(6), 723–742. https://doi.org/10.1037/0012-1649.22.6.723</w:t>
      </w:r>
    </w:p>
    <w:p w14:paraId="64241C4C" w14:textId="77777777" w:rsidR="00506049" w:rsidRDefault="00506049" w:rsidP="00506049">
      <w:pPr>
        <w:pStyle w:val="Bibliography"/>
      </w:pPr>
      <w:r>
        <w:t xml:space="preserve">Brown, B. J., &amp; Baker, S. (2012). </w:t>
      </w:r>
      <w:r>
        <w:rPr>
          <w:i/>
          <w:iCs/>
        </w:rPr>
        <w:t>Responsible Citizens: Individuals, Health, and Policy Under Neoliberalism</w:t>
      </w:r>
      <w:r>
        <w:t>. Anthem Press.</w:t>
      </w:r>
    </w:p>
    <w:p w14:paraId="585E76C9" w14:textId="77777777" w:rsidR="00506049" w:rsidRDefault="00506049" w:rsidP="00506049">
      <w:pPr>
        <w:pStyle w:val="Bibliography"/>
      </w:pPr>
      <w:r>
        <w:t xml:space="preserve">Brown, M. (2022, April 13). Tennessee marriage bill fails to advance in General Assembly after age-limit controversy. </w:t>
      </w:r>
      <w:r>
        <w:rPr>
          <w:i/>
          <w:iCs/>
        </w:rPr>
        <w:t>The Tennessean</w:t>
      </w:r>
      <w:r>
        <w:t>. https://www.tennessean.com/story/news/politics/2022/04/13/tennessee-marriage-bill-no-age-limit-not-advance-year-after-backlash-child-bride-concerns/7303147001/</w:t>
      </w:r>
    </w:p>
    <w:p w14:paraId="3AFFDB6E" w14:textId="77777777" w:rsidR="00506049" w:rsidRDefault="00506049" w:rsidP="00506049">
      <w:pPr>
        <w:pStyle w:val="Bibliography"/>
      </w:pPr>
      <w:r>
        <w:lastRenderedPageBreak/>
        <w:t xml:space="preserve">Brown, S. M. (2021, May 4). </w:t>
      </w:r>
      <w:r>
        <w:rPr>
          <w:i/>
          <w:iCs/>
        </w:rPr>
        <w:t>Biden Admin Delivers Funds to Support Older Americans’ Health</w:t>
      </w:r>
      <w:r>
        <w:t>. The Washington Informer. http://www.washingtoninformer.com/biden-admin-delivers-funds-to-support-older-americans-health/</w:t>
      </w:r>
    </w:p>
    <w:p w14:paraId="0491DFB5" w14:textId="77777777" w:rsidR="00506049" w:rsidRDefault="00506049" w:rsidP="00506049">
      <w:pPr>
        <w:pStyle w:val="Bibliography"/>
      </w:pPr>
      <w:r>
        <w:t xml:space="preserve">Brumfield, C., Aderonmu, F., Grant, K., Carr, A., Dutta-Gupta, I., Camacho-Craft, I., Steiger, D., &amp; Edelman, P. (2019). </w:t>
      </w:r>
      <w:r>
        <w:rPr>
          <w:i/>
          <w:iCs/>
        </w:rPr>
        <w:t>» Structurally Unsound: The Impact of Using Block Grants to Fund Economic Security Programs</w:t>
      </w:r>
      <w:r>
        <w:t>. Georgetown Law Center on Poverty and Inequality. https://www.georgetownpoverty.org/issues/tax-benefits/structurally-unsound/</w:t>
      </w:r>
    </w:p>
    <w:p w14:paraId="6B3FE6F0" w14:textId="77777777" w:rsidR="00506049" w:rsidRDefault="00506049" w:rsidP="00506049">
      <w:pPr>
        <w:pStyle w:val="Bibliography"/>
      </w:pPr>
      <w:r>
        <w:t xml:space="preserve">Bunis, D. (2022, January 19). </w:t>
      </w:r>
      <w:r>
        <w:rPr>
          <w:i/>
          <w:iCs/>
        </w:rPr>
        <w:t>​Millions of Older Americans Can’t Afford Prescriptions</w:t>
      </w:r>
      <w:r>
        <w:t>. American Association of Retired People (AARP). https://www.aarp.org/health/medicare-insurance/info-2022/drug-costs-survey.html</w:t>
      </w:r>
    </w:p>
    <w:p w14:paraId="0D8B6A45" w14:textId="77777777" w:rsidR="00506049" w:rsidRDefault="00506049" w:rsidP="00506049">
      <w:pPr>
        <w:pStyle w:val="Bibliography"/>
      </w:pPr>
      <w:r>
        <w:t xml:space="preserve">Burrowes, K. (2021, March 7). </w:t>
      </w:r>
      <w:r>
        <w:rPr>
          <w:i/>
          <w:iCs/>
        </w:rPr>
        <w:t>Gender bias in medicine and medical research is still putting women’s health at risk</w:t>
      </w:r>
      <w:r>
        <w:t>. The Conversation. http://theconversation.com/gender-bias-in-medicine-and-medical-research-is-still-putting-womens-health-at-risk-156495</w:t>
      </w:r>
    </w:p>
    <w:p w14:paraId="38788DE4" w14:textId="77777777" w:rsidR="00506049" w:rsidRDefault="00506049" w:rsidP="00506049">
      <w:pPr>
        <w:pStyle w:val="Bibliography"/>
      </w:pPr>
      <w:r>
        <w:t xml:space="preserve">Butler, C. C., Rollnick, S., Pill, R., Maggs-Rapport, F., &amp; Stott, N. (1998). Understanding the culture of prescribing: Qualitative study of general practitioners’ and patients’ perceptions of antibiotics for sore throats. </w:t>
      </w:r>
      <w:r>
        <w:rPr>
          <w:i/>
          <w:iCs/>
        </w:rPr>
        <w:t>BMJ</w:t>
      </w:r>
      <w:r>
        <w:t xml:space="preserve">, </w:t>
      </w:r>
      <w:r>
        <w:rPr>
          <w:i/>
          <w:iCs/>
        </w:rPr>
        <w:t>317</w:t>
      </w:r>
      <w:r>
        <w:t>(7159), 637–642. https://doi.org/10.1136/bmj.317.7159.637</w:t>
      </w:r>
    </w:p>
    <w:p w14:paraId="03E83FD8" w14:textId="77777777" w:rsidR="00506049" w:rsidRDefault="00506049" w:rsidP="00506049">
      <w:pPr>
        <w:pStyle w:val="Bibliography"/>
      </w:pPr>
      <w:r>
        <w:t xml:space="preserve">Butler, S. M., &amp; Snowdon, D. A. (1996). Trends in mortality in older women: Findings from the Nun Study. </w:t>
      </w:r>
      <w:r>
        <w:rPr>
          <w:i/>
          <w:iCs/>
        </w:rPr>
        <w:t>The Journals of Gerontology Series B: Psychological Sciences and Social Sciences</w:t>
      </w:r>
      <w:r>
        <w:t xml:space="preserve">, </w:t>
      </w:r>
      <w:r>
        <w:rPr>
          <w:i/>
          <w:iCs/>
        </w:rPr>
        <w:t>51</w:t>
      </w:r>
      <w:r>
        <w:t>(4), 201–208.</w:t>
      </w:r>
    </w:p>
    <w:p w14:paraId="7FE5F70A" w14:textId="77777777" w:rsidR="00506049" w:rsidRDefault="00506049" w:rsidP="00506049">
      <w:pPr>
        <w:pStyle w:val="Bibliography"/>
      </w:pPr>
      <w:r>
        <w:t xml:space="preserve">CAB. (2017). </w:t>
      </w:r>
      <w:r>
        <w:rPr>
          <w:i/>
          <w:iCs/>
        </w:rPr>
        <w:t>Inequalities in Later Life. The issue and the implications for policy and practice.</w:t>
      </w:r>
      <w:r>
        <w:t xml:space="preserve"> Centre for Ageing Better (CAB).</w:t>
      </w:r>
    </w:p>
    <w:p w14:paraId="344335F7" w14:textId="77777777" w:rsidR="00506049" w:rsidRDefault="00506049" w:rsidP="00506049">
      <w:pPr>
        <w:pStyle w:val="Bibliography"/>
      </w:pPr>
      <w:r>
        <w:t xml:space="preserve">Callahan, D. (1998). Managed care and the goals of medicine. </w:t>
      </w:r>
      <w:r>
        <w:rPr>
          <w:i/>
          <w:iCs/>
        </w:rPr>
        <w:t>Journal of the American Geriatrics Society</w:t>
      </w:r>
      <w:r>
        <w:t xml:space="preserve">, </w:t>
      </w:r>
      <w:r>
        <w:rPr>
          <w:i/>
          <w:iCs/>
        </w:rPr>
        <w:t>46</w:t>
      </w:r>
      <w:r>
        <w:t>(3), 385–388.</w:t>
      </w:r>
    </w:p>
    <w:p w14:paraId="117A1DF9" w14:textId="77777777" w:rsidR="00506049" w:rsidRDefault="00506049" w:rsidP="00506049">
      <w:pPr>
        <w:pStyle w:val="Bibliography"/>
      </w:pPr>
      <w:r>
        <w:t xml:space="preserve">Cardona, B. (2021). The pitfalls of personalization rhetoric in time of health crisis: COVID-19 pandemic and cracks on neoliberal ideologies. </w:t>
      </w:r>
      <w:r>
        <w:rPr>
          <w:i/>
          <w:iCs/>
        </w:rPr>
        <w:t>Health Promotion International</w:t>
      </w:r>
      <w:r>
        <w:t xml:space="preserve">, </w:t>
      </w:r>
      <w:r>
        <w:rPr>
          <w:i/>
          <w:iCs/>
        </w:rPr>
        <w:t>36</w:t>
      </w:r>
      <w:r>
        <w:t>(3), 714–721. https://doi.org/10.1093/heapro/daaa112</w:t>
      </w:r>
    </w:p>
    <w:p w14:paraId="14DC99C0" w14:textId="77777777" w:rsidR="00506049" w:rsidRDefault="00506049" w:rsidP="00506049">
      <w:pPr>
        <w:pStyle w:val="Bibliography"/>
      </w:pPr>
      <w:r>
        <w:t xml:space="preserve">Carmel, S. (2019). Health and Well-Being in Late Life: Gender Differences Worldwide. </w:t>
      </w:r>
      <w:r>
        <w:rPr>
          <w:i/>
          <w:iCs/>
        </w:rPr>
        <w:t>Frontiers in Medicine</w:t>
      </w:r>
      <w:r>
        <w:t xml:space="preserve">, </w:t>
      </w:r>
      <w:r>
        <w:rPr>
          <w:i/>
          <w:iCs/>
        </w:rPr>
        <w:t>6</w:t>
      </w:r>
      <w:r>
        <w:t>. https://doi.org/10.3389/fmed.2019.00218</w:t>
      </w:r>
    </w:p>
    <w:p w14:paraId="6E030861" w14:textId="77777777" w:rsidR="00506049" w:rsidRDefault="00506049" w:rsidP="00506049">
      <w:pPr>
        <w:pStyle w:val="Bibliography"/>
      </w:pPr>
      <w:r>
        <w:t xml:space="preserve">Carr, D. (2018). The Linked Lives Principle in Life Course Studies: Classic Approaches and Contemporary Advances. In D. F. Alwin, D. H. Felmlee, &amp; D. A. Kreager (Eds.), </w:t>
      </w:r>
      <w:r>
        <w:rPr>
          <w:i/>
          <w:iCs/>
        </w:rPr>
        <w:t>Social Networks and the Life Course: Integrating the Development of Human Lives and Social Relational Networks</w:t>
      </w:r>
      <w:r>
        <w:t xml:space="preserve"> (pp. 41–63). Springer International Publishing. https://doi.org/10.1007/978-3-319-71544-5_3</w:t>
      </w:r>
    </w:p>
    <w:p w14:paraId="056562D5" w14:textId="77777777" w:rsidR="00506049" w:rsidRDefault="00506049" w:rsidP="00506049">
      <w:pPr>
        <w:pStyle w:val="Bibliography"/>
      </w:pPr>
      <w:r>
        <w:t xml:space="preserve">CDC. (2015). </w:t>
      </w:r>
      <w:r>
        <w:rPr>
          <w:i/>
          <w:iCs/>
        </w:rPr>
        <w:t>Chronic Disease Indicators: Indicator Definitions—Older Adults</w:t>
      </w:r>
      <w:r>
        <w:t>. Centers for Disease Control and Prevention (CDC). https://www.cdc.gov/cdi/definitions/older-adults.html</w:t>
      </w:r>
    </w:p>
    <w:p w14:paraId="1D8D46F2" w14:textId="77777777" w:rsidR="00506049" w:rsidRDefault="00506049" w:rsidP="00506049">
      <w:pPr>
        <w:pStyle w:val="Bibliography"/>
      </w:pPr>
      <w:r>
        <w:lastRenderedPageBreak/>
        <w:t xml:space="preserve">CDC. (2017). </w:t>
      </w:r>
      <w:r>
        <w:rPr>
          <w:i/>
          <w:iCs/>
        </w:rPr>
        <w:t>Health Disparities</w:t>
      </w:r>
      <w:r>
        <w:t>. Centers for Disease Control and Prevention (CDC), Alzheimer’s Disease and Healthy Aging. https://www.cdc.gov/aging/disparities/index.htm</w:t>
      </w:r>
    </w:p>
    <w:p w14:paraId="4FE762EB" w14:textId="77777777" w:rsidR="00506049" w:rsidRDefault="00506049" w:rsidP="00506049">
      <w:pPr>
        <w:pStyle w:val="Bibliography"/>
      </w:pPr>
      <w:r>
        <w:t xml:space="preserve">CDC. (2018, November 5). </w:t>
      </w:r>
      <w:r>
        <w:rPr>
          <w:i/>
          <w:iCs/>
        </w:rPr>
        <w:t>Well-Being Concepts</w:t>
      </w:r>
      <w:r>
        <w:t>. Centers for Disease Control and Prevention (CDC), Health-Related Quality of Life (HRQOL). https://www.cdc.gov/hrqol/wellbeing.htm</w:t>
      </w:r>
    </w:p>
    <w:p w14:paraId="7ACAA344" w14:textId="77777777" w:rsidR="00506049" w:rsidRDefault="00506049" w:rsidP="00506049">
      <w:pPr>
        <w:pStyle w:val="Bibliography"/>
      </w:pPr>
      <w:r>
        <w:t xml:space="preserve">CDC. (2019). </w:t>
      </w:r>
      <w:r>
        <w:rPr>
          <w:i/>
          <w:iCs/>
        </w:rPr>
        <w:t>Principles of Epidemiology in Public Health Practice | Lesson 3—Section 3</w:t>
      </w:r>
      <w:r>
        <w:t>. Centers for Disease Control and Prevention (CDC). https://www.cdc.gov/csels/dsepd/ss1978/lesson3/section3.html</w:t>
      </w:r>
    </w:p>
    <w:p w14:paraId="4AE655FF" w14:textId="77777777" w:rsidR="00506049" w:rsidRDefault="00506049" w:rsidP="00506049">
      <w:pPr>
        <w:pStyle w:val="Bibliography"/>
      </w:pPr>
      <w:r>
        <w:t xml:space="preserve">CDC. (2021, May 5). </w:t>
      </w:r>
      <w:r>
        <w:rPr>
          <w:i/>
          <w:iCs/>
        </w:rPr>
        <w:t>Oral Health for Older Americans | Adult Oral Health | Basics |</w:t>
      </w:r>
      <w:r>
        <w:t>. Centers for Disease Control and Prevention (CDC), Division of Oral Health. https://www.cdc.gov/oralhealth/basics/adult-oral-health/adult_older.htm</w:t>
      </w:r>
    </w:p>
    <w:p w14:paraId="017DFFDE" w14:textId="77777777" w:rsidR="00506049" w:rsidRDefault="00506049" w:rsidP="00506049">
      <w:pPr>
        <w:pStyle w:val="Bibliography"/>
      </w:pPr>
      <w:r>
        <w:t xml:space="preserve">CDC. (2022, May 25). </w:t>
      </w:r>
      <w:r>
        <w:rPr>
          <w:i/>
          <w:iCs/>
        </w:rPr>
        <w:t>Family Health History</w:t>
      </w:r>
      <w:r>
        <w:t>. Centers for Disease Control and Prevention (CDC). https://www.cdc.gov/genomics/famhistory/index.htm</w:t>
      </w:r>
    </w:p>
    <w:p w14:paraId="59CD8E29" w14:textId="77777777" w:rsidR="00506049" w:rsidRDefault="00506049" w:rsidP="00506049">
      <w:pPr>
        <w:pStyle w:val="Bibliography"/>
      </w:pPr>
      <w:r>
        <w:t xml:space="preserve">Cedars Sinai. (n.d.). </w:t>
      </w:r>
      <w:r>
        <w:rPr>
          <w:i/>
          <w:iCs/>
        </w:rPr>
        <w:t>Prevention Guidelines for Women 65+ Years Old</w:t>
      </w:r>
      <w:r>
        <w:t>. Cedars-Sinai. https://www.cedars-sinai.org/health-library/prevention-guidelines/prevention-guidelines-for-women-65.html</w:t>
      </w:r>
    </w:p>
    <w:p w14:paraId="3DD3A2AC" w14:textId="77777777" w:rsidR="00506049" w:rsidRDefault="00506049" w:rsidP="00506049">
      <w:pPr>
        <w:pStyle w:val="Bibliography"/>
      </w:pPr>
      <w:r>
        <w:t xml:space="preserve">Charles, K. K., Guryan, J., &amp; Pan, J. (2018). The effects of sexism on American women: The role of norms vs. </w:t>
      </w:r>
      <w:r>
        <w:rPr>
          <w:i/>
          <w:iCs/>
        </w:rPr>
        <w:t>Discrimination</w:t>
      </w:r>
      <w:r>
        <w:t xml:space="preserve">, </w:t>
      </w:r>
      <w:r>
        <w:rPr>
          <w:i/>
          <w:iCs/>
        </w:rPr>
        <w:t>w24904)</w:t>
      </w:r>
      <w:r>
        <w:t>. https://doi.org/10.3386/w24904</w:t>
      </w:r>
    </w:p>
    <w:p w14:paraId="7B147560" w14:textId="77777777" w:rsidR="00506049" w:rsidRDefault="00506049" w:rsidP="00506049">
      <w:pPr>
        <w:pStyle w:val="Bibliography"/>
      </w:pPr>
      <w:r>
        <w:t xml:space="preserve">Chrisler, J. C., Barney, A., &amp; Palatino, B. (2016). Ageism can be hazardous to women’s health: Ageism, sexism, and stereotypes of older women in the healthcare system. </w:t>
      </w:r>
      <w:r>
        <w:rPr>
          <w:i/>
          <w:iCs/>
        </w:rPr>
        <w:t>Journal of Social Issues</w:t>
      </w:r>
      <w:r>
        <w:t xml:space="preserve">, </w:t>
      </w:r>
      <w:r>
        <w:rPr>
          <w:i/>
          <w:iCs/>
        </w:rPr>
        <w:t>72</w:t>
      </w:r>
      <w:r>
        <w:t>(1), 86–104.</w:t>
      </w:r>
    </w:p>
    <w:p w14:paraId="5AE7DC5C" w14:textId="77777777" w:rsidR="00506049" w:rsidRDefault="00506049" w:rsidP="00506049">
      <w:pPr>
        <w:pStyle w:val="Bibliography"/>
      </w:pPr>
      <w:r>
        <w:t xml:space="preserve">Christakis, N. A., &amp; Fowler, J. H. (2009). </w:t>
      </w:r>
      <w:r>
        <w:rPr>
          <w:i/>
          <w:iCs/>
        </w:rPr>
        <w:t>Connected: The Surprising Power of Our Social Networks and How They Shape Our Lives</w:t>
      </w:r>
      <w:r>
        <w:t>. Little, Brown.</w:t>
      </w:r>
    </w:p>
    <w:p w14:paraId="0BFD9243" w14:textId="77777777" w:rsidR="00506049" w:rsidRDefault="00506049" w:rsidP="00506049">
      <w:pPr>
        <w:pStyle w:val="Bibliography"/>
      </w:pPr>
      <w:r>
        <w:t xml:space="preserve">Ciciurkaite, G., &amp; Perry, B. L. (2018). Body weight, perceived weight stigma and mental health among women at the intersection of race/ethnicity and socioeconomic status: Insights from the modified labelling approach. </w:t>
      </w:r>
      <w:r>
        <w:rPr>
          <w:i/>
          <w:iCs/>
        </w:rPr>
        <w:t>Sociology of Health &amp; Illness</w:t>
      </w:r>
      <w:r>
        <w:t xml:space="preserve">, </w:t>
      </w:r>
      <w:r>
        <w:rPr>
          <w:i/>
          <w:iCs/>
        </w:rPr>
        <w:t>40</w:t>
      </w:r>
      <w:r>
        <w:t>(1), 18–37. https://doi.org/10.1111/1467-9566.12619</w:t>
      </w:r>
    </w:p>
    <w:p w14:paraId="19E0C9D7" w14:textId="77777777" w:rsidR="00506049" w:rsidRDefault="00506049" w:rsidP="00506049">
      <w:pPr>
        <w:pStyle w:val="Bibliography"/>
      </w:pPr>
      <w:r>
        <w:t xml:space="preserve">Cimons, M. (2020, December 19). As you grow older, some preventive medical tests can actually be skipped. </w:t>
      </w:r>
      <w:r>
        <w:rPr>
          <w:i/>
          <w:iCs/>
        </w:rPr>
        <w:t>The Washington Post</w:t>
      </w:r>
      <w:r>
        <w:t>. https://www.washingtonpost.com/health/medical-tests-screening-skip-aging/2020/12/18/5bd0a088-3e34-11eb-8bc0-ae155bee4aff_story.html</w:t>
      </w:r>
    </w:p>
    <w:p w14:paraId="5FAC0B1B" w14:textId="77777777" w:rsidR="00506049" w:rsidRDefault="00506049" w:rsidP="00506049">
      <w:pPr>
        <w:pStyle w:val="Bibliography"/>
      </w:pPr>
      <w:r>
        <w:t xml:space="preserve">Cislaghi, B., &amp; Heise, L. (2018). Theory and practice of social norms interventions: Eight common pitfalls. </w:t>
      </w:r>
      <w:r>
        <w:rPr>
          <w:i/>
          <w:iCs/>
        </w:rPr>
        <w:t>Globalization and Health</w:t>
      </w:r>
      <w:r>
        <w:t xml:space="preserve">, </w:t>
      </w:r>
      <w:r>
        <w:rPr>
          <w:i/>
          <w:iCs/>
        </w:rPr>
        <w:t>14</w:t>
      </w:r>
      <w:r>
        <w:t>(1), 83. https://doi.org/10.1186/s12992-018-0398-x</w:t>
      </w:r>
    </w:p>
    <w:p w14:paraId="6632E804" w14:textId="77777777" w:rsidR="00506049" w:rsidRDefault="00506049" w:rsidP="00506049">
      <w:pPr>
        <w:pStyle w:val="Bibliography"/>
      </w:pPr>
      <w:r>
        <w:t xml:space="preserve">CMCS. (2021). </w:t>
      </w:r>
      <w:r>
        <w:rPr>
          <w:i/>
          <w:iCs/>
        </w:rPr>
        <w:t>Strengthening and Investing in Home and Community Based Services for Medicaid Beneficiaries: American Rescue Plan Act of 2021 Section 9817 | Medicaid</w:t>
      </w:r>
      <w:r>
        <w:t xml:space="preserve">. </w:t>
      </w:r>
      <w:r>
        <w:lastRenderedPageBreak/>
        <w:t>Centers for Medicare and Medicaid Services (CMCS), Medicaid.Gov. https://www.medicaid.gov/medicaid/home-community-based-services/guidance/strengthening-and-investing-home-and-community-based-services-for-medicaid-beneficiaries-american-rescue-plan-act-of-2021-section-9817/index.html</w:t>
      </w:r>
    </w:p>
    <w:p w14:paraId="49FBE028" w14:textId="77777777" w:rsidR="00506049" w:rsidRDefault="00506049" w:rsidP="00506049">
      <w:pPr>
        <w:pStyle w:val="Bibliography"/>
      </w:pPr>
      <w:r>
        <w:t xml:space="preserve">Coelho, T. (2021). </w:t>
      </w:r>
      <w:r>
        <w:rPr>
          <w:i/>
          <w:iCs/>
        </w:rPr>
        <w:t>Patients Need to Be Involved in Policy-Making</w:t>
      </w:r>
      <w:r>
        <w:t>. Care for Your Mind. https://careforyourmind.org/patients-need-to-be-involved-in-policy-making-2/</w:t>
      </w:r>
    </w:p>
    <w:p w14:paraId="5ED33E4A" w14:textId="77777777" w:rsidR="00506049" w:rsidRDefault="00506049" w:rsidP="00506049">
      <w:pPr>
        <w:pStyle w:val="Bibliography"/>
      </w:pPr>
      <w:r>
        <w:t xml:space="preserve">Cohen, A. A., Legault, V., &amp; Fülöp, T. (2020). What if there’s no such thing as “aging”? </w:t>
      </w:r>
      <w:r>
        <w:rPr>
          <w:i/>
          <w:iCs/>
        </w:rPr>
        <w:t>Mechanisms of Ageing and Development</w:t>
      </w:r>
      <w:r>
        <w:t xml:space="preserve">, </w:t>
      </w:r>
      <w:r>
        <w:rPr>
          <w:i/>
          <w:iCs/>
        </w:rPr>
        <w:t>192</w:t>
      </w:r>
      <w:r>
        <w:t>, 111344. https://doi.org/10.1016/j.mad.2020.111344</w:t>
      </w:r>
    </w:p>
    <w:p w14:paraId="69097BF7" w14:textId="77777777" w:rsidR="00506049" w:rsidRDefault="00506049" w:rsidP="00506049">
      <w:pPr>
        <w:pStyle w:val="Bibliography"/>
      </w:pPr>
      <w:r>
        <w:t xml:space="preserve">Cohen, B. H. (1964). Family Patterns of Mortality and Life Span. </w:t>
      </w:r>
      <w:r>
        <w:rPr>
          <w:i/>
          <w:iCs/>
        </w:rPr>
        <w:t>The Quarterly Review of Biology</w:t>
      </w:r>
      <w:r>
        <w:t xml:space="preserve">, </w:t>
      </w:r>
      <w:r>
        <w:rPr>
          <w:i/>
          <w:iCs/>
        </w:rPr>
        <w:t>39</w:t>
      </w:r>
      <w:r>
        <w:t>(2), 130–181. https://doi.org/10.1086/404164</w:t>
      </w:r>
    </w:p>
    <w:p w14:paraId="2BE59FD4" w14:textId="77777777" w:rsidR="00506049" w:rsidRDefault="00506049" w:rsidP="00506049">
      <w:pPr>
        <w:pStyle w:val="Bibliography"/>
      </w:pPr>
      <w:r>
        <w:t xml:space="preserve">Colello, K. J., &amp; Napili, A. (2022). </w:t>
      </w:r>
      <w:r>
        <w:rPr>
          <w:i/>
          <w:iCs/>
        </w:rPr>
        <w:t>Congressional Research Service—Older Americans Act</w:t>
      </w:r>
      <w:r>
        <w:t xml:space="preserve"> (Government No. R43414; p. 29). Congressional Research Service. https://crsreports.congress.gov/search/#/?termsToSearch=Older%20Americans%20Act&amp;orderBy=Relevance</w:t>
      </w:r>
    </w:p>
    <w:p w14:paraId="23314D7A" w14:textId="77777777" w:rsidR="00506049" w:rsidRDefault="00506049" w:rsidP="00506049">
      <w:pPr>
        <w:pStyle w:val="Bibliography"/>
      </w:pPr>
      <w:r>
        <w:t xml:space="preserve">Collins, C., McCartney, G., &amp; Garnham, L. (2016). Neoliberalism and health inequalities. In </w:t>
      </w:r>
      <w:r>
        <w:rPr>
          <w:i/>
          <w:iCs/>
        </w:rPr>
        <w:t>Health inequalities: Critical perspectives</w:t>
      </w:r>
      <w:r>
        <w:t xml:space="preserve"> (pp. 124–137).</w:t>
      </w:r>
    </w:p>
    <w:p w14:paraId="35760368" w14:textId="77777777" w:rsidR="00506049" w:rsidRDefault="00506049" w:rsidP="00506049">
      <w:pPr>
        <w:pStyle w:val="Bibliography"/>
      </w:pPr>
      <w:r>
        <w:t xml:space="preserve">Collins, P. H. (1998). Intersections of Race, Class, Gender, and Nation: Some Implications for Black Family Studies. </w:t>
      </w:r>
      <w:r>
        <w:rPr>
          <w:i/>
          <w:iCs/>
        </w:rPr>
        <w:t>Journal of Comparative Family Studies</w:t>
      </w:r>
      <w:r>
        <w:t xml:space="preserve">, </w:t>
      </w:r>
      <w:r>
        <w:rPr>
          <w:i/>
          <w:iCs/>
        </w:rPr>
        <w:t>29</w:t>
      </w:r>
      <w:r>
        <w:t>(1), 27–36. https://doi.org/10.3138/jcfs.29.1.27</w:t>
      </w:r>
    </w:p>
    <w:p w14:paraId="0B6D8E91" w14:textId="77777777" w:rsidR="00506049" w:rsidRDefault="00506049" w:rsidP="00506049">
      <w:pPr>
        <w:pStyle w:val="Bibliography"/>
      </w:pPr>
      <w:r>
        <w:t xml:space="preserve">Community Catalyst. (2022). </w:t>
      </w:r>
      <w:r>
        <w:rPr>
          <w:i/>
          <w:iCs/>
        </w:rPr>
        <w:t>Hospital Accountability Project: Tennessee</w:t>
      </w:r>
      <w:r>
        <w:t>. Community Catalyst. https://www.communitycatalyst.org/initiatives-and-issues/initiatives/hospital-accountability-project/free-care/states/tennessee</w:t>
      </w:r>
    </w:p>
    <w:p w14:paraId="050305BB" w14:textId="77777777" w:rsidR="00506049" w:rsidRDefault="00506049" w:rsidP="00506049">
      <w:pPr>
        <w:pStyle w:val="Bibliography"/>
      </w:pPr>
      <w:r>
        <w:t>Cortis, N. (2012). Overlooked and under</w:t>
      </w:r>
      <w:r>
        <w:rPr>
          <w:rFonts w:ascii="Cambria Math" w:hAnsi="Cambria Math" w:cs="Cambria Math"/>
        </w:rPr>
        <w:t>‐</w:t>
      </w:r>
      <w:r>
        <w:t xml:space="preserve">served? Promoting service use and engagement among </w:t>
      </w:r>
      <w:r>
        <w:rPr>
          <w:rFonts w:cs="Arial"/>
        </w:rPr>
        <w:t>‘</w:t>
      </w:r>
      <w:r>
        <w:t>hard</w:t>
      </w:r>
      <w:r>
        <w:rPr>
          <w:rFonts w:ascii="Cambria Math" w:hAnsi="Cambria Math" w:cs="Cambria Math"/>
        </w:rPr>
        <w:t>‐</w:t>
      </w:r>
      <w:r>
        <w:t>to</w:t>
      </w:r>
      <w:r>
        <w:rPr>
          <w:rFonts w:ascii="Cambria Math" w:hAnsi="Cambria Math" w:cs="Cambria Math"/>
        </w:rPr>
        <w:t>‐</w:t>
      </w:r>
      <w:r>
        <w:t>reach</w:t>
      </w:r>
      <w:r>
        <w:rPr>
          <w:rFonts w:cs="Arial"/>
        </w:rPr>
        <w:t>’</w:t>
      </w:r>
      <w:r>
        <w:t xml:space="preserve"> populations. </w:t>
      </w:r>
      <w:r>
        <w:rPr>
          <w:i/>
          <w:iCs/>
        </w:rPr>
        <w:t>International Journal of Social Welfare</w:t>
      </w:r>
      <w:r>
        <w:t xml:space="preserve">, </w:t>
      </w:r>
      <w:r>
        <w:rPr>
          <w:i/>
          <w:iCs/>
        </w:rPr>
        <w:t>21</w:t>
      </w:r>
      <w:r>
        <w:t>(4), 351–360. https://doi.org/10.1111/j.1468-2397.2011.00825.x</w:t>
      </w:r>
    </w:p>
    <w:p w14:paraId="5FFF7B1F" w14:textId="77777777" w:rsidR="00506049" w:rsidRDefault="00506049" w:rsidP="00506049">
      <w:pPr>
        <w:pStyle w:val="Bibliography"/>
      </w:pPr>
      <w:r>
        <w:t xml:space="preserve">Crenshaw, K. (1989). Demarginalizing the Intersection of Race and Sex: A Black Feminist Critique of Antidiscrimination Doctrine, Feminist Theory and Antiracist Politics. </w:t>
      </w:r>
      <w:r>
        <w:rPr>
          <w:i/>
          <w:iCs/>
        </w:rPr>
        <w:t>U. Chi. Legal F.</w:t>
      </w:r>
      <w:r>
        <w:t xml:space="preserve">, </w:t>
      </w:r>
      <w:r>
        <w:rPr>
          <w:i/>
          <w:iCs/>
        </w:rPr>
        <w:t>1989</w:t>
      </w:r>
      <w:r>
        <w:t>, 139.</w:t>
      </w:r>
    </w:p>
    <w:p w14:paraId="67234A32" w14:textId="77777777" w:rsidR="00506049" w:rsidRDefault="00506049" w:rsidP="00506049">
      <w:pPr>
        <w:pStyle w:val="Bibliography"/>
      </w:pPr>
      <w:r>
        <w:t xml:space="preserve">Cruikshank, M. (2013). </w:t>
      </w:r>
      <w:r>
        <w:rPr>
          <w:i/>
          <w:iCs/>
        </w:rPr>
        <w:t>Learning to be old: Gender, culture, and aging</w:t>
      </w:r>
      <w:r>
        <w:t>. Rowman &amp; Littlefield Publishers.</w:t>
      </w:r>
    </w:p>
    <w:p w14:paraId="4FE25C9F" w14:textId="77777777" w:rsidR="00506049" w:rsidRDefault="00506049" w:rsidP="00506049">
      <w:pPr>
        <w:pStyle w:val="Bibliography"/>
      </w:pPr>
      <w:r>
        <w:t xml:space="preserve">CTAS. (2021). </w:t>
      </w:r>
      <w:r>
        <w:rPr>
          <w:i/>
          <w:iCs/>
        </w:rPr>
        <w:t>County Commissioners</w:t>
      </w:r>
      <w:r>
        <w:t>. County Technical Assistance Service (CTAS). University of Tennessee, Institute for Public Service. http://www.ctas.tennessee.edu/gml/county-commissioners</w:t>
      </w:r>
    </w:p>
    <w:p w14:paraId="3A080E4A" w14:textId="77777777" w:rsidR="00506049" w:rsidRDefault="00506049" w:rsidP="00506049">
      <w:pPr>
        <w:pStyle w:val="Bibliography"/>
      </w:pPr>
      <w:r>
        <w:t xml:space="preserve">Cyr, M. E., Etchin, A. G., Guthrie, B. J., &amp; Benneyan, J. C. (2019). Access to specialty healthcare in urban versus rural US populations: A systematic literature review. </w:t>
      </w:r>
      <w:r>
        <w:rPr>
          <w:i/>
          <w:iCs/>
        </w:rPr>
        <w:t>BMC Health Services Research</w:t>
      </w:r>
      <w:r>
        <w:t xml:space="preserve">, </w:t>
      </w:r>
      <w:r>
        <w:rPr>
          <w:i/>
          <w:iCs/>
        </w:rPr>
        <w:t>19</w:t>
      </w:r>
      <w:r>
        <w:t>(1), 974. https://doi.org/10.1186/s12913-019-4815-5</w:t>
      </w:r>
    </w:p>
    <w:p w14:paraId="6218EE25" w14:textId="77777777" w:rsidR="00506049" w:rsidRDefault="00506049" w:rsidP="00506049">
      <w:pPr>
        <w:pStyle w:val="Bibliography"/>
      </w:pPr>
      <w:r>
        <w:lastRenderedPageBreak/>
        <w:t xml:space="preserve">Dadaczynski, K., Sykes, S., Bíró, É., &amp; Kósa, K. (2022). Editorial: The Social-Ecological Context of Health Literacy. </w:t>
      </w:r>
      <w:r>
        <w:rPr>
          <w:i/>
          <w:iCs/>
        </w:rPr>
        <w:t>Frontiers in Public Health</w:t>
      </w:r>
      <w:r>
        <w:t xml:space="preserve">, </w:t>
      </w:r>
      <w:r>
        <w:rPr>
          <w:i/>
          <w:iCs/>
        </w:rPr>
        <w:t>10</w:t>
      </w:r>
      <w:r>
        <w:t>, 897717. https://doi.org/10.3389/fpubh.2022.897717</w:t>
      </w:r>
    </w:p>
    <w:p w14:paraId="7174E34C" w14:textId="77777777" w:rsidR="00506049" w:rsidRDefault="00506049" w:rsidP="00506049">
      <w:pPr>
        <w:pStyle w:val="Bibliography"/>
      </w:pPr>
      <w:r>
        <w:t xml:space="preserve">Dannefer, D. (2020). Systemic and Reflexive: Foundations of Cumulative Dis/Advantage and Life-Course Processes. </w:t>
      </w:r>
      <w:r>
        <w:rPr>
          <w:i/>
          <w:iCs/>
        </w:rPr>
        <w:t>The Journals of Gerontology: Series B</w:t>
      </w:r>
      <w:r>
        <w:t xml:space="preserve">, </w:t>
      </w:r>
      <w:r>
        <w:rPr>
          <w:i/>
          <w:iCs/>
        </w:rPr>
        <w:t>75</w:t>
      </w:r>
      <w:r>
        <w:t>(6), 1249–1263. https://doi.org/10.1093/geronb/gby118</w:t>
      </w:r>
    </w:p>
    <w:p w14:paraId="2C40BCFE" w14:textId="77777777" w:rsidR="00506049" w:rsidRDefault="00506049" w:rsidP="00506049">
      <w:pPr>
        <w:pStyle w:val="Bibliography"/>
      </w:pPr>
      <w:r>
        <w:t xml:space="preserve">Darab, S., Hartman, Y., &amp; Holdsworth, L. (2018). What women want: Single older women and their housing preferences. </w:t>
      </w:r>
      <w:r>
        <w:rPr>
          <w:i/>
          <w:iCs/>
        </w:rPr>
        <w:t>Housing Studies</w:t>
      </w:r>
      <w:r>
        <w:t xml:space="preserve">, </w:t>
      </w:r>
      <w:r>
        <w:rPr>
          <w:i/>
          <w:iCs/>
        </w:rPr>
        <w:t>33</w:t>
      </w:r>
      <w:r>
        <w:t>(4), 525–543. https://doi.org/10.1080/02673037.2017.1359501</w:t>
      </w:r>
    </w:p>
    <w:p w14:paraId="4A9F22C8" w14:textId="77777777" w:rsidR="00506049" w:rsidRDefault="00506049" w:rsidP="00506049">
      <w:pPr>
        <w:pStyle w:val="Bibliography"/>
      </w:pPr>
      <w:r>
        <w:t xml:space="preserve">Davidson, K., PhD, Research, S. V. P. of, &amp; Health, N. (2022). </w:t>
      </w:r>
      <w:r>
        <w:rPr>
          <w:i/>
          <w:iCs/>
        </w:rPr>
        <w:t>Women have been overlooked in medical research for years | Northwell Health</w:t>
      </w:r>
      <w:r>
        <w:t>. https://www.northwell.edu/katz-institute-for-womens-health/articles/women-overlooked-in-medical-research</w:t>
      </w:r>
    </w:p>
    <w:p w14:paraId="56062992" w14:textId="77777777" w:rsidR="00506049" w:rsidRDefault="00506049" w:rsidP="00506049">
      <w:pPr>
        <w:pStyle w:val="Bibliography"/>
      </w:pPr>
      <w:r>
        <w:t xml:space="preserve">Davison, C., Frankel, S., &amp; Smith, G. D. (1992). The limits of lifestyle: Re-assessing ‘fatalism’ in the popular culture of illness prevention. </w:t>
      </w:r>
      <w:r>
        <w:rPr>
          <w:i/>
          <w:iCs/>
        </w:rPr>
        <w:t>Social Science &amp; Medicine</w:t>
      </w:r>
      <w:r>
        <w:t xml:space="preserve">, </w:t>
      </w:r>
      <w:r>
        <w:rPr>
          <w:i/>
          <w:iCs/>
        </w:rPr>
        <w:t>34</w:t>
      </w:r>
      <w:r>
        <w:t>(6), 675–685. https://doi.org/10.1016/0277-9536(92)90195-V</w:t>
      </w:r>
    </w:p>
    <w:p w14:paraId="4575BADA" w14:textId="77777777" w:rsidR="00506049" w:rsidRDefault="00506049" w:rsidP="00506049">
      <w:pPr>
        <w:pStyle w:val="Bibliography"/>
      </w:pPr>
      <w:r>
        <w:t xml:space="preserve">Deakin, S. (2021). </w:t>
      </w:r>
      <w:r>
        <w:rPr>
          <w:i/>
          <w:iCs/>
        </w:rPr>
        <w:t>Employment and Wage Policies in a Post-Neoliberal World</w:t>
      </w:r>
      <w:r>
        <w:t>. https://link.springer.com/chapter/10.1007%2F978-3-030-56735-4_8</w:t>
      </w:r>
    </w:p>
    <w:p w14:paraId="508E1DDA" w14:textId="77777777" w:rsidR="00506049" w:rsidRDefault="00506049" w:rsidP="00506049">
      <w:pPr>
        <w:pStyle w:val="Bibliography"/>
      </w:pPr>
      <w:r>
        <w:t xml:space="preserve">Dillingham, E. (2019). </w:t>
      </w:r>
      <w:r>
        <w:rPr>
          <w:i/>
          <w:iCs/>
        </w:rPr>
        <w:t>Aging in America</w:t>
      </w:r>
      <w:r>
        <w:t xml:space="preserve"> [Murray State University]. https://digitalcommons.murraystate.edu/bis437/208</w:t>
      </w:r>
    </w:p>
    <w:p w14:paraId="771C1A2B" w14:textId="77777777" w:rsidR="00506049" w:rsidRDefault="00506049" w:rsidP="00506049">
      <w:pPr>
        <w:pStyle w:val="Bibliography"/>
      </w:pPr>
      <w:r>
        <w:t xml:space="preserve">Dimitrieska, S., &amp; Efremova, T. (2020). </w:t>
      </w:r>
      <w:r>
        <w:rPr>
          <w:i/>
          <w:iCs/>
        </w:rPr>
        <w:t>Women in Advertising</w:t>
      </w:r>
      <w:r>
        <w:t xml:space="preserve">. </w:t>
      </w:r>
      <w:r>
        <w:rPr>
          <w:i/>
          <w:iCs/>
        </w:rPr>
        <w:t>XVII</w:t>
      </w:r>
      <w:r>
        <w:t>(1), 164–170.</w:t>
      </w:r>
    </w:p>
    <w:p w14:paraId="0C24EBFE" w14:textId="77777777" w:rsidR="00506049" w:rsidRDefault="00506049" w:rsidP="00506049">
      <w:pPr>
        <w:pStyle w:val="Bibliography"/>
      </w:pPr>
      <w:r>
        <w:t xml:space="preserve">Dionigi, R. A. (2015). Stereotypes of Aging: Their Effects on the Health of Older Adults. </w:t>
      </w:r>
      <w:r>
        <w:rPr>
          <w:i/>
          <w:iCs/>
        </w:rPr>
        <w:t>Journal of Geriatrics</w:t>
      </w:r>
      <w:r>
        <w:t xml:space="preserve">, </w:t>
      </w:r>
      <w:r>
        <w:rPr>
          <w:i/>
          <w:iCs/>
        </w:rPr>
        <w:t>2015</w:t>
      </w:r>
      <w:r>
        <w:t>, 1–9. https://doi.org/10.1155/2015/954027</w:t>
      </w:r>
    </w:p>
    <w:p w14:paraId="7F7E3939" w14:textId="77777777" w:rsidR="00506049" w:rsidRDefault="00506049" w:rsidP="00506049">
      <w:pPr>
        <w:pStyle w:val="Bibliography"/>
      </w:pPr>
      <w:r>
        <w:t xml:space="preserve">Dollar, N., Gutin, I., Lawrence, E. M., Braudt, D. B., Fishman, S. H., Rogers, R. G., &amp; Hummer, R. A. (2020). The persistent southern disadvantage in US early life mortality, 1965‒2014. </w:t>
      </w:r>
      <w:r>
        <w:rPr>
          <w:i/>
          <w:iCs/>
        </w:rPr>
        <w:t>Demographic Research</w:t>
      </w:r>
      <w:r>
        <w:t xml:space="preserve">, </w:t>
      </w:r>
      <w:r>
        <w:rPr>
          <w:i/>
          <w:iCs/>
        </w:rPr>
        <w:t>42</w:t>
      </w:r>
      <w:r>
        <w:t>, 343–382. https://doi.org/10.4054/demres.2020.42.11</w:t>
      </w:r>
    </w:p>
    <w:p w14:paraId="28664AA0" w14:textId="77777777" w:rsidR="00506049" w:rsidRDefault="00506049" w:rsidP="00506049">
      <w:pPr>
        <w:pStyle w:val="Bibliography"/>
      </w:pPr>
      <w:r>
        <w:t xml:space="preserve">Douthit, N., Kiv, S., Dwolatzky, T., &amp; Biswas, S. (2015). Exposing some important barriers to health care access in the rural USA. </w:t>
      </w:r>
      <w:r>
        <w:rPr>
          <w:i/>
          <w:iCs/>
        </w:rPr>
        <w:t>Public Health</w:t>
      </w:r>
      <w:r>
        <w:t xml:space="preserve">, </w:t>
      </w:r>
      <w:r>
        <w:rPr>
          <w:i/>
          <w:iCs/>
        </w:rPr>
        <w:t>129</w:t>
      </w:r>
      <w:r>
        <w:t>(6), 611–620. https://doi.org/10.1016/j.puhe.2015.04.001</w:t>
      </w:r>
    </w:p>
    <w:p w14:paraId="7749ACF8" w14:textId="77777777" w:rsidR="00506049" w:rsidRDefault="00506049" w:rsidP="00506049">
      <w:pPr>
        <w:pStyle w:val="Bibliography"/>
      </w:pPr>
      <w:r>
        <w:t xml:space="preserve">Drexel University. (2022, May 24). </w:t>
      </w:r>
      <w:r>
        <w:rPr>
          <w:i/>
          <w:iCs/>
        </w:rPr>
        <w:t>Sharrelle Barber, ScD, MPH</w:t>
      </w:r>
      <w:r>
        <w:t>. Drexel University Dornsife School of Public Health. https://drexel.edu/dornsife/academics/faculty/Sharrelle-Barber/</w:t>
      </w:r>
    </w:p>
    <w:p w14:paraId="607DA5EB" w14:textId="77777777" w:rsidR="00506049" w:rsidRDefault="00506049" w:rsidP="00506049">
      <w:pPr>
        <w:pStyle w:val="Bibliography"/>
      </w:pPr>
      <w:r>
        <w:t xml:space="preserve">Dreyfus, H. (2021, December 29). </w:t>
      </w:r>
      <w:r>
        <w:rPr>
          <w:i/>
          <w:iCs/>
        </w:rPr>
        <w:t>States Are Hoarding $5.2 Billion in Welfare Funds Even as the Need for Aid Grows</w:t>
      </w:r>
      <w:r>
        <w:t>. ProPublica. https://www.propublica.org/article/states-are-hoarding-52-billion-in-welfare-funds-even-as-the-need-for-aid-grows</w:t>
      </w:r>
    </w:p>
    <w:p w14:paraId="4F532414" w14:textId="77777777" w:rsidR="00506049" w:rsidRDefault="00506049" w:rsidP="00506049">
      <w:pPr>
        <w:pStyle w:val="Bibliography"/>
      </w:pPr>
      <w:r>
        <w:lastRenderedPageBreak/>
        <w:t xml:space="preserve">DuBois, E. C. (2020). </w:t>
      </w:r>
      <w:r>
        <w:rPr>
          <w:i/>
          <w:iCs/>
        </w:rPr>
        <w:t>Suffrage: Women’s Long Battle for the Vote</w:t>
      </w:r>
      <w:r>
        <w:t>. Simon and Schuster.</w:t>
      </w:r>
    </w:p>
    <w:p w14:paraId="439BE8D5" w14:textId="77777777" w:rsidR="00506049" w:rsidRDefault="00506049" w:rsidP="00506049">
      <w:pPr>
        <w:pStyle w:val="Bibliography"/>
      </w:pPr>
      <w:r>
        <w:t xml:space="preserve">Dworkin, T. M., Schipani, C. A., Milliken, F. J., &amp; Kneeland, M. K. (2018). Assessing the Progress of Women in Corporate America: The More Things Change, the More They Stay the Same. </w:t>
      </w:r>
      <w:r>
        <w:rPr>
          <w:i/>
          <w:iCs/>
        </w:rPr>
        <w:t>American Business Law Journal</w:t>
      </w:r>
      <w:r>
        <w:t xml:space="preserve">, </w:t>
      </w:r>
      <w:r>
        <w:rPr>
          <w:i/>
          <w:iCs/>
        </w:rPr>
        <w:t>55</w:t>
      </w:r>
      <w:r>
        <w:t>(4), 721–762. https://doi.org/10.1111/ablj.12132</w:t>
      </w:r>
    </w:p>
    <w:p w14:paraId="4F401DDA" w14:textId="77777777" w:rsidR="00506049" w:rsidRDefault="00506049" w:rsidP="00506049">
      <w:pPr>
        <w:pStyle w:val="Bibliography"/>
      </w:pPr>
      <w:r>
        <w:t xml:space="preserve">Edmonds, B., &amp; Xenitidou, M. (Eds.). (2014). </w:t>
      </w:r>
      <w:r>
        <w:rPr>
          <w:i/>
          <w:iCs/>
        </w:rPr>
        <w:t>The Complexity of Social Norms</w:t>
      </w:r>
      <w:r>
        <w:t xml:space="preserve"> (1st ed. 2014). Springer International Publishing : Imprint: Springer. https://doi.org/10.1007/978-3-319-05308-0</w:t>
      </w:r>
    </w:p>
    <w:p w14:paraId="69C6124E" w14:textId="77777777" w:rsidR="00506049" w:rsidRDefault="00506049" w:rsidP="00506049">
      <w:pPr>
        <w:pStyle w:val="Bibliography"/>
      </w:pPr>
      <w:r>
        <w:t xml:space="preserve">Eijkholt, M., Broekman, M., Balak, N., &amp; Mathiesen, T. (2021). Three pitfalls of accountable healthcare rationing. </w:t>
      </w:r>
      <w:r>
        <w:rPr>
          <w:i/>
          <w:iCs/>
        </w:rPr>
        <w:t>Journal of Medical Ethics</w:t>
      </w:r>
      <w:r>
        <w:t xml:space="preserve">, </w:t>
      </w:r>
      <w:r>
        <w:rPr>
          <w:i/>
          <w:iCs/>
        </w:rPr>
        <w:t>47</w:t>
      </w:r>
      <w:r>
        <w:t>(12), e22–e22. https://doi.org/10.1136/medethics-2020-106943</w:t>
      </w:r>
    </w:p>
    <w:p w14:paraId="6EB91991" w14:textId="77777777" w:rsidR="00506049" w:rsidRDefault="00506049" w:rsidP="00506049">
      <w:pPr>
        <w:pStyle w:val="Bibliography"/>
      </w:pPr>
      <w:r>
        <w:t>Elisha, O. (2008). Moral ambitions of grace: The paradox of compassion and accountability in Evangelical faith</w:t>
      </w:r>
      <w:r>
        <w:rPr>
          <w:rFonts w:ascii="Cambria Math" w:hAnsi="Cambria Math" w:cs="Cambria Math"/>
        </w:rPr>
        <w:t>‐</w:t>
      </w:r>
      <w:r>
        <w:t xml:space="preserve">based activism. </w:t>
      </w:r>
      <w:r>
        <w:rPr>
          <w:i/>
          <w:iCs/>
        </w:rPr>
        <w:t>Cultural Anthropology</w:t>
      </w:r>
      <w:r>
        <w:t xml:space="preserve">, </w:t>
      </w:r>
      <w:r>
        <w:rPr>
          <w:i/>
          <w:iCs/>
        </w:rPr>
        <w:t>23</w:t>
      </w:r>
      <w:r>
        <w:t>(1), 154–189. https://doi.org/10.1111/j.1548-1360.2008.00006.x</w:t>
      </w:r>
    </w:p>
    <w:p w14:paraId="4E16CAB5" w14:textId="77777777" w:rsidR="00506049" w:rsidRDefault="00506049" w:rsidP="00506049">
      <w:pPr>
        <w:pStyle w:val="Bibliography"/>
      </w:pPr>
      <w:r>
        <w:t xml:space="preserve">Elster, J. (1989). </w:t>
      </w:r>
      <w:r>
        <w:rPr>
          <w:i/>
          <w:iCs/>
        </w:rPr>
        <w:t>The Cement of Society: A Survey of Social Order</w:t>
      </w:r>
      <w:r>
        <w:t>. Cambridge University Press.</w:t>
      </w:r>
    </w:p>
    <w:p w14:paraId="5B6B657B" w14:textId="77777777" w:rsidR="00506049" w:rsidRDefault="00506049" w:rsidP="00506049">
      <w:pPr>
        <w:pStyle w:val="Bibliography"/>
      </w:pPr>
      <w:r>
        <w:t xml:space="preserve">Emerson, R. M. (1962). Power-Dependence Relations. </w:t>
      </w:r>
      <w:r>
        <w:rPr>
          <w:i/>
          <w:iCs/>
        </w:rPr>
        <w:t>American Sociological Review</w:t>
      </w:r>
      <w:r>
        <w:t xml:space="preserve">, </w:t>
      </w:r>
      <w:r>
        <w:rPr>
          <w:i/>
          <w:iCs/>
        </w:rPr>
        <w:t>27</w:t>
      </w:r>
      <w:r>
        <w:t>(1), 31. https://doi.org/10.2307/2089716</w:t>
      </w:r>
    </w:p>
    <w:p w14:paraId="422116D2" w14:textId="77777777" w:rsidR="00506049" w:rsidRDefault="00506049" w:rsidP="00506049">
      <w:pPr>
        <w:pStyle w:val="Bibliography"/>
      </w:pPr>
      <w:r>
        <w:t xml:space="preserve">Enßle-Reinhardt, F., &amp; Helbrecht, I. (2022). “That is when you realize your age”- A spatial approach to age(ing). </w:t>
      </w:r>
      <w:r>
        <w:rPr>
          <w:i/>
          <w:iCs/>
        </w:rPr>
        <w:t>The Canadian Geographer / Le Géographe Canadien</w:t>
      </w:r>
      <w:r>
        <w:t xml:space="preserve">, </w:t>
      </w:r>
      <w:r>
        <w:rPr>
          <w:i/>
          <w:iCs/>
        </w:rPr>
        <w:t>66</w:t>
      </w:r>
      <w:r>
        <w:t>(1), 172–183. https://doi.org/10.1111/cag.12727</w:t>
      </w:r>
    </w:p>
    <w:p w14:paraId="0A7548CA" w14:textId="77777777" w:rsidR="00506049" w:rsidRDefault="00506049" w:rsidP="00506049">
      <w:pPr>
        <w:pStyle w:val="Bibliography"/>
      </w:pPr>
      <w:r>
        <w:t xml:space="preserve">Epp, J. (1986). Achieving health for all: A framework for health promotion. </w:t>
      </w:r>
      <w:r>
        <w:rPr>
          <w:i/>
          <w:iCs/>
        </w:rPr>
        <w:t>Health Promotion International</w:t>
      </w:r>
      <w:r>
        <w:t xml:space="preserve">, </w:t>
      </w:r>
      <w:r>
        <w:rPr>
          <w:i/>
          <w:iCs/>
        </w:rPr>
        <w:t>1</w:t>
      </w:r>
      <w:r>
        <w:t>(4), 419–428.</w:t>
      </w:r>
    </w:p>
    <w:p w14:paraId="50762055" w14:textId="77777777" w:rsidR="00506049" w:rsidRDefault="00506049" w:rsidP="00506049">
      <w:pPr>
        <w:pStyle w:val="Bibliography"/>
      </w:pPr>
      <w:r>
        <w:t xml:space="preserve">ETHRA, &amp; East TN AAAD. (2019). </w:t>
      </w:r>
      <w:r>
        <w:rPr>
          <w:i/>
          <w:iCs/>
        </w:rPr>
        <w:t>East Tennessee Area Plan on Aging and Disability</w:t>
      </w:r>
      <w:r>
        <w:t>. East Tennessee Human Resource Agency (ETHRA) and East Tennessee Area Agency on Aging and Disability (East TN AAAD). https://www.tn.gov/content/dam/tn/aging/documents/AreaPlan_ET_FY20.pdf</w:t>
      </w:r>
    </w:p>
    <w:p w14:paraId="5EC34A7F" w14:textId="77777777" w:rsidR="00506049" w:rsidRDefault="00506049" w:rsidP="00506049">
      <w:pPr>
        <w:pStyle w:val="Bibliography"/>
      </w:pPr>
      <w:r>
        <w:t xml:space="preserve">EuroHealthNet. (2017). </w:t>
      </w:r>
      <w:r>
        <w:rPr>
          <w:i/>
          <w:iCs/>
        </w:rPr>
        <w:t>Making the Link: Gender Equity and Health</w:t>
      </w:r>
      <w:r>
        <w:t>. EuroHealthNet. https://eurohealthnet.eu/wp-content/uploads/documents/2021/210303_PolicyPrecis_Gender_WebLayout.pdf</w:t>
      </w:r>
    </w:p>
    <w:p w14:paraId="050DE061" w14:textId="77777777" w:rsidR="00506049" w:rsidRDefault="00506049" w:rsidP="00506049">
      <w:pPr>
        <w:pStyle w:val="Bibliography"/>
      </w:pPr>
      <w:r>
        <w:t xml:space="preserve">Evan, W. (2018). Out of Sight and Out of My Mind: How Rural Tennessee Treats the Mentally Ill. </w:t>
      </w:r>
      <w:r>
        <w:rPr>
          <w:i/>
          <w:iCs/>
        </w:rPr>
        <w:t>Lincoln Memorial University Law Review</w:t>
      </w:r>
      <w:r>
        <w:t xml:space="preserve">, </w:t>
      </w:r>
      <w:r>
        <w:rPr>
          <w:i/>
          <w:iCs/>
        </w:rPr>
        <w:t>5</w:t>
      </w:r>
      <w:r>
        <w:t>(2), 38–47.</w:t>
      </w:r>
    </w:p>
    <w:p w14:paraId="00658E7B" w14:textId="77777777" w:rsidR="00506049" w:rsidRDefault="00506049" w:rsidP="00506049">
      <w:pPr>
        <w:pStyle w:val="Bibliography"/>
      </w:pPr>
      <w:r>
        <w:t xml:space="preserve">Fallon, C. K., &amp; Karlawish, J. (2019, July 17). It’s time to change the definition of “health.” </w:t>
      </w:r>
      <w:r>
        <w:rPr>
          <w:i/>
          <w:iCs/>
        </w:rPr>
        <w:t>STAT</w:t>
      </w:r>
      <w:r>
        <w:t>. https://www.statnews.com/2019/07/17/change-definition-health/</w:t>
      </w:r>
    </w:p>
    <w:p w14:paraId="5317C2B9" w14:textId="77777777" w:rsidR="00506049" w:rsidRDefault="00506049" w:rsidP="00506049">
      <w:pPr>
        <w:pStyle w:val="Bibliography"/>
      </w:pPr>
      <w:r>
        <w:t xml:space="preserve">Farrell, T. W., Ferrante, L. E., Brown, T., Francis, L., Widera, E., Rhodes, R., Rosen, T., Hwang, U., Witt, L. J., Thothala, N., Liu, S. W., Vitale, C. A., Braun, U. K., Stephens, C., </w:t>
      </w:r>
      <w:r>
        <w:lastRenderedPageBreak/>
        <w:t xml:space="preserve">&amp; Saliba, D. (2020). AGS Position Statement: Resource Allocation Strategies and Age-Related Considerations in the COVID-19 Era and Beyond. </w:t>
      </w:r>
      <w:r>
        <w:rPr>
          <w:i/>
          <w:iCs/>
        </w:rPr>
        <w:t>Journal of the American Geriatrics Society</w:t>
      </w:r>
      <w:r>
        <w:t xml:space="preserve">, </w:t>
      </w:r>
      <w:r>
        <w:rPr>
          <w:i/>
          <w:iCs/>
        </w:rPr>
        <w:t>68</w:t>
      </w:r>
      <w:r>
        <w:t>(6), 1136–1142. https://doi.org/10.1111/jgs.16537</w:t>
      </w:r>
    </w:p>
    <w:p w14:paraId="51961C55" w14:textId="77777777" w:rsidR="00506049" w:rsidRDefault="00506049" w:rsidP="00506049">
      <w:pPr>
        <w:pStyle w:val="Bibliography"/>
      </w:pPr>
      <w:r>
        <w:t xml:space="preserve">Farrell, T. W., Francis, L., Brown, T., Ferrante, L. E., Widera, E., Rhodes, R., Rosen, T., Hwang, U., Witt, L. J., Thothala, N., Liu, S. W., Vitale, C. A., Braun, U. K., Stephens, C., &amp; Saliba, D. (2020). Rationing Limited Healthcare Resources in the COVID-19 Era and Beyond: Ethical Considerations Regarding Older Adults. </w:t>
      </w:r>
      <w:r>
        <w:rPr>
          <w:i/>
          <w:iCs/>
        </w:rPr>
        <w:t>Journal of the American Geriatrics Society</w:t>
      </w:r>
      <w:r>
        <w:t xml:space="preserve">, </w:t>
      </w:r>
      <w:r>
        <w:rPr>
          <w:i/>
          <w:iCs/>
        </w:rPr>
        <w:t>68</w:t>
      </w:r>
      <w:r>
        <w:t>(6), 1143–1149. https://doi.org/10.1111/jgs.16539</w:t>
      </w:r>
    </w:p>
    <w:p w14:paraId="06C9CB0A" w14:textId="77777777" w:rsidR="00506049" w:rsidRDefault="00506049" w:rsidP="00506049">
      <w:pPr>
        <w:pStyle w:val="Bibliography"/>
      </w:pPr>
      <w:r>
        <w:t xml:space="preserve">Fenelon, A. (2013). Geographic Divergence in Mortality in the United States. </w:t>
      </w:r>
      <w:r>
        <w:rPr>
          <w:i/>
          <w:iCs/>
        </w:rPr>
        <w:t>Population and Development Review</w:t>
      </w:r>
      <w:r>
        <w:t xml:space="preserve">, </w:t>
      </w:r>
      <w:r>
        <w:rPr>
          <w:i/>
          <w:iCs/>
        </w:rPr>
        <w:t>39</w:t>
      </w:r>
      <w:r>
        <w:t>(4), 611–634.</w:t>
      </w:r>
    </w:p>
    <w:p w14:paraId="067EF02A" w14:textId="77777777" w:rsidR="00506049" w:rsidRDefault="00506049" w:rsidP="00506049">
      <w:pPr>
        <w:pStyle w:val="Bibliography"/>
      </w:pPr>
      <w:r>
        <w:t xml:space="preserve">Fifolt, M., &amp; McCormick, L. C. (2020). Advancing Public Health Education Through Place-Based Learning:“On the Road in the Deep South.” </w:t>
      </w:r>
      <w:r>
        <w:rPr>
          <w:i/>
          <w:iCs/>
        </w:rPr>
        <w:t>Pedagogy in Health Promotion</w:t>
      </w:r>
      <w:r>
        <w:t xml:space="preserve">, </w:t>
      </w:r>
      <w:r>
        <w:rPr>
          <w:i/>
          <w:iCs/>
        </w:rPr>
        <w:t>6</w:t>
      </w:r>
      <w:r>
        <w:t>(2), 102–112. https://doi.org/10.1177/2373379919839076</w:t>
      </w:r>
    </w:p>
    <w:p w14:paraId="4ED03135" w14:textId="77777777" w:rsidR="00506049" w:rsidRDefault="00506049" w:rsidP="00506049">
      <w:pPr>
        <w:pStyle w:val="Bibliography"/>
      </w:pPr>
      <w:r>
        <w:t xml:space="preserve">FindLaw. (2017, July 27). </w:t>
      </w:r>
      <w:r>
        <w:rPr>
          <w:i/>
          <w:iCs/>
        </w:rPr>
        <w:t>Gender Discrimination: Applicable Laws</w:t>
      </w:r>
      <w:r>
        <w:t>. Findlaw. https://www.findlaw.com/civilrights/discrimination/gender-discrimination-applicable-laws.html</w:t>
      </w:r>
    </w:p>
    <w:p w14:paraId="23FC8FB4" w14:textId="77777777" w:rsidR="00506049" w:rsidRDefault="00506049" w:rsidP="00506049">
      <w:pPr>
        <w:pStyle w:val="Bibliography"/>
      </w:pPr>
      <w:r>
        <w:t xml:space="preserve">Fingerman, K. L., &amp; Bermann, E. (2000). Applications of family systems theory to the study of adulthood. </w:t>
      </w:r>
      <w:r>
        <w:rPr>
          <w:i/>
          <w:iCs/>
        </w:rPr>
        <w:t>Journal of Aging and Human Development</w:t>
      </w:r>
      <w:r>
        <w:t xml:space="preserve">, </w:t>
      </w:r>
      <w:r>
        <w:rPr>
          <w:i/>
          <w:iCs/>
        </w:rPr>
        <w:t>51</w:t>
      </w:r>
      <w:r>
        <w:t>(1), 5–29.</w:t>
      </w:r>
    </w:p>
    <w:p w14:paraId="2B21B0E0" w14:textId="77777777" w:rsidR="00506049" w:rsidRDefault="00506049" w:rsidP="00506049">
      <w:pPr>
        <w:pStyle w:val="Bibliography"/>
      </w:pPr>
      <w:r>
        <w:t xml:space="preserve">Fink, S. (2020, March 28). U.S. Civil Rights Office Rejects Rationing Medical Care Based on Disability, Age. </w:t>
      </w:r>
      <w:r>
        <w:rPr>
          <w:i/>
          <w:iCs/>
        </w:rPr>
        <w:t>The New York Times</w:t>
      </w:r>
      <w:r>
        <w:t>. https://www.nytimes.com/2020/03/28/us/coronavirus-disabilities-rationing-ventilators-triage.html</w:t>
      </w:r>
    </w:p>
    <w:p w14:paraId="468B5BF7" w14:textId="77777777" w:rsidR="00506049" w:rsidRDefault="00506049" w:rsidP="00506049">
      <w:pPr>
        <w:pStyle w:val="Bibliography"/>
      </w:pPr>
      <w:r>
        <w:t xml:space="preserve">Finkelstein, A., Gentzkow, M., &amp; Williams, H. (2021). Place-Based Drivers of Mortality: Evidence from Migration. </w:t>
      </w:r>
      <w:r>
        <w:rPr>
          <w:i/>
          <w:iCs/>
        </w:rPr>
        <w:t>American Economic Review</w:t>
      </w:r>
      <w:r>
        <w:t xml:space="preserve">, </w:t>
      </w:r>
      <w:r>
        <w:rPr>
          <w:i/>
          <w:iCs/>
        </w:rPr>
        <w:t>111</w:t>
      </w:r>
      <w:r>
        <w:t>(8), 2697–2735. https://doi.org/10.1257/aer.20190825</w:t>
      </w:r>
    </w:p>
    <w:p w14:paraId="6B53DD5B" w14:textId="77777777" w:rsidR="00506049" w:rsidRDefault="00506049" w:rsidP="00506049">
      <w:pPr>
        <w:pStyle w:val="Bibliography"/>
      </w:pPr>
      <w:r>
        <w:t xml:space="preserve">FitzPatrick, B. (2019). Validity in qualitative health education research. </w:t>
      </w:r>
      <w:r>
        <w:rPr>
          <w:i/>
          <w:iCs/>
        </w:rPr>
        <w:t>Currents in Pharmacy Teaching and Learning</w:t>
      </w:r>
      <w:r>
        <w:t xml:space="preserve">, </w:t>
      </w:r>
      <w:r>
        <w:rPr>
          <w:i/>
          <w:iCs/>
        </w:rPr>
        <w:t>11</w:t>
      </w:r>
      <w:r>
        <w:t>(2), 211–217. https://doi.org/10.1016/j.cptl.2018.11.014</w:t>
      </w:r>
    </w:p>
    <w:p w14:paraId="0B5FE8F8" w14:textId="77777777" w:rsidR="00506049" w:rsidRDefault="00506049" w:rsidP="00506049">
      <w:pPr>
        <w:pStyle w:val="Bibliography"/>
      </w:pPr>
      <w:r>
        <w:t xml:space="preserve">Fleming, E. S., Perkins, J., Easa, D., Conde, J. G., Baker, R. S., Southerland, W. M., Dottin, R., Benabe, J. E., E.O., O., Bond, V. C., McClure, S. A., Sayre, M. H., Beanan, M. J., &amp; Norris, K. C. (2008). The role of translational research in addressing health disparities: A conceptual framework. </w:t>
      </w:r>
      <w:r>
        <w:rPr>
          <w:i/>
          <w:iCs/>
        </w:rPr>
        <w:t>Ethnicity &amp; Disease</w:t>
      </w:r>
      <w:r>
        <w:t xml:space="preserve">, </w:t>
      </w:r>
      <w:r>
        <w:rPr>
          <w:i/>
          <w:iCs/>
        </w:rPr>
        <w:t>18</w:t>
      </w:r>
      <w:r>
        <w:t>(2 Suppl 2), 2.</w:t>
      </w:r>
    </w:p>
    <w:p w14:paraId="79791DC6" w14:textId="77777777" w:rsidR="00506049" w:rsidRDefault="00506049" w:rsidP="00506049">
      <w:pPr>
        <w:pStyle w:val="Bibliography"/>
      </w:pPr>
      <w:r>
        <w:t xml:space="preserve">Fletcher, M. (2022). </w:t>
      </w:r>
      <w:r>
        <w:rPr>
          <w:i/>
          <w:iCs/>
        </w:rPr>
        <w:t>African Americans’ Perceptions of Health Disparities: A Qualitative Exploratory Case Study</w:t>
      </w:r>
      <w:r>
        <w:t xml:space="preserve"> [D.H.A., University of Phoenix]. https://www.proquest.com/docview/2682734954/abstract/A05B9AD1F7D341C5PQ/1</w:t>
      </w:r>
    </w:p>
    <w:p w14:paraId="36783129" w14:textId="77777777" w:rsidR="00506049" w:rsidRDefault="00506049" w:rsidP="00506049">
      <w:pPr>
        <w:pStyle w:val="Bibliography"/>
      </w:pPr>
      <w:r>
        <w:lastRenderedPageBreak/>
        <w:t>Forbes, Y., &amp; Donovan, C. (2019). The role of internalised weight stigma and self</w:t>
      </w:r>
      <w:r>
        <w:rPr>
          <w:rFonts w:ascii="Cambria Math" w:hAnsi="Cambria Math" w:cs="Cambria Math"/>
        </w:rPr>
        <w:t>‐</w:t>
      </w:r>
      <w:r>
        <w:t>compassion in the psychological well</w:t>
      </w:r>
      <w:r>
        <w:rPr>
          <w:rFonts w:ascii="Cambria Math" w:hAnsi="Cambria Math" w:cs="Cambria Math"/>
        </w:rPr>
        <w:t>‐</w:t>
      </w:r>
      <w:r>
        <w:t xml:space="preserve">being of overweight and obese women. </w:t>
      </w:r>
      <w:r>
        <w:rPr>
          <w:i/>
          <w:iCs/>
        </w:rPr>
        <w:t>Australian Psychologist</w:t>
      </w:r>
      <w:r>
        <w:t xml:space="preserve">, </w:t>
      </w:r>
      <w:r>
        <w:rPr>
          <w:i/>
          <w:iCs/>
        </w:rPr>
        <w:t>54</w:t>
      </w:r>
      <w:r>
        <w:t>(6), 471–482. https://doi.org/10.1111/ap.12407</w:t>
      </w:r>
    </w:p>
    <w:p w14:paraId="3C02D207" w14:textId="77777777" w:rsidR="00506049" w:rsidRDefault="00506049" w:rsidP="00506049">
      <w:pPr>
        <w:pStyle w:val="Bibliography"/>
      </w:pPr>
      <w:r>
        <w:t xml:space="preserve">Fourcade, M. (2018). Reich, A. Selling our Souls: The Commodification of US Hospital Care 2014 Princeton University Press 248 pp £32.95 (Hardback): Book review. </w:t>
      </w:r>
      <w:r>
        <w:rPr>
          <w:i/>
          <w:iCs/>
        </w:rPr>
        <w:t>The British Journal of Sociology</w:t>
      </w:r>
      <w:r>
        <w:t xml:space="preserve">, </w:t>
      </w:r>
      <w:r>
        <w:rPr>
          <w:i/>
          <w:iCs/>
        </w:rPr>
        <w:t>69</w:t>
      </w:r>
      <w:r>
        <w:t>(3), 868–870. https://doi.org/10.1111/1468-4446.12352</w:t>
      </w:r>
    </w:p>
    <w:p w14:paraId="5340321B" w14:textId="77777777" w:rsidR="00506049" w:rsidRDefault="00506049" w:rsidP="00506049">
      <w:pPr>
        <w:pStyle w:val="Bibliography"/>
      </w:pPr>
      <w:r>
        <w:t xml:space="preserve">Fred, H. L. (2013). In Good Health. </w:t>
      </w:r>
      <w:r>
        <w:rPr>
          <w:i/>
          <w:iCs/>
        </w:rPr>
        <w:t>Texas Heart Institute Journal</w:t>
      </w:r>
      <w:r>
        <w:t xml:space="preserve">, </w:t>
      </w:r>
      <w:r>
        <w:rPr>
          <w:i/>
          <w:iCs/>
        </w:rPr>
        <w:t>40</w:t>
      </w:r>
      <w:r>
        <w:t>(1), 13–14.</w:t>
      </w:r>
    </w:p>
    <w:p w14:paraId="60CF0E4C" w14:textId="77777777" w:rsidR="00506049" w:rsidRDefault="00506049" w:rsidP="00506049">
      <w:pPr>
        <w:pStyle w:val="Bibliography"/>
      </w:pPr>
      <w:r>
        <w:t xml:space="preserve">Freedman, P. (2014). Women and Restaurants in the Nineteenth-Century United States. </w:t>
      </w:r>
      <w:r>
        <w:rPr>
          <w:i/>
          <w:iCs/>
        </w:rPr>
        <w:t>Journal of Social History</w:t>
      </w:r>
      <w:r>
        <w:t xml:space="preserve">, </w:t>
      </w:r>
      <w:r>
        <w:rPr>
          <w:i/>
          <w:iCs/>
        </w:rPr>
        <w:t>48</w:t>
      </w:r>
      <w:r>
        <w:t>(1), 1–19.</w:t>
      </w:r>
    </w:p>
    <w:p w14:paraId="0264674F" w14:textId="77777777" w:rsidR="00506049" w:rsidRDefault="00506049" w:rsidP="00506049">
      <w:pPr>
        <w:pStyle w:val="Bibliography"/>
      </w:pPr>
      <w:r>
        <w:t xml:space="preserve">Friedman, A. (2022, May 5). </w:t>
      </w:r>
      <w:r>
        <w:rPr>
          <w:i/>
          <w:iCs/>
        </w:rPr>
        <w:t>Gov. Bill Lee announces $175M in grants as Tennessee starts to spend reserves for needy families</w:t>
      </w:r>
      <w:r>
        <w:t>. The Tennessean. https://www.tennessean.com/story/news/politics/2022/05/05/tennessee-announces-175-million-grants-starts-spend-tanf-reserve-needy-families/9657609002/</w:t>
      </w:r>
    </w:p>
    <w:p w14:paraId="60DBF22D" w14:textId="77777777" w:rsidR="00506049" w:rsidRDefault="00506049" w:rsidP="00506049">
      <w:pPr>
        <w:pStyle w:val="Bibliography"/>
      </w:pPr>
      <w:r>
        <w:t xml:space="preserve">Friedman, G. D. (1974). </w:t>
      </w:r>
      <w:r>
        <w:rPr>
          <w:i/>
          <w:iCs/>
        </w:rPr>
        <w:t>Primer of epidemiology</w:t>
      </w:r>
      <w:r>
        <w:t>. McGraw-Hill.</w:t>
      </w:r>
    </w:p>
    <w:p w14:paraId="70E69631" w14:textId="77777777" w:rsidR="00506049" w:rsidRDefault="00506049" w:rsidP="00506049">
      <w:pPr>
        <w:pStyle w:val="Bibliography"/>
      </w:pPr>
      <w:r>
        <w:t xml:space="preserve">FTC. (n.d.). </w:t>
      </w:r>
      <w:r>
        <w:rPr>
          <w:i/>
          <w:iCs/>
        </w:rPr>
        <w:t>Protections Against Discrimination and Other Prohibited Practices</w:t>
      </w:r>
      <w:r>
        <w:t>. Federal Trade Commission (FTC). https://www.ftc.gov/policy-notices/no-fear-act/protections-against-discrimination</w:t>
      </w:r>
    </w:p>
    <w:p w14:paraId="591CD195" w14:textId="77777777" w:rsidR="00506049" w:rsidRDefault="00506049" w:rsidP="00506049">
      <w:pPr>
        <w:pStyle w:val="Bibliography"/>
      </w:pPr>
      <w:r>
        <w:t xml:space="preserve">Fuller, D., &amp; Kitchin, R. (2004). </w:t>
      </w:r>
      <w:r>
        <w:rPr>
          <w:i/>
          <w:iCs/>
        </w:rPr>
        <w:t>Radical theory/Critical praxis: Making a difference beyond the academy?</w:t>
      </w:r>
    </w:p>
    <w:p w14:paraId="41A11DAA" w14:textId="77777777" w:rsidR="00506049" w:rsidRDefault="00506049" w:rsidP="00506049">
      <w:pPr>
        <w:pStyle w:val="Bibliography"/>
      </w:pPr>
      <w:r>
        <w:t xml:space="preserve">Galvin, R. (2002). Disturbing Notions of Chronic Illness and Individual Responsibility: Towards a Genealogy of Morals. </w:t>
      </w:r>
      <w:r>
        <w:rPr>
          <w:i/>
          <w:iCs/>
        </w:rPr>
        <w:t>Health</w:t>
      </w:r>
      <w:r>
        <w:t xml:space="preserve">, </w:t>
      </w:r>
      <w:r>
        <w:rPr>
          <w:i/>
          <w:iCs/>
        </w:rPr>
        <w:t>6</w:t>
      </w:r>
      <w:r>
        <w:t>(2), 107–137. https://doi.org/10.1177/136345930200600201</w:t>
      </w:r>
    </w:p>
    <w:p w14:paraId="5CFBE91C" w14:textId="77777777" w:rsidR="00506049" w:rsidRDefault="00506049" w:rsidP="00506049">
      <w:pPr>
        <w:pStyle w:val="Bibliography"/>
      </w:pPr>
      <w:r>
        <w:t xml:space="preserve">Garfield, R., Orgera, K., &amp; Damico, A. (2021). </w:t>
      </w:r>
      <w:r>
        <w:rPr>
          <w:i/>
          <w:iCs/>
        </w:rPr>
        <w:t>The Coverage Gap: Uninsured Poor Adults in States that Do No Expand Medicaid. Kaiser Family Foundation</w:t>
      </w:r>
      <w:r>
        <w:t>. https://www.kff.org/medicaid/issue-brief/the-coverage-gap-uninsured-poor-adults-in-states-that-do-not-expand-medicaid/</w:t>
      </w:r>
    </w:p>
    <w:p w14:paraId="472AB5A8" w14:textId="77777777" w:rsidR="00506049" w:rsidRDefault="00506049" w:rsidP="00506049">
      <w:pPr>
        <w:pStyle w:val="Bibliography"/>
      </w:pPr>
      <w:r>
        <w:t xml:space="preserve">Gee, G. C., Hing, A., Mohammed, S., Tabor, D. C., &amp; Williams, D. R. (2019). Racism and the Life Course: Taking Time Seriously. </w:t>
      </w:r>
      <w:r>
        <w:rPr>
          <w:i/>
          <w:iCs/>
        </w:rPr>
        <w:t>American Journal of Public Health</w:t>
      </w:r>
      <w:r>
        <w:t xml:space="preserve">, </w:t>
      </w:r>
      <w:r>
        <w:rPr>
          <w:i/>
          <w:iCs/>
        </w:rPr>
        <w:t>109</w:t>
      </w:r>
      <w:r>
        <w:t>(S1), S43–S47. https://doi.org/10.2105/AJPH.2018.304766</w:t>
      </w:r>
    </w:p>
    <w:p w14:paraId="4C87C9BE" w14:textId="77777777" w:rsidR="00506049" w:rsidRDefault="00506049" w:rsidP="00506049">
      <w:pPr>
        <w:pStyle w:val="Bibliography"/>
      </w:pPr>
      <w:r>
        <w:t xml:space="preserve">Gensburger, S. (2019). </w:t>
      </w:r>
      <w:r>
        <w:rPr>
          <w:i/>
          <w:iCs/>
        </w:rPr>
        <w:t>Memory on My Doorstep: Chronicles of the Bataclan Neighborhood, Paris 2015-2016</w:t>
      </w:r>
      <w:r>
        <w:t>. Leuven University Press.</w:t>
      </w:r>
    </w:p>
    <w:p w14:paraId="10536474" w14:textId="77777777" w:rsidR="00506049" w:rsidRDefault="00506049" w:rsidP="00506049">
      <w:pPr>
        <w:pStyle w:val="Bibliography"/>
      </w:pPr>
      <w:r>
        <w:t xml:space="preserve">Gioia, D. A., Corley, K. G., &amp; Hamilton, A. L. (2013). Seeking Qualitative Rigor in Inductive Research: Notes on the Gioia Methodology. </w:t>
      </w:r>
      <w:r>
        <w:rPr>
          <w:i/>
          <w:iCs/>
        </w:rPr>
        <w:t>Organizational Research Methods</w:t>
      </w:r>
      <w:r>
        <w:t xml:space="preserve">, </w:t>
      </w:r>
      <w:r>
        <w:rPr>
          <w:i/>
          <w:iCs/>
        </w:rPr>
        <w:t>16</w:t>
      </w:r>
      <w:r>
        <w:t>(1), 15–31. https://doi.org/10.1177/1094428112452151</w:t>
      </w:r>
    </w:p>
    <w:p w14:paraId="6A41753A" w14:textId="77777777" w:rsidR="00506049" w:rsidRDefault="00506049" w:rsidP="00506049">
      <w:pPr>
        <w:pStyle w:val="Bibliography"/>
      </w:pPr>
      <w:r>
        <w:t xml:space="preserve">Gómez, C. A., Kleinman, D. V., Pronk, N., Wrenn Gordon, G. L., Ochiai, E., Blakey, C., Johnson, A., &amp; Brewer, K. H. (2021). Addressing Health Equity and Social Determinants </w:t>
      </w:r>
      <w:r>
        <w:lastRenderedPageBreak/>
        <w:t xml:space="preserve">of Health Through Healthy People 2030. </w:t>
      </w:r>
      <w:r>
        <w:rPr>
          <w:i/>
          <w:iCs/>
        </w:rPr>
        <w:t>Journal of Public Health Management and Practice</w:t>
      </w:r>
      <w:r>
        <w:t xml:space="preserve">, </w:t>
      </w:r>
      <w:r>
        <w:rPr>
          <w:i/>
          <w:iCs/>
        </w:rPr>
        <w:t>27</w:t>
      </w:r>
      <w:r>
        <w:t>(6), S249–S257. https://doi.org/10.1097/PHH.0000000000001297</w:t>
      </w:r>
    </w:p>
    <w:p w14:paraId="6C3B3006" w14:textId="77777777" w:rsidR="00506049" w:rsidRDefault="00506049" w:rsidP="00506049">
      <w:pPr>
        <w:pStyle w:val="Bibliography"/>
      </w:pPr>
      <w:r>
        <w:t xml:space="preserve">Gordon, L., &amp; Batlan, F. (2011, January 19). </w:t>
      </w:r>
      <w:r>
        <w:rPr>
          <w:i/>
          <w:iCs/>
        </w:rPr>
        <w:t>Aid To Dependent Children: The Legal History</w:t>
      </w:r>
      <w:r>
        <w:t>. Social Welfare History Project. https://socialwelfare.library.vcu.edu/public-welfare/aid-to-dependent-children-the-legal-history/</w:t>
      </w:r>
    </w:p>
    <w:p w14:paraId="35AE3CFB" w14:textId="77777777" w:rsidR="00506049" w:rsidRDefault="00506049" w:rsidP="00506049">
      <w:pPr>
        <w:pStyle w:val="Bibliography"/>
      </w:pPr>
      <w:r>
        <w:t xml:space="preserve">Grochalska, M. (2020). Research Practices in Critical Discourse Analysis: Constraints and Challenges. </w:t>
      </w:r>
      <w:r>
        <w:rPr>
          <w:i/>
          <w:iCs/>
        </w:rPr>
        <w:t>Kultura i Edukacja</w:t>
      </w:r>
      <w:r>
        <w:t xml:space="preserve">, </w:t>
      </w:r>
      <w:r>
        <w:rPr>
          <w:i/>
          <w:iCs/>
        </w:rPr>
        <w:t>2(128)</w:t>
      </w:r>
      <w:r>
        <w:t>, 98–112.</w:t>
      </w:r>
    </w:p>
    <w:p w14:paraId="78664B1D" w14:textId="77777777" w:rsidR="00506049" w:rsidRDefault="00506049" w:rsidP="00506049">
      <w:pPr>
        <w:pStyle w:val="Bibliography"/>
      </w:pPr>
      <w:r>
        <w:t xml:space="preserve">Guglielmo, L. (2018). </w:t>
      </w:r>
      <w:r>
        <w:rPr>
          <w:i/>
          <w:iCs/>
        </w:rPr>
        <w:t>Misogyny in American Culture: Causes, Trends, and Solutions [2 volumes]</w:t>
      </w:r>
      <w:r>
        <w:t>. ABC-CLIO.</w:t>
      </w:r>
    </w:p>
    <w:p w14:paraId="075C80E3" w14:textId="77777777" w:rsidR="00506049" w:rsidRDefault="00506049" w:rsidP="00506049">
      <w:pPr>
        <w:pStyle w:val="Bibliography"/>
      </w:pPr>
      <w:r>
        <w:t xml:space="preserve">Gunja, M. Z., &amp; Williams II, R. D. (2022, January 21). </w:t>
      </w:r>
      <w:r>
        <w:rPr>
          <w:i/>
          <w:iCs/>
        </w:rPr>
        <w:t>Comparing Older Adults’ Mental Health Needs and Access to Treatment in the U.S. and Other High-Income Countries</w:t>
      </w:r>
      <w:r>
        <w:t>. Commonwealthfund.Org. https://doi.org/10.26099/crks-9c82</w:t>
      </w:r>
    </w:p>
    <w:p w14:paraId="02C946EE" w14:textId="77777777" w:rsidR="00506049" w:rsidRDefault="00506049" w:rsidP="00506049">
      <w:pPr>
        <w:pStyle w:val="Bibliography"/>
      </w:pPr>
      <w:r>
        <w:t xml:space="preserve">Guth, M., Garfield, R., &amp; Rudowitz, R. (2020). </w:t>
      </w:r>
      <w:r>
        <w:rPr>
          <w:i/>
          <w:iCs/>
        </w:rPr>
        <w:t>The Effects of Medicaid Expansion under the ACA: Studies from January</w:t>
      </w:r>
      <w:r>
        <w:t>. https://www.kff.org/medicaid/report/the-effects-of-medicaid-expansion-under-the-aca-updated-findings-from-a-literature-review/</w:t>
      </w:r>
    </w:p>
    <w:p w14:paraId="7EB2D05B" w14:textId="77777777" w:rsidR="00506049" w:rsidRDefault="00506049" w:rsidP="00506049">
      <w:pPr>
        <w:pStyle w:val="Bibliography"/>
      </w:pPr>
      <w:r>
        <w:t xml:space="preserve">Guttmacher, A. E., Collins, F. S., &amp; Carmona, R. H. (2004). The Family History—More Important Than Ever. </w:t>
      </w:r>
      <w:r>
        <w:rPr>
          <w:i/>
          <w:iCs/>
        </w:rPr>
        <w:t>New England Journal of Medicine</w:t>
      </w:r>
      <w:r>
        <w:t xml:space="preserve">, </w:t>
      </w:r>
      <w:r>
        <w:rPr>
          <w:i/>
          <w:iCs/>
        </w:rPr>
        <w:t>351</w:t>
      </w:r>
      <w:r>
        <w:t>(22), 2333–2336. https://doi.org/10.1056/NEJMsb042979</w:t>
      </w:r>
    </w:p>
    <w:p w14:paraId="2CF0203C" w14:textId="77777777" w:rsidR="00506049" w:rsidRDefault="00506049" w:rsidP="00506049">
      <w:pPr>
        <w:pStyle w:val="Bibliography"/>
      </w:pPr>
      <w:r>
        <w:t xml:space="preserve">Haefner, J. (2014). An Application of Bowen Family Systems Theory. </w:t>
      </w:r>
      <w:r>
        <w:rPr>
          <w:i/>
          <w:iCs/>
        </w:rPr>
        <w:t>Issues in Mental Health Nursing</w:t>
      </w:r>
      <w:r>
        <w:t xml:space="preserve">, </w:t>
      </w:r>
      <w:r>
        <w:rPr>
          <w:i/>
          <w:iCs/>
        </w:rPr>
        <w:t>35</w:t>
      </w:r>
      <w:r>
        <w:t>, 835–842. https://doi.org/10.3109/01612840.2014.921257</w:t>
      </w:r>
    </w:p>
    <w:p w14:paraId="13115ADE" w14:textId="77777777" w:rsidR="00506049" w:rsidRDefault="00506049" w:rsidP="00506049">
      <w:pPr>
        <w:pStyle w:val="Bibliography"/>
      </w:pPr>
      <w:r>
        <w:t xml:space="preserve">Hagens, V., Dobrow, M. J., &amp; Chafe, R. (2009). Interviewee Transcript Review: Assessing the impact on qualitative research. </w:t>
      </w:r>
      <w:r>
        <w:rPr>
          <w:i/>
          <w:iCs/>
        </w:rPr>
        <w:t>BMC Medical Research Methodology</w:t>
      </w:r>
      <w:r>
        <w:t xml:space="preserve">, </w:t>
      </w:r>
      <w:r>
        <w:rPr>
          <w:i/>
          <w:iCs/>
        </w:rPr>
        <w:t>9</w:t>
      </w:r>
      <w:r>
        <w:t>(1), 47. https://doi.org/10.1186/1471-2288-9-47</w:t>
      </w:r>
    </w:p>
    <w:p w14:paraId="1BD7AB8D" w14:textId="77777777" w:rsidR="00506049" w:rsidRDefault="00506049" w:rsidP="00506049">
      <w:pPr>
        <w:pStyle w:val="Bibliography"/>
      </w:pPr>
      <w:r>
        <w:t xml:space="preserve">Hahn, H., Aron, L., Lou, C., Pratt, E., &amp; Okoli, A. (2017). </w:t>
      </w:r>
      <w:r>
        <w:rPr>
          <w:i/>
          <w:iCs/>
        </w:rPr>
        <w:t>Why Does Cash Welfare Depend on Where You Live</w:t>
      </w:r>
      <w:r>
        <w:t>. How and Why State TANF Programs Vary. Urban Institute. https://www.urban.org/sites/default/files/publication/90761/tanf_cash_welfare_final2_1.pdf</w:t>
      </w:r>
    </w:p>
    <w:p w14:paraId="3BDCFCD7" w14:textId="77777777" w:rsidR="00506049" w:rsidRDefault="00506049" w:rsidP="00506049">
      <w:pPr>
        <w:pStyle w:val="Bibliography"/>
      </w:pPr>
      <w:r>
        <w:t xml:space="preserve">Hahn, R. A., Truman, B. I., &amp; Williams, D. R. (2018). Civil rights as determinants of public health and racial and ethnic health equity: Health care, education, employment, and housing in the United States. </w:t>
      </w:r>
      <w:r>
        <w:rPr>
          <w:i/>
          <w:iCs/>
        </w:rPr>
        <w:t>SSM-Population Health</w:t>
      </w:r>
      <w:r>
        <w:t xml:space="preserve">, </w:t>
      </w:r>
      <w:r>
        <w:rPr>
          <w:i/>
          <w:iCs/>
        </w:rPr>
        <w:t>4</w:t>
      </w:r>
      <w:r>
        <w:t>, 17–24. https://doi.org/10.1016/j.ssmph.2017.10.006</w:t>
      </w:r>
    </w:p>
    <w:p w14:paraId="27DC9BEC" w14:textId="77777777" w:rsidR="00506049" w:rsidRDefault="00506049" w:rsidP="00506049">
      <w:pPr>
        <w:pStyle w:val="Bibliography"/>
      </w:pPr>
      <w:r>
        <w:t xml:space="preserve">Hailemariam, M., Felton, J. W., Key, K., Greer, D., Jefferson, B. L., Muhammad, J., &amp; Johnson, J. E. (2020). Intersectionality, special populations, needs and suggestions: The Flint Women’s study. </w:t>
      </w:r>
      <w:r>
        <w:rPr>
          <w:i/>
          <w:iCs/>
        </w:rPr>
        <w:t>International Journal for Equity in Health</w:t>
      </w:r>
      <w:r>
        <w:t xml:space="preserve">, </w:t>
      </w:r>
      <w:r>
        <w:rPr>
          <w:i/>
          <w:iCs/>
        </w:rPr>
        <w:t>19</w:t>
      </w:r>
      <w:r>
        <w:t>(1), 1–12.</w:t>
      </w:r>
    </w:p>
    <w:p w14:paraId="55568214" w14:textId="77777777" w:rsidR="00506049" w:rsidRDefault="00506049" w:rsidP="00506049">
      <w:pPr>
        <w:pStyle w:val="Bibliography"/>
      </w:pPr>
      <w:r>
        <w:t xml:space="preserve">Hamilton, J. B. (2020). Rigor in Qualitative Methods: An Evaluation of Strategies Among Underrepresented Rural Communities. </w:t>
      </w:r>
      <w:r>
        <w:rPr>
          <w:i/>
          <w:iCs/>
        </w:rPr>
        <w:t>Qualitative Health Research</w:t>
      </w:r>
      <w:r>
        <w:t xml:space="preserve">, </w:t>
      </w:r>
      <w:r>
        <w:rPr>
          <w:i/>
          <w:iCs/>
        </w:rPr>
        <w:t>30</w:t>
      </w:r>
      <w:r>
        <w:t>(2), 196–204. https://doi.org/10.1177/1049732319860267</w:t>
      </w:r>
    </w:p>
    <w:p w14:paraId="72C90ED5" w14:textId="77777777" w:rsidR="00506049" w:rsidRDefault="00506049" w:rsidP="00506049">
      <w:pPr>
        <w:pStyle w:val="Bibliography"/>
      </w:pPr>
      <w:r>
        <w:lastRenderedPageBreak/>
        <w:t xml:space="preserve">Hamilton, L., Yorgun, M., &amp; Wright, A. (2022). “People Nowadays Will Take Everything They Can Get”: American Perceptions of Basic Income Usage. </w:t>
      </w:r>
      <w:r>
        <w:rPr>
          <w:i/>
          <w:iCs/>
        </w:rPr>
        <w:t>Journal of Policy Practice and Research</w:t>
      </w:r>
      <w:r>
        <w:t xml:space="preserve">, </w:t>
      </w:r>
      <w:r>
        <w:rPr>
          <w:i/>
          <w:iCs/>
        </w:rPr>
        <w:t>3</w:t>
      </w:r>
      <w:r>
        <w:t>(2), 77–95. https://doi.org/10.1007/s42972-021-00035-0</w:t>
      </w:r>
    </w:p>
    <w:p w14:paraId="264AEBDB" w14:textId="77777777" w:rsidR="00506049" w:rsidRDefault="00506049" w:rsidP="00506049">
      <w:pPr>
        <w:pStyle w:val="Bibliography"/>
      </w:pPr>
      <w:r>
        <w:t xml:space="preserve">Hammersley, M. (2008). </w:t>
      </w:r>
      <w:r>
        <w:rPr>
          <w:i/>
          <w:iCs/>
        </w:rPr>
        <w:t>Questioning Qualitative Inquiry: Critical Essays</w:t>
      </w:r>
      <w:r>
        <w:t xml:space="preserve"> (1st Edition). SAGE Publications Ltd. https://us.sagepub.com/en-us/nam/questioning-qualitative-inquiry/book230813</w:t>
      </w:r>
    </w:p>
    <w:p w14:paraId="2346E862" w14:textId="77777777" w:rsidR="00506049" w:rsidRDefault="00506049" w:rsidP="00506049">
      <w:pPr>
        <w:pStyle w:val="Bibliography"/>
      </w:pPr>
      <w:r>
        <w:t xml:space="preserve">Hammersley, M. (2021). The ‘radical critique of interviews’: A response to recent comments. </w:t>
      </w:r>
      <w:r>
        <w:rPr>
          <w:i/>
          <w:iCs/>
        </w:rPr>
        <w:t>International Journal of Social Research Methodology</w:t>
      </w:r>
      <w:r>
        <w:t xml:space="preserve">, </w:t>
      </w:r>
      <w:r>
        <w:rPr>
          <w:i/>
          <w:iCs/>
        </w:rPr>
        <w:t>24</w:t>
      </w:r>
      <w:r>
        <w:t>(3), 393–395. https://doi.org/10.1080/13645579.2020.1841881</w:t>
      </w:r>
    </w:p>
    <w:p w14:paraId="724DB770" w14:textId="77777777" w:rsidR="00506049" w:rsidRDefault="00506049" w:rsidP="00506049">
      <w:pPr>
        <w:pStyle w:val="Bibliography"/>
      </w:pPr>
      <w:r>
        <w:t xml:space="preserve">Health Equity Initiative (HEI). (2021). </w:t>
      </w:r>
      <w:r>
        <w:rPr>
          <w:i/>
          <w:iCs/>
        </w:rPr>
        <w:t>Miscellaneous Resources</w:t>
      </w:r>
      <w:r>
        <w:t>. Health Equity Initiative. https://www.healthequityinitiative.org/miscellaneous.html</w:t>
      </w:r>
    </w:p>
    <w:p w14:paraId="2A833A9A" w14:textId="77777777" w:rsidR="00506049" w:rsidRDefault="00506049" w:rsidP="00506049">
      <w:pPr>
        <w:pStyle w:val="Bibliography"/>
      </w:pPr>
      <w:r>
        <w:t xml:space="preserve">Hege, A., Ball, L., Christiana, R. W., Wallace, C., Hubbard, C., Truesdale, D., Hege, J., &amp; Fleming, H. (2018). Social Determinants of Health and the Effects on Quality of Life and Well-being in 2 Rural Appalachia Communities: The Community Members’ Perspective and Implications for Health Disparities. </w:t>
      </w:r>
      <w:r>
        <w:rPr>
          <w:i/>
          <w:iCs/>
        </w:rPr>
        <w:t>Family &amp; Community Health</w:t>
      </w:r>
      <w:r>
        <w:t xml:space="preserve">, </w:t>
      </w:r>
      <w:r>
        <w:rPr>
          <w:i/>
          <w:iCs/>
        </w:rPr>
        <w:t>41</w:t>
      </w:r>
      <w:r>
        <w:t>(4), 244–254. https://doi.org/10.1097/FCH.0000000000000201</w:t>
      </w:r>
    </w:p>
    <w:p w14:paraId="076BE39D" w14:textId="77777777" w:rsidR="00506049" w:rsidRDefault="00506049" w:rsidP="00506049">
      <w:pPr>
        <w:pStyle w:val="Bibliography"/>
      </w:pPr>
      <w:r>
        <w:t xml:space="preserve">Hill, J. (2020, October 28). </w:t>
      </w:r>
      <w:r>
        <w:rPr>
          <w:i/>
          <w:iCs/>
        </w:rPr>
        <w:t>Fact check: Post detailing 9 things women couldn’t do before 1971 is mostly right</w:t>
      </w:r>
      <w:r>
        <w:t>. USA TODAY. https://www.usatoday.com/story/news/factcheck/2020/10/28/fact-check-9-things-women-couldnt-do-1971-mostly-right/3677101001/</w:t>
      </w:r>
    </w:p>
    <w:p w14:paraId="5107C451" w14:textId="77777777" w:rsidR="00506049" w:rsidRDefault="00506049" w:rsidP="00506049">
      <w:pPr>
        <w:pStyle w:val="Bibliography"/>
      </w:pPr>
      <w:r>
        <w:t xml:space="preserve">Hilli, Y., &amp; Sandvik, A.-H. (2020). A Nordic model for learning compassionate care in clinical education. </w:t>
      </w:r>
      <w:r>
        <w:rPr>
          <w:i/>
          <w:iCs/>
        </w:rPr>
        <w:t>Nurse Education Today</w:t>
      </w:r>
      <w:r>
        <w:t xml:space="preserve">, </w:t>
      </w:r>
      <w:r>
        <w:rPr>
          <w:i/>
          <w:iCs/>
        </w:rPr>
        <w:t>90</w:t>
      </w:r>
      <w:r>
        <w:t>, 104454. https://doi.org/10.1016/j.nedt.2020.104454</w:t>
      </w:r>
    </w:p>
    <w:p w14:paraId="32033FCD" w14:textId="77777777" w:rsidR="00506049" w:rsidRDefault="00506049" w:rsidP="00506049">
      <w:pPr>
        <w:pStyle w:val="Bibliography"/>
      </w:pPr>
      <w:r>
        <w:t xml:space="preserve">Hoffman, B. (2012). </w:t>
      </w:r>
      <w:r>
        <w:rPr>
          <w:i/>
          <w:iCs/>
        </w:rPr>
        <w:t>Health care for some: Rights and rationing in the United States since 1930</w:t>
      </w:r>
      <w:r>
        <w:t>. University of Chicago Press.</w:t>
      </w:r>
    </w:p>
    <w:p w14:paraId="41B37649" w14:textId="77777777" w:rsidR="00506049" w:rsidRDefault="00506049" w:rsidP="00506049">
      <w:pPr>
        <w:pStyle w:val="Bibliography"/>
      </w:pPr>
      <w:r>
        <w:t xml:space="preserve">Hoffmann, S., Sander, L., Wachtler, B., Blume, M., Schneider, S., Herke, M., Pischke, C. R., Fialho, P. M. M., Schuettig, W., Tallarek, M., Lampert, T., &amp; Spallek, J. (2022). Moderating or mediating effects of family characteristics on socioeconomic inequalities in child health in high-income countries – a scoping review. </w:t>
      </w:r>
      <w:r>
        <w:rPr>
          <w:i/>
          <w:iCs/>
        </w:rPr>
        <w:t>BMC Public Health</w:t>
      </w:r>
      <w:r>
        <w:t xml:space="preserve">, </w:t>
      </w:r>
      <w:r>
        <w:rPr>
          <w:i/>
          <w:iCs/>
        </w:rPr>
        <w:t>22</w:t>
      </w:r>
      <w:r>
        <w:t>(1), 338. https://doi.org/10.1186/s12889-022-12603-4</w:t>
      </w:r>
    </w:p>
    <w:p w14:paraId="1CCDAE0E" w14:textId="77777777" w:rsidR="00506049" w:rsidRDefault="00506049" w:rsidP="00506049">
      <w:pPr>
        <w:pStyle w:val="Bibliography"/>
      </w:pPr>
      <w:r>
        <w:t xml:space="preserve">Holly, R. (2021, October 28). </w:t>
      </w:r>
      <w:r>
        <w:rPr>
          <w:i/>
          <w:iCs/>
        </w:rPr>
        <w:t>Gutted Version of Biden’s ‘Build Back Better’ Plan Still Includes $150 Billion for In-Home Care</w:t>
      </w:r>
      <w:r>
        <w:t>. Home Health Care News. https://homehealthcarenews.com/2021/10/gutted-version-of-bidens-build-back-better-plan-still-includes-150-billion-for-in-home-care/</w:t>
      </w:r>
    </w:p>
    <w:p w14:paraId="199B1945" w14:textId="77777777" w:rsidR="00506049" w:rsidRDefault="00506049" w:rsidP="00506049">
      <w:pPr>
        <w:pStyle w:val="Bibliography"/>
      </w:pPr>
      <w:r>
        <w:t xml:space="preserve">Homan, P., Brown, T. H., &amp; King, B. (2021). Structural Intersectionality as a New Direction for Health Disparities Research. </w:t>
      </w:r>
      <w:r>
        <w:rPr>
          <w:i/>
          <w:iCs/>
        </w:rPr>
        <w:t>Journal of Health and Social Behavior</w:t>
      </w:r>
      <w:r>
        <w:t xml:space="preserve">, </w:t>
      </w:r>
      <w:r>
        <w:rPr>
          <w:i/>
          <w:iCs/>
        </w:rPr>
        <w:t>62</w:t>
      </w:r>
      <w:r>
        <w:t>(3), 350–370. https://doi.org/10.1177/00221465211032947</w:t>
      </w:r>
    </w:p>
    <w:p w14:paraId="6E2518CC" w14:textId="77777777" w:rsidR="00506049" w:rsidRDefault="00506049" w:rsidP="00506049">
      <w:pPr>
        <w:pStyle w:val="Bibliography"/>
      </w:pPr>
      <w:r>
        <w:lastRenderedPageBreak/>
        <w:t xml:space="preserve">Hook, C. J., &amp; Markus, H. R. (2020). Health in the United States: Are Appeals to Choice and Personal Responsibility Making Americans Sick? </w:t>
      </w:r>
      <w:r>
        <w:rPr>
          <w:i/>
          <w:iCs/>
        </w:rPr>
        <w:t>Perspectives on Psychological Science</w:t>
      </w:r>
      <w:r>
        <w:t xml:space="preserve">, </w:t>
      </w:r>
      <w:r>
        <w:rPr>
          <w:i/>
          <w:iCs/>
        </w:rPr>
        <w:t>15</w:t>
      </w:r>
      <w:r>
        <w:t>(3), 643–664. https://doi.org/10.1177/1745691619896252</w:t>
      </w:r>
    </w:p>
    <w:p w14:paraId="203534CF" w14:textId="77777777" w:rsidR="00506049" w:rsidRDefault="00506049" w:rsidP="00506049">
      <w:pPr>
        <w:pStyle w:val="Bibliography"/>
      </w:pPr>
      <w:r>
        <w:t xml:space="preserve">Hoover, A. G., Koempel, A., Christian, W. J., Tumlin, K. I., Pennell, K. G., Evans, S., McAlister, M., Ormsbee, L. E., &amp; Brewer, D. (2020). Appalachian Environmental Health Literacy: Building Knowledge and Skills to Protect Health. </w:t>
      </w:r>
      <w:r>
        <w:rPr>
          <w:i/>
          <w:iCs/>
        </w:rPr>
        <w:t>Journal of Appalachian Health</w:t>
      </w:r>
      <w:r>
        <w:t xml:space="preserve">, </w:t>
      </w:r>
      <w:r>
        <w:rPr>
          <w:i/>
          <w:iCs/>
        </w:rPr>
        <w:t>2</w:t>
      </w:r>
      <w:r>
        <w:t>(1), 47–53.</w:t>
      </w:r>
    </w:p>
    <w:p w14:paraId="3437B5DA" w14:textId="77777777" w:rsidR="00506049" w:rsidRDefault="00506049" w:rsidP="00506049">
      <w:pPr>
        <w:pStyle w:val="Bibliography"/>
      </w:pPr>
      <w:r>
        <w:t xml:space="preserve">Horne, C. (2003). The Internal Enforcement of Norms. </w:t>
      </w:r>
      <w:r>
        <w:rPr>
          <w:i/>
          <w:iCs/>
        </w:rPr>
        <w:t>European Sociological Review</w:t>
      </w:r>
      <w:r>
        <w:t xml:space="preserve">, </w:t>
      </w:r>
      <w:r>
        <w:rPr>
          <w:i/>
          <w:iCs/>
        </w:rPr>
        <w:t>19</w:t>
      </w:r>
      <w:r>
        <w:t>(4), 335–343. https://doi.org/10.1093/esr/19.4.335</w:t>
      </w:r>
    </w:p>
    <w:p w14:paraId="58483F11" w14:textId="77777777" w:rsidR="00506049" w:rsidRDefault="00506049" w:rsidP="00506049">
      <w:pPr>
        <w:pStyle w:val="Bibliography"/>
      </w:pPr>
      <w:r>
        <w:t xml:space="preserve">Horne, C. (2014). The Relational Foundation of Norm Enforcement. In M. Xenitidou &amp; B. Edmonds (Eds.), </w:t>
      </w:r>
      <w:r>
        <w:rPr>
          <w:i/>
          <w:iCs/>
        </w:rPr>
        <w:t>The Complexity of Social Norms</w:t>
      </w:r>
      <w:r>
        <w:t xml:space="preserve"> (pp. 105–120). Springer International Publishing. https://doi.org/10.1007/978-3-319-05308-0_6</w:t>
      </w:r>
    </w:p>
    <w:p w14:paraId="66A844F7" w14:textId="77777777" w:rsidR="00506049" w:rsidRDefault="00506049" w:rsidP="00506049">
      <w:pPr>
        <w:pStyle w:val="Bibliography"/>
      </w:pPr>
      <w:r>
        <w:t xml:space="preserve">Hosseinpoor, A. R., Williams, J. S., Amin, A., Carvalho, I. A. de, Beard, J., Boerma, T., Kowal, P., Naidoo, N., &amp; Chatterji, S. (2012). Social Determinants of Self-Reported Health in Women and Men: Understanding the Role of Gender in Population Health. </w:t>
      </w:r>
      <w:r>
        <w:rPr>
          <w:i/>
          <w:iCs/>
        </w:rPr>
        <w:t>PLOS ONE</w:t>
      </w:r>
      <w:r>
        <w:t xml:space="preserve">, </w:t>
      </w:r>
      <w:r>
        <w:rPr>
          <w:i/>
          <w:iCs/>
        </w:rPr>
        <w:t>7</w:t>
      </w:r>
      <w:r>
        <w:t>(4), e34799. https://doi.org/10.1371/journal.pone.0034799</w:t>
      </w:r>
    </w:p>
    <w:p w14:paraId="606AB71B" w14:textId="77777777" w:rsidR="00506049" w:rsidRDefault="00506049" w:rsidP="00506049">
      <w:pPr>
        <w:pStyle w:val="Bibliography"/>
      </w:pPr>
      <w:r>
        <w:t xml:space="preserve">Howard, G., &amp; Bogh, C. (2002). </w:t>
      </w:r>
      <w:r>
        <w:rPr>
          <w:i/>
          <w:iCs/>
        </w:rPr>
        <w:t>Healthy villages: A guide for communities and community health workers</w:t>
      </w:r>
      <w:r>
        <w:t>. World Health Organization.</w:t>
      </w:r>
    </w:p>
    <w:p w14:paraId="78FF7EEA" w14:textId="77777777" w:rsidR="00506049" w:rsidRDefault="00506049" w:rsidP="00506049">
      <w:pPr>
        <w:pStyle w:val="Bibliography"/>
      </w:pPr>
      <w:r>
        <w:t xml:space="preserve">Hsiung, D. C. (2014). </w:t>
      </w:r>
      <w:r>
        <w:rPr>
          <w:i/>
          <w:iCs/>
        </w:rPr>
        <w:t>Two worlds in the Tennessee mountains: Exploring the origins of Appalachian stereotypes</w:t>
      </w:r>
      <w:r>
        <w:t>. University Press of Kentucky.</w:t>
      </w:r>
    </w:p>
    <w:p w14:paraId="7CB4DDBA" w14:textId="77777777" w:rsidR="00506049" w:rsidRDefault="00506049" w:rsidP="00506049">
      <w:pPr>
        <w:pStyle w:val="Bibliography"/>
      </w:pPr>
      <w:r>
        <w:t xml:space="preserve">Huffman, D., Raymond, C., &amp; Shvets, J. (2022). Persistent Overconfidence and Biased Memory: Evidence from Managers. </w:t>
      </w:r>
      <w:r>
        <w:rPr>
          <w:i/>
          <w:iCs/>
        </w:rPr>
        <w:t>American Economic Review</w:t>
      </w:r>
      <w:r>
        <w:t xml:space="preserve">, </w:t>
      </w:r>
      <w:r>
        <w:rPr>
          <w:i/>
          <w:iCs/>
        </w:rPr>
        <w:t>112</w:t>
      </w:r>
      <w:r>
        <w:t>(10), 3141–3175. https://doi.org/10.1257/aer.20190668</w:t>
      </w:r>
    </w:p>
    <w:p w14:paraId="41AB1930" w14:textId="77777777" w:rsidR="00506049" w:rsidRDefault="00506049" w:rsidP="00506049">
      <w:pPr>
        <w:pStyle w:val="Bibliography"/>
      </w:pPr>
      <w:r>
        <w:t xml:space="preserve">Hughes Halbert, C., Welch, B., Lynch, C., Magwood, G., Rice, L., Jefferson, M., &amp; Riley, J. (2016). Social determinants of family health history collection. </w:t>
      </w:r>
      <w:r>
        <w:rPr>
          <w:i/>
          <w:iCs/>
        </w:rPr>
        <w:t>Journal of Community Genetics</w:t>
      </w:r>
      <w:r>
        <w:t xml:space="preserve">, </w:t>
      </w:r>
      <w:r>
        <w:rPr>
          <w:i/>
          <w:iCs/>
        </w:rPr>
        <w:t>7</w:t>
      </w:r>
      <w:r>
        <w:t>(1), 57–64. https://doi.org/10.1007/s12687-015-0251-3</w:t>
      </w:r>
    </w:p>
    <w:p w14:paraId="5BF22093" w14:textId="77777777" w:rsidR="00506049" w:rsidRDefault="00506049" w:rsidP="00506049">
      <w:pPr>
        <w:pStyle w:val="Bibliography"/>
      </w:pPr>
      <w:r>
        <w:t xml:space="preserve">Hui, K., Sukhera, J., Vigod, S., Taylor, V. H., &amp; Zaheer, J. (2020). Recognizing and addressing implicit gender bias in medicine. </w:t>
      </w:r>
      <w:r>
        <w:rPr>
          <w:i/>
          <w:iCs/>
        </w:rPr>
        <w:t>CMAJ</w:t>
      </w:r>
      <w:r>
        <w:t xml:space="preserve">, </w:t>
      </w:r>
      <w:r>
        <w:rPr>
          <w:i/>
          <w:iCs/>
        </w:rPr>
        <w:t>192</w:t>
      </w:r>
      <w:r>
        <w:t>(42), E1269–E1270. https://doi.org/10.1503/cmaj.200286</w:t>
      </w:r>
    </w:p>
    <w:p w14:paraId="72D894F2" w14:textId="77777777" w:rsidR="00506049" w:rsidRDefault="00506049" w:rsidP="00506049">
      <w:pPr>
        <w:pStyle w:val="Bibliography"/>
      </w:pPr>
      <w:r>
        <w:t xml:space="preserve">Hunt, K., Davison, C., Emslie, C., &amp; Ford, G. (2000). Are perceptions of a family history of heart disease related to health-related attitudes and behaviour? </w:t>
      </w:r>
      <w:r>
        <w:rPr>
          <w:i/>
          <w:iCs/>
        </w:rPr>
        <w:t>Health Education Research</w:t>
      </w:r>
      <w:r>
        <w:t xml:space="preserve">, </w:t>
      </w:r>
      <w:r>
        <w:rPr>
          <w:i/>
          <w:iCs/>
        </w:rPr>
        <w:t>15</w:t>
      </w:r>
      <w:r>
        <w:t>(2), 131–143. https://doi.org/10.1093/her/15.2.131</w:t>
      </w:r>
    </w:p>
    <w:p w14:paraId="79D6F72E" w14:textId="77777777" w:rsidR="00506049" w:rsidRDefault="00506049" w:rsidP="00506049">
      <w:pPr>
        <w:pStyle w:val="Bibliography"/>
      </w:pPr>
      <w:r>
        <w:t xml:space="preserve">Huttlinger, K., Schaller-Ayers, J., &amp; Lawson, T. (2004). Health Care in Appalachia: A Population-Based Approach. </w:t>
      </w:r>
      <w:r>
        <w:rPr>
          <w:i/>
          <w:iCs/>
        </w:rPr>
        <w:t>Public Health Nursing</w:t>
      </w:r>
      <w:r>
        <w:t xml:space="preserve">, </w:t>
      </w:r>
      <w:r>
        <w:rPr>
          <w:i/>
          <w:iCs/>
        </w:rPr>
        <w:t>21</w:t>
      </w:r>
      <w:r>
        <w:t>(2), 103–110. https://doi.org/10.1111/j.0737-1209.2004.021203.x</w:t>
      </w:r>
    </w:p>
    <w:p w14:paraId="46D595DF" w14:textId="77777777" w:rsidR="00506049" w:rsidRDefault="00506049" w:rsidP="00506049">
      <w:pPr>
        <w:pStyle w:val="Bibliography"/>
      </w:pPr>
      <w:r>
        <w:lastRenderedPageBreak/>
        <w:t xml:space="preserve">Huzum, E. (2010). Some Obstacles to Applying the Principle of Individual Responsibility for Illness in the Rationing of Medical Services. </w:t>
      </w:r>
      <w:r>
        <w:rPr>
          <w:i/>
          <w:iCs/>
        </w:rPr>
        <w:t>Romanian Journal of Bioethics</w:t>
      </w:r>
      <w:r>
        <w:t xml:space="preserve">, </w:t>
      </w:r>
      <w:r>
        <w:rPr>
          <w:i/>
          <w:iCs/>
        </w:rPr>
        <w:t>8</w:t>
      </w:r>
      <w:r>
        <w:t>(2), 104–113.</w:t>
      </w:r>
    </w:p>
    <w:p w14:paraId="0AE37716" w14:textId="77777777" w:rsidR="00506049" w:rsidRDefault="00506049" w:rsidP="00506049">
      <w:pPr>
        <w:pStyle w:val="Bibliography"/>
      </w:pPr>
      <w:r>
        <w:t xml:space="preserve">IFWPR. (2015). </w:t>
      </w:r>
      <w:r>
        <w:rPr>
          <w:i/>
          <w:iCs/>
        </w:rPr>
        <w:t>The Best and Worst States Overall for Women in 2015</w:t>
      </w:r>
      <w:r>
        <w:t>. Institute for Women’s Policy Research (IFWPR). https://statusofwomendata.org/national-trends/best-worst-states/</w:t>
      </w:r>
    </w:p>
    <w:p w14:paraId="535C501F" w14:textId="77777777" w:rsidR="00506049" w:rsidRDefault="00506049" w:rsidP="00506049">
      <w:pPr>
        <w:pStyle w:val="Bibliography"/>
      </w:pPr>
      <w:r>
        <w:t xml:space="preserve">Janes, G., Serrant, L., &amp; Sque, M. (2019). Screaming silences: Lessons from the application of a new research framework. </w:t>
      </w:r>
      <w:r>
        <w:rPr>
          <w:i/>
          <w:iCs/>
        </w:rPr>
        <w:t>Nurse Researcher</w:t>
      </w:r>
      <w:r>
        <w:t xml:space="preserve">, </w:t>
      </w:r>
      <w:r>
        <w:rPr>
          <w:i/>
          <w:iCs/>
        </w:rPr>
        <w:t>26</w:t>
      </w:r>
      <w:r>
        <w:t>(2), Article 2.</w:t>
      </w:r>
    </w:p>
    <w:p w14:paraId="177A99E5" w14:textId="77777777" w:rsidR="00506049" w:rsidRDefault="00506049" w:rsidP="00506049">
      <w:pPr>
        <w:pStyle w:val="Bibliography"/>
      </w:pPr>
      <w:r>
        <w:t xml:space="preserve">Jaramillo, E. T., Sommerfeld, D. H., Lujan, E., &amp; Willging, C. E. (2021). Using Concept Mapping to Understand Gender- and Age-Specific Factors Influencing Health Care Access Among American Indian Elders. </w:t>
      </w:r>
      <w:r>
        <w:rPr>
          <w:i/>
          <w:iCs/>
        </w:rPr>
        <w:t>American Indian and Alaska Native Mental Health Research (Online)</w:t>
      </w:r>
      <w:r>
        <w:t xml:space="preserve">, </w:t>
      </w:r>
      <w:r>
        <w:rPr>
          <w:i/>
          <w:iCs/>
        </w:rPr>
        <w:t>28</w:t>
      </w:r>
      <w:r>
        <w:t>(2), 52–76. https://doi.org/10.5820/aian.2802.2021.52</w:t>
      </w:r>
    </w:p>
    <w:p w14:paraId="556E977E" w14:textId="77777777" w:rsidR="00506049" w:rsidRDefault="00506049" w:rsidP="00506049">
      <w:pPr>
        <w:pStyle w:val="Bibliography"/>
      </w:pPr>
      <w:r>
        <w:t xml:space="preserve">Jecker, N. S. (1991). Age-Based Rationing and Women. </w:t>
      </w:r>
      <w:r>
        <w:rPr>
          <w:i/>
          <w:iCs/>
        </w:rPr>
        <w:t>JAMA</w:t>
      </w:r>
      <w:r>
        <w:t xml:space="preserve">, </w:t>
      </w:r>
      <w:r>
        <w:rPr>
          <w:i/>
          <w:iCs/>
        </w:rPr>
        <w:t>266</w:t>
      </w:r>
      <w:r>
        <w:t>(21), 3012–3015. https://doi.org/10.1001/jama.1991.03470210080037</w:t>
      </w:r>
    </w:p>
    <w:p w14:paraId="0EB6AA8C" w14:textId="77777777" w:rsidR="00506049" w:rsidRDefault="00506049" w:rsidP="00506049">
      <w:pPr>
        <w:pStyle w:val="Bibliography"/>
      </w:pPr>
      <w:r>
        <w:t xml:space="preserve">Jeffries, N., Zaslavsky, A. M., Diez Roux, A. V., Creswell, J. W., Palmer, R. C., Gregorich, S. E., Reschovsky, J. D., Graubard, B. I., Choi, K., Pfeiffer, R. M., Zhang, X., &amp; Breen, N. (2019). Methodological Approaches to Understanding Causes of Health Disparities. </w:t>
      </w:r>
      <w:r>
        <w:rPr>
          <w:i/>
          <w:iCs/>
        </w:rPr>
        <w:t>American Journal of Public Health</w:t>
      </w:r>
      <w:r>
        <w:t xml:space="preserve">, </w:t>
      </w:r>
      <w:r>
        <w:rPr>
          <w:i/>
          <w:iCs/>
        </w:rPr>
        <w:t>109</w:t>
      </w:r>
      <w:r>
        <w:t>(S1), S28–S33. https://doi.org/10.2105/AJPH.2018.304843</w:t>
      </w:r>
    </w:p>
    <w:p w14:paraId="10B9744F" w14:textId="77777777" w:rsidR="00506049" w:rsidRDefault="00506049" w:rsidP="00506049">
      <w:pPr>
        <w:pStyle w:val="Bibliography"/>
      </w:pPr>
      <w:r>
        <w:t xml:space="preserve">Johnson (Ed.), C. W. (2018). </w:t>
      </w:r>
      <w:r>
        <w:rPr>
          <w:i/>
          <w:iCs/>
        </w:rPr>
        <w:t>Collective Memory Work: A Methodology for Learning With and From Lived Experience</w:t>
      </w:r>
      <w:r>
        <w:t xml:space="preserve"> (1st edition). Routledge. https://www.routledge.com/Collective-Memory-Work-A-Methodology-for-Learning-With-and-From-Lived-Experience/Johnson/p/book/9781138237926</w:t>
      </w:r>
    </w:p>
    <w:p w14:paraId="35AFBE10" w14:textId="77777777" w:rsidR="00506049" w:rsidRDefault="00506049" w:rsidP="00506049">
      <w:pPr>
        <w:pStyle w:val="Bibliography"/>
      </w:pPr>
      <w:r>
        <w:t xml:space="preserve">Jones, M. S. (2020). </w:t>
      </w:r>
      <w:r>
        <w:rPr>
          <w:i/>
          <w:iCs/>
        </w:rPr>
        <w:t>Vanguard: How Black Women Broke Barriers, Won the Vote, and Insisted on Equality for All</w:t>
      </w:r>
      <w:r>
        <w:t>. Basic Books.</w:t>
      </w:r>
    </w:p>
    <w:p w14:paraId="321B2A9B" w14:textId="77777777" w:rsidR="00506049" w:rsidRDefault="00506049" w:rsidP="00506049">
      <w:pPr>
        <w:pStyle w:val="Bibliography"/>
      </w:pPr>
      <w:r>
        <w:t xml:space="preserve">Jones, N. L., Gilman, S. E., Cheng, T. L., Drury, S. S., Hill, C. V., &amp; Geronimus, A. T. (2019). Life Course Approaches to the Causes of Health Disparities | AJPH | Vol. 109 Issue S1. </w:t>
      </w:r>
      <w:r>
        <w:rPr>
          <w:i/>
          <w:iCs/>
        </w:rPr>
        <w:t>American Journal of Public Health</w:t>
      </w:r>
      <w:r>
        <w:t xml:space="preserve">, </w:t>
      </w:r>
      <w:r>
        <w:rPr>
          <w:i/>
          <w:iCs/>
        </w:rPr>
        <w:t>109</w:t>
      </w:r>
      <w:r>
        <w:t>(51), S48–S55.</w:t>
      </w:r>
    </w:p>
    <w:p w14:paraId="573E3806" w14:textId="77777777" w:rsidR="00506049" w:rsidRDefault="00506049" w:rsidP="00506049">
      <w:pPr>
        <w:pStyle w:val="Bibliography"/>
      </w:pPr>
      <w:r>
        <w:t xml:space="preserve">Kaliber, A. (2019). Reflecting on the Reflectivist Approach to Qualitative Interviewing. </w:t>
      </w:r>
      <w:r>
        <w:rPr>
          <w:i/>
          <w:iCs/>
        </w:rPr>
        <w:t>All Azimuth: A Journal of Foreign Policy and Peace</w:t>
      </w:r>
      <w:r>
        <w:t xml:space="preserve">, </w:t>
      </w:r>
      <w:r>
        <w:rPr>
          <w:i/>
          <w:iCs/>
        </w:rPr>
        <w:t>8</w:t>
      </w:r>
      <w:r>
        <w:t>(2), Article 2. https://doi.org/10.20991/allazimuth.477335</w:t>
      </w:r>
    </w:p>
    <w:p w14:paraId="08F83578" w14:textId="77777777" w:rsidR="00506049" w:rsidRDefault="00506049" w:rsidP="00506049">
      <w:pPr>
        <w:pStyle w:val="Bibliography"/>
      </w:pPr>
      <w:r>
        <w:t xml:space="preserve">Kansteiner, W. (2002). Finding Meaning in Memory: A Methodological Critique of Collective Memory Studies. </w:t>
      </w:r>
      <w:r>
        <w:rPr>
          <w:i/>
          <w:iCs/>
        </w:rPr>
        <w:t>History and Theory</w:t>
      </w:r>
      <w:r>
        <w:t xml:space="preserve">, </w:t>
      </w:r>
      <w:r>
        <w:rPr>
          <w:i/>
          <w:iCs/>
        </w:rPr>
        <w:t>41</w:t>
      </w:r>
      <w:r>
        <w:t>(2), 179–197. https://doi.org/10.1111/0018-2656.00198</w:t>
      </w:r>
    </w:p>
    <w:p w14:paraId="3527F6AA" w14:textId="77777777" w:rsidR="00506049" w:rsidRDefault="00506049" w:rsidP="00506049">
      <w:pPr>
        <w:pStyle w:val="Bibliography"/>
      </w:pPr>
      <w:r>
        <w:t xml:space="preserve">Keightley, E., &amp; Pickering, M. (2012). The Mnemonic Imagination. In E. Keightley &amp; M. Pickering (Eds.), </w:t>
      </w:r>
      <w:r>
        <w:rPr>
          <w:i/>
          <w:iCs/>
        </w:rPr>
        <w:t>The Mnemonic Imagination: Remembering as Creative Practice</w:t>
      </w:r>
      <w:r>
        <w:t xml:space="preserve"> (pp. 43–80). Palgrave Macmillan UK. https://doi.org/10.1057/9781137271549_3</w:t>
      </w:r>
    </w:p>
    <w:p w14:paraId="592EA8D4" w14:textId="77777777" w:rsidR="00506049" w:rsidRDefault="00506049" w:rsidP="00506049">
      <w:pPr>
        <w:pStyle w:val="Bibliography"/>
      </w:pPr>
      <w:r>
        <w:lastRenderedPageBreak/>
        <w:t xml:space="preserve">Kentikelenis, A., &amp; Rochford, C. (2019). Power asymmetries in global governance for health: A conceptual framework for analyzing the political-economic determinants of health inequities. </w:t>
      </w:r>
      <w:r>
        <w:rPr>
          <w:i/>
          <w:iCs/>
        </w:rPr>
        <w:t>Globalization and Health</w:t>
      </w:r>
      <w:r>
        <w:t xml:space="preserve">, </w:t>
      </w:r>
      <w:r>
        <w:rPr>
          <w:i/>
          <w:iCs/>
        </w:rPr>
        <w:t>15</w:t>
      </w:r>
      <w:r>
        <w:t>(1), 70. https://doi.org/10.1186/s12992-019-0516-4</w:t>
      </w:r>
    </w:p>
    <w:p w14:paraId="6E0FBB62" w14:textId="77777777" w:rsidR="00506049" w:rsidRDefault="00506049" w:rsidP="00506049">
      <w:pPr>
        <w:pStyle w:val="Bibliography"/>
      </w:pPr>
      <w:r>
        <w:t xml:space="preserve">Kertesz, K. (2020, July 16). Advocacy Update: Medical Rationing. </w:t>
      </w:r>
      <w:r>
        <w:rPr>
          <w:i/>
          <w:iCs/>
        </w:rPr>
        <w:t>Center for Medicare Advocacy</w:t>
      </w:r>
      <w:r>
        <w:t>. https://medicareadvocacy.org/advocacy-update-medical-rationing/</w:t>
      </w:r>
    </w:p>
    <w:p w14:paraId="6C948DCB" w14:textId="77777777" w:rsidR="00506049" w:rsidRDefault="00506049" w:rsidP="00506049">
      <w:pPr>
        <w:pStyle w:val="Bibliography"/>
      </w:pPr>
      <w:r>
        <w:t xml:space="preserve">KFF. (2013). </w:t>
      </w:r>
      <w:r>
        <w:rPr>
          <w:i/>
          <w:iCs/>
        </w:rPr>
        <w:t>Medicare’s Role for Older Women</w:t>
      </w:r>
      <w:r>
        <w:t>. Kaiser Family Foundation (KFF). https://www.kff.org/womens-health-policy/fact-sheet/medicares-role-for-older-women/</w:t>
      </w:r>
    </w:p>
    <w:p w14:paraId="1A1093DE" w14:textId="77777777" w:rsidR="00506049" w:rsidRDefault="00506049" w:rsidP="00506049">
      <w:pPr>
        <w:pStyle w:val="Bibliography"/>
      </w:pPr>
      <w:r>
        <w:t xml:space="preserve">Khan, T. H., &amp; MacEachen, E. (2022). An Alternative Method of Interviewing: Critical Reflections on Videoconference Interviews for Qualitative Data Collection. </w:t>
      </w:r>
      <w:r>
        <w:rPr>
          <w:i/>
          <w:iCs/>
        </w:rPr>
        <w:t>International Journal of Qualitative Methods</w:t>
      </w:r>
      <w:r>
        <w:t xml:space="preserve">, </w:t>
      </w:r>
      <w:r>
        <w:rPr>
          <w:i/>
          <w:iCs/>
        </w:rPr>
        <w:t>21</w:t>
      </w:r>
      <w:r>
        <w:t>, 16094069221090064. https://doi.org/10.1177/16094069221090063</w:t>
      </w:r>
    </w:p>
    <w:p w14:paraId="09056D84" w14:textId="77777777" w:rsidR="00506049" w:rsidRDefault="00506049" w:rsidP="00506049">
      <w:pPr>
        <w:pStyle w:val="Bibliography"/>
      </w:pPr>
      <w:r>
        <w:t xml:space="preserve">Kim, H. (2021). The implicit ideological function of the global health field and its role in maintaining relations of power. </w:t>
      </w:r>
      <w:r>
        <w:rPr>
          <w:i/>
          <w:iCs/>
        </w:rPr>
        <w:t>BMJ Global Health</w:t>
      </w:r>
      <w:r>
        <w:t xml:space="preserve">, </w:t>
      </w:r>
      <w:r>
        <w:rPr>
          <w:i/>
          <w:iCs/>
        </w:rPr>
        <w:t>6</w:t>
      </w:r>
      <w:r>
        <w:t>(4), e005620. https://doi.org/10.1136/bmjgh-2021-005620</w:t>
      </w:r>
    </w:p>
    <w:p w14:paraId="30470778" w14:textId="77777777" w:rsidR="00506049" w:rsidRDefault="00506049" w:rsidP="00506049">
      <w:pPr>
        <w:pStyle w:val="Bibliography"/>
      </w:pPr>
      <w:r>
        <w:t xml:space="preserve">Kirkland, D. R. H. (2015, February 4). </w:t>
      </w:r>
      <w:r>
        <w:rPr>
          <w:i/>
          <w:iCs/>
        </w:rPr>
        <w:t>A conservative’s view of Insure Tennessee</w:t>
      </w:r>
      <w:r>
        <w:t>. The Jackson Sun. https://www.jacksonsun.com/story/opinion/columnists/2015/02/04/insure-tennessee-doctors-view/22819471/</w:t>
      </w:r>
    </w:p>
    <w:p w14:paraId="2FF64802" w14:textId="77777777" w:rsidR="00506049" w:rsidRDefault="00506049" w:rsidP="00506049">
      <w:pPr>
        <w:pStyle w:val="Bibliography"/>
      </w:pPr>
      <w:r>
        <w:t xml:space="preserve">Kirsch, S. E. D., &amp; Brandt, P. A. (2002). Telephone Interviewing: A Method to Reach Fathers in Family Research. </w:t>
      </w:r>
      <w:r>
        <w:rPr>
          <w:i/>
          <w:iCs/>
        </w:rPr>
        <w:t>Journal of Family Nursing</w:t>
      </w:r>
      <w:r>
        <w:t xml:space="preserve">, </w:t>
      </w:r>
      <w:r>
        <w:rPr>
          <w:i/>
          <w:iCs/>
        </w:rPr>
        <w:t>8</w:t>
      </w:r>
      <w:r>
        <w:t>(1), 73–84. https://doi.org/10.1177/107484070200800105</w:t>
      </w:r>
    </w:p>
    <w:p w14:paraId="16353E29" w14:textId="77777777" w:rsidR="00506049" w:rsidRDefault="00506049" w:rsidP="00506049">
      <w:pPr>
        <w:pStyle w:val="Bibliography"/>
      </w:pPr>
      <w:r>
        <w:t xml:space="preserve">Kirzinger, A., Montero, A., &amp; Brodie, M. (2022, April 14). 5 Charts About Public Opinion on the Affordable Care Act. </w:t>
      </w:r>
      <w:r>
        <w:rPr>
          <w:i/>
          <w:iCs/>
        </w:rPr>
        <w:t>Kaiser Family Foundation</w:t>
      </w:r>
      <w:r>
        <w:t>. https://www.kff.org/health-reform/poll-finding/5-charts-about-public-opinion-on-the-affordable-care-act-and-the-supreme-court/</w:t>
      </w:r>
    </w:p>
    <w:p w14:paraId="139E5EAC" w14:textId="77777777" w:rsidR="00506049" w:rsidRDefault="00506049" w:rsidP="00506049">
      <w:pPr>
        <w:pStyle w:val="Bibliography"/>
      </w:pPr>
      <w:r>
        <w:t xml:space="preserve">Kirzinger, A., Neuman, T., Cubanski, J., &amp; Brodie, M. (2019). </w:t>
      </w:r>
      <w:r>
        <w:rPr>
          <w:i/>
          <w:iCs/>
        </w:rPr>
        <w:t>Data Note: Prescription Drugs and Older Adults</w:t>
      </w:r>
      <w:r>
        <w:t>. Kaiser Family Foundation. https://www.kff.org/health-reform/issue-brief/data-note-prescription-drugs-and-older-adults/</w:t>
      </w:r>
    </w:p>
    <w:p w14:paraId="3DA2B3AB" w14:textId="77777777" w:rsidR="00506049" w:rsidRDefault="00506049" w:rsidP="00506049">
      <w:pPr>
        <w:pStyle w:val="Bibliography"/>
      </w:pPr>
      <w:r>
        <w:t xml:space="preserve">Kivits, J., Ricci, L., &amp; Minary, L. (2019). Interdisciplinary research in public health: The ‘why’ and the ‘how.’ </w:t>
      </w:r>
      <w:r>
        <w:rPr>
          <w:i/>
          <w:iCs/>
        </w:rPr>
        <w:t>J Epidemiol Community Health</w:t>
      </w:r>
      <w:r>
        <w:t xml:space="preserve">, </w:t>
      </w:r>
      <w:r>
        <w:rPr>
          <w:i/>
          <w:iCs/>
        </w:rPr>
        <w:t>73</w:t>
      </w:r>
      <w:r>
        <w:t>(12), 1061–1062. https://doi.org/10.1136/jech-2019-212511</w:t>
      </w:r>
    </w:p>
    <w:p w14:paraId="25D37007" w14:textId="77777777" w:rsidR="00506049" w:rsidRDefault="00506049" w:rsidP="00506049">
      <w:pPr>
        <w:pStyle w:val="Bibliography"/>
      </w:pPr>
      <w:r>
        <w:t xml:space="preserve">Klein, E. (2020, January 28). </w:t>
      </w:r>
      <w:r>
        <w:rPr>
          <w:i/>
          <w:iCs/>
        </w:rPr>
        <w:t>In the UK’s health system, rationing isn’t a dirty word</w:t>
      </w:r>
      <w:r>
        <w:t>. Vox. https://www.vox.com/2020/1/28/21074386/health-care-rationing-britain-nhs-nice-medicare-for-all</w:t>
      </w:r>
    </w:p>
    <w:p w14:paraId="3B7D8C44" w14:textId="77777777" w:rsidR="00506049" w:rsidRDefault="00506049" w:rsidP="00506049">
      <w:pPr>
        <w:pStyle w:val="Bibliography"/>
      </w:pPr>
      <w:r>
        <w:t xml:space="preserve">Klein, R., &amp; Huang, D. (n.d.). </w:t>
      </w:r>
      <w:r>
        <w:rPr>
          <w:i/>
          <w:iCs/>
        </w:rPr>
        <w:t xml:space="preserve">Defining and measuring disparities, inequities, and inequities in the Healthy People initiative. National Center for Health Statistics, Center </w:t>
      </w:r>
      <w:r>
        <w:rPr>
          <w:i/>
          <w:iCs/>
        </w:rPr>
        <w:lastRenderedPageBreak/>
        <w:t>for Disease Control and Prevention</w:t>
      </w:r>
      <w:r>
        <w:t>. https://www.cdc.gov/nchs/ppt/nchs2010/41_klein.pdf</w:t>
      </w:r>
    </w:p>
    <w:p w14:paraId="5A7AF0BB" w14:textId="77777777" w:rsidR="00506049" w:rsidRDefault="00506049" w:rsidP="00506049">
      <w:pPr>
        <w:pStyle w:val="Bibliography"/>
      </w:pPr>
      <w:r>
        <w:t xml:space="preserve">Knox CAC. (2020). </w:t>
      </w:r>
      <w:r>
        <w:rPr>
          <w:i/>
          <w:iCs/>
        </w:rPr>
        <w:t>Annual Report</w:t>
      </w:r>
      <w:r>
        <w:t>. Knoxville-Knox County Community Action Committee (CAC). Office on Aging. http://www.knoxseniors.org/wp-content/uploads/Annual-Report-2019-2020.pdf</w:t>
      </w:r>
    </w:p>
    <w:p w14:paraId="39722295" w14:textId="77777777" w:rsidR="00506049" w:rsidRDefault="00506049" w:rsidP="00506049">
      <w:pPr>
        <w:pStyle w:val="Bibliography"/>
      </w:pPr>
      <w:r>
        <w:t xml:space="preserve">Kreuter, M. W., &amp; Strecher, V. J. (1995). Changing inaccurate perceptions of health risk: Results from a randomized trial. </w:t>
      </w:r>
      <w:r>
        <w:rPr>
          <w:i/>
          <w:iCs/>
        </w:rPr>
        <w:t>Health Psychology: Official Journal of the Division of Health Psychology, American Psychological Association</w:t>
      </w:r>
      <w:r>
        <w:t xml:space="preserve">, </w:t>
      </w:r>
      <w:r>
        <w:rPr>
          <w:i/>
          <w:iCs/>
        </w:rPr>
        <w:t>14</w:t>
      </w:r>
      <w:r>
        <w:t>(1), 56–63. https://doi.org/10.1037//0278-6133.14.1.56</w:t>
      </w:r>
    </w:p>
    <w:p w14:paraId="6AA57023" w14:textId="77777777" w:rsidR="00506049" w:rsidRDefault="00506049" w:rsidP="00506049">
      <w:pPr>
        <w:pStyle w:val="Bibliography"/>
      </w:pPr>
      <w:r>
        <w:t xml:space="preserve">Krieger, N. (1994). Epidemiology and the web of causation: Has anyone seen the spider? </w:t>
      </w:r>
      <w:r>
        <w:rPr>
          <w:i/>
          <w:iCs/>
        </w:rPr>
        <w:t>Social Science &amp; Medicine</w:t>
      </w:r>
      <w:r>
        <w:t xml:space="preserve">, </w:t>
      </w:r>
      <w:r>
        <w:rPr>
          <w:i/>
          <w:iCs/>
        </w:rPr>
        <w:t>39</w:t>
      </w:r>
      <w:r>
        <w:t>(7), 887–903. https://doi.org/10.1016/0277-9536(94)90202-X</w:t>
      </w:r>
    </w:p>
    <w:p w14:paraId="67CBEFE4" w14:textId="77777777" w:rsidR="00506049" w:rsidRDefault="00506049" w:rsidP="00506049">
      <w:pPr>
        <w:pStyle w:val="Bibliography"/>
      </w:pPr>
      <w:r>
        <w:t xml:space="preserve">Krieger, N. (2001). Theories for social epidemiology in the 21st century: An ecosocial perspective. </w:t>
      </w:r>
      <w:r>
        <w:rPr>
          <w:i/>
          <w:iCs/>
        </w:rPr>
        <w:t>International Journal of Epidemiology</w:t>
      </w:r>
      <w:r>
        <w:t xml:space="preserve">, </w:t>
      </w:r>
      <w:r>
        <w:rPr>
          <w:i/>
          <w:iCs/>
        </w:rPr>
        <w:t>30</w:t>
      </w:r>
      <w:r>
        <w:t>(4), 668–677. https://doi.org/10.1093/ije/30.4.668</w:t>
      </w:r>
    </w:p>
    <w:p w14:paraId="15BEDD5D" w14:textId="77777777" w:rsidR="00506049" w:rsidRDefault="00506049" w:rsidP="00506049">
      <w:pPr>
        <w:pStyle w:val="Bibliography"/>
      </w:pPr>
      <w:r>
        <w:t xml:space="preserve">Krieger, N. (2012). Methods for the Scientific Study of Discrimination and Health: An Ecosocial Approach. </w:t>
      </w:r>
      <w:r>
        <w:rPr>
          <w:i/>
          <w:iCs/>
        </w:rPr>
        <w:t>American Journal of Public Health</w:t>
      </w:r>
      <w:r>
        <w:t xml:space="preserve">, </w:t>
      </w:r>
      <w:r>
        <w:rPr>
          <w:i/>
          <w:iCs/>
        </w:rPr>
        <w:t>102</w:t>
      </w:r>
      <w:r>
        <w:t>(5), 936–944.</w:t>
      </w:r>
    </w:p>
    <w:p w14:paraId="563F02F7" w14:textId="77777777" w:rsidR="00506049" w:rsidRDefault="00506049" w:rsidP="00506049">
      <w:pPr>
        <w:pStyle w:val="Bibliography"/>
      </w:pPr>
      <w:r>
        <w:t xml:space="preserve">Krieger, N. (2020). Measures of Racism, Sexism, Heterosexism, and Gender Binarism for Health Equity Research: From Structural Injustice to Embodied Harm-An Ecosocial Analysis. </w:t>
      </w:r>
      <w:r>
        <w:rPr>
          <w:i/>
          <w:iCs/>
        </w:rPr>
        <w:t>Annual Review of Public Health</w:t>
      </w:r>
      <w:r>
        <w:t xml:space="preserve">, </w:t>
      </w:r>
      <w:r>
        <w:rPr>
          <w:i/>
          <w:iCs/>
        </w:rPr>
        <w:t>41</w:t>
      </w:r>
      <w:r>
        <w:t>, 37–62. https://doi.org/10.1146/annurev-publhealth-040119-094017</w:t>
      </w:r>
    </w:p>
    <w:p w14:paraId="4A6190D3" w14:textId="77777777" w:rsidR="00506049" w:rsidRDefault="00506049" w:rsidP="00506049">
      <w:pPr>
        <w:pStyle w:val="Bibliography"/>
      </w:pPr>
      <w:r>
        <w:t xml:space="preserve">Krieger, N. (2021). </w:t>
      </w:r>
      <w:r>
        <w:rPr>
          <w:i/>
          <w:iCs/>
        </w:rPr>
        <w:t>Ecosocial Theory, Embodied Truths, and the People’s Health</w:t>
      </w:r>
      <w:r>
        <w:t>. Oxford University Press.</w:t>
      </w:r>
    </w:p>
    <w:p w14:paraId="1BFDD95A" w14:textId="77777777" w:rsidR="00506049" w:rsidRDefault="00506049" w:rsidP="00506049">
      <w:pPr>
        <w:pStyle w:val="Bibliography"/>
      </w:pPr>
      <w:r>
        <w:t xml:space="preserve">Kuhlman, K. R., Robles, T. F., Bower, J. E., &amp; Carroll, J. E. (2018). Screening for childhood adversity: The what and when of identifying individuals at risk for lifespan health disparities. </w:t>
      </w:r>
      <w:r>
        <w:rPr>
          <w:i/>
          <w:iCs/>
        </w:rPr>
        <w:t>Journal of Behavioral Medicine</w:t>
      </w:r>
      <w:r>
        <w:t xml:space="preserve">, </w:t>
      </w:r>
      <w:r>
        <w:rPr>
          <w:i/>
          <w:iCs/>
        </w:rPr>
        <w:t>41</w:t>
      </w:r>
      <w:r>
        <w:t>(4), 516–527. https://doi.org/10.1007/s10865-018-9921-z</w:t>
      </w:r>
    </w:p>
    <w:p w14:paraId="74881E58" w14:textId="77777777" w:rsidR="00506049" w:rsidRDefault="00506049" w:rsidP="00506049">
      <w:pPr>
        <w:pStyle w:val="Bibliography"/>
      </w:pPr>
      <w:r>
        <w:t xml:space="preserve">Kuuire, V., &amp; Dassah, E. (2020). Place and Health. In </w:t>
      </w:r>
      <w:r>
        <w:rPr>
          <w:i/>
          <w:iCs/>
        </w:rPr>
        <w:t>International Encyclopedia of Human Geography</w:t>
      </w:r>
      <w:r>
        <w:t xml:space="preserve"> (pp. 125–128). Elsevier. https://doi.org/10.1016/B978-0-08-102295-5.10412-3</w:t>
      </w:r>
    </w:p>
    <w:p w14:paraId="25010F34" w14:textId="77777777" w:rsidR="00506049" w:rsidRDefault="00506049" w:rsidP="00506049">
      <w:pPr>
        <w:pStyle w:val="Bibliography"/>
      </w:pPr>
      <w:r>
        <w:t xml:space="preserve">Kyngäs, H. (2020). Inductive Content Analysis. In H. Kyngäs, K. Mikkonen, &amp; M. Kääriäinen (Eds.), </w:t>
      </w:r>
      <w:r>
        <w:rPr>
          <w:i/>
          <w:iCs/>
        </w:rPr>
        <w:t>The Application of Content Analysis in Nursing Science Research</w:t>
      </w:r>
      <w:r>
        <w:t xml:space="preserve"> (pp. 13–21). Springer International Publishing. https://doi.org/10.1007/978-3-030-30199-6_2</w:t>
      </w:r>
    </w:p>
    <w:p w14:paraId="34B113D6" w14:textId="77777777" w:rsidR="00506049" w:rsidRDefault="00506049" w:rsidP="00506049">
      <w:pPr>
        <w:pStyle w:val="Bibliography"/>
      </w:pPr>
      <w:r>
        <w:t xml:space="preserve">Lane, M., Bell, R., Latham-Sadler, B., Bradley, C., Foxworth, J., Smith, N., Millar, A. L., Hairston, K. G., Roper, B., &amp; Howlett, A. (2016). Translational Research Training at Various Levels of Professional Experience to Address Health Disparities. </w:t>
      </w:r>
      <w:r>
        <w:rPr>
          <w:i/>
          <w:iCs/>
        </w:rPr>
        <w:t xml:space="preserve">Journal of </w:t>
      </w:r>
      <w:r>
        <w:rPr>
          <w:i/>
          <w:iCs/>
        </w:rPr>
        <w:lastRenderedPageBreak/>
        <w:t>Best Practices in Health Professions Diversity: Research, Education and Policy</w:t>
      </w:r>
      <w:r>
        <w:t xml:space="preserve">, </w:t>
      </w:r>
      <w:r>
        <w:rPr>
          <w:i/>
          <w:iCs/>
        </w:rPr>
        <w:t>9</w:t>
      </w:r>
      <w:r>
        <w:t>(1), 1178.</w:t>
      </w:r>
    </w:p>
    <w:p w14:paraId="0852B956" w14:textId="77777777" w:rsidR="00506049" w:rsidRDefault="00506049" w:rsidP="00506049">
      <w:pPr>
        <w:pStyle w:val="Bibliography"/>
      </w:pPr>
      <w:r>
        <w:t xml:space="preserve">Lapalme, J., Haines-Saah, R., &amp; Frohlich, K. L. (2020). More than a buzzword: How intersectionality can advance social inequalities in health research. </w:t>
      </w:r>
      <w:r>
        <w:rPr>
          <w:i/>
          <w:iCs/>
        </w:rPr>
        <w:t>Critical Public Health</w:t>
      </w:r>
      <w:r>
        <w:t xml:space="preserve">, </w:t>
      </w:r>
      <w:r>
        <w:rPr>
          <w:i/>
          <w:iCs/>
        </w:rPr>
        <w:t>30</w:t>
      </w:r>
      <w:r>
        <w:t>(4), 494–500. https://doi.org/10.1080/09581596.2019.1584271</w:t>
      </w:r>
    </w:p>
    <w:p w14:paraId="689CBB62" w14:textId="77777777" w:rsidR="00506049" w:rsidRDefault="00506049" w:rsidP="00506049">
      <w:pPr>
        <w:pStyle w:val="Bibliography"/>
      </w:pPr>
      <w:r>
        <w:t xml:space="preserve">LaPick, M. (2021). </w:t>
      </w:r>
      <w:r>
        <w:rPr>
          <w:i/>
          <w:iCs/>
        </w:rPr>
        <w:t>Best and Worst States for Elderly Healthcare</w:t>
      </w:r>
      <w:r>
        <w:t>. https://medicareguide.com/best-states-for-elderly-healthcare-340840</w:t>
      </w:r>
    </w:p>
    <w:p w14:paraId="5FCD7FB5" w14:textId="77777777" w:rsidR="00506049" w:rsidRDefault="00506049" w:rsidP="00506049">
      <w:pPr>
        <w:pStyle w:val="Bibliography"/>
      </w:pPr>
      <w:r>
        <w:t xml:space="preserve">Lavizzo-Mourey, R. J., Besser, R. E., &amp; Williams, D. R. (2021). Understanding and Mitigating Health Inequities—Past, Current, and Future Directions. </w:t>
      </w:r>
      <w:r>
        <w:rPr>
          <w:i/>
          <w:iCs/>
        </w:rPr>
        <w:t>New England Journal of Medicine</w:t>
      </w:r>
      <w:r>
        <w:t xml:space="preserve">, </w:t>
      </w:r>
      <w:r>
        <w:rPr>
          <w:i/>
          <w:iCs/>
        </w:rPr>
        <w:t>384</w:t>
      </w:r>
      <w:r>
        <w:t>(18), 1681–1684. https://doi.org/10.1056/NEJMp2008628</w:t>
      </w:r>
    </w:p>
    <w:p w14:paraId="69A92C2D" w14:textId="77777777" w:rsidR="00506049" w:rsidRDefault="00506049" w:rsidP="00506049">
      <w:pPr>
        <w:pStyle w:val="Bibliography"/>
      </w:pPr>
      <w:r>
        <w:t xml:space="preserve">Letheren, A. M. (2021). </w:t>
      </w:r>
      <w:r>
        <w:rPr>
          <w:i/>
          <w:iCs/>
        </w:rPr>
        <w:t>Rural hospital closures and perceived access to care: A qualitative descriptive study in an Appalachian county of Tennessee</w:t>
      </w:r>
      <w:r>
        <w:t xml:space="preserve"> [PhD diss., University of Tennessee]. https://trace.tennessee.edu/utk_graddiss/6741</w:t>
      </w:r>
    </w:p>
    <w:p w14:paraId="1A10A9FE" w14:textId="77777777" w:rsidR="00506049" w:rsidRDefault="00506049" w:rsidP="00506049">
      <w:pPr>
        <w:pStyle w:val="Bibliography"/>
      </w:pPr>
      <w:r>
        <w:t xml:space="preserve">Lewis, J. E. (n.d.). </w:t>
      </w:r>
      <w:r>
        <w:rPr>
          <w:i/>
          <w:iCs/>
        </w:rPr>
        <w:t>Women and the Constitution: Why the Constitution Includes Women</w:t>
      </w:r>
      <w:r>
        <w:t>. Commonplace. http://commonplace.online/article/women-and-the-constitution-why-the-constitution-includes-women/</w:t>
      </w:r>
    </w:p>
    <w:p w14:paraId="0C56417B" w14:textId="77777777" w:rsidR="00506049" w:rsidRDefault="00506049" w:rsidP="00506049">
      <w:pPr>
        <w:pStyle w:val="Bibliography"/>
      </w:pPr>
      <w:r>
        <w:t xml:space="preserve">Li, G. M., Pasek, J., Krosnick, J. A., Stark, T. H., Agiesta, J., Sood, G., Tompson, T., &amp; Gross, W. (2022). Americans’ Attitudes toward the Affordable Care Act: What Role Do Beliefs Play? </w:t>
      </w:r>
      <w:r>
        <w:rPr>
          <w:i/>
          <w:iCs/>
        </w:rPr>
        <w:t>The ANNALS of the American Academy of Political and Social Science</w:t>
      </w:r>
      <w:r>
        <w:t xml:space="preserve">, </w:t>
      </w:r>
      <w:r>
        <w:rPr>
          <w:i/>
          <w:iCs/>
        </w:rPr>
        <w:t>700</w:t>
      </w:r>
      <w:r>
        <w:t>(1), 41–54. https://doi.org/10.1177/00027162221098020</w:t>
      </w:r>
    </w:p>
    <w:p w14:paraId="641AB4BE" w14:textId="77777777" w:rsidR="00506049" w:rsidRDefault="00506049" w:rsidP="00506049">
      <w:pPr>
        <w:pStyle w:val="Bibliography"/>
      </w:pPr>
      <w:r>
        <w:t xml:space="preserve">Li, R. M., Iadarola, A. C., &amp; Maisano, C. C. (Eds.). (2017). </w:t>
      </w:r>
      <w:r>
        <w:rPr>
          <w:i/>
          <w:iCs/>
        </w:rPr>
        <w:t>Why Population Aging Matters. A Global Perspective</w:t>
      </w:r>
      <w:r>
        <w:t>. National Institute on Aging. National Institutes of Health. U.S. Department of health and Human Services. U.S. Department of State. https://www.nia.nih.gov/sites/default/files/2017-06/WPAM.pdf</w:t>
      </w:r>
    </w:p>
    <w:p w14:paraId="6F94CB8A" w14:textId="77777777" w:rsidR="00506049" w:rsidRDefault="00506049" w:rsidP="00506049">
      <w:pPr>
        <w:pStyle w:val="Bibliography"/>
      </w:pPr>
      <w:r>
        <w:t xml:space="preserve">LibreTexts. (2021, February 20). </w:t>
      </w:r>
      <w:r>
        <w:rPr>
          <w:i/>
          <w:iCs/>
        </w:rPr>
        <w:t>18.2A: The Social Construction of Aging</w:t>
      </w:r>
      <w:r>
        <w:t>. LibreTexts Social Science. https://socialsci.libretexts.org/Bookshelves/Sociology/Introduction_to_Sociology/Book%3A_Sociology_(Boundless)/18%3A_Aging/18.02%3A_A_Global_Perspective_on_Aging/18.2A%3A_The_Social_Construction_of_Aging</w:t>
      </w:r>
    </w:p>
    <w:p w14:paraId="3A516A44" w14:textId="77777777" w:rsidR="00506049" w:rsidRDefault="00506049" w:rsidP="00506049">
      <w:pPr>
        <w:pStyle w:val="Bibliography"/>
      </w:pPr>
      <w:r>
        <w:t xml:space="preserve">Liu, K. A., &amp; Mager, N. A. D. (2016). Women’s involvement in clinical trials: Historical perspective and future implications. </w:t>
      </w:r>
      <w:r>
        <w:rPr>
          <w:i/>
          <w:iCs/>
        </w:rPr>
        <w:t>Pharmacy Practice</w:t>
      </w:r>
      <w:r>
        <w:t xml:space="preserve">, </w:t>
      </w:r>
      <w:r>
        <w:rPr>
          <w:i/>
          <w:iCs/>
        </w:rPr>
        <w:t>14</w:t>
      </w:r>
      <w:r>
        <w:t>(1), 708. https://doi.org/10.18549/PharmPract.2016.01.708</w:t>
      </w:r>
    </w:p>
    <w:p w14:paraId="6066735D" w14:textId="77777777" w:rsidR="00506049" w:rsidRDefault="00506049" w:rsidP="00506049">
      <w:pPr>
        <w:pStyle w:val="Bibliography"/>
      </w:pPr>
      <w:r>
        <w:t xml:space="preserve">Liu, S. R., Kia-Keating, M., &amp; Nylund-Gibson, K. (2019). Patterns of Family, School, and Community Promotive Factors and Health Disparities Among Youth: Implications for Prevention Science. </w:t>
      </w:r>
      <w:r>
        <w:rPr>
          <w:i/>
          <w:iCs/>
        </w:rPr>
        <w:t>Prevention Science</w:t>
      </w:r>
      <w:r>
        <w:t xml:space="preserve">, </w:t>
      </w:r>
      <w:r>
        <w:rPr>
          <w:i/>
          <w:iCs/>
        </w:rPr>
        <w:t>20</w:t>
      </w:r>
      <w:r>
        <w:t>(7), 1103–1113. https://doi.org/10.1007/s11121-019-01021-5</w:t>
      </w:r>
    </w:p>
    <w:p w14:paraId="5564AD9F" w14:textId="77777777" w:rsidR="00506049" w:rsidRDefault="00506049" w:rsidP="00506049">
      <w:pPr>
        <w:pStyle w:val="Bibliography"/>
      </w:pPr>
      <w:r>
        <w:lastRenderedPageBreak/>
        <w:t xml:space="preserve">Lundberg, E. O. (1926). Public Aid to Mothers with Dependent Children: Extent and Fundamental Principles. </w:t>
      </w:r>
      <w:r>
        <w:rPr>
          <w:i/>
          <w:iCs/>
        </w:rPr>
        <w:t>U.S. Department of Labor, Children’s Bureau</w:t>
      </w:r>
      <w:r>
        <w:t>, 21.</w:t>
      </w:r>
    </w:p>
    <w:p w14:paraId="126589C0" w14:textId="77777777" w:rsidR="00506049" w:rsidRDefault="00506049" w:rsidP="00506049">
      <w:pPr>
        <w:pStyle w:val="Bibliography"/>
      </w:pPr>
      <w:r>
        <w:t xml:space="preserve">Maas, A. H. E. M., &amp; Appelman, Y. E. A. (2010). Gender differences in coronary heart disease. </w:t>
      </w:r>
      <w:r>
        <w:rPr>
          <w:i/>
          <w:iCs/>
        </w:rPr>
        <w:t>Netherlands Heart Journal</w:t>
      </w:r>
      <w:r>
        <w:t xml:space="preserve">, </w:t>
      </w:r>
      <w:r>
        <w:rPr>
          <w:i/>
          <w:iCs/>
        </w:rPr>
        <w:t>18</w:t>
      </w:r>
      <w:r>
        <w:t>(12), 598–602.</w:t>
      </w:r>
    </w:p>
    <w:p w14:paraId="5C624E2F" w14:textId="77777777" w:rsidR="00506049" w:rsidRDefault="00506049" w:rsidP="00506049">
      <w:pPr>
        <w:pStyle w:val="Bibliography"/>
      </w:pPr>
      <w:r>
        <w:t xml:space="preserve">Macintyre, S., Ellaway, A., &amp; Cummins, S. (2002). Place effects on health: How can we conceptualise, operationalise and measure them? </w:t>
      </w:r>
      <w:r>
        <w:rPr>
          <w:i/>
          <w:iCs/>
        </w:rPr>
        <w:t>Social Science &amp; Medicine</w:t>
      </w:r>
      <w:r>
        <w:t xml:space="preserve">, </w:t>
      </w:r>
      <w:r>
        <w:rPr>
          <w:i/>
          <w:iCs/>
        </w:rPr>
        <w:t>55</w:t>
      </w:r>
      <w:r>
        <w:t>(1), 125–139. https://doi.org/10.1016/S0277-9536(01)00214-3</w:t>
      </w:r>
    </w:p>
    <w:p w14:paraId="425E4D32" w14:textId="77777777" w:rsidR="00506049" w:rsidRDefault="00506049" w:rsidP="00506049">
      <w:pPr>
        <w:pStyle w:val="Bibliography"/>
      </w:pPr>
      <w:r>
        <w:t xml:space="preserve">Macmahon, B., &amp; Pugh, T. F. (1970). Epidemiology: Principles and methods. </w:t>
      </w:r>
      <w:r>
        <w:rPr>
          <w:i/>
          <w:iCs/>
        </w:rPr>
        <w:t>Epidemiology: Principles and Methods.</w:t>
      </w:r>
      <w:r>
        <w:t xml:space="preserve"> https://www.cabdirect.org/cabdirect/abstract/19712703347</w:t>
      </w:r>
    </w:p>
    <w:p w14:paraId="36C45520" w14:textId="77777777" w:rsidR="00506049" w:rsidRDefault="00506049" w:rsidP="00506049">
      <w:pPr>
        <w:pStyle w:val="Bibliography"/>
      </w:pPr>
      <w:r>
        <w:t xml:space="preserve">Mahmoudi, E., Zazove, P., Meade, M., &amp; McKee, M. M. (2018). Association Between Hearing Aid Use and Health Care Use and Cost Among Older Adults With Hearing Loss. </w:t>
      </w:r>
      <w:r>
        <w:rPr>
          <w:i/>
          <w:iCs/>
        </w:rPr>
        <w:t>JAMA Otolaryngology–Head &amp; Neck Surgery</w:t>
      </w:r>
      <w:r>
        <w:t xml:space="preserve">, </w:t>
      </w:r>
      <w:r>
        <w:rPr>
          <w:i/>
          <w:iCs/>
        </w:rPr>
        <w:t>144</w:t>
      </w:r>
      <w:r>
        <w:t>(6), 498. https://doi.org/10.1001/jamaoto.2018.0273</w:t>
      </w:r>
    </w:p>
    <w:p w14:paraId="25027DED" w14:textId="77777777" w:rsidR="00506049" w:rsidRDefault="00506049" w:rsidP="00506049">
      <w:pPr>
        <w:pStyle w:val="Bibliography"/>
      </w:pPr>
      <w:r>
        <w:t xml:space="preserve">Malen, R., Knerr, S., Delgado, F., Fullerton, S. M., &amp; Thompson, B. (2016). Rural Mexican-Americans’ perceptions of family health history, genetics, and disease risk: Implications for disparities-focused research dissemination. </w:t>
      </w:r>
      <w:r>
        <w:rPr>
          <w:i/>
          <w:iCs/>
        </w:rPr>
        <w:t>Journal of Community Genetics</w:t>
      </w:r>
      <w:r>
        <w:t xml:space="preserve">, </w:t>
      </w:r>
      <w:r>
        <w:rPr>
          <w:i/>
          <w:iCs/>
        </w:rPr>
        <w:t>7</w:t>
      </w:r>
      <w:r>
        <w:t>(1), 91–96. https://doi.org/10.1007/s12687-015-0245-1</w:t>
      </w:r>
    </w:p>
    <w:p w14:paraId="6BA5A3A5" w14:textId="77777777" w:rsidR="00506049" w:rsidRDefault="00506049" w:rsidP="00506049">
      <w:pPr>
        <w:pStyle w:val="Bibliography"/>
      </w:pPr>
      <w:r>
        <w:t xml:space="preserve">MAR. (n.d.). </w:t>
      </w:r>
      <w:r>
        <w:rPr>
          <w:i/>
          <w:iCs/>
        </w:rPr>
        <w:t>When Women Lost the Vote Timeline</w:t>
      </w:r>
      <w:r>
        <w:t>. Museum of the American Revolution. https://www.amrevmuseum.org/virtualexhibits/when-women-lost-the-vote-a-revolutionary-story/timeline</w:t>
      </w:r>
    </w:p>
    <w:p w14:paraId="4C83D3C5" w14:textId="77777777" w:rsidR="00506049" w:rsidRDefault="00506049" w:rsidP="00506049">
      <w:pPr>
        <w:pStyle w:val="Bibliography"/>
      </w:pPr>
      <w:r>
        <w:t xml:space="preserve">Marmot, M., Allen, J., Bell, R., Bloomer, E., &amp; Goldblatt, P. (2012). WHO European review of social determinants of health and the health divide. </w:t>
      </w:r>
      <w:r>
        <w:rPr>
          <w:i/>
          <w:iCs/>
        </w:rPr>
        <w:t>The Lancet</w:t>
      </w:r>
      <w:r>
        <w:t xml:space="preserve">, </w:t>
      </w:r>
      <w:r>
        <w:rPr>
          <w:i/>
          <w:iCs/>
        </w:rPr>
        <w:t>380</w:t>
      </w:r>
      <w:r>
        <w:t>(9846), 1011–1029.</w:t>
      </w:r>
    </w:p>
    <w:p w14:paraId="78601CE1" w14:textId="77777777" w:rsidR="00506049" w:rsidRDefault="00506049" w:rsidP="00506049">
      <w:pPr>
        <w:pStyle w:val="Bibliography"/>
      </w:pPr>
      <w:r>
        <w:t xml:space="preserve">Marmot, M., &amp; Wilkinson, R. (Eds.). (2005). </w:t>
      </w:r>
      <w:r>
        <w:rPr>
          <w:i/>
          <w:iCs/>
        </w:rPr>
        <w:t>Social determinants of health</w:t>
      </w:r>
      <w:r>
        <w:t>. OUP Oxford.</w:t>
      </w:r>
    </w:p>
    <w:p w14:paraId="1A40EEA8" w14:textId="77777777" w:rsidR="00506049" w:rsidRDefault="00506049" w:rsidP="00506049">
      <w:pPr>
        <w:pStyle w:val="Bibliography"/>
      </w:pPr>
      <w:r>
        <w:t xml:space="preserve">Marshall, J. L., Silberman, P., Thomas, L., Holding, W., Lane, N., Villamil, L., Holmes, G. M., Arcury, T. A., Randolph, R., Thomas, S., Lane, M., Latus, J., Rodgers, J., &amp; Ivey, K. (2017). </w:t>
      </w:r>
      <w:r>
        <w:rPr>
          <w:i/>
          <w:iCs/>
        </w:rPr>
        <w:t>Health Disparities in Appalachia</w:t>
      </w:r>
      <w:r>
        <w:t>. Robert Wood Johnson Foundation; Appalachian Regional Commission; Foundation for Healthy Kentucky; PDA, Inc.; The Cecil G. Sheps Center For Health Services Research. https://www.arc.gov/wp-content/uploads/2020/06/Health_Disparities_in_Appalachia_August_2017.pdf</w:t>
      </w:r>
    </w:p>
    <w:p w14:paraId="481073E1" w14:textId="77777777" w:rsidR="00506049" w:rsidRDefault="00506049" w:rsidP="00506049">
      <w:pPr>
        <w:pStyle w:val="Bibliography"/>
      </w:pPr>
      <w:r>
        <w:t xml:space="preserve">Martin, C. L., Ward-Caviness, C. K., Dhingra, R., Zikry, T. M., Galea, S., Wildman, D. E., Koenen, K. C., Uddin, M., &amp; Aiello, A. E. (2021). Neighborhood environment, social cohesion, and epigenetic aging. </w:t>
      </w:r>
      <w:r>
        <w:rPr>
          <w:i/>
          <w:iCs/>
        </w:rPr>
        <w:t>Aging (Albany NY)</w:t>
      </w:r>
      <w:r>
        <w:t xml:space="preserve">, </w:t>
      </w:r>
      <w:r>
        <w:rPr>
          <w:i/>
          <w:iCs/>
        </w:rPr>
        <w:t>13</w:t>
      </w:r>
      <w:r>
        <w:t>(6), 7883–7899. https://doi.org/10.18632/aging.202814</w:t>
      </w:r>
    </w:p>
    <w:p w14:paraId="3A3A5834" w14:textId="77777777" w:rsidR="00506049" w:rsidRDefault="00506049" w:rsidP="00506049">
      <w:pPr>
        <w:pStyle w:val="Bibliography"/>
      </w:pPr>
      <w:r>
        <w:lastRenderedPageBreak/>
        <w:t xml:space="preserve">Maruthappu, M., Ologunde, R., &amp; Gunarajasingam, A. (2013). Is health care a right? Health reforms in the USA and their impact upon the concept of care. </w:t>
      </w:r>
      <w:r>
        <w:rPr>
          <w:i/>
          <w:iCs/>
        </w:rPr>
        <w:t>Annals of Medicine and Surgery</w:t>
      </w:r>
      <w:r>
        <w:t xml:space="preserve">, </w:t>
      </w:r>
      <w:r>
        <w:rPr>
          <w:i/>
          <w:iCs/>
        </w:rPr>
        <w:t>2</w:t>
      </w:r>
      <w:r>
        <w:t>(1), 15–17. https://doi.org/10.1016/S2049-0801(13)70021-9</w:t>
      </w:r>
    </w:p>
    <w:p w14:paraId="6B569815" w14:textId="77777777" w:rsidR="00506049" w:rsidRDefault="00506049" w:rsidP="00506049">
      <w:pPr>
        <w:pStyle w:val="Bibliography"/>
      </w:pPr>
      <w:r>
        <w:t xml:space="preserve">Mattson, S., &amp; Bergfeld, T. (2017). Senior long-term care in Tennessee: Trends and options. In </w:t>
      </w:r>
      <w:r>
        <w:rPr>
          <w:i/>
          <w:iCs/>
        </w:rPr>
        <w:t>Tennessee Comptroller of the Treasury Office of Research and Accountability (TN Comptroller)</w:t>
      </w:r>
      <w:r>
        <w:t>. https://stagecomptroller.tn.gov/content/dam/cot/orea/advanced-search/orea-reports-2017/2017_OREA_SeniorLongTermCare.pdf</w:t>
      </w:r>
    </w:p>
    <w:p w14:paraId="74154B9F" w14:textId="77777777" w:rsidR="00506049" w:rsidRDefault="00506049" w:rsidP="00506049">
      <w:pPr>
        <w:pStyle w:val="Bibliography"/>
      </w:pPr>
      <w:r>
        <w:t xml:space="preserve">Mausner, J. S., &amp; Bahn, A. K. (1974). </w:t>
      </w:r>
      <w:r>
        <w:rPr>
          <w:i/>
          <w:iCs/>
        </w:rPr>
        <w:t>Epidemiology. An introductory text.</w:t>
      </w:r>
      <w:r>
        <w:t xml:space="preserve"> https://www.cabdirect.org/cabdirect/abstract/19752703034</w:t>
      </w:r>
    </w:p>
    <w:p w14:paraId="70030579" w14:textId="77777777" w:rsidR="00506049" w:rsidRDefault="00506049" w:rsidP="00506049">
      <w:pPr>
        <w:pStyle w:val="Bibliography"/>
      </w:pPr>
      <w:r>
        <w:t xml:space="preserve">Mazure, C. M., &amp; Jones, D. P. (2015). Twenty years and still counting: Including women as participants and studying sex and gender in biomedical research. </w:t>
      </w:r>
      <w:r>
        <w:rPr>
          <w:i/>
          <w:iCs/>
        </w:rPr>
        <w:t>BMC Women’s Health</w:t>
      </w:r>
      <w:r>
        <w:t xml:space="preserve">, </w:t>
      </w:r>
      <w:r>
        <w:rPr>
          <w:i/>
          <w:iCs/>
        </w:rPr>
        <w:t>15</w:t>
      </w:r>
      <w:r>
        <w:t>, 94. https://doi.org/10.1186/s12905-015-0251-9</w:t>
      </w:r>
    </w:p>
    <w:p w14:paraId="3EF5F6C2" w14:textId="77777777" w:rsidR="00506049" w:rsidRDefault="00506049" w:rsidP="00506049">
      <w:pPr>
        <w:pStyle w:val="Bibliography"/>
      </w:pPr>
      <w:r>
        <w:t xml:space="preserve">McCann, A. (2021a). </w:t>
      </w:r>
      <w:r>
        <w:rPr>
          <w:i/>
          <w:iCs/>
        </w:rPr>
        <w:t>a. Best &amp; Worst States for Health Care</w:t>
      </w:r>
      <w:r>
        <w:t>. WalletHub. https://wallethub.com/edu/states-with-best-health-care/23457</w:t>
      </w:r>
    </w:p>
    <w:p w14:paraId="7D08376E" w14:textId="77777777" w:rsidR="00506049" w:rsidRDefault="00506049" w:rsidP="00506049">
      <w:pPr>
        <w:pStyle w:val="Bibliography"/>
      </w:pPr>
      <w:r>
        <w:t xml:space="preserve">McCann, A. (2021b). </w:t>
      </w:r>
      <w:r>
        <w:rPr>
          <w:i/>
          <w:iCs/>
        </w:rPr>
        <w:t>b. Best States to Retire</w:t>
      </w:r>
      <w:r>
        <w:t>. WalletHub. https://wallethub.com/edu/best-and-worst-states-to-retire/18592</w:t>
      </w:r>
    </w:p>
    <w:p w14:paraId="3F4377B0" w14:textId="77777777" w:rsidR="00506049" w:rsidRDefault="00506049" w:rsidP="00506049">
      <w:pPr>
        <w:pStyle w:val="Bibliography"/>
      </w:pPr>
      <w:r>
        <w:t xml:space="preserve">McCann, A. (2021c). </w:t>
      </w:r>
      <w:r>
        <w:rPr>
          <w:i/>
          <w:iCs/>
        </w:rPr>
        <w:t>c). Best &amp; Worst States for Women</w:t>
      </w:r>
      <w:r>
        <w:t>. https://wallethub.com/edu/best-and-worst-states-for-women/10728</w:t>
      </w:r>
    </w:p>
    <w:p w14:paraId="1A53772D" w14:textId="77777777" w:rsidR="00506049" w:rsidRDefault="00506049" w:rsidP="00506049">
      <w:pPr>
        <w:pStyle w:val="Bibliography"/>
      </w:pPr>
      <w:r>
        <w:t xml:space="preserve">McCartney, G., Collins, C., &amp; Mackenzie, M. (2013). What (or who) causes health inequities: Theories, evidence and implications? </w:t>
      </w:r>
      <w:r>
        <w:rPr>
          <w:i/>
          <w:iCs/>
        </w:rPr>
        <w:t>Health Policy</w:t>
      </w:r>
      <w:r>
        <w:t xml:space="preserve">, </w:t>
      </w:r>
      <w:r>
        <w:rPr>
          <w:i/>
          <w:iCs/>
        </w:rPr>
        <w:t>113</w:t>
      </w:r>
      <w:r>
        <w:t>, 3. https://doi.org/10.1016/j.healthpol.2013.05.021</w:t>
      </w:r>
    </w:p>
    <w:p w14:paraId="0F0FC3D4" w14:textId="77777777" w:rsidR="00506049" w:rsidRDefault="00506049" w:rsidP="00506049">
      <w:pPr>
        <w:pStyle w:val="Bibliography"/>
      </w:pPr>
      <w:r>
        <w:t xml:space="preserve">McCartney, G., Popham, F., McMaster, R., &amp; Cumbers, A. (2019). Defining health and health inequalities. </w:t>
      </w:r>
      <w:r>
        <w:rPr>
          <w:i/>
          <w:iCs/>
        </w:rPr>
        <w:t>Public Health</w:t>
      </w:r>
      <w:r>
        <w:t xml:space="preserve">, </w:t>
      </w:r>
      <w:r>
        <w:rPr>
          <w:i/>
          <w:iCs/>
        </w:rPr>
        <w:t>172</w:t>
      </w:r>
      <w:r>
        <w:t>, 22–30. https://doi.org/10.1016/j.puhe.2019.03.023</w:t>
      </w:r>
    </w:p>
    <w:p w14:paraId="6AD8649E" w14:textId="77777777" w:rsidR="00506049" w:rsidRDefault="00506049" w:rsidP="00506049">
      <w:pPr>
        <w:pStyle w:val="Bibliography"/>
      </w:pPr>
      <w:r>
        <w:t xml:space="preserve">McGarvey, E. L., Leon-Verdin, M., Killos, L. F., Guterbock, T., &amp; Cohn, W. F. (2011). Health Disparities Between Appalachian and Non-Appalachian Counties in Virginia USA. </w:t>
      </w:r>
      <w:r>
        <w:rPr>
          <w:i/>
          <w:iCs/>
        </w:rPr>
        <w:t>Journal of Community Health</w:t>
      </w:r>
      <w:r>
        <w:t xml:space="preserve">, </w:t>
      </w:r>
      <w:r>
        <w:rPr>
          <w:i/>
          <w:iCs/>
        </w:rPr>
        <w:t>36</w:t>
      </w:r>
      <w:r>
        <w:t>(3), 348–356. https://doi.org/10.1007/s10900-010-9315-9</w:t>
      </w:r>
    </w:p>
    <w:p w14:paraId="0A9901FB" w14:textId="77777777" w:rsidR="00506049" w:rsidRDefault="00506049" w:rsidP="00506049">
      <w:pPr>
        <w:pStyle w:val="Bibliography"/>
      </w:pPr>
      <w:r>
        <w:t xml:space="preserve">McGuire, S. L., Klein, D. A., &amp; Chen, S. L. (2008). Ageism revisited: A study measuring ageism in East Tennessee, USA. </w:t>
      </w:r>
      <w:r>
        <w:rPr>
          <w:i/>
          <w:iCs/>
        </w:rPr>
        <w:t>Nursing &amp; Health Sciences</w:t>
      </w:r>
      <w:r>
        <w:t xml:space="preserve">, </w:t>
      </w:r>
      <w:r>
        <w:rPr>
          <w:i/>
          <w:iCs/>
        </w:rPr>
        <w:t>10</w:t>
      </w:r>
      <w:r>
        <w:t>(1), 11–16. https://doi.org/10.1111/j.1442-2018.2007.00336.x</w:t>
      </w:r>
    </w:p>
    <w:p w14:paraId="2AEDA1F9" w14:textId="77777777" w:rsidR="00506049" w:rsidRDefault="00506049" w:rsidP="00506049">
      <w:pPr>
        <w:pStyle w:val="Bibliography"/>
      </w:pPr>
      <w:r>
        <w:t xml:space="preserve">McIntyre, A., &amp; Song, Z. (2019). The US Affordable Care Act: Reflections and directions at the close of a decade. </w:t>
      </w:r>
      <w:r>
        <w:rPr>
          <w:i/>
          <w:iCs/>
        </w:rPr>
        <w:t>PLOS Medicine</w:t>
      </w:r>
      <w:r>
        <w:t xml:space="preserve">, </w:t>
      </w:r>
      <w:r>
        <w:rPr>
          <w:i/>
          <w:iCs/>
        </w:rPr>
        <w:t>16</w:t>
      </w:r>
      <w:r>
        <w:t>(2), e1002752. https://doi.org/10.1371/journal.pmed.1002752</w:t>
      </w:r>
    </w:p>
    <w:p w14:paraId="796B923D" w14:textId="77777777" w:rsidR="00506049" w:rsidRDefault="00506049" w:rsidP="00506049">
      <w:pPr>
        <w:pStyle w:val="Bibliography"/>
      </w:pPr>
      <w:r>
        <w:t xml:space="preserve">McLemore, M. R., &amp; Choo, E. K. (2019). The right decisions need the right voices. </w:t>
      </w:r>
      <w:r>
        <w:rPr>
          <w:i/>
          <w:iCs/>
        </w:rPr>
        <w:t>The Lancet</w:t>
      </w:r>
      <w:r>
        <w:t xml:space="preserve">, </w:t>
      </w:r>
      <w:r>
        <w:rPr>
          <w:i/>
          <w:iCs/>
        </w:rPr>
        <w:t>394</w:t>
      </w:r>
      <w:r>
        <w:t>(10204), 1133. https://doi.org/10.1016/S0140-6736(19)32167-1</w:t>
      </w:r>
    </w:p>
    <w:p w14:paraId="2ED624A0" w14:textId="77777777" w:rsidR="00506049" w:rsidRDefault="00506049" w:rsidP="00506049">
      <w:pPr>
        <w:pStyle w:val="Bibliography"/>
      </w:pPr>
      <w:r>
        <w:lastRenderedPageBreak/>
        <w:t xml:space="preserve">McMaughan, D. J., Oloruntoba, O., &amp; Smith, M. L. (2020). Socioeconomic Status and Access to Healthcare: Interrelated Drivers for Healthy Aging. </w:t>
      </w:r>
      <w:r>
        <w:rPr>
          <w:i/>
          <w:iCs/>
        </w:rPr>
        <w:t>Frontiers in Public Health</w:t>
      </w:r>
      <w:r>
        <w:t xml:space="preserve">, </w:t>
      </w:r>
      <w:r>
        <w:rPr>
          <w:i/>
          <w:iCs/>
        </w:rPr>
        <w:t>8</w:t>
      </w:r>
      <w:r>
        <w:t>. https://www.frontiersin.org/articles/10.3389/fpubh.2020.00231</w:t>
      </w:r>
    </w:p>
    <w:p w14:paraId="6847C858" w14:textId="77777777" w:rsidR="00506049" w:rsidRDefault="00506049" w:rsidP="00506049">
      <w:pPr>
        <w:pStyle w:val="Bibliography"/>
      </w:pPr>
      <w:r>
        <w:t xml:space="preserve">Melton, C. (2018). </w:t>
      </w:r>
      <w:r>
        <w:rPr>
          <w:i/>
          <w:iCs/>
        </w:rPr>
        <w:t>Where you Live Affects How Long You Live. The Sycamore Institute</w:t>
      </w:r>
      <w:r>
        <w:t>. https://www.sycamoreinstitutetn.org/where-you-live-affects-how-long-you-live/</w:t>
      </w:r>
    </w:p>
    <w:p w14:paraId="24DDB6FB" w14:textId="77777777" w:rsidR="00506049" w:rsidRDefault="00506049" w:rsidP="00506049">
      <w:pPr>
        <w:pStyle w:val="Bibliography"/>
      </w:pPr>
      <w:r>
        <w:t xml:space="preserve">Mensinger, J. L., Tylka, T. L., &amp; Calamari, M. E. (2018). Mechanisms underlying weight status and healthcare avoidance in women: A study of weight stigma, body-related shame and guilt, and healthcare stress. </w:t>
      </w:r>
      <w:r>
        <w:rPr>
          <w:i/>
          <w:iCs/>
        </w:rPr>
        <w:t>Body Image</w:t>
      </w:r>
      <w:r>
        <w:t xml:space="preserve">, </w:t>
      </w:r>
      <w:r>
        <w:rPr>
          <w:i/>
          <w:iCs/>
        </w:rPr>
        <w:t>25</w:t>
      </w:r>
      <w:r>
        <w:t>, 139–147. https://doi.org/10.1016/j.bodyim.2018.03.001</w:t>
      </w:r>
    </w:p>
    <w:p w14:paraId="68C17AF2" w14:textId="77777777" w:rsidR="00506049" w:rsidRDefault="00506049" w:rsidP="00506049">
      <w:pPr>
        <w:pStyle w:val="Bibliography"/>
      </w:pPr>
      <w:r>
        <w:t xml:space="preserve">Mero-Jaffe, I. (2011). ‘Is that what I Said?’ Interview Transcript Approval by Participants: An Aspect of Ethics in Qualitative Research. </w:t>
      </w:r>
      <w:r>
        <w:rPr>
          <w:i/>
          <w:iCs/>
        </w:rPr>
        <w:t>International Journal of Qualitative Methods</w:t>
      </w:r>
      <w:r>
        <w:t xml:space="preserve">, </w:t>
      </w:r>
      <w:r>
        <w:rPr>
          <w:i/>
          <w:iCs/>
        </w:rPr>
        <w:t>10</w:t>
      </w:r>
      <w:r>
        <w:t>(3), 231–247. https://doi.org/10.1177/160940691101000304</w:t>
      </w:r>
    </w:p>
    <w:p w14:paraId="619685DB" w14:textId="77777777" w:rsidR="00506049" w:rsidRDefault="00506049" w:rsidP="00506049">
      <w:pPr>
        <w:pStyle w:val="Bibliography"/>
      </w:pPr>
      <w:r>
        <w:t xml:space="preserve">Meyer, P., Yoon, Kaufman, R., &amp; CDC. (2013). </w:t>
      </w:r>
      <w:r>
        <w:rPr>
          <w:i/>
          <w:iCs/>
        </w:rPr>
        <w:t>Introduction: CDC Health Disparities and Inequalities Report—United States, 2013. - Abstract—Europe PMC</w:t>
      </w:r>
      <w:r>
        <w:t>. Europe PMC. https://europepmc.org/article/med/24264483</w:t>
      </w:r>
    </w:p>
    <w:p w14:paraId="669A0AA2" w14:textId="77777777" w:rsidR="00506049" w:rsidRDefault="00506049" w:rsidP="00506049">
      <w:pPr>
        <w:pStyle w:val="Bibliography"/>
      </w:pPr>
      <w:r>
        <w:t xml:space="preserve">Meyer, S. R., Lasater, M. E., &amp; García-Moreno, C. (2020). Violence against older women: A systematic review of qualitative literature. </w:t>
      </w:r>
      <w:r>
        <w:rPr>
          <w:i/>
          <w:iCs/>
        </w:rPr>
        <w:t>PLOS ONE</w:t>
      </w:r>
      <w:r>
        <w:t xml:space="preserve">, </w:t>
      </w:r>
      <w:r>
        <w:rPr>
          <w:i/>
          <w:iCs/>
        </w:rPr>
        <w:t>15</w:t>
      </w:r>
      <w:r>
        <w:t>(9), 0239560. https://doi.org/10.1371/journal.pone.0239560</w:t>
      </w:r>
    </w:p>
    <w:p w14:paraId="3E96CE28" w14:textId="77777777" w:rsidR="00506049" w:rsidRDefault="00506049" w:rsidP="00506049">
      <w:pPr>
        <w:pStyle w:val="Bibliography"/>
      </w:pPr>
      <w:r>
        <w:t xml:space="preserve">Miller, C. E., &amp; Vasan, R. S. (2021a). The southern rural health and mortality penalty: A review of regional health inequities in the United States. </w:t>
      </w:r>
      <w:r>
        <w:rPr>
          <w:i/>
          <w:iCs/>
        </w:rPr>
        <w:t>Social Science &amp; Medicine</w:t>
      </w:r>
      <w:r>
        <w:t xml:space="preserve">, </w:t>
      </w:r>
      <w:r>
        <w:rPr>
          <w:i/>
          <w:iCs/>
        </w:rPr>
        <w:t>268</w:t>
      </w:r>
      <w:r>
        <w:t>, 113443. https://doi.org/10.1016/j.socscimed.2020.113443</w:t>
      </w:r>
    </w:p>
    <w:p w14:paraId="3A6F9E30" w14:textId="77777777" w:rsidR="00506049" w:rsidRDefault="00506049" w:rsidP="00506049">
      <w:pPr>
        <w:pStyle w:val="Bibliography"/>
      </w:pPr>
      <w:r>
        <w:t xml:space="preserve">Miller, C. E., &amp; Vasan, R. S. (2021b). The southern rural health and mortality penalty: A review of regional health inequities in the United States. </w:t>
      </w:r>
      <w:r>
        <w:rPr>
          <w:i/>
          <w:iCs/>
        </w:rPr>
        <w:t>Social Science &amp; Medicine</w:t>
      </w:r>
      <w:r>
        <w:t xml:space="preserve">, </w:t>
      </w:r>
      <w:r>
        <w:rPr>
          <w:i/>
          <w:iCs/>
        </w:rPr>
        <w:t>268</w:t>
      </w:r>
      <w:r>
        <w:t>, 113443. https://doi.org/10.1016/j.socscimed.2020.113443</w:t>
      </w:r>
    </w:p>
    <w:p w14:paraId="6714601E" w14:textId="77777777" w:rsidR="00506049" w:rsidRDefault="00506049" w:rsidP="00506049">
      <w:pPr>
        <w:pStyle w:val="Bibliography"/>
      </w:pPr>
      <w:r>
        <w:t xml:space="preserve">Milton, S., Pliakas, T., Hawkesworth, S., Nanchahal, K., Grundy, C., Amuzu, A., Casas, J.-P., &amp; Lock, K. (2015). A qualitative geographical information systems approach to explore how older people over 70 years interact with and define their neighbourhood environment. </w:t>
      </w:r>
      <w:r>
        <w:rPr>
          <w:i/>
          <w:iCs/>
        </w:rPr>
        <w:t>Health &amp; Place</w:t>
      </w:r>
      <w:r>
        <w:t xml:space="preserve">, </w:t>
      </w:r>
      <w:r>
        <w:rPr>
          <w:i/>
          <w:iCs/>
        </w:rPr>
        <w:t>36</w:t>
      </w:r>
      <w:r>
        <w:t>, 127–133. https://doi.org/10.1016/j.healthplace.2015.10.002</w:t>
      </w:r>
    </w:p>
    <w:p w14:paraId="13B84015" w14:textId="77777777" w:rsidR="00506049" w:rsidRDefault="00506049" w:rsidP="00506049">
      <w:pPr>
        <w:pStyle w:val="Bibliography"/>
      </w:pPr>
      <w:r>
        <w:t xml:space="preserve">Mitchell, G. (1996). A qualitative study of older women’s perceptions of control, health and aging. </w:t>
      </w:r>
      <w:r>
        <w:rPr>
          <w:i/>
          <w:iCs/>
        </w:rPr>
        <w:t>Health Education Journal</w:t>
      </w:r>
      <w:r>
        <w:t xml:space="preserve">, </w:t>
      </w:r>
      <w:r>
        <w:rPr>
          <w:i/>
          <w:iCs/>
        </w:rPr>
        <w:t>55</w:t>
      </w:r>
      <w:r>
        <w:t>(3), 267–274. https://doi.org/10.1177/001789699605500302</w:t>
      </w:r>
    </w:p>
    <w:p w14:paraId="1E7F2FA9" w14:textId="77777777" w:rsidR="00506049" w:rsidRDefault="00506049" w:rsidP="00506049">
      <w:pPr>
        <w:pStyle w:val="Bibliography"/>
      </w:pPr>
      <w:r>
        <w:t xml:space="preserve">Mogashoa, T. (2014). Understanding critical discourse analysis in qualitative research. </w:t>
      </w:r>
      <w:r>
        <w:rPr>
          <w:i/>
          <w:iCs/>
        </w:rPr>
        <w:t>International Journal of Humanities Social Sciences and Education,</w:t>
      </w:r>
      <w:r>
        <w:t xml:space="preserve"> </w:t>
      </w:r>
      <w:r>
        <w:rPr>
          <w:i/>
          <w:iCs/>
        </w:rPr>
        <w:t>1</w:t>
      </w:r>
      <w:r>
        <w:t>(7), 104–113.</w:t>
      </w:r>
    </w:p>
    <w:p w14:paraId="10542B8E" w14:textId="77777777" w:rsidR="00506049" w:rsidRDefault="00506049" w:rsidP="00506049">
      <w:pPr>
        <w:pStyle w:val="Bibliography"/>
      </w:pPr>
      <w:r>
        <w:t xml:space="preserve">Montez, J. K. (2020). US state polarization, policymaking power, and population health. </w:t>
      </w:r>
      <w:r>
        <w:rPr>
          <w:i/>
          <w:iCs/>
        </w:rPr>
        <w:t>Milbank Q</w:t>
      </w:r>
      <w:r>
        <w:t xml:space="preserve">, </w:t>
      </w:r>
      <w:r>
        <w:rPr>
          <w:i/>
          <w:iCs/>
        </w:rPr>
        <w:t>98</w:t>
      </w:r>
      <w:r>
        <w:t>(4), 1033–1052. https://doi.org/10.1111/1468-0009.12482</w:t>
      </w:r>
    </w:p>
    <w:p w14:paraId="0817B32B" w14:textId="77777777" w:rsidR="00506049" w:rsidRDefault="00506049" w:rsidP="00506049">
      <w:pPr>
        <w:pStyle w:val="Bibliography"/>
      </w:pPr>
      <w:r>
        <w:lastRenderedPageBreak/>
        <w:t xml:space="preserve">Montez, J. K., &amp; Berkman, L. (2014). Trends in the educational gradient of mortality among US adults aged 45 to 84 years: Bringing regional context into the explanation. </w:t>
      </w:r>
      <w:r>
        <w:rPr>
          <w:i/>
          <w:iCs/>
        </w:rPr>
        <w:t>American Journal of Public Health</w:t>
      </w:r>
      <w:r>
        <w:t xml:space="preserve">, </w:t>
      </w:r>
      <w:r>
        <w:rPr>
          <w:i/>
          <w:iCs/>
        </w:rPr>
        <w:t>104</w:t>
      </w:r>
      <w:r>
        <w:t>(1), 82–90. https://doi.org/10.2105/AJPH.2013.301526</w:t>
      </w:r>
    </w:p>
    <w:p w14:paraId="10411E2A" w14:textId="77777777" w:rsidR="00506049" w:rsidRDefault="00506049" w:rsidP="00506049">
      <w:pPr>
        <w:pStyle w:val="Bibliography"/>
      </w:pPr>
      <w:r>
        <w:t xml:space="preserve">Montez, J. K., Zajacova, A., &amp; Hayward, M. D. (2016). Explaining inequities in women’s mortality between US States. </w:t>
      </w:r>
      <w:r>
        <w:rPr>
          <w:i/>
          <w:iCs/>
        </w:rPr>
        <w:t>SSM-Population Health</w:t>
      </w:r>
      <w:r>
        <w:t xml:space="preserve">, </w:t>
      </w:r>
      <w:r>
        <w:rPr>
          <w:i/>
          <w:iCs/>
        </w:rPr>
        <w:t>2</w:t>
      </w:r>
      <w:r>
        <w:t>, 561–571.</w:t>
      </w:r>
    </w:p>
    <w:p w14:paraId="2D2EE4CF" w14:textId="77777777" w:rsidR="00506049" w:rsidRDefault="00506049" w:rsidP="00506049">
      <w:pPr>
        <w:pStyle w:val="Bibliography"/>
      </w:pPr>
      <w:r>
        <w:t xml:space="preserve">Moon, S. (2019). Power in global governance: An expanded typology from global health. </w:t>
      </w:r>
      <w:r>
        <w:rPr>
          <w:i/>
          <w:iCs/>
        </w:rPr>
        <w:t>Globalization and Health</w:t>
      </w:r>
      <w:r>
        <w:t xml:space="preserve">, </w:t>
      </w:r>
      <w:r>
        <w:rPr>
          <w:i/>
          <w:iCs/>
        </w:rPr>
        <w:t>15</w:t>
      </w:r>
      <w:r>
        <w:t>(1), 74. https://doi.org/10.1186/s12992-019-0515-5</w:t>
      </w:r>
    </w:p>
    <w:p w14:paraId="7B0CB1D6" w14:textId="77777777" w:rsidR="00506049" w:rsidRDefault="00506049" w:rsidP="00506049">
      <w:pPr>
        <w:pStyle w:val="Bibliography"/>
      </w:pPr>
      <w:r>
        <w:t xml:space="preserve">Morgan, R., Ayiasi, R. M., Barman, D., Buzuzi, S., Ssemugabo, C., Ezumah, N., George, A., Hawkins, K., Hao, X., King, R., Liu, T., Molyneux, S., Muraya, K., Musoke, D., Nyamhanga, T., B., R., Tani, K., Theobald, S., Vong, S., &amp; Waldman, L. (2018). Gendered health systems: Evidence from low-and middle-income countries. </w:t>
      </w:r>
      <w:r>
        <w:rPr>
          <w:i/>
          <w:iCs/>
        </w:rPr>
        <w:t>Health Research Policy and Systems</w:t>
      </w:r>
      <w:r>
        <w:t xml:space="preserve">, </w:t>
      </w:r>
      <w:r>
        <w:rPr>
          <w:i/>
          <w:iCs/>
        </w:rPr>
        <w:t>16</w:t>
      </w:r>
      <w:r>
        <w:t>(1), 1–12.</w:t>
      </w:r>
    </w:p>
    <w:p w14:paraId="310F5A60" w14:textId="77777777" w:rsidR="00506049" w:rsidRDefault="00506049" w:rsidP="00506049">
      <w:pPr>
        <w:pStyle w:val="Bibliography"/>
      </w:pPr>
      <w:r>
        <w:t xml:space="preserve">Morris, M. W., Hong, Y., Chiu, C., &amp; Liu, Z. (2015). Normology: Integrating insights about social norms to understand cultural dynamics. </w:t>
      </w:r>
      <w:r>
        <w:rPr>
          <w:i/>
          <w:iCs/>
        </w:rPr>
        <w:t>Organizational Behavior and Human Decision Processes</w:t>
      </w:r>
      <w:r>
        <w:t xml:space="preserve">, </w:t>
      </w:r>
      <w:r>
        <w:rPr>
          <w:i/>
          <w:iCs/>
        </w:rPr>
        <w:t>129</w:t>
      </w:r>
      <w:r>
        <w:t>, 1–13. https://doi.org/10.1016/j.obhdp.2015.03.001</w:t>
      </w:r>
    </w:p>
    <w:p w14:paraId="350AE3A0" w14:textId="77777777" w:rsidR="00506049" w:rsidRDefault="00506049" w:rsidP="00506049">
      <w:pPr>
        <w:pStyle w:val="Bibliography"/>
      </w:pPr>
      <w:r>
        <w:t xml:space="preserve">Morrone, M., Cronin, C. E., Schuller, K., &amp; Nicks, S. E. (2021). Access to Health Care in Appalachia Perception and Reality. </w:t>
      </w:r>
      <w:r>
        <w:rPr>
          <w:i/>
          <w:iCs/>
        </w:rPr>
        <w:t>Journal of Appalachian Health</w:t>
      </w:r>
      <w:r>
        <w:t xml:space="preserve">, </w:t>
      </w:r>
      <w:r>
        <w:rPr>
          <w:i/>
          <w:iCs/>
        </w:rPr>
        <w:t>3</w:t>
      </w:r>
      <w:r>
        <w:t>(4), 123–136.</w:t>
      </w:r>
    </w:p>
    <w:p w14:paraId="7DCB474A" w14:textId="77777777" w:rsidR="00506049" w:rsidRDefault="00506049" w:rsidP="00506049">
      <w:pPr>
        <w:pStyle w:val="Bibliography"/>
      </w:pPr>
      <w:r>
        <w:t xml:space="preserve">Morton, S., &amp; Dunn, W. (n.d.). </w:t>
      </w:r>
      <w:r>
        <w:rPr>
          <w:i/>
          <w:iCs/>
        </w:rPr>
        <w:t>Addressing the Health Needs of an Aging America.</w:t>
      </w:r>
      <w:r>
        <w:t xml:space="preserve"> The Stern Center for Evidence-Based Policy.University of Pittsburg Health Policy Institute. https://www.healthpolicyinstitute.pitt.edu/sites/default/files/SternCtrAddressingNeeds.pdf</w:t>
      </w:r>
    </w:p>
    <w:p w14:paraId="7A7ADDBC" w14:textId="77777777" w:rsidR="00506049" w:rsidRDefault="00506049" w:rsidP="00506049">
      <w:pPr>
        <w:pStyle w:val="Bibliography"/>
      </w:pPr>
      <w:r>
        <w:t xml:space="preserve">NASEM. (2017). </w:t>
      </w:r>
      <w:r>
        <w:rPr>
          <w:i/>
          <w:iCs/>
        </w:rPr>
        <w:t>Communities in action: Pathways to health equity</w:t>
      </w:r>
      <w:r>
        <w:t>. National Academies of Sciences (NASEM), Engineering, and Medicine, National Academies Press. https://www-ncbi-nlm-nih-gov.proxy.lib.utk.edu/books/NBK425848/pdf/Bookshelf_NBK425848.pdf</w:t>
      </w:r>
    </w:p>
    <w:p w14:paraId="56997F3D" w14:textId="77777777" w:rsidR="00506049" w:rsidRDefault="00506049" w:rsidP="00506049">
      <w:pPr>
        <w:pStyle w:val="Bibliography"/>
      </w:pPr>
      <w:r>
        <w:t xml:space="preserve">Natale-Pereira, A., Enard, K. R., Nevarez, L., &amp; Jones, L. A. (2011). The role of patient navigators in eliminating health disparities. </w:t>
      </w:r>
      <w:r>
        <w:rPr>
          <w:i/>
          <w:iCs/>
        </w:rPr>
        <w:t>Cancer</w:t>
      </w:r>
      <w:r>
        <w:t xml:space="preserve">, </w:t>
      </w:r>
      <w:r>
        <w:rPr>
          <w:i/>
          <w:iCs/>
        </w:rPr>
        <w:t>117</w:t>
      </w:r>
      <w:r>
        <w:t>(S15), 3541–3550. https://doi.org/10.1002/cncr.26264</w:t>
      </w:r>
    </w:p>
    <w:p w14:paraId="59B3306F" w14:textId="77777777" w:rsidR="00506049" w:rsidRDefault="00506049" w:rsidP="00506049">
      <w:pPr>
        <w:pStyle w:val="Bibliography"/>
      </w:pPr>
      <w:r>
        <w:t xml:space="preserve">Nathan, S., Newman, C., &amp; Lancaster, K. (2019). Qualitative Interviewing. In P. Liamputtong (Ed.), </w:t>
      </w:r>
      <w:r>
        <w:rPr>
          <w:i/>
          <w:iCs/>
        </w:rPr>
        <w:t>Handbook of Research Methods in Health Social Sciences</w:t>
      </w:r>
      <w:r>
        <w:t xml:space="preserve"> (pp. 391–410). Springer Singapore.</w:t>
      </w:r>
    </w:p>
    <w:p w14:paraId="4A55F408" w14:textId="77777777" w:rsidR="00506049" w:rsidRDefault="00506049" w:rsidP="00506049">
      <w:pPr>
        <w:pStyle w:val="Bibliography"/>
      </w:pPr>
      <w:r>
        <w:t xml:space="preserve">National Archives. (2021, September 21). </w:t>
      </w:r>
      <w:r>
        <w:rPr>
          <w:i/>
          <w:iCs/>
        </w:rPr>
        <w:t>19th Amendment to the U.S. Constitution: Women’s Right to Vote (1920)</w:t>
      </w:r>
      <w:r>
        <w:t>. The U.S. National Archives and Records Administration (National Archives). https://www.archives.gov/milestone-documents/19th-amendment</w:t>
      </w:r>
    </w:p>
    <w:p w14:paraId="5E7FAB59" w14:textId="77777777" w:rsidR="00506049" w:rsidRDefault="00506049" w:rsidP="00506049">
      <w:pPr>
        <w:pStyle w:val="Bibliography"/>
      </w:pPr>
      <w:r>
        <w:t xml:space="preserve">Navaie-Waliser, M., Spriggs, A., &amp; Feldman, P. H. (2002). </w:t>
      </w:r>
      <w:r>
        <w:rPr>
          <w:i/>
          <w:iCs/>
        </w:rPr>
        <w:t>Informal caregiving: Differential experiences by gender</w:t>
      </w:r>
      <w:r>
        <w:t>. https://www.jstor.org/stable/3767944</w:t>
      </w:r>
    </w:p>
    <w:p w14:paraId="62DD6A5E" w14:textId="77777777" w:rsidR="00506049" w:rsidRDefault="00506049" w:rsidP="00506049">
      <w:pPr>
        <w:pStyle w:val="Bibliography"/>
      </w:pPr>
      <w:r>
        <w:lastRenderedPageBreak/>
        <w:t xml:space="preserve">Navarro, V. (2020). </w:t>
      </w:r>
      <w:r>
        <w:rPr>
          <w:i/>
          <w:iCs/>
        </w:rPr>
        <w:t>Neoliberalism, globalization, and inequities: Consequences for health and quality of life</w:t>
      </w:r>
      <w:r>
        <w:t>. Routledge.</w:t>
      </w:r>
    </w:p>
    <w:p w14:paraId="63468DB6" w14:textId="77777777" w:rsidR="00506049" w:rsidRDefault="00506049" w:rsidP="00506049">
      <w:pPr>
        <w:pStyle w:val="Bibliography"/>
      </w:pPr>
      <w:r>
        <w:t xml:space="preserve">Ndugga, N., &amp; Artiga, S. (2021, May 11). Disparities in Health and Health Care: 5 Key Questions and Answers. </w:t>
      </w:r>
      <w:r>
        <w:rPr>
          <w:i/>
          <w:iCs/>
        </w:rPr>
        <w:t>Kaiser Family Foundation</w:t>
      </w:r>
      <w:r>
        <w:t>. https://www.kff.org/racial-equity-and-health-policy/issue-brief/disparities-in-health-and-health-care-5-key-question-and-answers/</w:t>
      </w:r>
    </w:p>
    <w:p w14:paraId="24B758BC" w14:textId="77777777" w:rsidR="00506049" w:rsidRDefault="00506049" w:rsidP="00506049">
      <w:pPr>
        <w:pStyle w:val="Bibliography"/>
      </w:pPr>
      <w:r>
        <w:t xml:space="preserve">NIA. (n.d.). </w:t>
      </w:r>
      <w:r>
        <w:rPr>
          <w:i/>
          <w:iCs/>
        </w:rPr>
        <w:t>NIA Strategic Directions 2020-2025</w:t>
      </w:r>
      <w:r>
        <w:t>. National Institute on Aging (NIA). National Institutes of Health (NIH). https://www.nia.nih.gov/about/aging-strategic-directions-research</w:t>
      </w:r>
    </w:p>
    <w:p w14:paraId="28D3E111" w14:textId="77777777" w:rsidR="00506049" w:rsidRDefault="00506049" w:rsidP="00506049">
      <w:pPr>
        <w:pStyle w:val="Bibliography"/>
      </w:pPr>
      <w:r>
        <w:t xml:space="preserve">Northridge, M. E., Kumar, A., &amp; Kaur, R. (2020). Disparities in Access to Oral Health Care. </w:t>
      </w:r>
      <w:r>
        <w:rPr>
          <w:i/>
          <w:iCs/>
        </w:rPr>
        <w:t>Annual Review of Public Health</w:t>
      </w:r>
      <w:r>
        <w:t xml:space="preserve">, </w:t>
      </w:r>
      <w:r>
        <w:rPr>
          <w:i/>
          <w:iCs/>
        </w:rPr>
        <w:t>41</w:t>
      </w:r>
      <w:r>
        <w:t>, 513–535. https://doi.org/10.1146/annurev-publhealth-040119-094318</w:t>
      </w:r>
    </w:p>
    <w:p w14:paraId="636E0890" w14:textId="77777777" w:rsidR="00506049" w:rsidRDefault="00506049" w:rsidP="00506049">
      <w:pPr>
        <w:pStyle w:val="Bibliography"/>
      </w:pPr>
      <w:r>
        <w:t xml:space="preserve">Novak, N. (2021). Practical Geopolitics in Cinematic Narratives of Marvel’s The Avengers Film Franchise. </w:t>
      </w:r>
      <w:r>
        <w:rPr>
          <w:i/>
          <w:iCs/>
        </w:rPr>
        <w:t>Central European Journal of International and Security Studies</w:t>
      </w:r>
      <w:r>
        <w:t xml:space="preserve">, </w:t>
      </w:r>
      <w:r>
        <w:rPr>
          <w:i/>
          <w:iCs/>
        </w:rPr>
        <w:t>15</w:t>
      </w:r>
      <w:r>
        <w:t>(2), 4–22. https://doi.org/10.51870/CEJISS.A150201</w:t>
      </w:r>
    </w:p>
    <w:p w14:paraId="0F4B6FC8" w14:textId="77777777" w:rsidR="00506049" w:rsidRDefault="00506049" w:rsidP="00506049">
      <w:pPr>
        <w:pStyle w:val="Bibliography"/>
      </w:pPr>
      <w:r>
        <w:t xml:space="preserve">NPS. (2021). </w:t>
      </w:r>
      <w:r>
        <w:rPr>
          <w:i/>
          <w:iCs/>
        </w:rPr>
        <w:t>Visitation Numbers</w:t>
      </w:r>
      <w:r>
        <w:t>. National Park Service (NPS). https://www.nps.gov/aboutus/visitation-numbers.htm</w:t>
      </w:r>
    </w:p>
    <w:p w14:paraId="5C0BFB9C" w14:textId="77777777" w:rsidR="00506049" w:rsidRDefault="00506049" w:rsidP="00506049">
      <w:pPr>
        <w:pStyle w:val="Bibliography"/>
      </w:pPr>
      <w:r>
        <w:t xml:space="preserve">NWHA. (2021). </w:t>
      </w:r>
      <w:r>
        <w:rPr>
          <w:i/>
          <w:iCs/>
        </w:rPr>
        <w:t>Detailed Timeline: Timeline of Legal History of Women in the United States</w:t>
      </w:r>
      <w:r>
        <w:t>. National Women’s History Alliance NWHA). https://nationalwomenshistoryalliance.org/resources/womens-rights-movement/detailed-timeline/</w:t>
      </w:r>
    </w:p>
    <w:p w14:paraId="52C0731A" w14:textId="77777777" w:rsidR="00506049" w:rsidRDefault="00506049" w:rsidP="00506049">
      <w:pPr>
        <w:pStyle w:val="Bibliography"/>
      </w:pPr>
      <w:r>
        <w:t xml:space="preserve">O’Connor, P. (2022a). The unanchored past: Three modes of collective memory. </w:t>
      </w:r>
      <w:r>
        <w:rPr>
          <w:i/>
          <w:iCs/>
        </w:rPr>
        <w:t>Memory Studies</w:t>
      </w:r>
      <w:r>
        <w:t xml:space="preserve">, </w:t>
      </w:r>
      <w:r>
        <w:rPr>
          <w:i/>
          <w:iCs/>
        </w:rPr>
        <w:t>15</w:t>
      </w:r>
      <w:r>
        <w:t>(4), 634–649. https://doi.org/10.1177/1750698019894694</w:t>
      </w:r>
    </w:p>
    <w:p w14:paraId="3C0C87B5" w14:textId="77777777" w:rsidR="00506049" w:rsidRDefault="00506049" w:rsidP="00506049">
      <w:pPr>
        <w:pStyle w:val="Bibliography"/>
      </w:pPr>
      <w:r>
        <w:t xml:space="preserve">O’Connor, P. (2022b). The unanchored past: Three modes of collective memory. </w:t>
      </w:r>
      <w:r>
        <w:rPr>
          <w:i/>
          <w:iCs/>
        </w:rPr>
        <w:t>Memory Studies</w:t>
      </w:r>
      <w:r>
        <w:t xml:space="preserve">, </w:t>
      </w:r>
      <w:r>
        <w:rPr>
          <w:i/>
          <w:iCs/>
        </w:rPr>
        <w:t>15</w:t>
      </w:r>
      <w:r>
        <w:t>(4), 634–649. https://doi.org/10.1177/1750698019894694</w:t>
      </w:r>
    </w:p>
    <w:p w14:paraId="47BF0DBC" w14:textId="77777777" w:rsidR="00506049" w:rsidRDefault="00506049" w:rsidP="00506049">
      <w:pPr>
        <w:pStyle w:val="Bibliography"/>
      </w:pPr>
      <w:r>
        <w:t xml:space="preserve">ODPHP. (2022, February 6). </w:t>
      </w:r>
      <w:r>
        <w:rPr>
          <w:i/>
          <w:iCs/>
        </w:rPr>
        <w:t>Access to Health Services.</w:t>
      </w:r>
      <w:r>
        <w:t xml:space="preserve"> [U.S. Government]. Office of Disease Prevention and Health Promotion (ODPHP). https://www.healthypeople.gov/2020/topics-objectives/topic/social-determinants-health/interventions-resources/access-to-health</w:t>
      </w:r>
    </w:p>
    <w:p w14:paraId="077EBD1E" w14:textId="77777777" w:rsidR="00506049" w:rsidRDefault="00506049" w:rsidP="00506049">
      <w:pPr>
        <w:pStyle w:val="Bibliography"/>
      </w:pPr>
      <w:r>
        <w:t xml:space="preserve">Olson, A. W., Schommer, J. C., Mott, D. A., Adekunle, Ol., &amp; Brown, L. M. (2022). Financial hardship from purchasing prescription drugs among older adults in the United States before, during, and after the Medicare Part D “Donut Hole”: Findings from 1998, 2001, 2015, and 2021. </w:t>
      </w:r>
      <w:r>
        <w:rPr>
          <w:i/>
          <w:iCs/>
        </w:rPr>
        <w:t>Journal of Managed Care &amp; Specialty Pharmacy</w:t>
      </w:r>
      <w:r>
        <w:t xml:space="preserve">, </w:t>
      </w:r>
      <w:r>
        <w:rPr>
          <w:i/>
          <w:iCs/>
        </w:rPr>
        <w:t>28</w:t>
      </w:r>
      <w:r>
        <w:t>(5), 508–517. https://doi.org/10.18553/jmcp.2022.28.5.508</w:t>
      </w:r>
    </w:p>
    <w:p w14:paraId="2429D6E1" w14:textId="77777777" w:rsidR="00506049" w:rsidRDefault="00506049" w:rsidP="00506049">
      <w:pPr>
        <w:pStyle w:val="Bibliography"/>
      </w:pPr>
      <w:r>
        <w:t xml:space="preserve">O’Mara, M. R. J., Hsu, S. I., &amp; Wilson, D. R. (2015). Should MD-PhD programs encourage graduate training in disciplines beyond conventional biomedical or clinical </w:t>
      </w:r>
      <w:r>
        <w:lastRenderedPageBreak/>
        <w:t xml:space="preserve">sciences? </w:t>
      </w:r>
      <w:r>
        <w:rPr>
          <w:i/>
          <w:iCs/>
        </w:rPr>
        <w:t>Academic Medicine: Journal of the Association of American Medical Colleges</w:t>
      </w:r>
      <w:r>
        <w:t xml:space="preserve">, </w:t>
      </w:r>
      <w:r>
        <w:rPr>
          <w:i/>
          <w:iCs/>
        </w:rPr>
        <w:t>90</w:t>
      </w:r>
      <w:r>
        <w:t>(2), 161.</w:t>
      </w:r>
    </w:p>
    <w:p w14:paraId="74254B4E" w14:textId="77777777" w:rsidR="00506049" w:rsidRDefault="00506049" w:rsidP="00506049">
      <w:pPr>
        <w:pStyle w:val="Bibliography"/>
      </w:pPr>
      <w:r>
        <w:t xml:space="preserve">O’Sullivan, S. (2021). </w:t>
      </w:r>
      <w:r>
        <w:rPr>
          <w:i/>
          <w:iCs/>
        </w:rPr>
        <w:t>The Sleeping Beauties: And Other Stories of Mystery Illness</w:t>
      </w:r>
      <w:r>
        <w:t>. Pantheon Books.</w:t>
      </w:r>
    </w:p>
    <w:p w14:paraId="55C6D9CF" w14:textId="77777777" w:rsidR="00506049" w:rsidRDefault="00506049" w:rsidP="00506049">
      <w:pPr>
        <w:pStyle w:val="Bibliography"/>
      </w:pPr>
      <w:r>
        <w:t xml:space="preserve">Pallai, E., &amp; Tran, K. (2019). Narrative Health: Using Story to Explore Definitions of Health and Address Bias in Health Care. </w:t>
      </w:r>
      <w:r>
        <w:rPr>
          <w:i/>
          <w:iCs/>
        </w:rPr>
        <w:t>The Permanente Journal</w:t>
      </w:r>
      <w:r>
        <w:t xml:space="preserve">, </w:t>
      </w:r>
      <w:r>
        <w:rPr>
          <w:i/>
          <w:iCs/>
        </w:rPr>
        <w:t>23</w:t>
      </w:r>
      <w:r>
        <w:t>, 18–052. https://doi.org/10.7812/TPP/18-052</w:t>
      </w:r>
    </w:p>
    <w:p w14:paraId="489EB862" w14:textId="77777777" w:rsidR="00506049" w:rsidRDefault="00506049" w:rsidP="00506049">
      <w:pPr>
        <w:pStyle w:val="Bibliography"/>
      </w:pPr>
      <w:r>
        <w:t xml:space="preserve">Park, E. (2021). </w:t>
      </w:r>
      <w:r>
        <w:rPr>
          <w:i/>
          <w:iCs/>
        </w:rPr>
        <w:t>How States Would Fare Under Medicaid Block Grants or Per Capita Caps: Lessons from Puerto Rico</w:t>
      </w:r>
      <w:r>
        <w:t>. https://www.commonwealthfund.org/sites/default/files/2021-01/Park_Medicaid_block_grants_per_capita_caps_lessons_Puerto_Rico_ib.pdf</w:t>
      </w:r>
    </w:p>
    <w:p w14:paraId="0C146DCF" w14:textId="77777777" w:rsidR="00506049" w:rsidRDefault="00506049" w:rsidP="00506049">
      <w:pPr>
        <w:pStyle w:val="Bibliography"/>
      </w:pPr>
      <w:r>
        <w:t xml:space="preserve">Park, W. (2019). </w:t>
      </w:r>
      <w:r>
        <w:rPr>
          <w:i/>
          <w:iCs/>
        </w:rPr>
        <w:t>How your friends change your habits—For better and worse</w:t>
      </w:r>
      <w:r>
        <w:t>. BBC.Com Future. https://www.bbc.com/future/article/20190520-how-your-friends-change-your-habits---for-better-and-worse</w:t>
      </w:r>
    </w:p>
    <w:p w14:paraId="06C54863" w14:textId="77777777" w:rsidR="00506049" w:rsidRDefault="00506049" w:rsidP="00506049">
      <w:pPr>
        <w:pStyle w:val="Bibliography"/>
      </w:pPr>
      <w:r>
        <w:t xml:space="preserve">PBS. (n.d.). </w:t>
      </w:r>
      <w:r>
        <w:rPr>
          <w:i/>
          <w:iCs/>
        </w:rPr>
        <w:t>Mrs. America: Women’s Roles in the 1950s | American Experience | The Pill</w:t>
      </w:r>
      <w:r>
        <w:t>. Public Broadcasting System (PBS). https://www.pbs.org/wgbh/americanexperience/features/pill-mrs-america-womens-roles-1950s/</w:t>
      </w:r>
    </w:p>
    <w:p w14:paraId="5976BB8E" w14:textId="77777777" w:rsidR="00506049" w:rsidRDefault="00506049" w:rsidP="00506049">
      <w:pPr>
        <w:pStyle w:val="Bibliography"/>
      </w:pPr>
      <w:r>
        <w:t xml:space="preserve">Pearce, J. (2012). The ‘blemish of place’: Stigma, geography and health inequalities. A commentary on Tabuchi, Fukuhara &amp; Iso. </w:t>
      </w:r>
      <w:r>
        <w:rPr>
          <w:i/>
          <w:iCs/>
        </w:rPr>
        <w:t>Social Science and Medicine</w:t>
      </w:r>
      <w:r>
        <w:t xml:space="preserve">, </w:t>
      </w:r>
      <w:r>
        <w:rPr>
          <w:i/>
          <w:iCs/>
        </w:rPr>
        <w:t>75</w:t>
      </w:r>
      <w:r>
        <w:t>(11). https://www.pure.ed.ac.uk/ws/files/11576353/PDF_BlemishofPlace.pdf</w:t>
      </w:r>
    </w:p>
    <w:p w14:paraId="3B061C44" w14:textId="77777777" w:rsidR="00506049" w:rsidRDefault="00506049" w:rsidP="00506049">
      <w:pPr>
        <w:pStyle w:val="Bibliography"/>
      </w:pPr>
      <w:r>
        <w:t xml:space="preserve">Pedigo, A. S., &amp; Odoi, A. (2010). Investigation of disparities in geographic accessibility to emergency stroke and myocardial infarction care in East Tennessee using geographic information systems and network analysis. </w:t>
      </w:r>
      <w:r>
        <w:rPr>
          <w:i/>
          <w:iCs/>
        </w:rPr>
        <w:t>Annals of Epidemiology</w:t>
      </w:r>
      <w:r>
        <w:t xml:space="preserve">, </w:t>
      </w:r>
      <w:r>
        <w:rPr>
          <w:i/>
          <w:iCs/>
        </w:rPr>
        <w:t>20</w:t>
      </w:r>
      <w:r>
        <w:t>(12), 924–930. https://doi.org/10.1016/j.annepidem.2010.06.013</w:t>
      </w:r>
    </w:p>
    <w:p w14:paraId="747722D5" w14:textId="77777777" w:rsidR="00506049" w:rsidRDefault="00506049" w:rsidP="00506049">
      <w:pPr>
        <w:pStyle w:val="Bibliography"/>
      </w:pPr>
      <w:r>
        <w:t xml:space="preserve">Pellegrin, M. (2018a). </w:t>
      </w:r>
      <w:r>
        <w:rPr>
          <w:i/>
          <w:iCs/>
        </w:rPr>
        <w:t>A. Healthy Debate 2018: Health and Well-Being in Tennessee.</w:t>
      </w:r>
      <w:r>
        <w:t xml:space="preserve"> The Sycamore Institute. https://www.sycamoreinstitutetn.org/healthy-debate-wellbeing/</w:t>
      </w:r>
    </w:p>
    <w:p w14:paraId="1980462F" w14:textId="77777777" w:rsidR="00506049" w:rsidRDefault="00506049" w:rsidP="00506049">
      <w:pPr>
        <w:pStyle w:val="Bibliography"/>
      </w:pPr>
      <w:r>
        <w:t xml:space="preserve">Pellegrin, M. (2018b). </w:t>
      </w:r>
      <w:r>
        <w:rPr>
          <w:i/>
          <w:iCs/>
        </w:rPr>
        <w:t>B). Summary of Gov. Haslams’ FY 2018-2019 Amended Budget. The Sycamore Institute</w:t>
      </w:r>
      <w:r>
        <w:t>. https://www.sycamoreinstitutetn.org/gov-haslams-fy-2018-2019-amended-budget/</w:t>
      </w:r>
    </w:p>
    <w:p w14:paraId="691135D7" w14:textId="77777777" w:rsidR="00506049" w:rsidRDefault="00506049" w:rsidP="00506049">
      <w:pPr>
        <w:pStyle w:val="Bibliography"/>
      </w:pPr>
      <w:r>
        <w:t xml:space="preserve">Pellegrin, M. (2021). </w:t>
      </w:r>
      <w:r>
        <w:rPr>
          <w:i/>
          <w:iCs/>
        </w:rPr>
        <w:t>Tennessee’s Budget in Brief: Summary of Gov. Lee’s FY 2022 Recommended Budget</w:t>
      </w:r>
      <w:r>
        <w:t>. https://www.sycamoreinstitutetn.org/wp-content/uploads/2021/02/2021.02.22-FINAL-FY-2022-Budget-in-Brief.pdf</w:t>
      </w:r>
    </w:p>
    <w:p w14:paraId="544B5EDB" w14:textId="77777777" w:rsidR="00506049" w:rsidRDefault="00506049" w:rsidP="00506049">
      <w:pPr>
        <w:pStyle w:val="Bibliography"/>
      </w:pPr>
      <w:r>
        <w:t xml:space="preserve">Peto, R., &amp; Doll, R. (1997). There is no such thing as aging: Old age is associated with disease, but does not cause it. </w:t>
      </w:r>
      <w:r>
        <w:rPr>
          <w:i/>
          <w:iCs/>
        </w:rPr>
        <w:t>Bmj</w:t>
      </w:r>
      <w:r>
        <w:t xml:space="preserve">, </w:t>
      </w:r>
      <w:r>
        <w:rPr>
          <w:i/>
          <w:iCs/>
        </w:rPr>
        <w:t>315</w:t>
      </w:r>
      <w:r>
        <w:t>(7115), 1030–1032. https://doi.org/10.1136/bmj.315.7115.1030</w:t>
      </w:r>
    </w:p>
    <w:p w14:paraId="6A82EB05" w14:textId="77777777" w:rsidR="00506049" w:rsidRDefault="00506049" w:rsidP="00506049">
      <w:pPr>
        <w:pStyle w:val="Bibliography"/>
      </w:pPr>
      <w:r>
        <w:lastRenderedPageBreak/>
        <w:t xml:space="preserve">Petty, R. E., &amp; Briñol, P. (2015). Emotion and persuasion: Cognitive and meta-cognitive processes impact attitudes. </w:t>
      </w:r>
      <w:r>
        <w:rPr>
          <w:i/>
          <w:iCs/>
        </w:rPr>
        <w:t>Cognition and Emotion</w:t>
      </w:r>
      <w:r>
        <w:t xml:space="preserve">, </w:t>
      </w:r>
      <w:r>
        <w:rPr>
          <w:i/>
          <w:iCs/>
        </w:rPr>
        <w:t>29</w:t>
      </w:r>
      <w:r>
        <w:t>(1), 1–26. https://doi.org/10.1080/02699931.2014.967183</w:t>
      </w:r>
    </w:p>
    <w:p w14:paraId="3B7F1B7F" w14:textId="77777777" w:rsidR="00506049" w:rsidRDefault="00506049" w:rsidP="00506049">
      <w:pPr>
        <w:pStyle w:val="Bibliography"/>
      </w:pPr>
      <w:r>
        <w:t xml:space="preserve">PEW. (2021). </w:t>
      </w:r>
      <w:r>
        <w:rPr>
          <w:i/>
          <w:iCs/>
        </w:rPr>
        <w:t>How Local Governments Raise Their Tax Dollars</w:t>
      </w:r>
      <w:r>
        <w:t>. The Pew Charitable Trusts (PEW). https://www.pewtrusts.org/en/research-and-analysis/data-visualizations/2021/how-local-governments-raise-their-tax-dollars</w:t>
      </w:r>
    </w:p>
    <w:p w14:paraId="164EBA92" w14:textId="77777777" w:rsidR="00506049" w:rsidRDefault="00506049" w:rsidP="00506049">
      <w:pPr>
        <w:pStyle w:val="Bibliography"/>
      </w:pPr>
      <w:r>
        <w:t xml:space="preserve">Phelan, E., &amp; LoGerfo, J. (2005). New insights into the health priorities and needs of older women. </w:t>
      </w:r>
      <w:r>
        <w:rPr>
          <w:i/>
          <w:iCs/>
        </w:rPr>
        <w:t>Cmaj</w:t>
      </w:r>
      <w:r>
        <w:t xml:space="preserve">, </w:t>
      </w:r>
      <w:r>
        <w:rPr>
          <w:i/>
          <w:iCs/>
        </w:rPr>
        <w:t>173</w:t>
      </w:r>
      <w:r>
        <w:t>(2), 165–166.</w:t>
      </w:r>
    </w:p>
    <w:p w14:paraId="655827F0" w14:textId="77777777" w:rsidR="00506049" w:rsidRDefault="00506049" w:rsidP="00506049">
      <w:pPr>
        <w:pStyle w:val="Bibliography"/>
      </w:pPr>
      <w:r>
        <w:t xml:space="preserve">Phelan, J. C., Link, B. G., &amp; Tehranifar, P. (2010). Social conditions as fundamental causes of health inequalities: Theory, evidence, and policy implications. </w:t>
      </w:r>
      <w:r>
        <w:rPr>
          <w:i/>
          <w:iCs/>
        </w:rPr>
        <w:t>Journal of Health and Social Behavior</w:t>
      </w:r>
      <w:r>
        <w:t xml:space="preserve">, </w:t>
      </w:r>
      <w:r>
        <w:rPr>
          <w:i/>
          <w:iCs/>
        </w:rPr>
        <w:t>51</w:t>
      </w:r>
      <w:r>
        <w:t>(1_suppl), 28–40. https://doi.org/10.1177/0022146510383498</w:t>
      </w:r>
    </w:p>
    <w:p w14:paraId="0201052C" w14:textId="77777777" w:rsidR="00506049" w:rsidRDefault="00506049" w:rsidP="00506049">
      <w:pPr>
        <w:pStyle w:val="Bibliography"/>
      </w:pPr>
      <w:r>
        <w:t xml:space="preserve">Phillips, S. P., &amp; Carver, L. (2015). Early parental loss and self-rated health of older women and men: A population-based, multi-country study. </w:t>
      </w:r>
      <w:r>
        <w:rPr>
          <w:i/>
          <w:iCs/>
        </w:rPr>
        <w:t>PLoS One</w:t>
      </w:r>
      <w:r>
        <w:t xml:space="preserve">, </w:t>
      </w:r>
      <w:r>
        <w:rPr>
          <w:i/>
          <w:iCs/>
        </w:rPr>
        <w:t>10</w:t>
      </w:r>
      <w:r>
        <w:t>(4), 0120762.</w:t>
      </w:r>
    </w:p>
    <w:p w14:paraId="7C301A6F" w14:textId="77777777" w:rsidR="00506049" w:rsidRDefault="00506049" w:rsidP="00506049">
      <w:pPr>
        <w:pStyle w:val="Bibliography"/>
      </w:pPr>
      <w:r>
        <w:t xml:space="preserve">Pickett, K. E., Vafai, Y., Mathai, M., &amp; Small, N. (2022). The social determinants of child health and inequalities in child health. </w:t>
      </w:r>
      <w:r>
        <w:rPr>
          <w:i/>
          <w:iCs/>
        </w:rPr>
        <w:t>Paediatrics and Child Health</w:t>
      </w:r>
      <w:r>
        <w:t xml:space="preserve">, </w:t>
      </w:r>
      <w:r>
        <w:rPr>
          <w:i/>
          <w:iCs/>
        </w:rPr>
        <w:t>32</w:t>
      </w:r>
      <w:r>
        <w:t>(3), 88–94. https://doi.org/10.1016/j.paed.2021.12.003</w:t>
      </w:r>
    </w:p>
    <w:p w14:paraId="5C731008" w14:textId="77777777" w:rsidR="00506049" w:rsidRDefault="00506049" w:rsidP="00506049">
      <w:pPr>
        <w:pStyle w:val="Bibliography"/>
      </w:pPr>
      <w:r>
        <w:t xml:space="preserve">Pilgrim, D. (2012). </w:t>
      </w:r>
      <w:r>
        <w:rPr>
          <w:i/>
          <w:iCs/>
        </w:rPr>
        <w:t>What was Jim Crow?</w:t>
      </w:r>
      <w:r>
        <w:t xml:space="preserve"> Ferris State University, Jim Crow Museum. https://www.ferris.edu/HTMLS/news/jimcrow/what.htm</w:t>
      </w:r>
    </w:p>
    <w:p w14:paraId="453AEF7A" w14:textId="77777777" w:rsidR="00506049" w:rsidRDefault="00506049" w:rsidP="00506049">
      <w:pPr>
        <w:pStyle w:val="Bibliography"/>
      </w:pPr>
      <w:r>
        <w:t xml:space="preserve">Pinquart, M., &amp; Sörensen, S. (2001). Gender Differences in Self-Concept and Psychological Well-Being in Old Age: A Meta-Analysis. </w:t>
      </w:r>
      <w:r>
        <w:rPr>
          <w:i/>
          <w:iCs/>
        </w:rPr>
        <w:t>The Journals of Gerontology: Series B</w:t>
      </w:r>
      <w:r>
        <w:t xml:space="preserve">, </w:t>
      </w:r>
      <w:r>
        <w:rPr>
          <w:i/>
          <w:iCs/>
        </w:rPr>
        <w:t>56</w:t>
      </w:r>
      <w:r>
        <w:t>(4), P195–P213. https://doi.org/10.1093/geronb/56.4.P195</w:t>
      </w:r>
    </w:p>
    <w:p w14:paraId="0101FCBB" w14:textId="77777777" w:rsidR="00506049" w:rsidRDefault="00506049" w:rsidP="00506049">
      <w:pPr>
        <w:pStyle w:val="Bibliography"/>
      </w:pPr>
      <w:r>
        <w:t xml:space="preserve">Plamondon, K. M., Bottorff, J. L., Caxaj, C. S., &amp; Graham, I. D. (2020). The integration of evidence from the Commission on Social Determinants of Health in the field of health equity: A scoping review. </w:t>
      </w:r>
      <w:r>
        <w:rPr>
          <w:i/>
          <w:iCs/>
        </w:rPr>
        <w:t>Critical Public Health</w:t>
      </w:r>
      <w:r>
        <w:t xml:space="preserve">, </w:t>
      </w:r>
      <w:r>
        <w:rPr>
          <w:i/>
          <w:iCs/>
        </w:rPr>
        <w:t>30</w:t>
      </w:r>
      <w:r>
        <w:t>(4), 415–428. https://doi.org/10.1080/09581596.2018.1551613</w:t>
      </w:r>
    </w:p>
    <w:p w14:paraId="44494A81" w14:textId="77777777" w:rsidR="00506049" w:rsidRDefault="00506049" w:rsidP="00506049">
      <w:pPr>
        <w:pStyle w:val="Bibliography"/>
      </w:pPr>
      <w:r>
        <w:t xml:space="preserve">Porter, D. (2006). How Did Social Medicine Evolve, and Where Is It Heading? </w:t>
      </w:r>
      <w:r>
        <w:rPr>
          <w:i/>
          <w:iCs/>
        </w:rPr>
        <w:t>PLOS Medicine</w:t>
      </w:r>
      <w:r>
        <w:t xml:space="preserve">, </w:t>
      </w:r>
      <w:r>
        <w:rPr>
          <w:i/>
          <w:iCs/>
        </w:rPr>
        <w:t>3</w:t>
      </w:r>
      <w:r>
        <w:t>(10), e399. https://doi.org/10.1371/journal.pmed.0030399</w:t>
      </w:r>
    </w:p>
    <w:p w14:paraId="4ABC1606" w14:textId="77777777" w:rsidR="00506049" w:rsidRDefault="00506049" w:rsidP="00506049">
      <w:pPr>
        <w:pStyle w:val="Bibliography"/>
      </w:pPr>
      <w:r>
        <w:t xml:space="preserve">Potter, E. C., Allen, K. R., &amp; Roberto, K. A. (2019). Agency and fatalism in older Appalachian women’s information seeking about gynecological cancer. </w:t>
      </w:r>
      <w:r>
        <w:rPr>
          <w:i/>
          <w:iCs/>
        </w:rPr>
        <w:t>Journal of Women &amp; Aging</w:t>
      </w:r>
      <w:r>
        <w:t xml:space="preserve">, </w:t>
      </w:r>
      <w:r>
        <w:rPr>
          <w:i/>
          <w:iCs/>
        </w:rPr>
        <w:t>31</w:t>
      </w:r>
      <w:r>
        <w:t>(3), 192–212. https://doi.org/10.1080/08952841.2018.1434951</w:t>
      </w:r>
    </w:p>
    <w:p w14:paraId="2CA5BD59" w14:textId="77777777" w:rsidR="00506049" w:rsidRDefault="00506049" w:rsidP="00506049">
      <w:pPr>
        <w:pStyle w:val="Bibliography"/>
      </w:pPr>
      <w:r>
        <w:t xml:space="preserve">Puhl, R. M., Himmelstein, M. S., &amp; Pearl, R. L. (2020). Weight stigma as a psychosocial contributor to obesity. </w:t>
      </w:r>
      <w:r>
        <w:rPr>
          <w:i/>
          <w:iCs/>
        </w:rPr>
        <w:t>American Psychologist</w:t>
      </w:r>
      <w:r>
        <w:t xml:space="preserve">, </w:t>
      </w:r>
      <w:r>
        <w:rPr>
          <w:i/>
          <w:iCs/>
        </w:rPr>
        <w:t>75</w:t>
      </w:r>
      <w:r>
        <w:t>(2), 274–289. https://doi.org/10.1037/amp0000538</w:t>
      </w:r>
    </w:p>
    <w:p w14:paraId="6D5DB8A6" w14:textId="77777777" w:rsidR="00506049" w:rsidRDefault="00506049" w:rsidP="00506049">
      <w:pPr>
        <w:pStyle w:val="Bibliography"/>
      </w:pPr>
      <w:r>
        <w:t xml:space="preserve">Queen, K. (n.d.). </w:t>
      </w:r>
      <w:r>
        <w:rPr>
          <w:i/>
          <w:iCs/>
        </w:rPr>
        <w:t>Are vision insurance plans for seniors needed?</w:t>
      </w:r>
      <w:r>
        <w:t xml:space="preserve"> All About Vision. https://www.allaboutvision.com/vision-insurance/vision-plans-seniors/</w:t>
      </w:r>
    </w:p>
    <w:p w14:paraId="3F81B6C9" w14:textId="77777777" w:rsidR="00506049" w:rsidRDefault="00506049" w:rsidP="00506049">
      <w:pPr>
        <w:pStyle w:val="Bibliography"/>
      </w:pPr>
      <w:r>
        <w:lastRenderedPageBreak/>
        <w:t xml:space="preserve">Rao, D., Elshafei, A., Nguyen, M., Hatzenbuehler, M. L., Frey, S., &amp; Go, V. F. (2019). A systematic review of multi-level stigma interventions: State of the science and future directions. </w:t>
      </w:r>
      <w:r>
        <w:rPr>
          <w:i/>
          <w:iCs/>
        </w:rPr>
        <w:t>BMC Medicine</w:t>
      </w:r>
      <w:r>
        <w:t xml:space="preserve">, </w:t>
      </w:r>
      <w:r>
        <w:rPr>
          <w:i/>
          <w:iCs/>
        </w:rPr>
        <w:t>17</w:t>
      </w:r>
      <w:r>
        <w:t>(1), 41. https://doi.org/10.1186/s12916-018-1244-y</w:t>
      </w:r>
    </w:p>
    <w:p w14:paraId="6E4E07DF" w14:textId="77777777" w:rsidR="00506049" w:rsidRDefault="00506049" w:rsidP="00506049">
      <w:pPr>
        <w:pStyle w:val="Bibliography"/>
      </w:pPr>
      <w:r>
        <w:t xml:space="preserve">Rapp, K. S., Volpe, V. V., Hale, T. L., &amp; Quartararo, D. F. (2022). State–Level Sexism and Gender Disparities in Health Care Access and Quality in the United States. </w:t>
      </w:r>
      <w:r>
        <w:rPr>
          <w:i/>
          <w:iCs/>
        </w:rPr>
        <w:t>Journal of Health and Social Behavior</w:t>
      </w:r>
      <w:r>
        <w:t xml:space="preserve">, </w:t>
      </w:r>
      <w:r>
        <w:rPr>
          <w:i/>
          <w:iCs/>
        </w:rPr>
        <w:t>63</w:t>
      </w:r>
      <w:r>
        <w:t>(1), 2–18. https://doi.org/10.1177/00221465211058153</w:t>
      </w:r>
    </w:p>
    <w:p w14:paraId="4290E176" w14:textId="77777777" w:rsidR="00506049" w:rsidRDefault="00506049" w:rsidP="00506049">
      <w:pPr>
        <w:pStyle w:val="Bibliography"/>
      </w:pPr>
      <w:r>
        <w:t xml:space="preserve">Remington, P. L., &amp; Brownson, R. C. (2011). </w:t>
      </w:r>
      <w:r>
        <w:rPr>
          <w:i/>
          <w:iCs/>
        </w:rPr>
        <w:t>Fifty Years of Progress in Chronic Disease Epidemiology and Control</w:t>
      </w:r>
      <w:r>
        <w:t xml:space="preserve"> (60 (04); Morbidity and Mortality Weekly Report, pp. 70–77). Centers for Disease Control and Prevention. https://www.cdc.gov/mmwr/preview/mmwrhtml/su6004a12.htm</w:t>
      </w:r>
    </w:p>
    <w:p w14:paraId="4B2631A0" w14:textId="77777777" w:rsidR="00506049" w:rsidRDefault="00506049" w:rsidP="00506049">
      <w:pPr>
        <w:pStyle w:val="Bibliography"/>
      </w:pPr>
      <w:r>
        <w:t xml:space="preserve">Reynolds, A. Z., Wander, K., Sum, C.-Y., Su, M., Emery Thompson, M., Hooper, P. L., Li, H., Shenk, M. K., Starkweather, K. E., Blumenfield, T., &amp; Mattison, S. M. (2020). Matriliny reverses gender disparities in inflammation and hypertension among the Mosuo of China. </w:t>
      </w:r>
      <w:r>
        <w:rPr>
          <w:i/>
          <w:iCs/>
        </w:rPr>
        <w:t>Proceedings of the National Academy of Sciences</w:t>
      </w:r>
      <w:r>
        <w:t xml:space="preserve">, </w:t>
      </w:r>
      <w:r>
        <w:rPr>
          <w:i/>
          <w:iCs/>
        </w:rPr>
        <w:t>117</w:t>
      </w:r>
      <w:r>
        <w:t>(48), 30324–30327. https://doi.org/10.1073/pnas.2014403117</w:t>
      </w:r>
    </w:p>
    <w:p w14:paraId="134AA517" w14:textId="77777777" w:rsidR="00506049" w:rsidRDefault="00506049" w:rsidP="00506049">
      <w:pPr>
        <w:pStyle w:val="Bibliography"/>
      </w:pPr>
      <w:r>
        <w:t xml:space="preserve">RHIH. (2019). </w:t>
      </w:r>
      <w:r>
        <w:rPr>
          <w:i/>
          <w:iCs/>
        </w:rPr>
        <w:t>Rural Health Disparities Overview—Rural Health Information Hub</w:t>
      </w:r>
      <w:r>
        <w:t>. Rural Health Information Hub (RHIH). https://www.ruralhealthinfo.org/topics/rural-health-disparities</w:t>
      </w:r>
    </w:p>
    <w:p w14:paraId="31AC0E4A" w14:textId="77777777" w:rsidR="00506049" w:rsidRDefault="00506049" w:rsidP="00506049">
      <w:pPr>
        <w:pStyle w:val="Bibliography"/>
      </w:pPr>
      <w:r>
        <w:t xml:space="preserve">Rice, P. L., &amp; Ezzy, D. (2001). </w:t>
      </w:r>
      <w:r>
        <w:rPr>
          <w:i/>
          <w:iCs/>
        </w:rPr>
        <w:t>Qualitative research methods: A health focus</w:t>
      </w:r>
      <w:r>
        <w:t>. Oxford University Press.</w:t>
      </w:r>
    </w:p>
    <w:p w14:paraId="30AD09CC" w14:textId="77777777" w:rsidR="00506049" w:rsidRDefault="00506049" w:rsidP="00506049">
      <w:pPr>
        <w:pStyle w:val="Bibliography"/>
      </w:pPr>
      <w:r>
        <w:t xml:space="preserve">Riley, W. J. (2012). Health Disparities: Gaps in Access, Quality and Affordability of Medical Care. </w:t>
      </w:r>
      <w:r>
        <w:rPr>
          <w:i/>
          <w:iCs/>
        </w:rPr>
        <w:t>Transactions of the American Clinical and Climatological Association</w:t>
      </w:r>
      <w:r>
        <w:t xml:space="preserve">, </w:t>
      </w:r>
      <w:r>
        <w:rPr>
          <w:i/>
          <w:iCs/>
        </w:rPr>
        <w:t>123</w:t>
      </w:r>
      <w:r>
        <w:t>, 167–174.</w:t>
      </w:r>
    </w:p>
    <w:p w14:paraId="795D9393" w14:textId="77777777" w:rsidR="00506049" w:rsidRDefault="00506049" w:rsidP="00506049">
      <w:pPr>
        <w:pStyle w:val="Bibliography"/>
      </w:pPr>
      <w:r>
        <w:t xml:space="preserve">Rios, A., Joshi, R., &amp; Shin, H. (2020). Quantifying 60 Years of Gender Bias in Biomedical Research with Word Embeddings. </w:t>
      </w:r>
      <w:r>
        <w:rPr>
          <w:i/>
          <w:iCs/>
        </w:rPr>
        <w:t>Proceedings of the 19th SIGBioMed Workshop on Biomedical Language Processing</w:t>
      </w:r>
      <w:r>
        <w:t>, 1–13. https://doi.org/10.18653/v1/2020.bionlp-1.1</w:t>
      </w:r>
    </w:p>
    <w:p w14:paraId="15F35EA6" w14:textId="77777777" w:rsidR="00506049" w:rsidRDefault="00506049" w:rsidP="00506049">
      <w:pPr>
        <w:pStyle w:val="Bibliography"/>
      </w:pPr>
      <w:r>
        <w:t xml:space="preserve">Roberts, A., Ogunwole, S., Blakeslee, L., &amp; Rabe, M. (2018). </w:t>
      </w:r>
      <w:r>
        <w:rPr>
          <w:i/>
          <w:iCs/>
        </w:rPr>
        <w:t>Most older adults lived in households with computer and internet access. A snapshot of the fast-growing US older population</w:t>
      </w:r>
      <w:r>
        <w:t>. United States Census Bureau. www.census.gov/library/stories/2018/10/snapshot-fast-growing-us-olderpopulation.html.</w:t>
      </w:r>
    </w:p>
    <w:p w14:paraId="3482BDAD" w14:textId="77777777" w:rsidR="00506049" w:rsidRDefault="00506049" w:rsidP="00506049">
      <w:pPr>
        <w:pStyle w:val="Bibliography"/>
      </w:pPr>
      <w:r>
        <w:t xml:space="preserve">Rochon, P. A., Mason, R., &amp; Gurwitz, J. H. (2020). Increasing the visibility of older women in clinical research. </w:t>
      </w:r>
      <w:r>
        <w:rPr>
          <w:i/>
          <w:iCs/>
        </w:rPr>
        <w:t>The Lancet</w:t>
      </w:r>
      <w:r>
        <w:t xml:space="preserve">, </w:t>
      </w:r>
      <w:r>
        <w:rPr>
          <w:i/>
          <w:iCs/>
        </w:rPr>
        <w:t>395</w:t>
      </w:r>
      <w:r>
        <w:t>(10236), 1530–1532. https://doi.org/10.1016/s0140-6736(20)30849-7</w:t>
      </w:r>
    </w:p>
    <w:p w14:paraId="16B3789B" w14:textId="77777777" w:rsidR="00506049" w:rsidRDefault="00506049" w:rsidP="00506049">
      <w:pPr>
        <w:pStyle w:val="Bibliography"/>
      </w:pPr>
      <w:r>
        <w:t xml:space="preserve">Rodríguez, V. M., Corona, R., Bodurtha, J. N., &amp; Quillin, J. M. (2016). Family Ties: The Role of Family Context in Family Health History Communication About Cancer. </w:t>
      </w:r>
      <w:r>
        <w:rPr>
          <w:i/>
          <w:iCs/>
        </w:rPr>
        <w:t xml:space="preserve">Journal </w:t>
      </w:r>
      <w:r>
        <w:rPr>
          <w:i/>
          <w:iCs/>
        </w:rPr>
        <w:lastRenderedPageBreak/>
        <w:t>of Health Communication</w:t>
      </w:r>
      <w:r>
        <w:t xml:space="preserve">, </w:t>
      </w:r>
      <w:r>
        <w:rPr>
          <w:i/>
          <w:iCs/>
        </w:rPr>
        <w:t>21</w:t>
      </w:r>
      <w:r>
        <w:t>(3), 346–355. https://doi.org/10.1080/10810730.2015.1080328</w:t>
      </w:r>
    </w:p>
    <w:p w14:paraId="7E269537" w14:textId="77777777" w:rsidR="00506049" w:rsidRDefault="00506049" w:rsidP="00506049">
      <w:pPr>
        <w:pStyle w:val="Bibliography"/>
      </w:pPr>
      <w:r>
        <w:t xml:space="preserve">Roediger III, H. L. (2021). Three facets of collective memory. </w:t>
      </w:r>
      <w:r>
        <w:rPr>
          <w:i/>
          <w:iCs/>
        </w:rPr>
        <w:t>American Psychologist</w:t>
      </w:r>
      <w:r>
        <w:t xml:space="preserve">, </w:t>
      </w:r>
      <w:r>
        <w:rPr>
          <w:i/>
          <w:iCs/>
        </w:rPr>
        <w:t>76</w:t>
      </w:r>
      <w:r>
        <w:t>, 1388–1400. https://doi.org/10.1037/amp0000938</w:t>
      </w:r>
    </w:p>
    <w:p w14:paraId="2937670D" w14:textId="77777777" w:rsidR="00506049" w:rsidRDefault="00506049" w:rsidP="00506049">
      <w:pPr>
        <w:pStyle w:val="Bibliography"/>
      </w:pPr>
      <w:r>
        <w:t xml:space="preserve">Rohlinger, D. (2018, December 13). </w:t>
      </w:r>
      <w:r>
        <w:rPr>
          <w:i/>
          <w:iCs/>
        </w:rPr>
        <w:t>In 2019, women’s rights are still not explicitly recognized in US Constitution</w:t>
      </w:r>
      <w:r>
        <w:t>. The Conversation. http://theconversation.com/in-2019-womens-rights-are-still-not-explicitly-recognized-in-us-constitution-108150</w:t>
      </w:r>
    </w:p>
    <w:p w14:paraId="4D79322B" w14:textId="77777777" w:rsidR="00506049" w:rsidRDefault="00506049" w:rsidP="00506049">
      <w:pPr>
        <w:pStyle w:val="Bibliography"/>
      </w:pPr>
      <w:r>
        <w:t xml:space="preserve">Rosenbaum, S., Schmucker, S., Rothenberg, S., &amp; Gunsalus, R. (2016). What Would Block Grants or Limits on Per Capita Spending Mean for Medicaid? </w:t>
      </w:r>
      <w:r>
        <w:rPr>
          <w:i/>
          <w:iCs/>
        </w:rPr>
        <w:t>Issue Brief</w:t>
      </w:r>
      <w:r>
        <w:t xml:space="preserve">, </w:t>
      </w:r>
      <w:r>
        <w:rPr>
          <w:i/>
          <w:iCs/>
        </w:rPr>
        <w:t>39</w:t>
      </w:r>
      <w:r>
        <w:t>, 1–10.</w:t>
      </w:r>
    </w:p>
    <w:p w14:paraId="3D866A4C" w14:textId="77777777" w:rsidR="00506049" w:rsidRDefault="00506049" w:rsidP="00506049">
      <w:pPr>
        <w:pStyle w:val="Bibliography"/>
      </w:pPr>
      <w:r>
        <w:t xml:space="preserve">Ross, W., Ph, M., Culbert, A., Gasper, C., Kimmey, J., &amp; Ross, M. (2009). </w:t>
      </w:r>
      <w:r>
        <w:rPr>
          <w:i/>
          <w:iCs/>
        </w:rPr>
        <w:t>A Theory-Based Approach to Improving Health Literacy</w:t>
      </w:r>
      <w:r>
        <w:t>.</w:t>
      </w:r>
    </w:p>
    <w:p w14:paraId="68A8B4CE" w14:textId="77777777" w:rsidR="00506049" w:rsidRDefault="00506049" w:rsidP="00506049">
      <w:pPr>
        <w:pStyle w:val="Bibliography"/>
      </w:pPr>
      <w:r>
        <w:t xml:space="preserve">Rostad, B., Deeg, D. J., &amp; Schei, B. (2009). Socioeconomic inequities in health in older women. </w:t>
      </w:r>
      <w:r>
        <w:rPr>
          <w:i/>
          <w:iCs/>
        </w:rPr>
        <w:t>European Journal of Aging</w:t>
      </w:r>
      <w:r>
        <w:t xml:space="preserve">, </w:t>
      </w:r>
      <w:r>
        <w:rPr>
          <w:i/>
          <w:iCs/>
        </w:rPr>
        <w:t>6</w:t>
      </w:r>
      <w:r>
        <w:t>(1), 39–47.</w:t>
      </w:r>
    </w:p>
    <w:p w14:paraId="2B2D42D1" w14:textId="77777777" w:rsidR="00506049" w:rsidRDefault="00506049" w:rsidP="00506049">
      <w:pPr>
        <w:pStyle w:val="Bibliography"/>
      </w:pPr>
      <w:r>
        <w:t xml:space="preserve">Rotarou, E. S., &amp; Sakellariou, D. (2017). Neoliberal reforms in health systems and the construction of long-lasting inequities in health care: A case study from Chile. </w:t>
      </w:r>
      <w:r>
        <w:rPr>
          <w:i/>
          <w:iCs/>
        </w:rPr>
        <w:t>Health Policy</w:t>
      </w:r>
      <w:r>
        <w:t xml:space="preserve">, </w:t>
      </w:r>
      <w:r>
        <w:rPr>
          <w:i/>
          <w:iCs/>
        </w:rPr>
        <w:t>121 5</w:t>
      </w:r>
      <w:r>
        <w:t>, 495–503.</w:t>
      </w:r>
    </w:p>
    <w:p w14:paraId="026908B2" w14:textId="77777777" w:rsidR="00506049" w:rsidRDefault="00506049" w:rsidP="00506049">
      <w:pPr>
        <w:pStyle w:val="Bibliography"/>
      </w:pPr>
      <w:r>
        <w:t xml:space="preserve">Rowlands, G., Russell, S., O’Donnell, A., Kaner, E., Trezona, A., Rademakers, J., &amp; Nutbeam, D. (2018). </w:t>
      </w:r>
      <w:r>
        <w:rPr>
          <w:i/>
          <w:iCs/>
        </w:rPr>
        <w:t>What is the Evidence on Existing Policies and Linked Activities and their Effectiveness for Improving Health Literacy at National, Regional and Organizational Levels in the WHO European Region?</w:t>
      </w:r>
      <w:r>
        <w:t xml:space="preserve"> WHO Regional Office for Europe. http://www.ncbi.nlm.nih.gov/books/NBK525689/</w:t>
      </w:r>
    </w:p>
    <w:p w14:paraId="127F540E" w14:textId="77777777" w:rsidR="00506049" w:rsidRDefault="00506049" w:rsidP="00506049">
      <w:pPr>
        <w:pStyle w:val="Bibliography"/>
      </w:pPr>
      <w:r>
        <w:t xml:space="preserve">Rubinstein, R. L., &amp; Medeiros, K. (2015). Successful aging,” gerontological theory and neoliberalism: A qualitative critique. </w:t>
      </w:r>
      <w:r>
        <w:rPr>
          <w:i/>
          <w:iCs/>
        </w:rPr>
        <w:t>The Gerontologist</w:t>
      </w:r>
      <w:r>
        <w:t xml:space="preserve">, </w:t>
      </w:r>
      <w:r>
        <w:rPr>
          <w:i/>
          <w:iCs/>
        </w:rPr>
        <w:t>55</w:t>
      </w:r>
      <w:r>
        <w:t>(1), 34–42. https://doi.org/10.1093/geront/gnu080</w:t>
      </w:r>
    </w:p>
    <w:p w14:paraId="39C86A31" w14:textId="77777777" w:rsidR="00506049" w:rsidRDefault="00506049" w:rsidP="00506049">
      <w:pPr>
        <w:pStyle w:val="Bibliography"/>
      </w:pPr>
      <w:r>
        <w:t xml:space="preserve">Sager, R., &amp; Bentele, K. (2016). Coopting the state: The conservative evangelical movement and state-level institutionalization, passage, and diffusion of faith-based initiatives. </w:t>
      </w:r>
      <w:r>
        <w:rPr>
          <w:i/>
          <w:iCs/>
        </w:rPr>
        <w:t>Religions</w:t>
      </w:r>
      <w:r>
        <w:t xml:space="preserve">, </w:t>
      </w:r>
      <w:r>
        <w:rPr>
          <w:i/>
          <w:iCs/>
        </w:rPr>
        <w:t>7</w:t>
      </w:r>
      <w:r>
        <w:t>(6), 71. https://doi.org/10.3390/rel7060071</w:t>
      </w:r>
    </w:p>
    <w:p w14:paraId="589EA0C2" w14:textId="77777777" w:rsidR="00506049" w:rsidRDefault="00506049" w:rsidP="00506049">
      <w:pPr>
        <w:pStyle w:val="Bibliography"/>
      </w:pPr>
      <w:r>
        <w:t xml:space="preserve">Sakellariou, D., &amp; Rotarou, E. S. (2017). The effects of neoliberal policies on access to healthcare for people with disabilities. </w:t>
      </w:r>
      <w:r>
        <w:rPr>
          <w:i/>
          <w:iCs/>
        </w:rPr>
        <w:t>International Journal for Equity in Health</w:t>
      </w:r>
      <w:r>
        <w:t xml:space="preserve">, </w:t>
      </w:r>
      <w:r>
        <w:rPr>
          <w:i/>
          <w:iCs/>
        </w:rPr>
        <w:t>16</w:t>
      </w:r>
      <w:r>
        <w:t>(1), 1–8.</w:t>
      </w:r>
    </w:p>
    <w:p w14:paraId="588A0CD7" w14:textId="77777777" w:rsidR="00506049" w:rsidRDefault="00506049" w:rsidP="00506049">
      <w:pPr>
        <w:pStyle w:val="Bibliography"/>
      </w:pPr>
      <w:r>
        <w:t xml:space="preserve">Salles, A., Awad, M., Goldin, L., Krus, K., Lee, J. V., Schwabe, M. T., &amp; Lai, C. K. (2019). Estimating Implicit and Explicit Gender Bias Among Health Care Professionals and Surgeons. </w:t>
      </w:r>
      <w:r>
        <w:rPr>
          <w:i/>
          <w:iCs/>
        </w:rPr>
        <w:t>JAMA Network Open</w:t>
      </w:r>
      <w:r>
        <w:t xml:space="preserve">, </w:t>
      </w:r>
      <w:r>
        <w:rPr>
          <w:i/>
          <w:iCs/>
        </w:rPr>
        <w:t>2</w:t>
      </w:r>
      <w:r>
        <w:t>(7), e196545. https://doi.org/10.1001/jamanetworkopen.2019.6545</w:t>
      </w:r>
    </w:p>
    <w:p w14:paraId="431B7031" w14:textId="77777777" w:rsidR="00506049" w:rsidRDefault="00506049" w:rsidP="00506049">
      <w:pPr>
        <w:pStyle w:val="Bibliography"/>
      </w:pPr>
      <w:r>
        <w:t xml:space="preserve">Sartorius, N. (2006). The Meanings of Health and its Promotion. </w:t>
      </w:r>
      <w:r>
        <w:rPr>
          <w:i/>
          <w:iCs/>
        </w:rPr>
        <w:t>Croatian Medical Journal</w:t>
      </w:r>
      <w:r>
        <w:t xml:space="preserve">, </w:t>
      </w:r>
      <w:r>
        <w:rPr>
          <w:i/>
          <w:iCs/>
        </w:rPr>
        <w:t>47</w:t>
      </w:r>
      <w:r>
        <w:t>(4), 662–664.</w:t>
      </w:r>
    </w:p>
    <w:p w14:paraId="0EABEAB6" w14:textId="77777777" w:rsidR="00506049" w:rsidRDefault="00506049" w:rsidP="00506049">
      <w:pPr>
        <w:pStyle w:val="Bibliography"/>
      </w:pPr>
      <w:r>
        <w:lastRenderedPageBreak/>
        <w:t xml:space="preserve">Schaeffer, K. (2019). </w:t>
      </w:r>
      <w:r>
        <w:rPr>
          <w:i/>
          <w:iCs/>
        </w:rPr>
        <w:t>In a rising number of U.S. counties, Hispanic and black Americans are the majority</w:t>
      </w:r>
      <w:r>
        <w:t>. Pew Research Center. https://www.pewresearch.org/fact-tank/2019/11/20/in-a-rising-number-of-u-s-counties-hispanic-and-black-americans-are-the-majority/#counties</w:t>
      </w:r>
    </w:p>
    <w:p w14:paraId="7457F299" w14:textId="77777777" w:rsidR="00506049" w:rsidRDefault="00506049" w:rsidP="00506049">
      <w:pPr>
        <w:pStyle w:val="Bibliography"/>
      </w:pPr>
      <w:r>
        <w:t xml:space="preserve">Schapiro, R. A. (2020). States of Inequality: Fiscal Federalism, Unequal States, and Unequal People. </w:t>
      </w:r>
      <w:r>
        <w:rPr>
          <w:i/>
          <w:iCs/>
        </w:rPr>
        <w:t>California Law Review</w:t>
      </w:r>
      <w:r>
        <w:t xml:space="preserve">, </w:t>
      </w:r>
      <w:r>
        <w:rPr>
          <w:i/>
          <w:iCs/>
        </w:rPr>
        <w:t>108</w:t>
      </w:r>
      <w:r>
        <w:t>(5). https://www.californialawreview.org/print/fiscal-federalism-unequal-states/</w:t>
      </w:r>
    </w:p>
    <w:p w14:paraId="6D02D768" w14:textId="77777777" w:rsidR="00506049" w:rsidRDefault="00506049" w:rsidP="00506049">
      <w:pPr>
        <w:pStyle w:val="Bibliography"/>
      </w:pPr>
      <w:r>
        <w:t xml:space="preserve">Sen, A. (2001). The Many Faces of Gender Inequality. </w:t>
      </w:r>
      <w:r>
        <w:rPr>
          <w:i/>
          <w:iCs/>
        </w:rPr>
        <w:t>New Republic</w:t>
      </w:r>
      <w:r>
        <w:t xml:space="preserve">, </w:t>
      </w:r>
      <w:r>
        <w:rPr>
          <w:i/>
          <w:iCs/>
        </w:rPr>
        <w:t>225</w:t>
      </w:r>
      <w:r>
        <w:t>(12). https://www.sas.upenn.edu/~dludden/MANY%20FACES%20OF%20GENDER%20INEQUALITY.htm</w:t>
      </w:r>
    </w:p>
    <w:p w14:paraId="210EAC7D" w14:textId="77777777" w:rsidR="00506049" w:rsidRDefault="00506049" w:rsidP="00506049">
      <w:pPr>
        <w:pStyle w:val="Bibliography"/>
      </w:pPr>
      <w:r>
        <w:t xml:space="preserve">Sengupta, A., Bodini, C., &amp; Franco, S. (2018). Struggles for Health: An Emancipatory Approach in the Era of Neoliberal Globalization. </w:t>
      </w:r>
      <w:r>
        <w:rPr>
          <w:i/>
          <w:iCs/>
        </w:rPr>
        <w:t>Development</w:t>
      </w:r>
      <w:r>
        <w:t xml:space="preserve">, </w:t>
      </w:r>
      <w:r>
        <w:rPr>
          <w:i/>
          <w:iCs/>
        </w:rPr>
        <w:t>61</w:t>
      </w:r>
      <w:r>
        <w:t>(1), 101–107. https://doi.org/10.1057/s41301-018-0196-z</w:t>
      </w:r>
    </w:p>
    <w:p w14:paraId="4AFC0D0E" w14:textId="77777777" w:rsidR="00506049" w:rsidRDefault="00506049" w:rsidP="00506049">
      <w:pPr>
        <w:pStyle w:val="Bibliography"/>
      </w:pPr>
      <w:r>
        <w:t xml:space="preserve">Sentell, T., Vamos, S., &amp; Okan, O. (2020). Interdisciplinary Perspectives on Health Literacy Research Around the World: More Important Than Ever in a Time of COVID-19. </w:t>
      </w:r>
      <w:r>
        <w:rPr>
          <w:i/>
          <w:iCs/>
        </w:rPr>
        <w:t>International Journal of Environmental Research and Public Health</w:t>
      </w:r>
      <w:r>
        <w:t xml:space="preserve">, </w:t>
      </w:r>
      <w:r>
        <w:rPr>
          <w:i/>
          <w:iCs/>
        </w:rPr>
        <w:t>17</w:t>
      </w:r>
      <w:r>
        <w:t>(9), Article 9. https://doi.org/10.3390/ijerph17093010</w:t>
      </w:r>
    </w:p>
    <w:p w14:paraId="428D9D2A" w14:textId="77777777" w:rsidR="00506049" w:rsidRDefault="00506049" w:rsidP="00506049">
      <w:pPr>
        <w:pStyle w:val="Bibliography"/>
      </w:pPr>
      <w:r>
        <w:t xml:space="preserve">Serrant-Green, L. (2011). The sound of ‘silence’: A framework for researching sensitive issues or marginalised perspectives in health. </w:t>
      </w:r>
      <w:r>
        <w:rPr>
          <w:i/>
          <w:iCs/>
        </w:rPr>
        <w:t>Journal of Research in Nursing</w:t>
      </w:r>
      <w:r>
        <w:t xml:space="preserve">, </w:t>
      </w:r>
      <w:r>
        <w:rPr>
          <w:i/>
          <w:iCs/>
        </w:rPr>
        <w:t>16</w:t>
      </w:r>
      <w:r>
        <w:t>(4), 347–360. https://doi.org/10.1177/1744987110387741</w:t>
      </w:r>
    </w:p>
    <w:p w14:paraId="4DD32E3F" w14:textId="77777777" w:rsidR="00506049" w:rsidRDefault="00506049" w:rsidP="00506049">
      <w:pPr>
        <w:pStyle w:val="Bibliography"/>
      </w:pPr>
      <w:r>
        <w:t xml:space="preserve">Serrato, Jc. (2013). </w:t>
      </w:r>
      <w:r>
        <w:rPr>
          <w:i/>
          <w:iCs/>
        </w:rPr>
        <w:t>How Changing Government Spending Affects Inequality</w:t>
      </w:r>
      <w:r>
        <w:t>. SIEPR Policy Brief. Stanford Institute for Economic Policy Research. https://siepr.stanford.edu/sites/default/files/publications/SIEPR_Policy_Brief_09_2013_Serrato_6.pdf</w:t>
      </w:r>
    </w:p>
    <w:p w14:paraId="39A2067F" w14:textId="77777777" w:rsidR="00506049" w:rsidRDefault="00506049" w:rsidP="00506049">
      <w:pPr>
        <w:pStyle w:val="Bibliography"/>
      </w:pPr>
      <w:r>
        <w:t>Sharp, C. A., Bellis, M. A., Hughes, K., Ford, K., &amp; Lemma, L. C. (2020). Public acceptability of public health policy to improve population health: A population</w:t>
      </w:r>
      <w:r>
        <w:rPr>
          <w:rFonts w:ascii="Cambria Math" w:hAnsi="Cambria Math" w:cs="Cambria Math"/>
        </w:rPr>
        <w:t>‐</w:t>
      </w:r>
      <w:r>
        <w:t xml:space="preserve">based survey. </w:t>
      </w:r>
      <w:r>
        <w:rPr>
          <w:i/>
          <w:iCs/>
        </w:rPr>
        <w:t>Health Expectations</w:t>
      </w:r>
      <w:r>
        <w:t xml:space="preserve">, </w:t>
      </w:r>
      <w:r>
        <w:rPr>
          <w:i/>
          <w:iCs/>
        </w:rPr>
        <w:t>23</w:t>
      </w:r>
      <w:r>
        <w:t>(4), 802–812. https://doi.org/10.1111/hex.13041</w:t>
      </w:r>
    </w:p>
    <w:p w14:paraId="17E00749" w14:textId="77777777" w:rsidR="00506049" w:rsidRDefault="00506049" w:rsidP="00506049">
      <w:pPr>
        <w:pStyle w:val="Bibliography"/>
      </w:pPr>
      <w:r>
        <w:t xml:space="preserve">Shattuck, J., &amp; Risse, M. (2021). </w:t>
      </w:r>
      <w:r>
        <w:rPr>
          <w:i/>
          <w:iCs/>
        </w:rPr>
        <w:t>Reimagining Rights &amp; Responsibilities in the U.S.: Women’s Rights</w:t>
      </w:r>
      <w:r>
        <w:t xml:space="preserve"> (No. 006). Carr Center for Human Rights Policy, Harvard Kennedy School, Harvard University. https://carrcenter.hks.harvard.edu/files/cchr/files/210119_womensrights.pdf?m=1611072</w:t>
      </w:r>
    </w:p>
    <w:p w14:paraId="08844A7F" w14:textId="77777777" w:rsidR="00506049" w:rsidRDefault="00506049" w:rsidP="00506049">
      <w:pPr>
        <w:pStyle w:val="Bibliography"/>
      </w:pPr>
      <w:r>
        <w:t xml:space="preserve">Simmons-Duffin, S. (2021, October 21). New federal funds spur expansion of home care services for the elderly and disabled. </w:t>
      </w:r>
      <w:r>
        <w:rPr>
          <w:i/>
          <w:iCs/>
        </w:rPr>
        <w:t>NPR</w:t>
      </w:r>
      <w:r>
        <w:t>. https://www.npr.org/sections/health-shots/2021/10/21/1048082143/new-federal-funds-spur-expansion-of-home-care-services-for-the-elderly-and-disab</w:t>
      </w:r>
    </w:p>
    <w:p w14:paraId="562AAED8" w14:textId="77777777" w:rsidR="00506049" w:rsidRDefault="00506049" w:rsidP="00506049">
      <w:pPr>
        <w:pStyle w:val="Bibliography"/>
      </w:pPr>
      <w:r>
        <w:lastRenderedPageBreak/>
        <w:t xml:space="preserve">Skjott Linneberg, M., &amp; Korsgaard, S. (2019). Coding qualitative data: A synthesis guiding the novice. </w:t>
      </w:r>
      <w:r>
        <w:rPr>
          <w:i/>
          <w:iCs/>
        </w:rPr>
        <w:t>Qualitative Research Journal</w:t>
      </w:r>
      <w:r>
        <w:t xml:space="preserve">, </w:t>
      </w:r>
      <w:r>
        <w:rPr>
          <w:i/>
          <w:iCs/>
        </w:rPr>
        <w:t>19</w:t>
      </w:r>
      <w:r>
        <w:t>(3), 259–270. https://doi.org/10.1108/QRJ-12-2018-0012</w:t>
      </w:r>
    </w:p>
    <w:p w14:paraId="3E8283F6" w14:textId="77777777" w:rsidR="00506049" w:rsidRDefault="00506049" w:rsidP="00506049">
      <w:pPr>
        <w:pStyle w:val="Bibliography"/>
      </w:pPr>
      <w:r>
        <w:t xml:space="preserve">Sparke, M. (2016). Health and the embodiment of neoliberalism: Pathologies of political economy from climate change and austerity to personal responsibility. In </w:t>
      </w:r>
      <w:r>
        <w:rPr>
          <w:i/>
          <w:iCs/>
        </w:rPr>
        <w:t>Handbook of neoliberalism</w:t>
      </w:r>
      <w:r>
        <w:t xml:space="preserve"> (pp. 265–279). Routledge.</w:t>
      </w:r>
    </w:p>
    <w:p w14:paraId="300D58FF" w14:textId="77777777" w:rsidR="00506049" w:rsidRDefault="00506049" w:rsidP="00506049">
      <w:pPr>
        <w:pStyle w:val="Bibliography"/>
      </w:pPr>
      <w:r>
        <w:t xml:space="preserve">Stangl, A. L., Earnshaw, V. A., Logie, C. H., van Brakel, W., C. Simbayi, L., Barré, I., &amp; Dovidio, J. F. (2019). The Health Stigma and Discrimination Framework: A global, crosscutting framework to inform research, intervention development, and policy on health-related stigmas. </w:t>
      </w:r>
      <w:r>
        <w:rPr>
          <w:i/>
          <w:iCs/>
        </w:rPr>
        <w:t>BMC Medicine</w:t>
      </w:r>
      <w:r>
        <w:t xml:space="preserve">, </w:t>
      </w:r>
      <w:r>
        <w:rPr>
          <w:i/>
          <w:iCs/>
        </w:rPr>
        <w:t>17</w:t>
      </w:r>
      <w:r>
        <w:t>(1), 31. https://doi.org/10.1186/s12916-019-1271-3</w:t>
      </w:r>
    </w:p>
    <w:p w14:paraId="0B1C064E" w14:textId="77777777" w:rsidR="00506049" w:rsidRDefault="00506049" w:rsidP="00506049">
      <w:pPr>
        <w:pStyle w:val="Bibliography"/>
      </w:pPr>
      <w:r>
        <w:t xml:space="preserve">State of Tennessee. (2014). </w:t>
      </w:r>
      <w:r>
        <w:rPr>
          <w:i/>
          <w:iCs/>
        </w:rPr>
        <w:t>The Constitution of the State of Tennessee.</w:t>
      </w:r>
      <w:r>
        <w:t xml:space="preserve"> State of Tennessee, Office of the Chief Clerk of the Senate. https://www.capitol.tn.gov/about/docs/tn-constitution.pdf</w:t>
      </w:r>
    </w:p>
    <w:p w14:paraId="4D2AA5BE" w14:textId="77777777" w:rsidR="00506049" w:rsidRDefault="00506049" w:rsidP="00506049">
      <w:pPr>
        <w:pStyle w:val="Bibliography"/>
      </w:pPr>
      <w:r>
        <w:t xml:space="preserve">Stewart, T. L., Chipperfield, J. G., Perry, R. P., &amp; Weiner, B. (2012). Attributing illness to ‘old age:’ Consequences of a self-directed stereotype for health and mortality. </w:t>
      </w:r>
      <w:r>
        <w:rPr>
          <w:i/>
          <w:iCs/>
        </w:rPr>
        <w:t>Psychology &amp; Health</w:t>
      </w:r>
      <w:r>
        <w:t xml:space="preserve">, </w:t>
      </w:r>
      <w:r>
        <w:rPr>
          <w:i/>
          <w:iCs/>
        </w:rPr>
        <w:t>27</w:t>
      </w:r>
      <w:r>
        <w:t>(8), 881–897. https://doi.org/10.1080/08870446.2011.630735</w:t>
      </w:r>
    </w:p>
    <w:p w14:paraId="782547D5" w14:textId="77777777" w:rsidR="00506049" w:rsidRDefault="00506049" w:rsidP="00506049">
      <w:pPr>
        <w:pStyle w:val="Bibliography"/>
      </w:pPr>
      <w:r>
        <w:t xml:space="preserve">Strazdins, L., Welsh, J., Korda, R., Broom, D., &amp; Paolucci, F. (2016). Not all hours are equal: Could time be a social determinant of health? </w:t>
      </w:r>
      <w:r>
        <w:rPr>
          <w:i/>
          <w:iCs/>
        </w:rPr>
        <w:t>Sociology of Health &amp; Illness</w:t>
      </w:r>
      <w:r>
        <w:t xml:space="preserve">, </w:t>
      </w:r>
      <w:r>
        <w:rPr>
          <w:i/>
          <w:iCs/>
        </w:rPr>
        <w:t>38</w:t>
      </w:r>
      <w:r>
        <w:t>(1), 21–42. https://doi.org/10.1111/1467-9566.12300</w:t>
      </w:r>
    </w:p>
    <w:p w14:paraId="4941A01A" w14:textId="77777777" w:rsidR="00506049" w:rsidRDefault="00506049" w:rsidP="00506049">
      <w:pPr>
        <w:pStyle w:val="Bibliography"/>
      </w:pPr>
      <w:r>
        <w:t xml:space="preserve">Studts, C. R., Tarasenko, Y. N., &amp; Schoenberg, N. E. (2013). Barriers to Cervical Cancer Screening Among Middle-Aged and Older Rural Appalachian Women. </w:t>
      </w:r>
      <w:r>
        <w:rPr>
          <w:i/>
          <w:iCs/>
        </w:rPr>
        <w:t>Journal of Community Health</w:t>
      </w:r>
      <w:r>
        <w:t xml:space="preserve">, </w:t>
      </w:r>
      <w:r>
        <w:rPr>
          <w:i/>
          <w:iCs/>
        </w:rPr>
        <w:t>38</w:t>
      </w:r>
      <w:r>
        <w:t>(3), 500–512. https://doi.org/10.1007/s10900-012-9639-8</w:t>
      </w:r>
    </w:p>
    <w:p w14:paraId="75A7EAAC" w14:textId="77777777" w:rsidR="00506049" w:rsidRDefault="00506049" w:rsidP="00506049">
      <w:pPr>
        <w:pStyle w:val="Bibliography"/>
      </w:pPr>
      <w:r>
        <w:t xml:space="preserve">Sultana, A. (2010). Patriarchy and Women’s Subordination: A Theoretical Analysis. </w:t>
      </w:r>
      <w:r>
        <w:rPr>
          <w:i/>
          <w:iCs/>
        </w:rPr>
        <w:t>Arts Faculty Journal</w:t>
      </w:r>
      <w:r>
        <w:t>, 1–18. https://doi.org/10.3329/afj.v4i0.12929</w:t>
      </w:r>
    </w:p>
    <w:p w14:paraId="45E2B189" w14:textId="77777777" w:rsidR="00506049" w:rsidRDefault="00506049" w:rsidP="00506049">
      <w:pPr>
        <w:pStyle w:val="Bibliography"/>
      </w:pPr>
      <w:r>
        <w:t xml:space="preserve">Svalastog, A. L., Donev, D., Jahren Kristoffersen, N., &amp; Gajović, S. (2017). Concepts and definitions of health and health-related values in the knowledge landscapes of the digital society. </w:t>
      </w:r>
      <w:r>
        <w:rPr>
          <w:i/>
          <w:iCs/>
        </w:rPr>
        <w:t>Croatian Medical Journal</w:t>
      </w:r>
      <w:r>
        <w:t xml:space="preserve">, </w:t>
      </w:r>
      <w:r>
        <w:rPr>
          <w:i/>
          <w:iCs/>
        </w:rPr>
        <w:t>58</w:t>
      </w:r>
      <w:r>
        <w:t>(6), 431–435. https://doi.org/10.3325/cmj.2017.58.431</w:t>
      </w:r>
    </w:p>
    <w:p w14:paraId="24C1A1B9" w14:textId="77777777" w:rsidR="00506049" w:rsidRDefault="00506049" w:rsidP="00506049">
      <w:pPr>
        <w:pStyle w:val="Bibliography"/>
      </w:pPr>
      <w:r>
        <w:t xml:space="preserve">Szanton, S. L., Leff, B., Wolff, J. L., Roberts, L., &amp; Gitlin, L. N. (2016). Home-Based Care Program Reduces Disability And Promotes Aging In Place. </w:t>
      </w:r>
      <w:r>
        <w:rPr>
          <w:i/>
          <w:iCs/>
        </w:rPr>
        <w:t>Health Affairs</w:t>
      </w:r>
      <w:r>
        <w:t xml:space="preserve">, </w:t>
      </w:r>
      <w:r>
        <w:rPr>
          <w:i/>
          <w:iCs/>
        </w:rPr>
        <w:t>35</w:t>
      </w:r>
      <w:r>
        <w:t>(9), 1558–1563. https://doi.org/10.1377/hlthaff.2016.0140</w:t>
      </w:r>
    </w:p>
    <w:p w14:paraId="3365FE97" w14:textId="77777777" w:rsidR="00506049" w:rsidRDefault="00506049" w:rsidP="00506049">
      <w:pPr>
        <w:pStyle w:val="Bibliography"/>
      </w:pPr>
      <w:r>
        <w:t xml:space="preserve">TACIR. (2021). </w:t>
      </w:r>
      <w:r>
        <w:rPr>
          <w:i/>
          <w:iCs/>
        </w:rPr>
        <w:t>Tennessee County Profiles</w:t>
      </w:r>
      <w:r>
        <w:t>. Tennessee Advisory Commission on Intergovernmental Relations (TACIR). https://www.tn.gov/tacir/tennessee-county-profiles-redirect.html</w:t>
      </w:r>
    </w:p>
    <w:p w14:paraId="6AE4AC29" w14:textId="77777777" w:rsidR="00506049" w:rsidRDefault="00506049" w:rsidP="00506049">
      <w:pPr>
        <w:pStyle w:val="Bibliography"/>
      </w:pPr>
      <w:r>
        <w:lastRenderedPageBreak/>
        <w:t xml:space="preserve">Takahashi, L. M. (1997). The socio-spatial stigmatization of homelessness and HIV/AIDS: toward an explanation of the NIMBY syndrome. </w:t>
      </w:r>
      <w:r>
        <w:rPr>
          <w:i/>
          <w:iCs/>
        </w:rPr>
        <w:t>Social Science and Medicine</w:t>
      </w:r>
      <w:r>
        <w:t xml:space="preserve">, </w:t>
      </w:r>
      <w:r>
        <w:rPr>
          <w:i/>
          <w:iCs/>
        </w:rPr>
        <w:t>45</w:t>
      </w:r>
      <w:r>
        <w:t>(6), 903–914. https://doi.org/10.1016/S0277-9536(96)00432-7</w:t>
      </w:r>
    </w:p>
    <w:p w14:paraId="61ADA1C5" w14:textId="77777777" w:rsidR="00506049" w:rsidRDefault="00506049" w:rsidP="00506049">
      <w:pPr>
        <w:pStyle w:val="Bibliography"/>
      </w:pPr>
      <w:r>
        <w:t xml:space="preserve">Tannenbaum, C., Mayo, N., &amp; Ducharme, F. (2005). Older women’s health priorities and perceptions of care delivery: Results of the WOW health survey. </w:t>
      </w:r>
      <w:r>
        <w:rPr>
          <w:i/>
          <w:iCs/>
        </w:rPr>
        <w:t>Cmaj</w:t>
      </w:r>
      <w:r>
        <w:t xml:space="preserve">, </w:t>
      </w:r>
      <w:r>
        <w:rPr>
          <w:i/>
          <w:iCs/>
        </w:rPr>
        <w:t>173</w:t>
      </w:r>
      <w:r>
        <w:t>(2), 153–159.</w:t>
      </w:r>
    </w:p>
    <w:p w14:paraId="5D23EC97" w14:textId="77777777" w:rsidR="00506049" w:rsidRDefault="00506049" w:rsidP="00506049">
      <w:pPr>
        <w:pStyle w:val="Bibliography"/>
      </w:pPr>
      <w:r>
        <w:t xml:space="preserve">Tarazi, W. W., Green, T. L., &amp; Sabik, L. M. (2017). Medicaid disenrollment and disparities in access to care: Evidence from Tennessee. </w:t>
      </w:r>
      <w:r>
        <w:rPr>
          <w:i/>
          <w:iCs/>
        </w:rPr>
        <w:t>Health Services Research</w:t>
      </w:r>
      <w:r>
        <w:t xml:space="preserve">, </w:t>
      </w:r>
      <w:r>
        <w:rPr>
          <w:i/>
          <w:iCs/>
        </w:rPr>
        <w:t>52</w:t>
      </w:r>
      <w:r>
        <w:t>(3), 1156. https://doi.org/10.1111/1475-6773.12515</w:t>
      </w:r>
    </w:p>
    <w:p w14:paraId="46383785" w14:textId="77777777" w:rsidR="00506049" w:rsidRDefault="00506049" w:rsidP="00506049">
      <w:pPr>
        <w:pStyle w:val="Bibliography"/>
      </w:pPr>
      <w:r>
        <w:t xml:space="preserve">T.C.A., 14 COVID-19 of 2021. (2021). </w:t>
      </w:r>
      <w:r>
        <w:rPr>
          <w:i/>
          <w:iCs/>
        </w:rPr>
        <w:t>T.C.A. 14 COVID-19 of 2021</w:t>
      </w:r>
      <w:r>
        <w:t>. Tennessee Code Annotated (T.C.A.). https://www.tncourts.gov/Tennessee%20Code</w:t>
      </w:r>
    </w:p>
    <w:p w14:paraId="75B6BAE9" w14:textId="77777777" w:rsidR="00506049" w:rsidRDefault="00506049" w:rsidP="00506049">
      <w:pPr>
        <w:pStyle w:val="Bibliography"/>
      </w:pPr>
      <w:r>
        <w:t xml:space="preserve">TCAD. (2019). </w:t>
      </w:r>
      <w:r>
        <w:rPr>
          <w:i/>
          <w:iCs/>
        </w:rPr>
        <w:t>The State of Aging in Tennessee: A County-By-County Snapshot</w:t>
      </w:r>
      <w:r>
        <w:t>. State of Tennessee, Tennessee Commission on Aging and Disability (TCAD). https://www.tn.gov/content/dam/tn/aging/documents/2019_TCAD_County_Statistics_Complete.pdf</w:t>
      </w:r>
    </w:p>
    <w:p w14:paraId="7E2D756D" w14:textId="77777777" w:rsidR="00506049" w:rsidRDefault="00506049" w:rsidP="00506049">
      <w:pPr>
        <w:pStyle w:val="Bibliography"/>
      </w:pPr>
      <w:r>
        <w:t xml:space="preserve">TDC of Knox County. (2021). </w:t>
      </w:r>
      <w:r>
        <w:rPr>
          <w:i/>
          <w:iCs/>
        </w:rPr>
        <w:t>County Profile</w:t>
      </w:r>
      <w:r>
        <w:t>. The Development Corporation (TDC) of Knox County. https://knoxdevelopment.org/county-profile/</w:t>
      </w:r>
    </w:p>
    <w:p w14:paraId="30FECF4F" w14:textId="77777777" w:rsidR="00506049" w:rsidRDefault="00506049" w:rsidP="00506049">
      <w:pPr>
        <w:pStyle w:val="Bibliography"/>
      </w:pPr>
      <w:r>
        <w:t xml:space="preserve">TDFA. (2019). </w:t>
      </w:r>
      <w:r>
        <w:rPr>
          <w:i/>
          <w:iCs/>
        </w:rPr>
        <w:t>Tennessee State Government Comprehensive Annual Financial Report for the Fiscal Year Ended June 30, 2019</w:t>
      </w:r>
      <w:r>
        <w:t>. Tennessee Department of Finance and Administration (TDFA). https://www.tn.gov/content/dam/tn/finance/accounts/cafr/June%2030,%202019%20CAFR.pdf</w:t>
      </w:r>
    </w:p>
    <w:p w14:paraId="3A63D527" w14:textId="77777777" w:rsidR="00506049" w:rsidRDefault="00506049" w:rsidP="00506049">
      <w:pPr>
        <w:pStyle w:val="Bibliography"/>
      </w:pPr>
      <w:r>
        <w:t xml:space="preserve">TDOH. (2021). </w:t>
      </w:r>
      <w:r>
        <w:rPr>
          <w:i/>
          <w:iCs/>
        </w:rPr>
        <w:t>Local and Regional Health Departments</w:t>
      </w:r>
      <w:r>
        <w:t>. State of Tennessee, Department of Health (TDOH). https://www.tn.gov/health/health-program-areas/localdepartments.html</w:t>
      </w:r>
    </w:p>
    <w:p w14:paraId="22F50FA3" w14:textId="77777777" w:rsidR="00506049" w:rsidRDefault="00506049" w:rsidP="00506049">
      <w:pPr>
        <w:pStyle w:val="Bibliography"/>
      </w:pPr>
      <w:r>
        <w:t xml:space="preserve">Tehranineshat, B., Rakhshan, M., Torabizadeh, C., &amp; Fararouei, M. (2019). Compassionate Care in Healthcare Systems: A Systematic Review. </w:t>
      </w:r>
      <w:r>
        <w:rPr>
          <w:i/>
          <w:iCs/>
        </w:rPr>
        <w:t>Journal of the National Medical Association</w:t>
      </w:r>
      <w:r>
        <w:t xml:space="preserve">, </w:t>
      </w:r>
      <w:r>
        <w:rPr>
          <w:i/>
          <w:iCs/>
        </w:rPr>
        <w:t>111</w:t>
      </w:r>
      <w:r>
        <w:t>(5), 546–554. https://doi.org/10.1016/j.jnma.2019.04.002</w:t>
      </w:r>
    </w:p>
    <w:p w14:paraId="2E65AB38" w14:textId="77777777" w:rsidR="00506049" w:rsidRDefault="00506049" w:rsidP="00506049">
      <w:pPr>
        <w:pStyle w:val="Bibliography"/>
      </w:pPr>
      <w:r>
        <w:t xml:space="preserve">Telzer, E. H., van Hoorn, J., Rogers, C. R., &amp; Do, K. T. (2018). Chapter Seven - Social Influence on Positive Youth Development: A Developmental Neuroscience Perspective. In J. B. Benson (Ed.), </w:t>
      </w:r>
      <w:r>
        <w:rPr>
          <w:i/>
          <w:iCs/>
        </w:rPr>
        <w:t>Advances in Child Development and Behavior</w:t>
      </w:r>
      <w:r>
        <w:t xml:space="preserve"> (Vol. 54, pp. 215–258). JAI. https://doi.org/10.1016/bs.acdb.2017.10.003</w:t>
      </w:r>
    </w:p>
    <w:p w14:paraId="0D66565E" w14:textId="77777777" w:rsidR="00506049" w:rsidRDefault="00506049" w:rsidP="00506049">
      <w:pPr>
        <w:pStyle w:val="Bibliography"/>
      </w:pPr>
      <w:r>
        <w:t xml:space="preserve">The Arc. (2021, January 14). </w:t>
      </w:r>
      <w:r>
        <w:rPr>
          <w:i/>
          <w:iCs/>
        </w:rPr>
        <w:t>Groups Secure Federal Approval of Revised Crisis Standards of Care Guidelines in Texas</w:t>
      </w:r>
      <w:r>
        <w:t>. The Arc. https://thearc.org/amidst-nationwide-covid-19-surge-health-civil-rights-groups-secure-federal-approval-of-revised-crisis-standards-of-care-guidelines-in-texas/</w:t>
      </w:r>
    </w:p>
    <w:p w14:paraId="2A0C1184" w14:textId="77777777" w:rsidR="00506049" w:rsidRDefault="00506049" w:rsidP="00506049">
      <w:pPr>
        <w:pStyle w:val="Bibliography"/>
      </w:pPr>
      <w:r>
        <w:lastRenderedPageBreak/>
        <w:t xml:space="preserve">The Sycamore Institute. (2018). </w:t>
      </w:r>
      <w:r>
        <w:rPr>
          <w:i/>
          <w:iCs/>
        </w:rPr>
        <w:t>Tennessee State Budget Primer. A Foundation for Understanding Our State’s Public Policies</w:t>
      </w:r>
      <w:r>
        <w:t>. https://www.sycamoreinstitutetn.org/wp-content/uploads/2018/11/Tennessee-State-Budget-Primer-2nd-Edition-Web.pdf</w:t>
      </w:r>
    </w:p>
    <w:p w14:paraId="2C08C5BA" w14:textId="77777777" w:rsidR="00506049" w:rsidRDefault="00506049" w:rsidP="00506049">
      <w:pPr>
        <w:pStyle w:val="Bibliography"/>
      </w:pPr>
      <w:r>
        <w:t xml:space="preserve">The White House. (2022, March 16). </w:t>
      </w:r>
      <w:r>
        <w:rPr>
          <w:i/>
          <w:iCs/>
        </w:rPr>
        <w:t>Fact Sheet: Reauthorization of the Violence Against Women Act (VAWA)</w:t>
      </w:r>
      <w:r>
        <w:t>. The White House. https://www.whitehouse.gov/briefing-room/statements-releases/2022/03/16/fact-sheet-reauthorization-of-the-violence-against-women-act-vawa/</w:t>
      </w:r>
    </w:p>
    <w:p w14:paraId="67964310" w14:textId="77777777" w:rsidR="00506049" w:rsidRDefault="00506049" w:rsidP="00506049">
      <w:pPr>
        <w:pStyle w:val="Bibliography"/>
      </w:pPr>
      <w:r>
        <w:t xml:space="preserve">The White House. (n.d.). </w:t>
      </w:r>
      <w:r>
        <w:rPr>
          <w:i/>
          <w:iCs/>
        </w:rPr>
        <w:t>The Build Back Better Framework</w:t>
      </w:r>
      <w:r>
        <w:t>. The White House. https://www.whitehouse.gov/build-back-better/</w:t>
      </w:r>
    </w:p>
    <w:p w14:paraId="0A97BC7E" w14:textId="77777777" w:rsidR="00506049" w:rsidRDefault="00506049" w:rsidP="00506049">
      <w:pPr>
        <w:pStyle w:val="Bibliography"/>
      </w:pPr>
      <w:r>
        <w:t>Thomeer, M. B., Yahirun, J., &amp; Colón</w:t>
      </w:r>
      <w:r>
        <w:rPr>
          <w:rFonts w:ascii="Cambria Math" w:hAnsi="Cambria Math" w:cs="Cambria Math"/>
        </w:rPr>
        <w:t>‐</w:t>
      </w:r>
      <w:r>
        <w:t>L</w:t>
      </w:r>
      <w:r>
        <w:rPr>
          <w:rFonts w:cs="Arial"/>
        </w:rPr>
        <w:t>ó</w:t>
      </w:r>
      <w:r>
        <w:t xml:space="preserve">pez, A. (2020). How families matter for health inequality during the </w:t>
      </w:r>
      <w:r>
        <w:rPr>
          <w:smallCaps/>
        </w:rPr>
        <w:t>COVID</w:t>
      </w:r>
      <w:r>
        <w:t xml:space="preserve"> </w:t>
      </w:r>
      <w:r>
        <w:rPr>
          <w:rFonts w:ascii="Cambria Math" w:hAnsi="Cambria Math" w:cs="Cambria Math"/>
        </w:rPr>
        <w:t>‐</w:t>
      </w:r>
      <w:r>
        <w:t xml:space="preserve">19 pandemic. </w:t>
      </w:r>
      <w:r>
        <w:rPr>
          <w:i/>
          <w:iCs/>
        </w:rPr>
        <w:t>Journal of Family Theory &amp; Review</w:t>
      </w:r>
      <w:r>
        <w:t xml:space="preserve">, </w:t>
      </w:r>
      <w:r>
        <w:rPr>
          <w:i/>
          <w:iCs/>
        </w:rPr>
        <w:t>12</w:t>
      </w:r>
      <w:r>
        <w:t>(4), 448–463. https://doi.org/10.1111/jftr.12398</w:t>
      </w:r>
    </w:p>
    <w:p w14:paraId="7A26F507" w14:textId="77777777" w:rsidR="00506049" w:rsidRDefault="00506049" w:rsidP="00506049">
      <w:pPr>
        <w:pStyle w:val="Bibliography"/>
      </w:pPr>
      <w:r>
        <w:t xml:space="preserve">Thompson, J. R., Risser, L. R., Dunfee, M. N., Schoenberg, N. E., &amp; Burke, J. G. (2021). Place, Power, and Premature Mortality: A Rapid Scoping Review on the Health of Women in Appalachia. </w:t>
      </w:r>
      <w:r>
        <w:rPr>
          <w:i/>
          <w:iCs/>
        </w:rPr>
        <w:t>American Journal of Health Promotion</w:t>
      </w:r>
      <w:r>
        <w:t xml:space="preserve">, </w:t>
      </w:r>
      <w:r>
        <w:rPr>
          <w:i/>
          <w:iCs/>
        </w:rPr>
        <w:t>35</w:t>
      </w:r>
      <w:r>
        <w:t>(7), 1015–1027. https://doi.org/10.1177/08901171211011388</w:t>
      </w:r>
    </w:p>
    <w:p w14:paraId="439303C8" w14:textId="77777777" w:rsidR="00506049" w:rsidRDefault="00506049" w:rsidP="00506049">
      <w:pPr>
        <w:pStyle w:val="Bibliography"/>
      </w:pPr>
      <w:r>
        <w:t xml:space="preserve">Tincknell, E. (2011). Scourging the abject body: Ten years younger and fragmented femininity under neoliberalism. In </w:t>
      </w:r>
      <w:r>
        <w:rPr>
          <w:i/>
          <w:iCs/>
        </w:rPr>
        <w:t>New Femininities</w:t>
      </w:r>
      <w:r>
        <w:t xml:space="preserve"> (pp. 83–95). Palgrave Macmillan. https://doi.org/10.1057/9780230294523_6</w:t>
      </w:r>
    </w:p>
    <w:p w14:paraId="7A04DB68" w14:textId="77777777" w:rsidR="00506049" w:rsidRDefault="00506049" w:rsidP="00506049">
      <w:pPr>
        <w:pStyle w:val="Bibliography"/>
      </w:pPr>
      <w:r>
        <w:t xml:space="preserve">TN Comptroller. (2022). </w:t>
      </w:r>
      <w:r>
        <w:rPr>
          <w:i/>
          <w:iCs/>
        </w:rPr>
        <w:t>Senior Long-Term Care in Tennessee: Trends and Options</w:t>
      </w:r>
      <w:r>
        <w:t>. Tennessee Comptroller of the Treasury, Research and Education Accountability. https://comptroller.tn.gov/office-functions/research-and-education-accountability/publications/other-topics/content/senior-long-term-care-in-tennessee--trends-and-options0.html</w:t>
      </w:r>
    </w:p>
    <w:p w14:paraId="27621720" w14:textId="77777777" w:rsidR="00506049" w:rsidRDefault="00506049" w:rsidP="00506049">
      <w:pPr>
        <w:pStyle w:val="Bibliography"/>
      </w:pPr>
      <w:r>
        <w:t xml:space="preserve">TN Justice Center. (2020, December 15). Tennessee’s Misuse of Federal Funds Makes It A Poor Candidate for a Medicaid Block Grant. </w:t>
      </w:r>
      <w:r>
        <w:rPr>
          <w:i/>
          <w:iCs/>
        </w:rPr>
        <w:t>Tennessee Justice Center (TN Justice Center)</w:t>
      </w:r>
      <w:r>
        <w:t>. https://www.tnjustice.org/tenncare-misuse-federal-funds/</w:t>
      </w:r>
    </w:p>
    <w:p w14:paraId="791DE14A" w14:textId="77777777" w:rsidR="00506049" w:rsidRDefault="00506049" w:rsidP="00506049">
      <w:pPr>
        <w:pStyle w:val="Bibliography"/>
      </w:pPr>
      <w:r>
        <w:t xml:space="preserve">TN TennCare. (n.d.). </w:t>
      </w:r>
      <w:r>
        <w:rPr>
          <w:i/>
          <w:iCs/>
        </w:rPr>
        <w:t>TennCare Medicaid</w:t>
      </w:r>
      <w:r>
        <w:t>. State of Tennessee, Division of TennCare (TN TennCare). https://www.tn.gov/tenncare/members-applicants/eligibility/tenncare-medicaid.html</w:t>
      </w:r>
    </w:p>
    <w:p w14:paraId="0A58DCB5" w14:textId="77777777" w:rsidR="00506049" w:rsidRDefault="00506049" w:rsidP="00506049">
      <w:pPr>
        <w:pStyle w:val="Bibliography"/>
      </w:pPr>
      <w:r>
        <w:t xml:space="preserve">Townsend, B., Friel, S., Freeman, T., Schram, A., Strazdins, L., Labonte, R., Mackean, T., &amp; Baum, F. (2020). Advancing a health equity agenda across multiple policy domains: A qualitative policy analysis of social, trade and welfare policy. </w:t>
      </w:r>
      <w:r>
        <w:rPr>
          <w:i/>
          <w:iCs/>
        </w:rPr>
        <w:t>BMJ Open</w:t>
      </w:r>
      <w:r>
        <w:t xml:space="preserve">, </w:t>
      </w:r>
      <w:r>
        <w:rPr>
          <w:i/>
          <w:iCs/>
        </w:rPr>
        <w:t>10</w:t>
      </w:r>
      <w:r>
        <w:t>(11), 040180. https://doi.org/10.1136/bmjopen-2020-040180</w:t>
      </w:r>
    </w:p>
    <w:p w14:paraId="0E17B2F2" w14:textId="77777777" w:rsidR="00506049" w:rsidRDefault="00506049" w:rsidP="00506049">
      <w:pPr>
        <w:pStyle w:val="Bibliography"/>
      </w:pPr>
      <w:r>
        <w:t xml:space="preserve">Trinh, M.-H., Agénor, M., Austin, S. B., &amp; Jackson, C. L. (2017). Health and healthcare disparities among U.S. women and men at the intersection of sexual orientation and race/ethnicity: A nationally representative cross-sectional study. </w:t>
      </w:r>
      <w:r>
        <w:rPr>
          <w:i/>
          <w:iCs/>
        </w:rPr>
        <w:t>BMC Public Health</w:t>
      </w:r>
      <w:r>
        <w:t xml:space="preserve">, </w:t>
      </w:r>
      <w:r>
        <w:rPr>
          <w:i/>
          <w:iCs/>
        </w:rPr>
        <w:t>17</w:t>
      </w:r>
      <w:r>
        <w:t>(1), 964. https://doi.org/10.1186/s12889-017-4937-9</w:t>
      </w:r>
    </w:p>
    <w:p w14:paraId="3E38A151" w14:textId="77777777" w:rsidR="00506049" w:rsidRDefault="00506049" w:rsidP="00506049">
      <w:pPr>
        <w:pStyle w:val="Bibliography"/>
      </w:pPr>
      <w:r>
        <w:lastRenderedPageBreak/>
        <w:t xml:space="preserve">Tuohy, D., &amp; Cooney, A. (2019). Older women’s experiences of aging and health: An interpretive phenomenological study. </w:t>
      </w:r>
      <w:r>
        <w:rPr>
          <w:i/>
          <w:iCs/>
        </w:rPr>
        <w:t>Gerontology and Geriatric Medicine</w:t>
      </w:r>
      <w:r>
        <w:t xml:space="preserve">, </w:t>
      </w:r>
      <w:r>
        <w:rPr>
          <w:i/>
          <w:iCs/>
        </w:rPr>
        <w:t>5</w:t>
      </w:r>
      <w:r>
        <w:t>, 2333721419834308. https://doi.org/10.1177/2333721419834308</w:t>
      </w:r>
    </w:p>
    <w:p w14:paraId="1D916B22" w14:textId="77777777" w:rsidR="00506049" w:rsidRDefault="00506049" w:rsidP="00506049">
      <w:pPr>
        <w:pStyle w:val="Bibliography"/>
      </w:pPr>
      <w:r>
        <w:t xml:space="preserve">UF Health Jacksonville. (n.d.). </w:t>
      </w:r>
      <w:r>
        <w:rPr>
          <w:i/>
          <w:iCs/>
        </w:rPr>
        <w:t>What are Age-Specific Competencies</w:t>
      </w:r>
      <w:r>
        <w:t>. University of Florida Health Jacksonville (UF Health Jacksonville). https://ufhealthjax.org/volunteer/new/documents/age-specific-competencies.pdf</w:t>
      </w:r>
    </w:p>
    <w:p w14:paraId="6EC7AE7F" w14:textId="77777777" w:rsidR="00506049" w:rsidRDefault="00506049" w:rsidP="00506049">
      <w:pPr>
        <w:pStyle w:val="Bibliography"/>
      </w:pPr>
      <w:r>
        <w:t xml:space="preserve">UHF. (2021). </w:t>
      </w:r>
      <w:r>
        <w:rPr>
          <w:i/>
          <w:iCs/>
        </w:rPr>
        <w:t>America’s Health Rankings Senior Report</w:t>
      </w:r>
      <w:r>
        <w:t>. United Health Foundation (UHF). https://assets.americashealthrankings.org/app/uploads/2021-senior-report-%E2%80%93-state-summaries.pdf</w:t>
      </w:r>
    </w:p>
    <w:p w14:paraId="7D7E3259" w14:textId="77777777" w:rsidR="00506049" w:rsidRDefault="00506049" w:rsidP="00506049">
      <w:pPr>
        <w:pStyle w:val="Bibliography"/>
      </w:pPr>
      <w:r>
        <w:t xml:space="preserve">Umberson, D., &amp; Thomeer, M. B. (2020). Family Matters: Research on Family Ties and Health, 2010 to 2020. </w:t>
      </w:r>
      <w:r>
        <w:rPr>
          <w:i/>
          <w:iCs/>
        </w:rPr>
        <w:t>Journal of Marriage and Family</w:t>
      </w:r>
      <w:r>
        <w:t xml:space="preserve">, </w:t>
      </w:r>
      <w:r>
        <w:rPr>
          <w:i/>
          <w:iCs/>
        </w:rPr>
        <w:t>82</w:t>
      </w:r>
      <w:r>
        <w:t>(1), 404–419. https://doi.org/10.1111/jomf.12640</w:t>
      </w:r>
    </w:p>
    <w:p w14:paraId="6D5E760B" w14:textId="77777777" w:rsidR="00506049" w:rsidRDefault="00506049" w:rsidP="00506049">
      <w:pPr>
        <w:pStyle w:val="Bibliography"/>
      </w:pPr>
      <w:r>
        <w:t xml:space="preserve">UN. (2007). </w:t>
      </w:r>
      <w:r>
        <w:rPr>
          <w:i/>
          <w:iCs/>
        </w:rPr>
        <w:t>Healthy Life Expectancy at Birth</w:t>
      </w:r>
      <w:r>
        <w:t>. United Nations (UN). https://www.un.org/esa/sustdev/natlinfo/indicators/methodology_sheets/health/health_life_expectancy.pdf</w:t>
      </w:r>
    </w:p>
    <w:p w14:paraId="5BE36B9F" w14:textId="77777777" w:rsidR="00506049" w:rsidRDefault="00506049" w:rsidP="00506049">
      <w:pPr>
        <w:pStyle w:val="Bibliography"/>
      </w:pPr>
      <w:r>
        <w:t xml:space="preserve">UNDESA. (2018). </w:t>
      </w:r>
      <w:r>
        <w:rPr>
          <w:i/>
          <w:iCs/>
        </w:rPr>
        <w:t>Inequities in Old Age. Health inequities exist in access to health care as well as outcomes</w:t>
      </w:r>
      <w:r>
        <w:t>. United Nations Department for Economic and Social Affairs, Programme on Aging (UNDESA). https://www.un.org/development/desa/ageing/wp-content/uploads/sites/24/2018/04/Health-Inequities-in-Old-Age.pdf</w:t>
      </w:r>
    </w:p>
    <w:p w14:paraId="3EA494B2" w14:textId="77777777" w:rsidR="00506049" w:rsidRDefault="00506049" w:rsidP="00506049">
      <w:pPr>
        <w:pStyle w:val="Bibliography"/>
      </w:pPr>
      <w:r>
        <w:t xml:space="preserve">UNDESA. (2020). </w:t>
      </w:r>
      <w:r>
        <w:rPr>
          <w:i/>
          <w:iCs/>
        </w:rPr>
        <w:t>World Population Aging 2020 Highlights: Living arrangements of older persons (ST/ESA/SER.A/451</w:t>
      </w:r>
      <w:r>
        <w:t>. United Nations Department for Economic and Social Affairs (UNDESA). https://www.un.org/development/desa/pd/sites/www.un.org.development.desa.pd/files/undesa_pd-2020_world_population_aging_highlights.pdf</w:t>
      </w:r>
    </w:p>
    <w:p w14:paraId="4AE933A6" w14:textId="77777777" w:rsidR="00506049" w:rsidRDefault="00506049" w:rsidP="00506049">
      <w:pPr>
        <w:pStyle w:val="Bibliography"/>
      </w:pPr>
      <w:r>
        <w:t xml:space="preserve">U.S. Census Bureau. (2021a). </w:t>
      </w:r>
      <w:r>
        <w:rPr>
          <w:i/>
          <w:iCs/>
        </w:rPr>
        <w:t>A. County Population by Characteristics: 2010-2019. Annual County and Resident Population Estimates by Selected Age Groups and Sex: April 1, 2010 to July 1, 2019 (CC-EST2019-AGESEX) dataset</w:t>
      </w:r>
      <w:r>
        <w:t>. https://www.census.gov/data/tables/time-series/demo/popest/2010s-counties-detail.html</w:t>
      </w:r>
    </w:p>
    <w:p w14:paraId="6F6F4FFA" w14:textId="77777777" w:rsidR="00506049" w:rsidRDefault="00506049" w:rsidP="00506049">
      <w:pPr>
        <w:pStyle w:val="Bibliography"/>
      </w:pPr>
      <w:r>
        <w:t xml:space="preserve">U.S. Census Bureau. (2021b). </w:t>
      </w:r>
      <w:r>
        <w:rPr>
          <w:i/>
          <w:iCs/>
        </w:rPr>
        <w:t>b. Quick Facts</w:t>
      </w:r>
      <w:r>
        <w:t>. https://www.census.gov/quickfacts</w:t>
      </w:r>
    </w:p>
    <w:p w14:paraId="1C5C2082" w14:textId="77777777" w:rsidR="00506049" w:rsidRDefault="00506049" w:rsidP="00506049">
      <w:pPr>
        <w:pStyle w:val="Bibliography"/>
      </w:pPr>
      <w:r>
        <w:t xml:space="preserve">U.S. OPM. (n.d.). </w:t>
      </w:r>
      <w:r>
        <w:rPr>
          <w:i/>
          <w:iCs/>
        </w:rPr>
        <w:t>CSRS Information</w:t>
      </w:r>
      <w:r>
        <w:t xml:space="preserve"> [Government]. U.S. Office of Personnel Management (U.S. OPM). https://www.opm.gov/retirement-services/csrs-information/</w:t>
      </w:r>
    </w:p>
    <w:p w14:paraId="1557EA47" w14:textId="77777777" w:rsidR="00506049" w:rsidRDefault="00506049" w:rsidP="00506049">
      <w:pPr>
        <w:pStyle w:val="Bibliography"/>
      </w:pPr>
      <w:r>
        <w:t xml:space="preserve">U.S. PSTF. (n.d.). </w:t>
      </w:r>
      <w:r>
        <w:rPr>
          <w:i/>
          <w:iCs/>
        </w:rPr>
        <w:t>Recommendations.</w:t>
      </w:r>
      <w:r>
        <w:t xml:space="preserve"> U.S. Preventative Services Task Force (U.S. PSTF). https://www.uspreventiveservicestaskforce.org/uspstf/topic_search_results?topic_status=P</w:t>
      </w:r>
    </w:p>
    <w:p w14:paraId="68C37178" w14:textId="77777777" w:rsidR="00506049" w:rsidRDefault="00506049" w:rsidP="00506049">
      <w:pPr>
        <w:pStyle w:val="Bibliography"/>
      </w:pPr>
      <w:r>
        <w:t xml:space="preserve">UT Boyd Center. (2021). </w:t>
      </w:r>
      <w:r>
        <w:rPr>
          <w:i/>
          <w:iCs/>
        </w:rPr>
        <w:t>Tennessee State Data Center. 2018 to 2070 Tennessee Population Projection</w:t>
      </w:r>
      <w:r>
        <w:t xml:space="preserve">. The University of Tennessee, Boyd Center for Business &amp; </w:t>
      </w:r>
      <w:r>
        <w:lastRenderedPageBreak/>
        <w:t>Economic Research (UT Boyd Center). https://myutk.maps.arcgis.com/apps/opsdashboard/index.html#/cbf0d40870304807a0de26ddf6779604</w:t>
      </w:r>
    </w:p>
    <w:p w14:paraId="2CE4F3F8" w14:textId="77777777" w:rsidR="00506049" w:rsidRDefault="00506049" w:rsidP="00506049">
      <w:pPr>
        <w:pStyle w:val="Bibliography"/>
      </w:pPr>
      <w:r>
        <w:t xml:space="preserve">UT Vet Social Work. (2022a). University of Tennessee Pet Loss Support Group. </w:t>
      </w:r>
      <w:r>
        <w:rPr>
          <w:i/>
          <w:iCs/>
        </w:rPr>
        <w:t>Veterinary Social Work</w:t>
      </w:r>
      <w:r>
        <w:t>. https://vetsocialwork.utk.edu/pet-loss-support-group-2/</w:t>
      </w:r>
    </w:p>
    <w:p w14:paraId="66702FBB" w14:textId="77777777" w:rsidR="00506049" w:rsidRDefault="00506049" w:rsidP="00506049">
      <w:pPr>
        <w:pStyle w:val="Bibliography"/>
      </w:pPr>
      <w:r>
        <w:t xml:space="preserve">UT Vet Social Work. (2022b). </w:t>
      </w:r>
      <w:r>
        <w:rPr>
          <w:i/>
          <w:iCs/>
        </w:rPr>
        <w:t>University of Tennessee Veterinary Social Work</w:t>
      </w:r>
      <w:r>
        <w:t>. Veterinary Social Work. https://vetsocialwork.utk.edu/</w:t>
      </w:r>
    </w:p>
    <w:p w14:paraId="78E41370" w14:textId="77777777" w:rsidR="00506049" w:rsidRDefault="00506049" w:rsidP="00506049">
      <w:pPr>
        <w:pStyle w:val="Bibliography"/>
      </w:pPr>
      <w:r>
        <w:t xml:space="preserve">Utz, R. L., Berg, C. A., &amp; Butner, J. (2017). It’s A Family Affair: Reflections About Aging and Health Within a Family Context. </w:t>
      </w:r>
      <w:r>
        <w:rPr>
          <w:i/>
          <w:iCs/>
        </w:rPr>
        <w:t>The Gerontologist</w:t>
      </w:r>
      <w:r>
        <w:t xml:space="preserve">, </w:t>
      </w:r>
      <w:r>
        <w:rPr>
          <w:i/>
          <w:iCs/>
        </w:rPr>
        <w:t>57</w:t>
      </w:r>
      <w:r>
        <w:t>(1), 129–135. https://doi.org/10.1093/geront/gnw081</w:t>
      </w:r>
    </w:p>
    <w:p w14:paraId="60CAAF37" w14:textId="77777777" w:rsidR="00506049" w:rsidRDefault="00506049" w:rsidP="00506049">
      <w:pPr>
        <w:pStyle w:val="Bibliography"/>
      </w:pPr>
      <w:r>
        <w:t xml:space="preserve">Vaccarella, S., Weiderpass, E., &amp; Vineis, P. (2020). Present and future of health inequalities: Rationale for investing in the biological capital. </w:t>
      </w:r>
      <w:r>
        <w:rPr>
          <w:i/>
          <w:iCs/>
        </w:rPr>
        <w:t>EClinicalMedicine</w:t>
      </w:r>
      <w:r>
        <w:t xml:space="preserve">, </w:t>
      </w:r>
      <w:r>
        <w:rPr>
          <w:i/>
          <w:iCs/>
        </w:rPr>
        <w:t>19</w:t>
      </w:r>
      <w:r>
        <w:t>. https://doi.org/10.1016/j.eclinm.2020.100261</w:t>
      </w:r>
    </w:p>
    <w:p w14:paraId="5AB0B0D0" w14:textId="77777777" w:rsidR="00506049" w:rsidRDefault="00506049" w:rsidP="00506049">
      <w:pPr>
        <w:pStyle w:val="Bibliography"/>
      </w:pPr>
      <w:r>
        <w:t xml:space="preserve">Vallgårda, S. (2011). Why the concept ‘“lifestyle diseases”’ should be avoided. </w:t>
      </w:r>
      <w:r>
        <w:rPr>
          <w:i/>
          <w:iCs/>
        </w:rPr>
        <w:t>Scandinavian Journal of Public Health</w:t>
      </w:r>
      <w:r>
        <w:t xml:space="preserve">, </w:t>
      </w:r>
      <w:r>
        <w:rPr>
          <w:i/>
          <w:iCs/>
        </w:rPr>
        <w:t>39</w:t>
      </w:r>
      <w:r>
        <w:t>(7), 773–775. https://doi.org/10.1177/1403494811421978</w:t>
      </w:r>
    </w:p>
    <w:p w14:paraId="477C019D" w14:textId="77777777" w:rsidR="00506049" w:rsidRDefault="00506049" w:rsidP="00506049">
      <w:pPr>
        <w:pStyle w:val="Bibliography"/>
      </w:pPr>
      <w:r>
        <w:t xml:space="preserve">Van de Putte, T. (2022). “Let me tell you what we already know”: Collective memory between culture and interaction. </w:t>
      </w:r>
      <w:r>
        <w:rPr>
          <w:i/>
          <w:iCs/>
        </w:rPr>
        <w:t>Memory Studies</w:t>
      </w:r>
      <w:r>
        <w:t xml:space="preserve">, </w:t>
      </w:r>
      <w:r>
        <w:rPr>
          <w:i/>
          <w:iCs/>
        </w:rPr>
        <w:t>15</w:t>
      </w:r>
      <w:r>
        <w:t>(4), 751–766. https://doi-org.utk.idm.oclc.org/10.1177/17506980211044709</w:t>
      </w:r>
    </w:p>
    <w:p w14:paraId="7B56CD02" w14:textId="77777777" w:rsidR="00506049" w:rsidRDefault="00506049" w:rsidP="00506049">
      <w:pPr>
        <w:pStyle w:val="Bibliography"/>
      </w:pPr>
      <w:r>
        <w:t xml:space="preserve">van Ee, B., Smits, C., Honkoop, A., Kamper, A., Slaets, J., &amp; Hagedoorn, M. (2019). Open Wounds and Healed Scars: A Qualitative Study of Elderly Women’s Experiences With Breast Cancer. </w:t>
      </w:r>
      <w:r>
        <w:rPr>
          <w:i/>
          <w:iCs/>
        </w:rPr>
        <w:t>Cancer Nursing</w:t>
      </w:r>
      <w:r>
        <w:t xml:space="preserve">, </w:t>
      </w:r>
      <w:r>
        <w:rPr>
          <w:i/>
          <w:iCs/>
        </w:rPr>
        <w:t>42</w:t>
      </w:r>
      <w:r>
        <w:t>(3), 190–197. https://doi.org/10.1097/NCC.0000000000000575</w:t>
      </w:r>
    </w:p>
    <w:p w14:paraId="4C03B1EC" w14:textId="77777777" w:rsidR="00506049" w:rsidRDefault="00506049" w:rsidP="00506049">
      <w:pPr>
        <w:pStyle w:val="Bibliography"/>
      </w:pPr>
      <w:r>
        <w:t xml:space="preserve">Velez, M. P., Rosendaal, N., Alvarado, B., Câmara, S., Belanger, E., &amp; Pirkle, C. M. (2019). Data on the association between age at natural menopause and physical function in older women from the International Mobility in Aging Study (IMIAS. </w:t>
      </w:r>
      <w:r>
        <w:rPr>
          <w:i/>
          <w:iCs/>
        </w:rPr>
        <w:t>Data in Brief</w:t>
      </w:r>
      <w:r>
        <w:t xml:space="preserve">, </w:t>
      </w:r>
      <w:r>
        <w:rPr>
          <w:i/>
          <w:iCs/>
        </w:rPr>
        <w:t>23</w:t>
      </w:r>
      <w:r>
        <w:t>, 103811.</w:t>
      </w:r>
    </w:p>
    <w:p w14:paraId="44CD8FAA" w14:textId="77777777" w:rsidR="00506049" w:rsidRDefault="00506049" w:rsidP="00506049">
      <w:pPr>
        <w:pStyle w:val="Bibliography"/>
      </w:pPr>
      <w:r>
        <w:t xml:space="preserve">Vogel, D., Wade, N., &amp; Hackler, A. (2007). Perceived Public Stigma and the Willingness to Seek Counseling: The Mediating Roles of Self-Stigma and Attitudes Toward Counseling. </w:t>
      </w:r>
      <w:r>
        <w:rPr>
          <w:i/>
          <w:iCs/>
        </w:rPr>
        <w:t>Journal of Counseling Psychology</w:t>
      </w:r>
      <w:r>
        <w:t xml:space="preserve">, </w:t>
      </w:r>
      <w:r>
        <w:rPr>
          <w:i/>
          <w:iCs/>
        </w:rPr>
        <w:t>54</w:t>
      </w:r>
      <w:r>
        <w:t>. https://doi.org/10.1037/0022-0167.54.1.40</w:t>
      </w:r>
    </w:p>
    <w:p w14:paraId="1D0D39F0" w14:textId="77777777" w:rsidR="00506049" w:rsidRDefault="00506049" w:rsidP="00506049">
      <w:pPr>
        <w:pStyle w:val="Bibliography"/>
      </w:pPr>
      <w:r>
        <w:t xml:space="preserve">Wallston, K. A., Strudler Wallston, B., &amp; DeVellis, R. (1978). Development of the Multidimensional Health Locus of Control (MHLC) Scales. </w:t>
      </w:r>
      <w:r>
        <w:rPr>
          <w:i/>
          <w:iCs/>
        </w:rPr>
        <w:t>Health Education Monographs</w:t>
      </w:r>
      <w:r>
        <w:t xml:space="preserve">, </w:t>
      </w:r>
      <w:r>
        <w:rPr>
          <w:i/>
          <w:iCs/>
        </w:rPr>
        <w:t>6</w:t>
      </w:r>
      <w:r>
        <w:t>(1), 160–170. https://doi.org/10.1177/109019817800600107</w:t>
      </w:r>
    </w:p>
    <w:p w14:paraId="1F74631D" w14:textId="77777777" w:rsidR="00506049" w:rsidRDefault="00506049" w:rsidP="00506049">
      <w:pPr>
        <w:pStyle w:val="Bibliography"/>
      </w:pPr>
      <w:r>
        <w:t xml:space="preserve">Walter, F. M., &amp; Emery, J. (2006). Perceptions of family history across common diseases: A qualitative study in primary care. </w:t>
      </w:r>
      <w:r>
        <w:rPr>
          <w:i/>
          <w:iCs/>
        </w:rPr>
        <w:t>Family Practice</w:t>
      </w:r>
      <w:r>
        <w:t xml:space="preserve">, </w:t>
      </w:r>
      <w:r>
        <w:rPr>
          <w:i/>
          <w:iCs/>
        </w:rPr>
        <w:t>23</w:t>
      </w:r>
      <w:r>
        <w:t>(4), 472–480. https://doi.org/10.1093/fampra/cml006</w:t>
      </w:r>
    </w:p>
    <w:p w14:paraId="4F0B087B" w14:textId="77777777" w:rsidR="00506049" w:rsidRDefault="00506049" w:rsidP="00506049">
      <w:pPr>
        <w:pStyle w:val="Bibliography"/>
      </w:pPr>
      <w:r>
        <w:lastRenderedPageBreak/>
        <w:t xml:space="preserve">Walton, C. (2017). Demolishing an American Ghetto: How Neoliberalism is Reinventing Life and Labor in Nashville, Tennessee. </w:t>
      </w:r>
      <w:r>
        <w:rPr>
          <w:i/>
          <w:iCs/>
        </w:rPr>
        <w:t>Masters Theses</w:t>
      </w:r>
      <w:r>
        <w:t>. https://trace.tennessee.edu/utk_gradthes/5013</w:t>
      </w:r>
    </w:p>
    <w:p w14:paraId="75513251" w14:textId="77777777" w:rsidR="00506049" w:rsidRDefault="00506049" w:rsidP="00506049">
      <w:pPr>
        <w:pStyle w:val="Bibliography"/>
      </w:pPr>
      <w:r>
        <w:t xml:space="preserve">Wang, T., Mott, N., Miller, J., Berlin, N. L., Hawley, S., Jagsi, R., &amp; Dossett, L. A. (2020). Patient Perspectives on Treatment Options for Older Women With Hormone Receptor–Positive Breast Cancer. </w:t>
      </w:r>
      <w:r>
        <w:rPr>
          <w:i/>
          <w:iCs/>
        </w:rPr>
        <w:t>JAMA Network Open</w:t>
      </w:r>
      <w:r>
        <w:t xml:space="preserve">, </w:t>
      </w:r>
      <w:r>
        <w:rPr>
          <w:i/>
          <w:iCs/>
        </w:rPr>
        <w:t>3</w:t>
      </w:r>
      <w:r>
        <w:t>(9), 2017129. https://doi.org/10.1001/jamanetworkopen.2020.17129</w:t>
      </w:r>
    </w:p>
    <w:p w14:paraId="4704533F" w14:textId="77777777" w:rsidR="00506049" w:rsidRDefault="00506049" w:rsidP="00506049">
      <w:pPr>
        <w:pStyle w:val="Bibliography"/>
      </w:pPr>
      <w:r>
        <w:t xml:space="preserve">Ware, S. (2019). </w:t>
      </w:r>
      <w:r>
        <w:rPr>
          <w:i/>
          <w:iCs/>
        </w:rPr>
        <w:t>Why They Marched: Untold Stories of the Women Who Fought for the Right to Vote</w:t>
      </w:r>
      <w:r>
        <w:t>. Harvard University Press.</w:t>
      </w:r>
    </w:p>
    <w:p w14:paraId="0BFA819D" w14:textId="77777777" w:rsidR="00506049" w:rsidRDefault="00506049" w:rsidP="00506049">
      <w:pPr>
        <w:pStyle w:val="Bibliography"/>
      </w:pPr>
      <w:r>
        <w:t xml:space="preserve">Wertsch, J. V., &amp; Roediger, H. L. (2008). Collective memory: Conceptual foundations and theoretical approaches. </w:t>
      </w:r>
      <w:r>
        <w:rPr>
          <w:i/>
          <w:iCs/>
        </w:rPr>
        <w:t>Memory</w:t>
      </w:r>
      <w:r>
        <w:t xml:space="preserve">, </w:t>
      </w:r>
      <w:r>
        <w:rPr>
          <w:i/>
          <w:iCs/>
        </w:rPr>
        <w:t>16</w:t>
      </w:r>
      <w:r>
        <w:t>(3), 318–326. https://doi.org/10.1080/09658210701801434</w:t>
      </w:r>
    </w:p>
    <w:p w14:paraId="244B22D4" w14:textId="77777777" w:rsidR="00506049" w:rsidRDefault="00506049" w:rsidP="00506049">
      <w:pPr>
        <w:pStyle w:val="Bibliography"/>
      </w:pPr>
      <w:r>
        <w:t xml:space="preserve">WHO. (1946). </w:t>
      </w:r>
      <w:r>
        <w:rPr>
          <w:i/>
          <w:iCs/>
        </w:rPr>
        <w:t>Constitution of the World Health Organization</w:t>
      </w:r>
      <w:r>
        <w:t>. World Health Organization (WHO). https://www.who.int/about/governance/constitution</w:t>
      </w:r>
    </w:p>
    <w:p w14:paraId="7183DABB" w14:textId="77777777" w:rsidR="00506049" w:rsidRDefault="00506049" w:rsidP="00506049">
      <w:pPr>
        <w:pStyle w:val="Bibliography"/>
      </w:pPr>
      <w:r>
        <w:t xml:space="preserve">WHO. (2007). </w:t>
      </w:r>
      <w:r>
        <w:rPr>
          <w:i/>
          <w:iCs/>
        </w:rPr>
        <w:t>Women, aging and health: A framework for action: Focus on gender</w:t>
      </w:r>
      <w:r>
        <w:t>. World Health Organization (WHO). https://apps.who.int/iris/bitstream/handle/10665/43810/9789241563529_eng.pdf</w:t>
      </w:r>
    </w:p>
    <w:p w14:paraId="6A6B2F38" w14:textId="77777777" w:rsidR="00506049" w:rsidRDefault="00506049" w:rsidP="00506049">
      <w:pPr>
        <w:pStyle w:val="Bibliography"/>
      </w:pPr>
      <w:r>
        <w:t xml:space="preserve">WHO. (2016). </w:t>
      </w:r>
      <w:r>
        <w:rPr>
          <w:i/>
          <w:iCs/>
        </w:rPr>
        <w:t>Discrimination and negative attitudes about ageing are bad for your health</w:t>
      </w:r>
      <w:r>
        <w:t>. World Health Organization (WHO). https://www.who.int/news/item/29-09-2016-discrimination-and-negative-attitudes-about-ageing-are-bad-for-your-health</w:t>
      </w:r>
    </w:p>
    <w:p w14:paraId="2CFF57C7" w14:textId="77777777" w:rsidR="00506049" w:rsidRDefault="00506049" w:rsidP="00506049">
      <w:pPr>
        <w:pStyle w:val="Bibliography"/>
      </w:pPr>
      <w:r>
        <w:t xml:space="preserve">WHO. (2017a). </w:t>
      </w:r>
      <w:r>
        <w:rPr>
          <w:i/>
          <w:iCs/>
        </w:rPr>
        <w:t>10 facts on health inequities</w:t>
      </w:r>
      <w:r>
        <w:t>. World Health Organization (WHO). https://www.who.int/features/factfiles/health_inequities/en/</w:t>
      </w:r>
    </w:p>
    <w:p w14:paraId="5AD73E5D" w14:textId="77777777" w:rsidR="00506049" w:rsidRDefault="00506049" w:rsidP="00506049">
      <w:pPr>
        <w:pStyle w:val="Bibliography"/>
      </w:pPr>
      <w:r>
        <w:t xml:space="preserve">WHO. (2017b). </w:t>
      </w:r>
      <w:r>
        <w:rPr>
          <w:i/>
          <w:iCs/>
        </w:rPr>
        <w:t>Promoting health in the SDGs: Report on the 9th Global conference for health promotion</w:t>
      </w:r>
      <w:r>
        <w:t>. World Health Organization (WHO). https://apps.who.int/iris/bitstream/handle/10665/259183/WHO-NMH-PND-17.5-eng.pdf</w:t>
      </w:r>
    </w:p>
    <w:p w14:paraId="0E806428" w14:textId="77777777" w:rsidR="00506049" w:rsidRDefault="00506049" w:rsidP="00506049">
      <w:pPr>
        <w:pStyle w:val="Bibliography"/>
      </w:pPr>
      <w:r>
        <w:t xml:space="preserve">WHO. (2022). </w:t>
      </w:r>
      <w:r>
        <w:rPr>
          <w:i/>
          <w:iCs/>
        </w:rPr>
        <w:t>Social determinants of health</w:t>
      </w:r>
      <w:r>
        <w:t>. World Health Organization (WHO). https://www.who.int/health-topics/social-determinants-of-health</w:t>
      </w:r>
    </w:p>
    <w:p w14:paraId="6E8F1B5C" w14:textId="77777777" w:rsidR="00506049" w:rsidRDefault="00506049" w:rsidP="00506049">
      <w:pPr>
        <w:pStyle w:val="Bibliography"/>
      </w:pPr>
      <w:r>
        <w:t xml:space="preserve">Wilkinson, R. G., &amp; Marmot, M. (Eds.). (2003). </w:t>
      </w:r>
      <w:r>
        <w:rPr>
          <w:i/>
          <w:iCs/>
        </w:rPr>
        <w:t>Social determinants of health: The solid facts. World Health Organization, Europe</w:t>
      </w:r>
      <w:r>
        <w:t>. https://www.euro.who.int/__data/assets/pdf_file/0005/98438/e81384.pdf</w:t>
      </w:r>
    </w:p>
    <w:p w14:paraId="0319878B" w14:textId="77777777" w:rsidR="00506049" w:rsidRDefault="00506049" w:rsidP="00506049">
      <w:pPr>
        <w:pStyle w:val="Bibliography"/>
      </w:pPr>
      <w:r>
        <w:t xml:space="preserve">Willis, O., &amp; Malcolmm, L. (2015, October 20). </w:t>
      </w:r>
      <w:r>
        <w:rPr>
          <w:i/>
          <w:iCs/>
        </w:rPr>
        <w:t>Hypochondria and psychosomatic illness: Explaining a very real imaginary problem</w:t>
      </w:r>
      <w:r>
        <w:t>. ABC Radio National. https://www.abc.net.au/radionational/programs/allinthemind/hypochondria-and-psychosomatic-illness/6866448</w:t>
      </w:r>
    </w:p>
    <w:p w14:paraId="0571A15D" w14:textId="77777777" w:rsidR="00506049" w:rsidRDefault="00506049" w:rsidP="00506049">
      <w:pPr>
        <w:pStyle w:val="Bibliography"/>
      </w:pPr>
      <w:r>
        <w:t xml:space="preserve">Witter, S., Govender, V., Ravindran, T. S., &amp; Yates, R. (2017). Minding the gaps: Health financing, universal health coverage and gender. </w:t>
      </w:r>
      <w:r>
        <w:rPr>
          <w:i/>
          <w:iCs/>
        </w:rPr>
        <w:t>Health Policy and Planning</w:t>
      </w:r>
      <w:r>
        <w:t xml:space="preserve">, </w:t>
      </w:r>
      <w:r>
        <w:rPr>
          <w:i/>
          <w:iCs/>
        </w:rPr>
        <w:t>32</w:t>
      </w:r>
      <w:r>
        <w:t>(suppl_5), 4–12. https://doi.org/10.1093/heapol/czx063</w:t>
      </w:r>
    </w:p>
    <w:p w14:paraId="7348134C" w14:textId="77777777" w:rsidR="00506049" w:rsidRDefault="00506049" w:rsidP="00506049">
      <w:pPr>
        <w:pStyle w:val="Bibliography"/>
      </w:pPr>
      <w:r>
        <w:lastRenderedPageBreak/>
        <w:t xml:space="preserve">Woolf, S. H., Schoomaker, H., Hill, L., &amp; Orndahl, C. M. (2019). The Social Determinants of Health and the Decline in U.S. </w:t>
      </w:r>
      <w:r>
        <w:rPr>
          <w:i/>
          <w:iCs/>
        </w:rPr>
        <w:t>Life Expectancy Implications for Appalachia: Implications for Appalachia. Journal of Appalachian Health</w:t>
      </w:r>
      <w:r>
        <w:t xml:space="preserve">, </w:t>
      </w:r>
      <w:r>
        <w:rPr>
          <w:i/>
          <w:iCs/>
        </w:rPr>
        <w:t>1</w:t>
      </w:r>
      <w:r>
        <w:t>(1), 6–14.</w:t>
      </w:r>
    </w:p>
    <w:p w14:paraId="2F194961" w14:textId="77777777" w:rsidR="00506049" w:rsidRDefault="00506049" w:rsidP="00506049">
      <w:pPr>
        <w:pStyle w:val="Bibliography"/>
      </w:pPr>
      <w:r>
        <w:t xml:space="preserve">Wurm, S., Diehl, M., Kornadt, A. E., Westerhof, G. J., &amp; Wahl, H.-W. (2017). How do views on aging affect health outcomes in adulthood and late life? Explanations for an established connection. </w:t>
      </w:r>
      <w:r>
        <w:rPr>
          <w:i/>
          <w:iCs/>
        </w:rPr>
        <w:t>Developmental Review : DR</w:t>
      </w:r>
      <w:r>
        <w:t xml:space="preserve">, </w:t>
      </w:r>
      <w:r>
        <w:rPr>
          <w:i/>
          <w:iCs/>
        </w:rPr>
        <w:t>46</w:t>
      </w:r>
      <w:r>
        <w:t>, 27–43. https://doi.org/10.1016/j.dr.2017.08.002</w:t>
      </w:r>
    </w:p>
    <w:p w14:paraId="7820E5D4" w14:textId="77777777" w:rsidR="00506049" w:rsidRDefault="00506049" w:rsidP="00506049">
      <w:pPr>
        <w:pStyle w:val="Bibliography"/>
      </w:pPr>
      <w:r>
        <w:t xml:space="preserve">Yang, H.-C. (2020). What Should Be Taught and What Is Taught: Integrating Gender into Medical and Health Professions Education for Medical and Nursing Students. </w:t>
      </w:r>
      <w:r>
        <w:rPr>
          <w:i/>
          <w:iCs/>
        </w:rPr>
        <w:t>International Journal of Environmental Research and Public Health</w:t>
      </w:r>
      <w:r>
        <w:t xml:space="preserve">, </w:t>
      </w:r>
      <w:r>
        <w:rPr>
          <w:i/>
          <w:iCs/>
        </w:rPr>
        <w:t>17</w:t>
      </w:r>
      <w:r>
        <w:t>(18), Article 18. https://doi.org/10.3390/ijerph17186555</w:t>
      </w:r>
    </w:p>
    <w:p w14:paraId="211DDCD2" w14:textId="77777777" w:rsidR="00506049" w:rsidRDefault="00506049" w:rsidP="00506049">
      <w:pPr>
        <w:pStyle w:val="Bibliography"/>
      </w:pPr>
      <w:r>
        <w:t xml:space="preserve">Yoder, S. D. (2002). Individual Responsibility for Health: Decision, not Discovery. </w:t>
      </w:r>
      <w:r>
        <w:rPr>
          <w:i/>
          <w:iCs/>
        </w:rPr>
        <w:t>Hastings Center Report</w:t>
      </w:r>
      <w:r>
        <w:t xml:space="preserve">, </w:t>
      </w:r>
      <w:r>
        <w:rPr>
          <w:i/>
          <w:iCs/>
        </w:rPr>
        <w:t>32</w:t>
      </w:r>
      <w:r>
        <w:t>(2), 22–31. https://doi.org/10.2307/3528519</w:t>
      </w:r>
    </w:p>
    <w:p w14:paraId="11AD1FDC" w14:textId="77777777" w:rsidR="00506049" w:rsidRDefault="00506049" w:rsidP="00506049">
      <w:pPr>
        <w:pStyle w:val="Bibliography"/>
      </w:pPr>
      <w:r>
        <w:t xml:space="preserve">Yoon, P. W., Scheuner, M. T., Peterson-Oehlke, K. L., Gwinn, M., Faucett, A., &amp; Khoury, M. J. (2002). Can family history be used as a tool for public health and preventive medicine? </w:t>
      </w:r>
      <w:r>
        <w:rPr>
          <w:i/>
          <w:iCs/>
        </w:rPr>
        <w:t>Genetics in Medicine</w:t>
      </w:r>
      <w:r>
        <w:t xml:space="preserve">, </w:t>
      </w:r>
      <w:r>
        <w:rPr>
          <w:i/>
          <w:iCs/>
        </w:rPr>
        <w:t>4</w:t>
      </w:r>
      <w:r>
        <w:t>(4), Article 4. https://doi.org/10.1097/00125817-200207000-00009</w:t>
      </w:r>
    </w:p>
    <w:p w14:paraId="39ABFDE9" w14:textId="77777777" w:rsidR="00506049" w:rsidRDefault="00506049" w:rsidP="00506049">
      <w:pPr>
        <w:pStyle w:val="Bibliography"/>
      </w:pPr>
      <w:r>
        <w:t xml:space="preserve">Young, K., Fisher, J., &amp; Kirkman, M. (2019). Do mad people get endo or does endo make you mad?”: Clinicians’ discursive constructions of Medicine and women with endometriosis. </w:t>
      </w:r>
      <w:r>
        <w:rPr>
          <w:i/>
          <w:iCs/>
        </w:rPr>
        <w:t>Feminism &amp; Psychology</w:t>
      </w:r>
      <w:r>
        <w:t xml:space="preserve">, </w:t>
      </w:r>
      <w:r>
        <w:rPr>
          <w:i/>
          <w:iCs/>
        </w:rPr>
        <w:t>29</w:t>
      </w:r>
      <w:r>
        <w:t>(3), 337–356. https://doi.org/10.1177/0959353518815704</w:t>
      </w:r>
    </w:p>
    <w:p w14:paraId="163895F5" w14:textId="77777777" w:rsidR="00506049" w:rsidRDefault="00506049" w:rsidP="00506049">
      <w:pPr>
        <w:pStyle w:val="Bibliography"/>
      </w:pPr>
      <w:r>
        <w:t xml:space="preserve">Zhang, C.-Q., Chung, P.-K., Zhang, R., &amp; Schüz, B. (2019). Socioeconomic Inequalities in Older Adults’ Health: The Roles of Neighborhood and Individual-Level Psychosocial and Behavioral Resources. </w:t>
      </w:r>
      <w:r>
        <w:rPr>
          <w:i/>
          <w:iCs/>
        </w:rPr>
        <w:t>Frontiers in Public Health</w:t>
      </w:r>
      <w:r>
        <w:t xml:space="preserve">, </w:t>
      </w:r>
      <w:r>
        <w:rPr>
          <w:i/>
          <w:iCs/>
        </w:rPr>
        <w:t>7</w:t>
      </w:r>
      <w:r>
        <w:t>. https://www.frontiersin.org/articles/10.3389/fpubh.2019.00318</w:t>
      </w:r>
    </w:p>
    <w:p w14:paraId="13DDA854" w14:textId="77777777" w:rsidR="00506049" w:rsidRDefault="00506049" w:rsidP="00506049">
      <w:pPr>
        <w:pStyle w:val="Bibliography"/>
      </w:pPr>
      <w:r>
        <w:t xml:space="preserve">Zick, C. D., Smith, K. R., Mayer, R. N., &amp; Taylor, L. B. (2014). Family, Frailty, and Fatal Futures? Own-Health and Family-Health Predictors of Subjective Life Expectancy. </w:t>
      </w:r>
      <w:r>
        <w:rPr>
          <w:i/>
          <w:iCs/>
        </w:rPr>
        <w:t>Research on Aging</w:t>
      </w:r>
      <w:r>
        <w:t xml:space="preserve">, </w:t>
      </w:r>
      <w:r>
        <w:rPr>
          <w:i/>
          <w:iCs/>
        </w:rPr>
        <w:t>36</w:t>
      </w:r>
      <w:r>
        <w:t>(2), 244–266. https://doi.org/10.1177/0164027513482948</w:t>
      </w:r>
    </w:p>
    <w:p w14:paraId="6065B2C8" w14:textId="4E6B1F5A" w:rsidR="00AC2A87" w:rsidRPr="00424BD3" w:rsidRDefault="00E032AD" w:rsidP="000126EE">
      <w:pPr>
        <w:spacing w:after="0" w:line="480" w:lineRule="auto"/>
      </w:pPr>
      <w:r w:rsidRPr="00424BD3">
        <w:fldChar w:fldCharType="end"/>
      </w:r>
      <w:r w:rsidR="00AC2A87" w:rsidRPr="00424BD3">
        <w:br w:type="page"/>
      </w:r>
    </w:p>
    <w:p w14:paraId="3C1CD61F" w14:textId="11B07FE9" w:rsidR="006A2319" w:rsidRPr="00424BD3" w:rsidRDefault="0052670E" w:rsidP="000126EE">
      <w:pPr>
        <w:pStyle w:val="Heading1"/>
        <w:spacing w:before="0" w:line="480" w:lineRule="auto"/>
        <w:jc w:val="center"/>
        <w:rPr>
          <w:rFonts w:ascii="Arial" w:hAnsi="Arial" w:cs="Arial"/>
          <w:b/>
          <w:bCs/>
          <w:color w:val="auto"/>
          <w:sz w:val="24"/>
          <w:szCs w:val="24"/>
        </w:rPr>
      </w:pPr>
      <w:bookmarkStart w:id="117" w:name="_Toc118232383"/>
      <w:r w:rsidRPr="00424BD3">
        <w:rPr>
          <w:rFonts w:ascii="Arial" w:hAnsi="Arial" w:cs="Arial"/>
          <w:b/>
          <w:bCs/>
          <w:color w:val="auto"/>
          <w:sz w:val="24"/>
          <w:szCs w:val="24"/>
        </w:rPr>
        <w:lastRenderedPageBreak/>
        <w:t>APPENDIX</w:t>
      </w:r>
      <w:bookmarkEnd w:id="117"/>
    </w:p>
    <w:p w14:paraId="23DFF1F3" w14:textId="7E9FDF56" w:rsidR="00C246DE" w:rsidRPr="00424BD3" w:rsidRDefault="00A409A7" w:rsidP="00C36EE6">
      <w:pPr>
        <w:pStyle w:val="Caption"/>
        <w:spacing w:after="0"/>
        <w:rPr>
          <w:rFonts w:cs="Arial"/>
          <w:bCs/>
          <w:color w:val="auto"/>
          <w:sz w:val="24"/>
          <w:szCs w:val="24"/>
        </w:rPr>
      </w:pPr>
      <w:bookmarkStart w:id="118" w:name="_Toc116675204"/>
      <w:r w:rsidRPr="00424BD3">
        <w:rPr>
          <w:color w:val="auto"/>
          <w:sz w:val="24"/>
          <w:szCs w:val="24"/>
        </w:rPr>
        <w:t xml:space="preserve">Table </w:t>
      </w:r>
      <w:r w:rsidRPr="00424BD3">
        <w:rPr>
          <w:color w:val="auto"/>
          <w:sz w:val="24"/>
          <w:szCs w:val="24"/>
        </w:rPr>
        <w:fldChar w:fldCharType="begin"/>
      </w:r>
      <w:r w:rsidRPr="00424BD3">
        <w:rPr>
          <w:color w:val="auto"/>
          <w:sz w:val="24"/>
          <w:szCs w:val="24"/>
        </w:rPr>
        <w:instrText xml:space="preserve"> SEQ Table \* ARABIC </w:instrText>
      </w:r>
      <w:r w:rsidRPr="00424BD3">
        <w:rPr>
          <w:color w:val="auto"/>
          <w:sz w:val="24"/>
          <w:szCs w:val="24"/>
        </w:rPr>
        <w:fldChar w:fldCharType="separate"/>
      </w:r>
      <w:r w:rsidR="00281020">
        <w:rPr>
          <w:noProof/>
          <w:color w:val="auto"/>
          <w:sz w:val="24"/>
          <w:szCs w:val="24"/>
        </w:rPr>
        <w:t>1</w:t>
      </w:r>
      <w:r w:rsidRPr="00424BD3">
        <w:rPr>
          <w:color w:val="auto"/>
          <w:sz w:val="24"/>
          <w:szCs w:val="24"/>
        </w:rPr>
        <w:fldChar w:fldCharType="end"/>
      </w:r>
      <w:r w:rsidR="00C246DE" w:rsidRPr="00424BD3">
        <w:rPr>
          <w:rFonts w:cs="Arial"/>
          <w:bCs/>
          <w:color w:val="auto"/>
          <w:sz w:val="24"/>
          <w:szCs w:val="24"/>
        </w:rPr>
        <w:t xml:space="preserve">. Geographical and health profile tables of participant counties: Females aged 65 </w:t>
      </w:r>
      <w:r w:rsidR="00424BD3">
        <w:rPr>
          <w:rFonts w:cs="Arial"/>
          <w:bCs/>
          <w:color w:val="auto"/>
          <w:sz w:val="24"/>
          <w:szCs w:val="24"/>
        </w:rPr>
        <w:t xml:space="preserve">years </w:t>
      </w:r>
      <w:r w:rsidR="00C246DE" w:rsidRPr="00424BD3">
        <w:rPr>
          <w:rFonts w:cs="Arial"/>
          <w:bCs/>
          <w:color w:val="auto"/>
          <w:sz w:val="24"/>
          <w:szCs w:val="24"/>
        </w:rPr>
        <w:t>and over by age bracket in Knox, Blount, and Sevier Counties as of July 2019</w:t>
      </w:r>
      <w:bookmarkEnd w:id="118"/>
    </w:p>
    <w:p w14:paraId="6151B072" w14:textId="77777777" w:rsidR="00C246DE" w:rsidRPr="00F208E4" w:rsidRDefault="00C246DE" w:rsidP="000126EE">
      <w:pPr>
        <w:spacing w:after="0" w:line="480" w:lineRule="auto"/>
        <w:rPr>
          <w:rFonts w:cs="Arial"/>
          <w:szCs w:val="24"/>
        </w:rPr>
      </w:pPr>
    </w:p>
    <w:tbl>
      <w:tblPr>
        <w:tblStyle w:val="TableGrid"/>
        <w:tblW w:w="0" w:type="auto"/>
        <w:tblInd w:w="175" w:type="dxa"/>
        <w:tblLook w:val="04A0" w:firstRow="1" w:lastRow="0" w:firstColumn="1" w:lastColumn="0" w:noHBand="0" w:noVBand="1"/>
      </w:tblPr>
      <w:tblGrid>
        <w:gridCol w:w="1064"/>
        <w:gridCol w:w="1271"/>
        <w:gridCol w:w="1038"/>
        <w:gridCol w:w="1038"/>
        <w:gridCol w:w="938"/>
        <w:gridCol w:w="938"/>
        <w:gridCol w:w="872"/>
        <w:gridCol w:w="1038"/>
        <w:gridCol w:w="978"/>
      </w:tblGrid>
      <w:tr w:rsidR="00FD1FBC" w:rsidRPr="00424BD3" w14:paraId="2C403FA3" w14:textId="77777777" w:rsidTr="00CE1A80">
        <w:tc>
          <w:tcPr>
            <w:tcW w:w="1072" w:type="dxa"/>
          </w:tcPr>
          <w:p w14:paraId="0C6CEEC2" w14:textId="77777777" w:rsidR="00FD1FBC" w:rsidRPr="00424BD3" w:rsidRDefault="00FD1FBC" w:rsidP="000126EE">
            <w:pPr>
              <w:spacing w:line="480" w:lineRule="auto"/>
              <w:rPr>
                <w:rFonts w:ascii="Arial" w:hAnsi="Arial" w:cs="Arial"/>
                <w:b/>
                <w:bCs/>
                <w:sz w:val="20"/>
                <w:szCs w:val="20"/>
              </w:rPr>
            </w:pPr>
          </w:p>
        </w:tc>
        <w:tc>
          <w:tcPr>
            <w:tcW w:w="1289" w:type="dxa"/>
          </w:tcPr>
          <w:p w14:paraId="4A103A9A" w14:textId="77777777" w:rsidR="00FD1FBC" w:rsidRPr="00424BD3" w:rsidRDefault="00FD1FBC" w:rsidP="000126EE">
            <w:pPr>
              <w:spacing w:line="480" w:lineRule="auto"/>
              <w:rPr>
                <w:rFonts w:ascii="Arial" w:hAnsi="Arial" w:cs="Arial"/>
                <w:b/>
                <w:bCs/>
                <w:sz w:val="20"/>
                <w:szCs w:val="20"/>
              </w:rPr>
            </w:pPr>
          </w:p>
        </w:tc>
        <w:tc>
          <w:tcPr>
            <w:tcW w:w="1050" w:type="dxa"/>
          </w:tcPr>
          <w:p w14:paraId="6BA513A3" w14:textId="77777777" w:rsidR="00FD1FBC" w:rsidRPr="00424BD3" w:rsidRDefault="00FD1FBC" w:rsidP="000126EE">
            <w:pPr>
              <w:spacing w:line="480" w:lineRule="auto"/>
              <w:rPr>
                <w:rFonts w:ascii="Arial" w:hAnsi="Arial" w:cs="Arial"/>
                <w:b/>
                <w:bCs/>
                <w:sz w:val="20"/>
                <w:szCs w:val="20"/>
              </w:rPr>
            </w:pPr>
          </w:p>
        </w:tc>
        <w:tc>
          <w:tcPr>
            <w:tcW w:w="1050" w:type="dxa"/>
          </w:tcPr>
          <w:p w14:paraId="36EF516C" w14:textId="77777777" w:rsidR="00FD1FBC" w:rsidRPr="00424BD3" w:rsidRDefault="00FD1FBC" w:rsidP="000126EE">
            <w:pPr>
              <w:spacing w:line="480" w:lineRule="auto"/>
              <w:rPr>
                <w:rFonts w:ascii="Arial" w:hAnsi="Arial" w:cs="Arial"/>
                <w:b/>
                <w:bCs/>
                <w:sz w:val="20"/>
                <w:szCs w:val="20"/>
              </w:rPr>
            </w:pPr>
          </w:p>
        </w:tc>
        <w:tc>
          <w:tcPr>
            <w:tcW w:w="950" w:type="dxa"/>
          </w:tcPr>
          <w:p w14:paraId="161363CB" w14:textId="77777777" w:rsidR="00FD1FBC" w:rsidRPr="00424BD3" w:rsidRDefault="00FD1FBC" w:rsidP="000126EE">
            <w:pPr>
              <w:spacing w:line="480" w:lineRule="auto"/>
              <w:rPr>
                <w:rFonts w:ascii="Arial" w:hAnsi="Arial" w:cs="Arial"/>
                <w:b/>
                <w:bCs/>
                <w:sz w:val="20"/>
                <w:szCs w:val="20"/>
              </w:rPr>
            </w:pPr>
          </w:p>
        </w:tc>
        <w:tc>
          <w:tcPr>
            <w:tcW w:w="950" w:type="dxa"/>
          </w:tcPr>
          <w:p w14:paraId="00E82822" w14:textId="77777777" w:rsidR="00FD1FBC" w:rsidRPr="00424BD3" w:rsidRDefault="00FD1FBC" w:rsidP="000126EE">
            <w:pPr>
              <w:spacing w:line="480" w:lineRule="auto"/>
              <w:rPr>
                <w:rFonts w:ascii="Arial" w:hAnsi="Arial" w:cs="Arial"/>
                <w:b/>
                <w:bCs/>
                <w:sz w:val="20"/>
                <w:szCs w:val="20"/>
              </w:rPr>
            </w:pPr>
          </w:p>
        </w:tc>
        <w:tc>
          <w:tcPr>
            <w:tcW w:w="881" w:type="dxa"/>
          </w:tcPr>
          <w:p w14:paraId="65585B78" w14:textId="77777777" w:rsidR="00FD1FBC" w:rsidRPr="00424BD3" w:rsidRDefault="00FD1FBC" w:rsidP="000126EE">
            <w:pPr>
              <w:spacing w:line="480" w:lineRule="auto"/>
              <w:rPr>
                <w:rFonts w:ascii="Arial" w:hAnsi="Arial" w:cs="Arial"/>
                <w:b/>
                <w:bCs/>
                <w:sz w:val="20"/>
                <w:szCs w:val="20"/>
              </w:rPr>
            </w:pPr>
          </w:p>
        </w:tc>
        <w:tc>
          <w:tcPr>
            <w:tcW w:w="1050" w:type="dxa"/>
          </w:tcPr>
          <w:p w14:paraId="09B9F080" w14:textId="77777777" w:rsidR="00FD1FBC" w:rsidRPr="00424BD3" w:rsidRDefault="00FD1FBC" w:rsidP="000126EE">
            <w:pPr>
              <w:spacing w:line="480" w:lineRule="auto"/>
              <w:rPr>
                <w:rFonts w:ascii="Arial" w:hAnsi="Arial" w:cs="Arial"/>
                <w:b/>
                <w:bCs/>
                <w:sz w:val="20"/>
                <w:szCs w:val="20"/>
              </w:rPr>
            </w:pPr>
          </w:p>
        </w:tc>
        <w:tc>
          <w:tcPr>
            <w:tcW w:w="883" w:type="dxa"/>
          </w:tcPr>
          <w:p w14:paraId="3D4C1EA4" w14:textId="77777777" w:rsidR="00FD1FBC" w:rsidRPr="00424BD3" w:rsidRDefault="00FD1FBC" w:rsidP="000126EE">
            <w:pPr>
              <w:spacing w:line="480" w:lineRule="auto"/>
              <w:rPr>
                <w:rFonts w:ascii="Arial" w:hAnsi="Arial" w:cs="Arial"/>
                <w:b/>
                <w:bCs/>
                <w:sz w:val="20"/>
                <w:szCs w:val="20"/>
              </w:rPr>
            </w:pPr>
          </w:p>
        </w:tc>
      </w:tr>
      <w:tr w:rsidR="00C246DE" w:rsidRPr="00424BD3" w14:paraId="3DE2D6BB" w14:textId="77777777" w:rsidTr="00CE1A80">
        <w:tc>
          <w:tcPr>
            <w:tcW w:w="1072" w:type="dxa"/>
          </w:tcPr>
          <w:p w14:paraId="15EAF5F6"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County</w:t>
            </w:r>
          </w:p>
        </w:tc>
        <w:tc>
          <w:tcPr>
            <w:tcW w:w="1289" w:type="dxa"/>
          </w:tcPr>
          <w:p w14:paraId="71EA8B19"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Total Pop</w:t>
            </w:r>
          </w:p>
        </w:tc>
        <w:tc>
          <w:tcPr>
            <w:tcW w:w="1050" w:type="dxa"/>
          </w:tcPr>
          <w:p w14:paraId="4DE728C8" w14:textId="2120F988" w:rsidR="00C246DE" w:rsidRPr="00424BD3" w:rsidRDefault="00C246DE" w:rsidP="00AD3372">
            <w:pPr>
              <w:rPr>
                <w:rFonts w:ascii="Arial" w:hAnsi="Arial" w:cs="Arial"/>
                <w:b/>
                <w:bCs/>
                <w:sz w:val="20"/>
                <w:szCs w:val="20"/>
              </w:rPr>
            </w:pPr>
            <w:r w:rsidRPr="00424BD3">
              <w:rPr>
                <w:rFonts w:ascii="Arial" w:hAnsi="Arial" w:cs="Arial"/>
                <w:b/>
                <w:bCs/>
                <w:sz w:val="20"/>
                <w:szCs w:val="20"/>
              </w:rPr>
              <w:t>65-69 y</w:t>
            </w:r>
            <w:r w:rsidR="00FD1FBC" w:rsidRPr="00424BD3">
              <w:rPr>
                <w:rFonts w:ascii="Arial" w:hAnsi="Arial" w:cs="Arial"/>
                <w:b/>
                <w:bCs/>
                <w:sz w:val="20"/>
                <w:szCs w:val="20"/>
              </w:rPr>
              <w:t>rs</w:t>
            </w:r>
          </w:p>
        </w:tc>
        <w:tc>
          <w:tcPr>
            <w:tcW w:w="1050" w:type="dxa"/>
          </w:tcPr>
          <w:p w14:paraId="38144D4F" w14:textId="1D2C769A" w:rsidR="00C246DE" w:rsidRPr="00424BD3" w:rsidRDefault="00C246DE" w:rsidP="00AD3372">
            <w:pPr>
              <w:rPr>
                <w:rFonts w:ascii="Arial" w:hAnsi="Arial" w:cs="Arial"/>
                <w:b/>
                <w:bCs/>
                <w:sz w:val="20"/>
                <w:szCs w:val="20"/>
              </w:rPr>
            </w:pPr>
            <w:r w:rsidRPr="00424BD3">
              <w:rPr>
                <w:rFonts w:ascii="Arial" w:hAnsi="Arial" w:cs="Arial"/>
                <w:b/>
                <w:bCs/>
                <w:sz w:val="20"/>
                <w:szCs w:val="20"/>
              </w:rPr>
              <w:t>70-74 y</w:t>
            </w:r>
            <w:r w:rsidR="00FD1FBC" w:rsidRPr="00424BD3">
              <w:rPr>
                <w:rFonts w:ascii="Arial" w:hAnsi="Arial" w:cs="Arial"/>
                <w:b/>
                <w:bCs/>
                <w:sz w:val="20"/>
                <w:szCs w:val="20"/>
              </w:rPr>
              <w:t>rs</w:t>
            </w:r>
          </w:p>
        </w:tc>
        <w:tc>
          <w:tcPr>
            <w:tcW w:w="950" w:type="dxa"/>
          </w:tcPr>
          <w:p w14:paraId="7DE6A291" w14:textId="6A51111B" w:rsidR="00C246DE" w:rsidRPr="00424BD3" w:rsidRDefault="00C246DE" w:rsidP="00AD3372">
            <w:pPr>
              <w:rPr>
                <w:rFonts w:ascii="Arial" w:hAnsi="Arial" w:cs="Arial"/>
                <w:b/>
                <w:bCs/>
                <w:sz w:val="20"/>
                <w:szCs w:val="20"/>
              </w:rPr>
            </w:pPr>
            <w:r w:rsidRPr="00424BD3">
              <w:rPr>
                <w:rFonts w:ascii="Arial" w:hAnsi="Arial" w:cs="Arial"/>
                <w:b/>
                <w:bCs/>
                <w:sz w:val="20"/>
                <w:szCs w:val="20"/>
              </w:rPr>
              <w:t>75-79 y</w:t>
            </w:r>
            <w:r w:rsidR="00FD1FBC" w:rsidRPr="00424BD3">
              <w:rPr>
                <w:rFonts w:ascii="Arial" w:hAnsi="Arial" w:cs="Arial"/>
                <w:b/>
                <w:bCs/>
                <w:sz w:val="20"/>
                <w:szCs w:val="20"/>
              </w:rPr>
              <w:t>rs</w:t>
            </w:r>
          </w:p>
        </w:tc>
        <w:tc>
          <w:tcPr>
            <w:tcW w:w="950" w:type="dxa"/>
          </w:tcPr>
          <w:p w14:paraId="13F790D6" w14:textId="74929D31" w:rsidR="00C246DE" w:rsidRPr="00424BD3" w:rsidRDefault="00C246DE" w:rsidP="00AD3372">
            <w:pPr>
              <w:rPr>
                <w:rFonts w:ascii="Arial" w:hAnsi="Arial" w:cs="Arial"/>
                <w:b/>
                <w:bCs/>
                <w:sz w:val="20"/>
                <w:szCs w:val="20"/>
              </w:rPr>
            </w:pPr>
            <w:r w:rsidRPr="00424BD3">
              <w:rPr>
                <w:rFonts w:ascii="Arial" w:hAnsi="Arial" w:cs="Arial"/>
                <w:b/>
                <w:bCs/>
                <w:sz w:val="20"/>
                <w:szCs w:val="20"/>
              </w:rPr>
              <w:t>80-84 y</w:t>
            </w:r>
            <w:r w:rsidR="00FD1FBC" w:rsidRPr="00424BD3">
              <w:rPr>
                <w:rFonts w:ascii="Arial" w:hAnsi="Arial" w:cs="Arial"/>
                <w:b/>
                <w:bCs/>
                <w:sz w:val="20"/>
                <w:szCs w:val="20"/>
              </w:rPr>
              <w:t>rs</w:t>
            </w:r>
          </w:p>
        </w:tc>
        <w:tc>
          <w:tcPr>
            <w:tcW w:w="881" w:type="dxa"/>
          </w:tcPr>
          <w:p w14:paraId="1B7C1479"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 xml:space="preserve">85+ </w:t>
            </w:r>
          </w:p>
          <w:p w14:paraId="022A1850" w14:textId="374552B4" w:rsidR="00C246DE" w:rsidRPr="00424BD3" w:rsidRDefault="00C246DE" w:rsidP="00AD3372">
            <w:pPr>
              <w:rPr>
                <w:rFonts w:ascii="Arial" w:hAnsi="Arial" w:cs="Arial"/>
                <w:b/>
                <w:bCs/>
                <w:sz w:val="20"/>
                <w:szCs w:val="20"/>
              </w:rPr>
            </w:pPr>
            <w:r w:rsidRPr="00424BD3">
              <w:rPr>
                <w:rFonts w:ascii="Arial" w:hAnsi="Arial" w:cs="Arial"/>
                <w:b/>
                <w:bCs/>
                <w:sz w:val="20"/>
                <w:szCs w:val="20"/>
              </w:rPr>
              <w:t>y</w:t>
            </w:r>
            <w:r w:rsidR="00FD1FBC" w:rsidRPr="00424BD3">
              <w:rPr>
                <w:rFonts w:ascii="Arial" w:hAnsi="Arial" w:cs="Arial"/>
                <w:b/>
                <w:bCs/>
                <w:sz w:val="20"/>
                <w:szCs w:val="20"/>
              </w:rPr>
              <w:t>rs</w:t>
            </w:r>
          </w:p>
        </w:tc>
        <w:tc>
          <w:tcPr>
            <w:tcW w:w="1050" w:type="dxa"/>
          </w:tcPr>
          <w:p w14:paraId="23F36AF0" w14:textId="4BC97112" w:rsidR="00C246DE" w:rsidRPr="00424BD3" w:rsidRDefault="00C246DE" w:rsidP="00AD3372">
            <w:pPr>
              <w:rPr>
                <w:rFonts w:ascii="Arial" w:hAnsi="Arial" w:cs="Arial"/>
                <w:b/>
                <w:bCs/>
                <w:sz w:val="20"/>
                <w:szCs w:val="20"/>
              </w:rPr>
            </w:pPr>
            <w:r w:rsidRPr="00424BD3">
              <w:rPr>
                <w:rFonts w:ascii="Arial" w:hAnsi="Arial" w:cs="Arial"/>
                <w:b/>
                <w:bCs/>
                <w:sz w:val="20"/>
                <w:szCs w:val="20"/>
              </w:rPr>
              <w:t>Total F65</w:t>
            </w:r>
            <w:r w:rsidR="00FD1FBC" w:rsidRPr="00424BD3">
              <w:rPr>
                <w:rFonts w:ascii="Arial" w:hAnsi="Arial" w:cs="Arial"/>
                <w:b/>
                <w:bCs/>
                <w:sz w:val="20"/>
                <w:szCs w:val="20"/>
              </w:rPr>
              <w:t xml:space="preserve"> yrs</w:t>
            </w:r>
            <w:r w:rsidRPr="00424BD3">
              <w:rPr>
                <w:rFonts w:ascii="Arial" w:hAnsi="Arial" w:cs="Arial"/>
                <w:b/>
                <w:bCs/>
                <w:sz w:val="20"/>
                <w:szCs w:val="20"/>
              </w:rPr>
              <w:t>+</w:t>
            </w:r>
          </w:p>
        </w:tc>
        <w:tc>
          <w:tcPr>
            <w:tcW w:w="883" w:type="dxa"/>
          </w:tcPr>
          <w:p w14:paraId="4C5A43AB" w14:textId="52B6C340" w:rsidR="00C246DE" w:rsidRPr="00424BD3" w:rsidRDefault="00C246DE" w:rsidP="00AD3372">
            <w:pPr>
              <w:rPr>
                <w:rFonts w:ascii="Arial" w:hAnsi="Arial" w:cs="Arial"/>
                <w:b/>
                <w:bCs/>
                <w:sz w:val="20"/>
                <w:szCs w:val="20"/>
              </w:rPr>
            </w:pPr>
            <w:r w:rsidRPr="00424BD3">
              <w:rPr>
                <w:rFonts w:ascii="Arial" w:hAnsi="Arial" w:cs="Arial"/>
                <w:b/>
                <w:bCs/>
                <w:sz w:val="20"/>
                <w:szCs w:val="20"/>
              </w:rPr>
              <w:t>% F65</w:t>
            </w:r>
            <w:r w:rsidR="00FD1FBC" w:rsidRPr="00424BD3">
              <w:rPr>
                <w:rFonts w:ascii="Arial" w:hAnsi="Arial" w:cs="Arial"/>
                <w:b/>
                <w:bCs/>
                <w:sz w:val="20"/>
                <w:szCs w:val="20"/>
              </w:rPr>
              <w:t>yrs</w:t>
            </w:r>
            <w:r w:rsidRPr="00424BD3">
              <w:rPr>
                <w:rFonts w:ascii="Arial" w:hAnsi="Arial" w:cs="Arial"/>
                <w:b/>
                <w:bCs/>
                <w:sz w:val="20"/>
                <w:szCs w:val="20"/>
              </w:rPr>
              <w:t>+</w:t>
            </w:r>
          </w:p>
        </w:tc>
      </w:tr>
      <w:tr w:rsidR="00FD1FBC" w:rsidRPr="00424BD3" w14:paraId="7C364B87" w14:textId="77777777" w:rsidTr="00CE1A80">
        <w:tc>
          <w:tcPr>
            <w:tcW w:w="1072" w:type="dxa"/>
          </w:tcPr>
          <w:p w14:paraId="1396CBA0" w14:textId="77777777" w:rsidR="00FD1FBC" w:rsidRPr="00424BD3" w:rsidRDefault="00FD1FBC" w:rsidP="000126EE">
            <w:pPr>
              <w:spacing w:line="480" w:lineRule="auto"/>
              <w:rPr>
                <w:rFonts w:cs="Arial"/>
                <w:b/>
                <w:bCs/>
                <w:sz w:val="20"/>
                <w:szCs w:val="20"/>
              </w:rPr>
            </w:pPr>
          </w:p>
        </w:tc>
        <w:tc>
          <w:tcPr>
            <w:tcW w:w="1289" w:type="dxa"/>
          </w:tcPr>
          <w:p w14:paraId="1B0E6D5A" w14:textId="77777777" w:rsidR="00FD1FBC" w:rsidRPr="00424BD3" w:rsidRDefault="00FD1FBC" w:rsidP="000126EE">
            <w:pPr>
              <w:spacing w:line="480" w:lineRule="auto"/>
              <w:rPr>
                <w:rFonts w:cs="Arial"/>
                <w:b/>
                <w:bCs/>
                <w:sz w:val="20"/>
                <w:szCs w:val="20"/>
              </w:rPr>
            </w:pPr>
          </w:p>
        </w:tc>
        <w:tc>
          <w:tcPr>
            <w:tcW w:w="1050" w:type="dxa"/>
          </w:tcPr>
          <w:p w14:paraId="1385E054" w14:textId="77777777" w:rsidR="00FD1FBC" w:rsidRPr="00424BD3" w:rsidRDefault="00FD1FBC" w:rsidP="000126EE">
            <w:pPr>
              <w:spacing w:line="480" w:lineRule="auto"/>
              <w:rPr>
                <w:rFonts w:cs="Arial"/>
                <w:b/>
                <w:bCs/>
                <w:sz w:val="20"/>
                <w:szCs w:val="20"/>
              </w:rPr>
            </w:pPr>
          </w:p>
        </w:tc>
        <w:tc>
          <w:tcPr>
            <w:tcW w:w="1050" w:type="dxa"/>
          </w:tcPr>
          <w:p w14:paraId="11FBA6B3" w14:textId="77777777" w:rsidR="00FD1FBC" w:rsidRPr="00424BD3" w:rsidRDefault="00FD1FBC" w:rsidP="000126EE">
            <w:pPr>
              <w:spacing w:line="480" w:lineRule="auto"/>
              <w:rPr>
                <w:rFonts w:cs="Arial"/>
                <w:b/>
                <w:bCs/>
                <w:sz w:val="20"/>
                <w:szCs w:val="20"/>
              </w:rPr>
            </w:pPr>
          </w:p>
        </w:tc>
        <w:tc>
          <w:tcPr>
            <w:tcW w:w="950" w:type="dxa"/>
          </w:tcPr>
          <w:p w14:paraId="7E36CCA2" w14:textId="77777777" w:rsidR="00FD1FBC" w:rsidRPr="00424BD3" w:rsidRDefault="00FD1FBC" w:rsidP="000126EE">
            <w:pPr>
              <w:spacing w:line="480" w:lineRule="auto"/>
              <w:rPr>
                <w:rFonts w:cs="Arial"/>
                <w:b/>
                <w:bCs/>
                <w:sz w:val="20"/>
                <w:szCs w:val="20"/>
              </w:rPr>
            </w:pPr>
          </w:p>
        </w:tc>
        <w:tc>
          <w:tcPr>
            <w:tcW w:w="950" w:type="dxa"/>
          </w:tcPr>
          <w:p w14:paraId="1755581E" w14:textId="77777777" w:rsidR="00FD1FBC" w:rsidRPr="00424BD3" w:rsidRDefault="00FD1FBC" w:rsidP="000126EE">
            <w:pPr>
              <w:spacing w:line="480" w:lineRule="auto"/>
              <w:rPr>
                <w:rFonts w:cs="Arial"/>
                <w:b/>
                <w:bCs/>
                <w:sz w:val="20"/>
                <w:szCs w:val="20"/>
              </w:rPr>
            </w:pPr>
          </w:p>
        </w:tc>
        <w:tc>
          <w:tcPr>
            <w:tcW w:w="881" w:type="dxa"/>
          </w:tcPr>
          <w:p w14:paraId="402234B7" w14:textId="77777777" w:rsidR="00FD1FBC" w:rsidRPr="00424BD3" w:rsidRDefault="00FD1FBC" w:rsidP="000126EE">
            <w:pPr>
              <w:spacing w:line="480" w:lineRule="auto"/>
              <w:rPr>
                <w:rFonts w:cs="Arial"/>
                <w:b/>
                <w:bCs/>
                <w:sz w:val="20"/>
                <w:szCs w:val="20"/>
              </w:rPr>
            </w:pPr>
          </w:p>
        </w:tc>
        <w:tc>
          <w:tcPr>
            <w:tcW w:w="1050" w:type="dxa"/>
          </w:tcPr>
          <w:p w14:paraId="7B4D24B2" w14:textId="77777777" w:rsidR="00FD1FBC" w:rsidRPr="00424BD3" w:rsidRDefault="00FD1FBC" w:rsidP="000126EE">
            <w:pPr>
              <w:spacing w:line="480" w:lineRule="auto"/>
              <w:rPr>
                <w:rFonts w:cs="Arial"/>
                <w:b/>
                <w:bCs/>
                <w:sz w:val="20"/>
                <w:szCs w:val="20"/>
              </w:rPr>
            </w:pPr>
          </w:p>
        </w:tc>
        <w:tc>
          <w:tcPr>
            <w:tcW w:w="883" w:type="dxa"/>
          </w:tcPr>
          <w:p w14:paraId="5985C729" w14:textId="77777777" w:rsidR="00FD1FBC" w:rsidRPr="00424BD3" w:rsidRDefault="00FD1FBC" w:rsidP="000126EE">
            <w:pPr>
              <w:spacing w:line="480" w:lineRule="auto"/>
              <w:rPr>
                <w:rFonts w:cs="Arial"/>
                <w:b/>
                <w:bCs/>
                <w:sz w:val="20"/>
                <w:szCs w:val="20"/>
              </w:rPr>
            </w:pPr>
          </w:p>
        </w:tc>
      </w:tr>
      <w:tr w:rsidR="00C246DE" w:rsidRPr="00424BD3" w14:paraId="481EE7B0" w14:textId="77777777" w:rsidTr="00CE1A80">
        <w:tc>
          <w:tcPr>
            <w:tcW w:w="1072" w:type="dxa"/>
          </w:tcPr>
          <w:p w14:paraId="42549515" w14:textId="77777777" w:rsidR="00C246DE" w:rsidRPr="00424BD3" w:rsidRDefault="00C246DE" w:rsidP="000126EE">
            <w:pPr>
              <w:spacing w:line="480" w:lineRule="auto"/>
              <w:rPr>
                <w:rFonts w:ascii="Arial" w:hAnsi="Arial" w:cs="Arial"/>
                <w:b/>
                <w:bCs/>
                <w:sz w:val="20"/>
                <w:szCs w:val="20"/>
              </w:rPr>
            </w:pPr>
            <w:r w:rsidRPr="00424BD3">
              <w:rPr>
                <w:rFonts w:ascii="Arial" w:hAnsi="Arial" w:cs="Arial"/>
                <w:b/>
                <w:bCs/>
                <w:sz w:val="20"/>
                <w:szCs w:val="20"/>
              </w:rPr>
              <w:t xml:space="preserve">Knox </w:t>
            </w:r>
          </w:p>
        </w:tc>
        <w:tc>
          <w:tcPr>
            <w:tcW w:w="1289" w:type="dxa"/>
          </w:tcPr>
          <w:p w14:paraId="41E8159B"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470,313</w:t>
            </w:r>
          </w:p>
        </w:tc>
        <w:tc>
          <w:tcPr>
            <w:tcW w:w="1050" w:type="dxa"/>
          </w:tcPr>
          <w:p w14:paraId="7F91A004"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13,442</w:t>
            </w:r>
          </w:p>
        </w:tc>
        <w:tc>
          <w:tcPr>
            <w:tcW w:w="1050" w:type="dxa"/>
          </w:tcPr>
          <w:p w14:paraId="10B4A8F3"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10,932</w:t>
            </w:r>
          </w:p>
        </w:tc>
        <w:tc>
          <w:tcPr>
            <w:tcW w:w="950" w:type="dxa"/>
          </w:tcPr>
          <w:p w14:paraId="7DC2308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7,773</w:t>
            </w:r>
          </w:p>
        </w:tc>
        <w:tc>
          <w:tcPr>
            <w:tcW w:w="950" w:type="dxa"/>
          </w:tcPr>
          <w:p w14:paraId="1DCD1C2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5,150</w:t>
            </w:r>
          </w:p>
        </w:tc>
        <w:tc>
          <w:tcPr>
            <w:tcW w:w="881" w:type="dxa"/>
          </w:tcPr>
          <w:p w14:paraId="60BE3ED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5,653</w:t>
            </w:r>
          </w:p>
        </w:tc>
        <w:tc>
          <w:tcPr>
            <w:tcW w:w="1050" w:type="dxa"/>
          </w:tcPr>
          <w:p w14:paraId="7D7C9D4E"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42,950</w:t>
            </w:r>
          </w:p>
        </w:tc>
        <w:tc>
          <w:tcPr>
            <w:tcW w:w="883" w:type="dxa"/>
          </w:tcPr>
          <w:p w14:paraId="30ABC12F"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9.13%</w:t>
            </w:r>
          </w:p>
        </w:tc>
      </w:tr>
      <w:tr w:rsidR="00C246DE" w:rsidRPr="00424BD3" w14:paraId="23CAC7F2" w14:textId="77777777" w:rsidTr="00CE1A80">
        <w:trPr>
          <w:trHeight w:val="323"/>
        </w:trPr>
        <w:tc>
          <w:tcPr>
            <w:tcW w:w="1072" w:type="dxa"/>
          </w:tcPr>
          <w:p w14:paraId="64AB2CF1" w14:textId="77777777" w:rsidR="00C246DE" w:rsidRPr="00424BD3" w:rsidRDefault="00C246DE" w:rsidP="000126EE">
            <w:pPr>
              <w:spacing w:line="480" w:lineRule="auto"/>
              <w:rPr>
                <w:rFonts w:ascii="Arial" w:hAnsi="Arial" w:cs="Arial"/>
                <w:b/>
                <w:bCs/>
                <w:sz w:val="20"/>
                <w:szCs w:val="20"/>
              </w:rPr>
            </w:pPr>
            <w:r w:rsidRPr="00424BD3">
              <w:rPr>
                <w:rFonts w:ascii="Arial" w:hAnsi="Arial" w:cs="Arial"/>
                <w:b/>
                <w:bCs/>
                <w:sz w:val="20"/>
                <w:szCs w:val="20"/>
              </w:rPr>
              <w:t>Blount</w:t>
            </w:r>
          </w:p>
        </w:tc>
        <w:tc>
          <w:tcPr>
            <w:tcW w:w="1289" w:type="dxa"/>
          </w:tcPr>
          <w:p w14:paraId="15E809DF"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133,088</w:t>
            </w:r>
          </w:p>
        </w:tc>
        <w:tc>
          <w:tcPr>
            <w:tcW w:w="1050" w:type="dxa"/>
          </w:tcPr>
          <w:p w14:paraId="01CF6E3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4,599</w:t>
            </w:r>
          </w:p>
        </w:tc>
        <w:tc>
          <w:tcPr>
            <w:tcW w:w="1050" w:type="dxa"/>
          </w:tcPr>
          <w:p w14:paraId="0DC39197"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4,011</w:t>
            </w:r>
          </w:p>
        </w:tc>
        <w:tc>
          <w:tcPr>
            <w:tcW w:w="950" w:type="dxa"/>
          </w:tcPr>
          <w:p w14:paraId="22B51963"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2,811</w:t>
            </w:r>
          </w:p>
        </w:tc>
        <w:tc>
          <w:tcPr>
            <w:tcW w:w="950" w:type="dxa"/>
          </w:tcPr>
          <w:p w14:paraId="189BB90B"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1,807</w:t>
            </w:r>
          </w:p>
        </w:tc>
        <w:tc>
          <w:tcPr>
            <w:tcW w:w="881" w:type="dxa"/>
          </w:tcPr>
          <w:p w14:paraId="291698D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1,857</w:t>
            </w:r>
          </w:p>
        </w:tc>
        <w:tc>
          <w:tcPr>
            <w:tcW w:w="1050" w:type="dxa"/>
          </w:tcPr>
          <w:p w14:paraId="62F137C8"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15,085</w:t>
            </w:r>
          </w:p>
        </w:tc>
        <w:tc>
          <w:tcPr>
            <w:tcW w:w="883" w:type="dxa"/>
          </w:tcPr>
          <w:p w14:paraId="5AF5D3C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11.33%</w:t>
            </w:r>
          </w:p>
        </w:tc>
      </w:tr>
      <w:tr w:rsidR="00C246DE" w:rsidRPr="00424BD3" w14:paraId="7B6BB25A" w14:textId="77777777" w:rsidTr="00CE1A80">
        <w:tc>
          <w:tcPr>
            <w:tcW w:w="1072" w:type="dxa"/>
          </w:tcPr>
          <w:p w14:paraId="35656768" w14:textId="77777777" w:rsidR="00C246DE" w:rsidRPr="00424BD3" w:rsidRDefault="00C246DE" w:rsidP="000126EE">
            <w:pPr>
              <w:spacing w:line="480" w:lineRule="auto"/>
              <w:rPr>
                <w:rFonts w:ascii="Arial" w:hAnsi="Arial" w:cs="Arial"/>
                <w:b/>
                <w:bCs/>
                <w:sz w:val="20"/>
                <w:szCs w:val="20"/>
              </w:rPr>
            </w:pPr>
            <w:r w:rsidRPr="00424BD3">
              <w:rPr>
                <w:rFonts w:ascii="Arial" w:hAnsi="Arial" w:cs="Arial"/>
                <w:b/>
                <w:bCs/>
                <w:sz w:val="20"/>
                <w:szCs w:val="20"/>
              </w:rPr>
              <w:t xml:space="preserve">Sevier </w:t>
            </w:r>
          </w:p>
        </w:tc>
        <w:tc>
          <w:tcPr>
            <w:tcW w:w="1289" w:type="dxa"/>
          </w:tcPr>
          <w:p w14:paraId="0E3CC81E"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98,250</w:t>
            </w:r>
          </w:p>
        </w:tc>
        <w:tc>
          <w:tcPr>
            <w:tcW w:w="1050" w:type="dxa"/>
          </w:tcPr>
          <w:p w14:paraId="4CD5D76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3,576</w:t>
            </w:r>
          </w:p>
        </w:tc>
        <w:tc>
          <w:tcPr>
            <w:tcW w:w="1050" w:type="dxa"/>
          </w:tcPr>
          <w:p w14:paraId="42B46BB8"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2,930</w:t>
            </w:r>
          </w:p>
        </w:tc>
        <w:tc>
          <w:tcPr>
            <w:tcW w:w="950" w:type="dxa"/>
          </w:tcPr>
          <w:p w14:paraId="1E9556A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2,112</w:t>
            </w:r>
          </w:p>
        </w:tc>
        <w:tc>
          <w:tcPr>
            <w:tcW w:w="950" w:type="dxa"/>
          </w:tcPr>
          <w:p w14:paraId="6228F75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1,190</w:t>
            </w:r>
          </w:p>
        </w:tc>
        <w:tc>
          <w:tcPr>
            <w:tcW w:w="881" w:type="dxa"/>
          </w:tcPr>
          <w:p w14:paraId="58A6905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1,056</w:t>
            </w:r>
          </w:p>
        </w:tc>
        <w:tc>
          <w:tcPr>
            <w:tcW w:w="1050" w:type="dxa"/>
          </w:tcPr>
          <w:p w14:paraId="08FB2BA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10,864</w:t>
            </w:r>
          </w:p>
        </w:tc>
        <w:tc>
          <w:tcPr>
            <w:tcW w:w="883" w:type="dxa"/>
          </w:tcPr>
          <w:p w14:paraId="26C55572"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11.06%</w:t>
            </w:r>
          </w:p>
        </w:tc>
      </w:tr>
      <w:tr w:rsidR="00FD1FBC" w:rsidRPr="00424BD3" w14:paraId="7578DDDB" w14:textId="77777777" w:rsidTr="00CE1A80">
        <w:tc>
          <w:tcPr>
            <w:tcW w:w="1072" w:type="dxa"/>
          </w:tcPr>
          <w:p w14:paraId="5638A0FF" w14:textId="77777777" w:rsidR="00FD1FBC" w:rsidRPr="00424BD3" w:rsidRDefault="00FD1FBC" w:rsidP="000126EE">
            <w:pPr>
              <w:spacing w:line="480" w:lineRule="auto"/>
              <w:rPr>
                <w:rFonts w:cs="Arial"/>
                <w:b/>
                <w:bCs/>
                <w:sz w:val="20"/>
                <w:szCs w:val="20"/>
              </w:rPr>
            </w:pPr>
          </w:p>
        </w:tc>
        <w:tc>
          <w:tcPr>
            <w:tcW w:w="1289" w:type="dxa"/>
          </w:tcPr>
          <w:p w14:paraId="558541EF" w14:textId="77777777" w:rsidR="00FD1FBC" w:rsidRPr="00424BD3" w:rsidRDefault="00FD1FBC" w:rsidP="000126EE">
            <w:pPr>
              <w:spacing w:line="480" w:lineRule="auto"/>
              <w:rPr>
                <w:rFonts w:cs="Arial"/>
                <w:sz w:val="20"/>
                <w:szCs w:val="20"/>
              </w:rPr>
            </w:pPr>
          </w:p>
        </w:tc>
        <w:tc>
          <w:tcPr>
            <w:tcW w:w="1050" w:type="dxa"/>
          </w:tcPr>
          <w:p w14:paraId="743F4BDB" w14:textId="77777777" w:rsidR="00FD1FBC" w:rsidRPr="00424BD3" w:rsidRDefault="00FD1FBC" w:rsidP="000126EE">
            <w:pPr>
              <w:spacing w:line="480" w:lineRule="auto"/>
              <w:rPr>
                <w:rFonts w:cs="Arial"/>
                <w:sz w:val="20"/>
                <w:szCs w:val="20"/>
              </w:rPr>
            </w:pPr>
          </w:p>
        </w:tc>
        <w:tc>
          <w:tcPr>
            <w:tcW w:w="1050" w:type="dxa"/>
          </w:tcPr>
          <w:p w14:paraId="3B4E0F30" w14:textId="77777777" w:rsidR="00FD1FBC" w:rsidRPr="00424BD3" w:rsidRDefault="00FD1FBC" w:rsidP="000126EE">
            <w:pPr>
              <w:spacing w:line="480" w:lineRule="auto"/>
              <w:rPr>
                <w:rFonts w:cs="Arial"/>
                <w:sz w:val="20"/>
                <w:szCs w:val="20"/>
              </w:rPr>
            </w:pPr>
          </w:p>
        </w:tc>
        <w:tc>
          <w:tcPr>
            <w:tcW w:w="950" w:type="dxa"/>
          </w:tcPr>
          <w:p w14:paraId="3CA97D61" w14:textId="77777777" w:rsidR="00FD1FBC" w:rsidRPr="00424BD3" w:rsidRDefault="00FD1FBC" w:rsidP="000126EE">
            <w:pPr>
              <w:spacing w:line="480" w:lineRule="auto"/>
              <w:rPr>
                <w:rFonts w:cs="Arial"/>
                <w:sz w:val="20"/>
                <w:szCs w:val="20"/>
              </w:rPr>
            </w:pPr>
          </w:p>
        </w:tc>
        <w:tc>
          <w:tcPr>
            <w:tcW w:w="950" w:type="dxa"/>
          </w:tcPr>
          <w:p w14:paraId="4D3BBD04" w14:textId="77777777" w:rsidR="00FD1FBC" w:rsidRPr="00424BD3" w:rsidRDefault="00FD1FBC" w:rsidP="000126EE">
            <w:pPr>
              <w:spacing w:line="480" w:lineRule="auto"/>
              <w:rPr>
                <w:rFonts w:cs="Arial"/>
                <w:sz w:val="20"/>
                <w:szCs w:val="20"/>
              </w:rPr>
            </w:pPr>
          </w:p>
        </w:tc>
        <w:tc>
          <w:tcPr>
            <w:tcW w:w="881" w:type="dxa"/>
          </w:tcPr>
          <w:p w14:paraId="07CF26F0" w14:textId="77777777" w:rsidR="00FD1FBC" w:rsidRPr="00424BD3" w:rsidRDefault="00FD1FBC" w:rsidP="000126EE">
            <w:pPr>
              <w:spacing w:line="480" w:lineRule="auto"/>
              <w:rPr>
                <w:rFonts w:cs="Arial"/>
                <w:sz w:val="20"/>
                <w:szCs w:val="20"/>
              </w:rPr>
            </w:pPr>
          </w:p>
        </w:tc>
        <w:tc>
          <w:tcPr>
            <w:tcW w:w="1050" w:type="dxa"/>
          </w:tcPr>
          <w:p w14:paraId="3115688E" w14:textId="77777777" w:rsidR="00FD1FBC" w:rsidRPr="00424BD3" w:rsidRDefault="00FD1FBC" w:rsidP="000126EE">
            <w:pPr>
              <w:spacing w:line="480" w:lineRule="auto"/>
              <w:rPr>
                <w:rFonts w:cs="Arial"/>
                <w:sz w:val="20"/>
                <w:szCs w:val="20"/>
              </w:rPr>
            </w:pPr>
          </w:p>
        </w:tc>
        <w:tc>
          <w:tcPr>
            <w:tcW w:w="883" w:type="dxa"/>
          </w:tcPr>
          <w:p w14:paraId="1D58DF3D" w14:textId="77777777" w:rsidR="00FD1FBC" w:rsidRPr="00424BD3" w:rsidRDefault="00FD1FBC" w:rsidP="000126EE">
            <w:pPr>
              <w:spacing w:line="480" w:lineRule="auto"/>
              <w:rPr>
                <w:rFonts w:cs="Arial"/>
                <w:sz w:val="20"/>
                <w:szCs w:val="20"/>
              </w:rPr>
            </w:pPr>
          </w:p>
        </w:tc>
      </w:tr>
    </w:tbl>
    <w:p w14:paraId="6DA632E2" w14:textId="333AD995" w:rsidR="00C246DE" w:rsidRDefault="006F5A1C" w:rsidP="000126EE">
      <w:pPr>
        <w:spacing w:after="0" w:line="480" w:lineRule="auto"/>
        <w:ind w:firstLine="720"/>
        <w:rPr>
          <w:rFonts w:cs="Arial"/>
          <w:szCs w:val="24"/>
        </w:rPr>
      </w:pPr>
      <w:r w:rsidRPr="00424BD3">
        <w:rPr>
          <w:rFonts w:cs="Arial"/>
          <w:szCs w:val="24"/>
        </w:rPr>
        <w:fldChar w:fldCharType="begin"/>
      </w:r>
      <w:r w:rsidR="00990F3A">
        <w:rPr>
          <w:rFonts w:cs="Arial"/>
          <w:szCs w:val="24"/>
        </w:rPr>
        <w:instrText xml:space="preserve"> ADDIN ZOTERO_ITEM CSL_CITATION {"citationID":"Eq8yJ0kN","properties":{"formattedCitation":"(U.S. Census Bureau, 2021a)","plainCitation":"(U.S. Census Bureau, 2021a)","noteIndex":0},"citationItems":[{"id":847,"uris":["http://zotero.org/users/4946941/items/YDF8JTQ4"],"itemData":{"id":847,"type":"document","language":"en","title":"a. County Population by Characteristics: 2010-2019. Annual County and Resident Population Estimates by Selected Age Groups and Sex: April 1, 2010 to July 1, 2019 (CC-EST2019-AGESEX) dataset","URL":"https://www.census.gov/data/tables/time-series/demo/popest/2010s-counties-detail.html","author":[{"family":"U.S. Census Bureau","given":""}],"issued":{"date-parts":[["2021"]]}}}],"schema":"https://github.com/citation-style-language/schema/raw/master/csl-citation.json"} </w:instrText>
      </w:r>
      <w:r w:rsidRPr="00424BD3">
        <w:rPr>
          <w:rFonts w:cs="Arial"/>
          <w:szCs w:val="24"/>
        </w:rPr>
        <w:fldChar w:fldCharType="separate"/>
      </w:r>
      <w:r w:rsidRPr="00424BD3">
        <w:rPr>
          <w:rFonts w:cs="Arial"/>
        </w:rPr>
        <w:t>(U.S. Census Bureau, 2021a)</w:t>
      </w:r>
      <w:r w:rsidRPr="00424BD3">
        <w:rPr>
          <w:rFonts w:cs="Arial"/>
          <w:szCs w:val="24"/>
        </w:rPr>
        <w:fldChar w:fldCharType="end"/>
      </w:r>
    </w:p>
    <w:p w14:paraId="73BA0151" w14:textId="34FA25FC" w:rsidR="008239EE" w:rsidRDefault="008239EE" w:rsidP="000126EE">
      <w:pPr>
        <w:spacing w:after="0" w:line="480" w:lineRule="auto"/>
        <w:ind w:firstLine="720"/>
        <w:rPr>
          <w:rFonts w:cs="Arial"/>
          <w:szCs w:val="24"/>
        </w:rPr>
      </w:pPr>
    </w:p>
    <w:p w14:paraId="7B90010C" w14:textId="77777777" w:rsidR="008239EE" w:rsidRPr="00424BD3" w:rsidRDefault="008239EE" w:rsidP="000126EE">
      <w:pPr>
        <w:spacing w:after="0" w:line="480" w:lineRule="auto"/>
        <w:ind w:firstLine="720"/>
        <w:rPr>
          <w:rFonts w:cs="Arial"/>
          <w:szCs w:val="24"/>
        </w:rPr>
      </w:pPr>
    </w:p>
    <w:p w14:paraId="1BFB029D" w14:textId="71C0B529" w:rsidR="00C246DE" w:rsidRPr="00424BD3" w:rsidRDefault="00A409A7" w:rsidP="00C36EE6">
      <w:pPr>
        <w:pStyle w:val="Caption"/>
        <w:spacing w:after="0"/>
        <w:rPr>
          <w:rFonts w:cs="Arial"/>
          <w:bCs/>
          <w:color w:val="auto"/>
          <w:sz w:val="24"/>
          <w:szCs w:val="24"/>
        </w:rPr>
      </w:pPr>
      <w:bookmarkStart w:id="119" w:name="_Toc116675205"/>
      <w:r w:rsidRPr="00424BD3">
        <w:rPr>
          <w:color w:val="auto"/>
          <w:sz w:val="24"/>
          <w:szCs w:val="24"/>
        </w:rPr>
        <w:t xml:space="preserve">Table </w:t>
      </w:r>
      <w:r w:rsidRPr="00424BD3">
        <w:rPr>
          <w:color w:val="auto"/>
          <w:sz w:val="24"/>
          <w:szCs w:val="24"/>
        </w:rPr>
        <w:fldChar w:fldCharType="begin"/>
      </w:r>
      <w:r w:rsidRPr="00424BD3">
        <w:rPr>
          <w:color w:val="auto"/>
          <w:sz w:val="24"/>
          <w:szCs w:val="24"/>
        </w:rPr>
        <w:instrText xml:space="preserve"> SEQ Table \* ARABIC </w:instrText>
      </w:r>
      <w:r w:rsidRPr="00424BD3">
        <w:rPr>
          <w:color w:val="auto"/>
          <w:sz w:val="24"/>
          <w:szCs w:val="24"/>
        </w:rPr>
        <w:fldChar w:fldCharType="separate"/>
      </w:r>
      <w:r w:rsidR="00281020">
        <w:rPr>
          <w:noProof/>
          <w:color w:val="auto"/>
          <w:sz w:val="24"/>
          <w:szCs w:val="24"/>
        </w:rPr>
        <w:t>2</w:t>
      </w:r>
      <w:r w:rsidRPr="00424BD3">
        <w:rPr>
          <w:color w:val="auto"/>
          <w:sz w:val="24"/>
          <w:szCs w:val="24"/>
        </w:rPr>
        <w:fldChar w:fldCharType="end"/>
      </w:r>
      <w:r w:rsidR="00C246DE" w:rsidRPr="00424BD3">
        <w:rPr>
          <w:rFonts w:cs="Arial"/>
          <w:bCs/>
          <w:color w:val="auto"/>
          <w:sz w:val="24"/>
          <w:szCs w:val="24"/>
        </w:rPr>
        <w:t xml:space="preserve">. Geographical and health profile tables of participant counties: Aged 65 </w:t>
      </w:r>
      <w:r w:rsidR="009B6D22">
        <w:rPr>
          <w:rFonts w:cs="Arial"/>
          <w:bCs/>
          <w:color w:val="auto"/>
          <w:sz w:val="24"/>
          <w:szCs w:val="24"/>
        </w:rPr>
        <w:t xml:space="preserve">years </w:t>
      </w:r>
      <w:r w:rsidR="00C246DE" w:rsidRPr="00424BD3">
        <w:rPr>
          <w:rFonts w:cs="Arial"/>
          <w:bCs/>
          <w:color w:val="auto"/>
          <w:sz w:val="24"/>
          <w:szCs w:val="24"/>
        </w:rPr>
        <w:t>(all genders) and over population projections by 2040 in Knox, Blount</w:t>
      </w:r>
      <w:r w:rsidR="00C15BB3" w:rsidRPr="00424BD3">
        <w:rPr>
          <w:rFonts w:cs="Arial"/>
          <w:bCs/>
          <w:color w:val="auto"/>
          <w:sz w:val="24"/>
          <w:szCs w:val="24"/>
        </w:rPr>
        <w:t>,</w:t>
      </w:r>
      <w:r w:rsidR="00C246DE" w:rsidRPr="00424BD3">
        <w:rPr>
          <w:rFonts w:cs="Arial"/>
          <w:bCs/>
          <w:color w:val="auto"/>
          <w:sz w:val="24"/>
          <w:szCs w:val="24"/>
        </w:rPr>
        <w:t xml:space="preserve"> and Sevier Counties as of July 2019</w:t>
      </w:r>
      <w:bookmarkEnd w:id="119"/>
    </w:p>
    <w:p w14:paraId="079FF3EA" w14:textId="77777777" w:rsidR="00C246DE" w:rsidRPr="00424BD3" w:rsidRDefault="00C246DE" w:rsidP="000126EE">
      <w:pPr>
        <w:spacing w:after="0" w:line="480" w:lineRule="auto"/>
        <w:rPr>
          <w:rFonts w:cs="Arial"/>
          <w:szCs w:val="24"/>
        </w:rPr>
      </w:pPr>
    </w:p>
    <w:tbl>
      <w:tblPr>
        <w:tblStyle w:val="TableGrid"/>
        <w:tblW w:w="9176" w:type="dxa"/>
        <w:tblInd w:w="175" w:type="dxa"/>
        <w:tblLook w:val="04A0" w:firstRow="1" w:lastRow="0" w:firstColumn="1" w:lastColumn="0" w:noHBand="0" w:noVBand="1"/>
      </w:tblPr>
      <w:tblGrid>
        <w:gridCol w:w="1136"/>
        <w:gridCol w:w="1084"/>
        <w:gridCol w:w="1018"/>
        <w:gridCol w:w="990"/>
        <w:gridCol w:w="990"/>
        <w:gridCol w:w="899"/>
        <w:gridCol w:w="989"/>
        <w:gridCol w:w="990"/>
        <w:gridCol w:w="1080"/>
      </w:tblGrid>
      <w:tr w:rsidR="00FD1FBC" w:rsidRPr="00424BD3" w14:paraId="16588A4F" w14:textId="77777777" w:rsidTr="00CE1A80">
        <w:tc>
          <w:tcPr>
            <w:tcW w:w="1136" w:type="dxa"/>
          </w:tcPr>
          <w:p w14:paraId="0F738729" w14:textId="77777777" w:rsidR="00FD1FBC" w:rsidRPr="00424BD3" w:rsidRDefault="00FD1FBC" w:rsidP="000126EE">
            <w:pPr>
              <w:spacing w:line="480" w:lineRule="auto"/>
              <w:rPr>
                <w:rFonts w:cs="Arial"/>
                <w:b/>
                <w:bCs/>
                <w:sz w:val="20"/>
                <w:szCs w:val="20"/>
              </w:rPr>
            </w:pPr>
          </w:p>
        </w:tc>
        <w:tc>
          <w:tcPr>
            <w:tcW w:w="1084" w:type="dxa"/>
          </w:tcPr>
          <w:p w14:paraId="5E14ECA9" w14:textId="77777777" w:rsidR="00FD1FBC" w:rsidRPr="00424BD3" w:rsidRDefault="00FD1FBC" w:rsidP="000126EE">
            <w:pPr>
              <w:spacing w:line="480" w:lineRule="auto"/>
              <w:rPr>
                <w:rFonts w:cs="Arial"/>
                <w:b/>
                <w:bCs/>
                <w:sz w:val="20"/>
                <w:szCs w:val="20"/>
              </w:rPr>
            </w:pPr>
          </w:p>
        </w:tc>
        <w:tc>
          <w:tcPr>
            <w:tcW w:w="1018" w:type="dxa"/>
          </w:tcPr>
          <w:p w14:paraId="63C7F525" w14:textId="77777777" w:rsidR="00FD1FBC" w:rsidRPr="00424BD3" w:rsidRDefault="00FD1FBC" w:rsidP="000126EE">
            <w:pPr>
              <w:spacing w:line="480" w:lineRule="auto"/>
              <w:rPr>
                <w:rFonts w:cs="Arial"/>
                <w:b/>
                <w:bCs/>
                <w:sz w:val="20"/>
                <w:szCs w:val="20"/>
              </w:rPr>
            </w:pPr>
          </w:p>
        </w:tc>
        <w:tc>
          <w:tcPr>
            <w:tcW w:w="990" w:type="dxa"/>
          </w:tcPr>
          <w:p w14:paraId="09147FE9" w14:textId="77777777" w:rsidR="00FD1FBC" w:rsidRPr="00424BD3" w:rsidRDefault="00FD1FBC" w:rsidP="000126EE">
            <w:pPr>
              <w:spacing w:line="480" w:lineRule="auto"/>
              <w:rPr>
                <w:rFonts w:cs="Arial"/>
                <w:b/>
                <w:bCs/>
                <w:sz w:val="20"/>
                <w:szCs w:val="20"/>
              </w:rPr>
            </w:pPr>
          </w:p>
        </w:tc>
        <w:tc>
          <w:tcPr>
            <w:tcW w:w="990" w:type="dxa"/>
          </w:tcPr>
          <w:p w14:paraId="727BBD99" w14:textId="77777777" w:rsidR="00FD1FBC" w:rsidRPr="00424BD3" w:rsidRDefault="00FD1FBC" w:rsidP="000126EE">
            <w:pPr>
              <w:spacing w:line="480" w:lineRule="auto"/>
              <w:rPr>
                <w:rFonts w:cs="Arial"/>
                <w:b/>
                <w:bCs/>
                <w:sz w:val="20"/>
                <w:szCs w:val="20"/>
              </w:rPr>
            </w:pPr>
          </w:p>
        </w:tc>
        <w:tc>
          <w:tcPr>
            <w:tcW w:w="899" w:type="dxa"/>
          </w:tcPr>
          <w:p w14:paraId="10257A04" w14:textId="77777777" w:rsidR="00FD1FBC" w:rsidRPr="00424BD3" w:rsidRDefault="00FD1FBC" w:rsidP="000126EE">
            <w:pPr>
              <w:spacing w:line="480" w:lineRule="auto"/>
              <w:rPr>
                <w:rFonts w:cs="Arial"/>
                <w:b/>
                <w:bCs/>
                <w:sz w:val="20"/>
                <w:szCs w:val="20"/>
              </w:rPr>
            </w:pPr>
          </w:p>
        </w:tc>
        <w:tc>
          <w:tcPr>
            <w:tcW w:w="989" w:type="dxa"/>
          </w:tcPr>
          <w:p w14:paraId="08C6A06E" w14:textId="77777777" w:rsidR="00FD1FBC" w:rsidRPr="00424BD3" w:rsidRDefault="00FD1FBC" w:rsidP="000126EE">
            <w:pPr>
              <w:spacing w:line="480" w:lineRule="auto"/>
              <w:rPr>
                <w:rFonts w:cs="Arial"/>
                <w:b/>
                <w:bCs/>
                <w:sz w:val="20"/>
                <w:szCs w:val="20"/>
              </w:rPr>
            </w:pPr>
          </w:p>
        </w:tc>
        <w:tc>
          <w:tcPr>
            <w:tcW w:w="990" w:type="dxa"/>
          </w:tcPr>
          <w:p w14:paraId="47055F8C" w14:textId="77777777" w:rsidR="00FD1FBC" w:rsidRPr="00424BD3" w:rsidRDefault="00FD1FBC" w:rsidP="000126EE">
            <w:pPr>
              <w:spacing w:line="480" w:lineRule="auto"/>
              <w:rPr>
                <w:rFonts w:cs="Arial"/>
                <w:b/>
                <w:bCs/>
                <w:sz w:val="20"/>
                <w:szCs w:val="20"/>
              </w:rPr>
            </w:pPr>
          </w:p>
        </w:tc>
        <w:tc>
          <w:tcPr>
            <w:tcW w:w="1080" w:type="dxa"/>
          </w:tcPr>
          <w:p w14:paraId="342F518E" w14:textId="77777777" w:rsidR="00FD1FBC" w:rsidRPr="00424BD3" w:rsidRDefault="00FD1FBC" w:rsidP="000126EE">
            <w:pPr>
              <w:spacing w:line="480" w:lineRule="auto"/>
              <w:rPr>
                <w:rFonts w:cs="Arial"/>
                <w:b/>
                <w:bCs/>
                <w:sz w:val="20"/>
                <w:szCs w:val="20"/>
              </w:rPr>
            </w:pPr>
          </w:p>
        </w:tc>
      </w:tr>
      <w:tr w:rsidR="00C246DE" w:rsidRPr="00424BD3" w14:paraId="6B842584" w14:textId="77777777" w:rsidTr="00CE1A80">
        <w:tc>
          <w:tcPr>
            <w:tcW w:w="1136" w:type="dxa"/>
          </w:tcPr>
          <w:p w14:paraId="1E5D184C"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County</w:t>
            </w:r>
          </w:p>
        </w:tc>
        <w:tc>
          <w:tcPr>
            <w:tcW w:w="1084" w:type="dxa"/>
          </w:tcPr>
          <w:p w14:paraId="7479EF9A"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Total Pop</w:t>
            </w:r>
          </w:p>
        </w:tc>
        <w:tc>
          <w:tcPr>
            <w:tcW w:w="1018" w:type="dxa"/>
          </w:tcPr>
          <w:p w14:paraId="04E9D88A" w14:textId="4F802B77" w:rsidR="00C246DE" w:rsidRPr="00424BD3" w:rsidRDefault="00C246DE" w:rsidP="00AD3372">
            <w:pPr>
              <w:rPr>
                <w:rFonts w:ascii="Arial" w:hAnsi="Arial" w:cs="Arial"/>
                <w:b/>
                <w:bCs/>
                <w:sz w:val="20"/>
                <w:szCs w:val="20"/>
              </w:rPr>
            </w:pPr>
            <w:r w:rsidRPr="00424BD3">
              <w:rPr>
                <w:rFonts w:ascii="Arial" w:hAnsi="Arial" w:cs="Arial"/>
                <w:b/>
                <w:bCs/>
                <w:sz w:val="20"/>
                <w:szCs w:val="20"/>
              </w:rPr>
              <w:t>65-69 y</w:t>
            </w:r>
            <w:r w:rsidR="00FD1FBC" w:rsidRPr="00424BD3">
              <w:rPr>
                <w:rFonts w:ascii="Arial" w:hAnsi="Arial" w:cs="Arial"/>
                <w:b/>
                <w:bCs/>
                <w:sz w:val="20"/>
                <w:szCs w:val="20"/>
              </w:rPr>
              <w:t>rs</w:t>
            </w:r>
          </w:p>
        </w:tc>
        <w:tc>
          <w:tcPr>
            <w:tcW w:w="990" w:type="dxa"/>
          </w:tcPr>
          <w:p w14:paraId="1A24E7B3" w14:textId="3578DE78" w:rsidR="00C246DE" w:rsidRPr="00424BD3" w:rsidRDefault="00C246DE" w:rsidP="00AD3372">
            <w:pPr>
              <w:rPr>
                <w:rFonts w:ascii="Arial" w:hAnsi="Arial" w:cs="Arial"/>
                <w:b/>
                <w:bCs/>
                <w:sz w:val="20"/>
                <w:szCs w:val="20"/>
              </w:rPr>
            </w:pPr>
            <w:r w:rsidRPr="00424BD3">
              <w:rPr>
                <w:rFonts w:ascii="Arial" w:hAnsi="Arial" w:cs="Arial"/>
                <w:b/>
                <w:bCs/>
                <w:sz w:val="20"/>
                <w:szCs w:val="20"/>
              </w:rPr>
              <w:t>70-74 y</w:t>
            </w:r>
            <w:r w:rsidR="00FD1FBC" w:rsidRPr="00424BD3">
              <w:rPr>
                <w:rFonts w:ascii="Arial" w:hAnsi="Arial" w:cs="Arial"/>
                <w:b/>
                <w:bCs/>
                <w:sz w:val="20"/>
                <w:szCs w:val="20"/>
              </w:rPr>
              <w:t>rs</w:t>
            </w:r>
          </w:p>
        </w:tc>
        <w:tc>
          <w:tcPr>
            <w:tcW w:w="990" w:type="dxa"/>
          </w:tcPr>
          <w:p w14:paraId="14D96F09" w14:textId="3E9A1FAE" w:rsidR="00C246DE" w:rsidRPr="00424BD3" w:rsidRDefault="00C246DE" w:rsidP="00AD3372">
            <w:pPr>
              <w:rPr>
                <w:rFonts w:ascii="Arial" w:hAnsi="Arial" w:cs="Arial"/>
                <w:b/>
                <w:bCs/>
                <w:sz w:val="20"/>
                <w:szCs w:val="20"/>
              </w:rPr>
            </w:pPr>
            <w:r w:rsidRPr="00424BD3">
              <w:rPr>
                <w:rFonts w:ascii="Arial" w:hAnsi="Arial" w:cs="Arial"/>
                <w:b/>
                <w:bCs/>
                <w:sz w:val="20"/>
                <w:szCs w:val="20"/>
              </w:rPr>
              <w:t>75-79 y</w:t>
            </w:r>
            <w:r w:rsidR="00FD1FBC" w:rsidRPr="00424BD3">
              <w:rPr>
                <w:rFonts w:ascii="Arial" w:hAnsi="Arial" w:cs="Arial"/>
                <w:b/>
                <w:bCs/>
                <w:sz w:val="20"/>
                <w:szCs w:val="20"/>
              </w:rPr>
              <w:t>rs</w:t>
            </w:r>
          </w:p>
        </w:tc>
        <w:tc>
          <w:tcPr>
            <w:tcW w:w="899" w:type="dxa"/>
          </w:tcPr>
          <w:p w14:paraId="748557CD" w14:textId="7A966F64" w:rsidR="00C246DE" w:rsidRPr="00424BD3" w:rsidRDefault="00C246DE" w:rsidP="00AD3372">
            <w:pPr>
              <w:rPr>
                <w:rFonts w:ascii="Arial" w:hAnsi="Arial" w:cs="Arial"/>
                <w:b/>
                <w:bCs/>
                <w:sz w:val="20"/>
                <w:szCs w:val="20"/>
              </w:rPr>
            </w:pPr>
            <w:r w:rsidRPr="00424BD3">
              <w:rPr>
                <w:rFonts w:ascii="Arial" w:hAnsi="Arial" w:cs="Arial"/>
                <w:b/>
                <w:bCs/>
                <w:sz w:val="20"/>
                <w:szCs w:val="20"/>
              </w:rPr>
              <w:t>80-84 y</w:t>
            </w:r>
            <w:r w:rsidR="00FD1FBC" w:rsidRPr="00424BD3">
              <w:rPr>
                <w:rFonts w:ascii="Arial" w:hAnsi="Arial" w:cs="Arial"/>
                <w:b/>
                <w:bCs/>
                <w:sz w:val="20"/>
                <w:szCs w:val="20"/>
              </w:rPr>
              <w:t>rs</w:t>
            </w:r>
          </w:p>
        </w:tc>
        <w:tc>
          <w:tcPr>
            <w:tcW w:w="989" w:type="dxa"/>
          </w:tcPr>
          <w:p w14:paraId="3A8641C5" w14:textId="5DCE8EEC" w:rsidR="00C246DE" w:rsidRPr="00424BD3" w:rsidRDefault="00C246DE" w:rsidP="00AD3372">
            <w:pPr>
              <w:rPr>
                <w:rFonts w:ascii="Arial" w:hAnsi="Arial" w:cs="Arial"/>
                <w:b/>
                <w:bCs/>
                <w:sz w:val="20"/>
                <w:szCs w:val="20"/>
              </w:rPr>
            </w:pPr>
            <w:r w:rsidRPr="00424BD3">
              <w:rPr>
                <w:rFonts w:ascii="Arial" w:hAnsi="Arial" w:cs="Arial"/>
                <w:b/>
                <w:bCs/>
                <w:sz w:val="20"/>
                <w:szCs w:val="20"/>
              </w:rPr>
              <w:t>85+ y</w:t>
            </w:r>
            <w:r w:rsidR="00FD1FBC" w:rsidRPr="00424BD3">
              <w:rPr>
                <w:rFonts w:ascii="Arial" w:hAnsi="Arial" w:cs="Arial"/>
                <w:b/>
                <w:bCs/>
                <w:sz w:val="20"/>
                <w:szCs w:val="20"/>
              </w:rPr>
              <w:t>rs</w:t>
            </w:r>
          </w:p>
        </w:tc>
        <w:tc>
          <w:tcPr>
            <w:tcW w:w="990" w:type="dxa"/>
          </w:tcPr>
          <w:p w14:paraId="4B95E46E"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Total 65%</w:t>
            </w:r>
          </w:p>
        </w:tc>
        <w:tc>
          <w:tcPr>
            <w:tcW w:w="1080" w:type="dxa"/>
          </w:tcPr>
          <w:p w14:paraId="50691CD6"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 65+</w:t>
            </w:r>
          </w:p>
        </w:tc>
      </w:tr>
      <w:tr w:rsidR="00FD1FBC" w:rsidRPr="00424BD3" w14:paraId="2A293E07" w14:textId="77777777" w:rsidTr="00CE1A80">
        <w:tc>
          <w:tcPr>
            <w:tcW w:w="1136" w:type="dxa"/>
          </w:tcPr>
          <w:p w14:paraId="062A90FB" w14:textId="77777777" w:rsidR="00FD1FBC" w:rsidRPr="00424BD3" w:rsidRDefault="00FD1FBC" w:rsidP="000126EE">
            <w:pPr>
              <w:spacing w:line="480" w:lineRule="auto"/>
              <w:rPr>
                <w:rFonts w:cs="Arial"/>
                <w:b/>
                <w:bCs/>
                <w:sz w:val="20"/>
                <w:szCs w:val="20"/>
              </w:rPr>
            </w:pPr>
          </w:p>
        </w:tc>
        <w:tc>
          <w:tcPr>
            <w:tcW w:w="1084" w:type="dxa"/>
          </w:tcPr>
          <w:p w14:paraId="2A0895CC" w14:textId="77777777" w:rsidR="00FD1FBC" w:rsidRPr="00424BD3" w:rsidRDefault="00FD1FBC" w:rsidP="000126EE">
            <w:pPr>
              <w:spacing w:line="480" w:lineRule="auto"/>
              <w:rPr>
                <w:rFonts w:cs="Arial"/>
                <w:b/>
                <w:bCs/>
                <w:sz w:val="20"/>
                <w:szCs w:val="20"/>
              </w:rPr>
            </w:pPr>
          </w:p>
        </w:tc>
        <w:tc>
          <w:tcPr>
            <w:tcW w:w="1018" w:type="dxa"/>
          </w:tcPr>
          <w:p w14:paraId="266777D2" w14:textId="77777777" w:rsidR="00FD1FBC" w:rsidRPr="00424BD3" w:rsidRDefault="00FD1FBC" w:rsidP="000126EE">
            <w:pPr>
              <w:spacing w:line="480" w:lineRule="auto"/>
              <w:rPr>
                <w:rFonts w:cs="Arial"/>
                <w:b/>
                <w:bCs/>
                <w:sz w:val="20"/>
                <w:szCs w:val="20"/>
              </w:rPr>
            </w:pPr>
          </w:p>
        </w:tc>
        <w:tc>
          <w:tcPr>
            <w:tcW w:w="990" w:type="dxa"/>
          </w:tcPr>
          <w:p w14:paraId="6A6C7C6B" w14:textId="77777777" w:rsidR="00FD1FBC" w:rsidRPr="00424BD3" w:rsidRDefault="00FD1FBC" w:rsidP="000126EE">
            <w:pPr>
              <w:spacing w:line="480" w:lineRule="auto"/>
              <w:rPr>
                <w:rFonts w:cs="Arial"/>
                <w:b/>
                <w:bCs/>
                <w:sz w:val="20"/>
                <w:szCs w:val="20"/>
              </w:rPr>
            </w:pPr>
          </w:p>
        </w:tc>
        <w:tc>
          <w:tcPr>
            <w:tcW w:w="990" w:type="dxa"/>
          </w:tcPr>
          <w:p w14:paraId="5EEDF980" w14:textId="77777777" w:rsidR="00FD1FBC" w:rsidRPr="00424BD3" w:rsidRDefault="00FD1FBC" w:rsidP="000126EE">
            <w:pPr>
              <w:spacing w:line="480" w:lineRule="auto"/>
              <w:rPr>
                <w:rFonts w:cs="Arial"/>
                <w:b/>
                <w:bCs/>
                <w:sz w:val="20"/>
                <w:szCs w:val="20"/>
              </w:rPr>
            </w:pPr>
          </w:p>
        </w:tc>
        <w:tc>
          <w:tcPr>
            <w:tcW w:w="899" w:type="dxa"/>
          </w:tcPr>
          <w:p w14:paraId="6A897B2A" w14:textId="77777777" w:rsidR="00FD1FBC" w:rsidRPr="00424BD3" w:rsidRDefault="00FD1FBC" w:rsidP="000126EE">
            <w:pPr>
              <w:spacing w:line="480" w:lineRule="auto"/>
              <w:rPr>
                <w:rFonts w:cs="Arial"/>
                <w:b/>
                <w:bCs/>
                <w:sz w:val="20"/>
                <w:szCs w:val="20"/>
              </w:rPr>
            </w:pPr>
          </w:p>
        </w:tc>
        <w:tc>
          <w:tcPr>
            <w:tcW w:w="989" w:type="dxa"/>
          </w:tcPr>
          <w:p w14:paraId="3746E807" w14:textId="77777777" w:rsidR="00FD1FBC" w:rsidRPr="00424BD3" w:rsidRDefault="00FD1FBC" w:rsidP="000126EE">
            <w:pPr>
              <w:spacing w:line="480" w:lineRule="auto"/>
              <w:rPr>
                <w:rFonts w:cs="Arial"/>
                <w:b/>
                <w:bCs/>
                <w:sz w:val="20"/>
                <w:szCs w:val="20"/>
              </w:rPr>
            </w:pPr>
          </w:p>
        </w:tc>
        <w:tc>
          <w:tcPr>
            <w:tcW w:w="990" w:type="dxa"/>
          </w:tcPr>
          <w:p w14:paraId="3640325B" w14:textId="77777777" w:rsidR="00FD1FBC" w:rsidRPr="00424BD3" w:rsidRDefault="00FD1FBC" w:rsidP="000126EE">
            <w:pPr>
              <w:spacing w:line="480" w:lineRule="auto"/>
              <w:rPr>
                <w:rFonts w:cs="Arial"/>
                <w:b/>
                <w:bCs/>
                <w:sz w:val="20"/>
                <w:szCs w:val="20"/>
              </w:rPr>
            </w:pPr>
          </w:p>
        </w:tc>
        <w:tc>
          <w:tcPr>
            <w:tcW w:w="1080" w:type="dxa"/>
          </w:tcPr>
          <w:p w14:paraId="57D8906B" w14:textId="77777777" w:rsidR="00FD1FBC" w:rsidRPr="00424BD3" w:rsidRDefault="00FD1FBC" w:rsidP="000126EE">
            <w:pPr>
              <w:spacing w:line="480" w:lineRule="auto"/>
              <w:rPr>
                <w:rFonts w:cs="Arial"/>
                <w:b/>
                <w:bCs/>
                <w:sz w:val="20"/>
                <w:szCs w:val="20"/>
              </w:rPr>
            </w:pPr>
          </w:p>
        </w:tc>
      </w:tr>
      <w:tr w:rsidR="00C246DE" w:rsidRPr="00424BD3" w14:paraId="1F605413" w14:textId="77777777" w:rsidTr="00CE1A80">
        <w:tc>
          <w:tcPr>
            <w:tcW w:w="1136" w:type="dxa"/>
          </w:tcPr>
          <w:p w14:paraId="47A028BF" w14:textId="77777777" w:rsidR="00C246DE" w:rsidRPr="00424BD3" w:rsidRDefault="00C246DE" w:rsidP="000126EE">
            <w:pPr>
              <w:spacing w:line="480" w:lineRule="auto"/>
              <w:rPr>
                <w:rFonts w:ascii="Arial" w:hAnsi="Arial" w:cs="Arial"/>
                <w:b/>
                <w:bCs/>
                <w:sz w:val="20"/>
                <w:szCs w:val="20"/>
              </w:rPr>
            </w:pPr>
            <w:r w:rsidRPr="00424BD3">
              <w:rPr>
                <w:rFonts w:ascii="Arial" w:hAnsi="Arial" w:cs="Arial"/>
                <w:b/>
                <w:bCs/>
                <w:sz w:val="20"/>
                <w:szCs w:val="20"/>
              </w:rPr>
              <w:t xml:space="preserve">Knox </w:t>
            </w:r>
          </w:p>
        </w:tc>
        <w:tc>
          <w:tcPr>
            <w:tcW w:w="1084" w:type="dxa"/>
          </w:tcPr>
          <w:p w14:paraId="66480186"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549,800</w:t>
            </w:r>
          </w:p>
        </w:tc>
        <w:tc>
          <w:tcPr>
            <w:tcW w:w="1018" w:type="dxa"/>
          </w:tcPr>
          <w:p w14:paraId="736F5F39"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24,280</w:t>
            </w:r>
          </w:p>
        </w:tc>
        <w:tc>
          <w:tcPr>
            <w:tcW w:w="990" w:type="dxa"/>
          </w:tcPr>
          <w:p w14:paraId="12A4FCFB"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19,200</w:t>
            </w:r>
          </w:p>
        </w:tc>
        <w:tc>
          <w:tcPr>
            <w:tcW w:w="990" w:type="dxa"/>
          </w:tcPr>
          <w:p w14:paraId="5E89D29E"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13,195</w:t>
            </w:r>
          </w:p>
        </w:tc>
        <w:tc>
          <w:tcPr>
            <w:tcW w:w="899" w:type="dxa"/>
          </w:tcPr>
          <w:p w14:paraId="6861E26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8,451</w:t>
            </w:r>
          </w:p>
        </w:tc>
        <w:tc>
          <w:tcPr>
            <w:tcW w:w="989" w:type="dxa"/>
          </w:tcPr>
          <w:p w14:paraId="0E372538"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8,535</w:t>
            </w:r>
          </w:p>
        </w:tc>
        <w:tc>
          <w:tcPr>
            <w:tcW w:w="990" w:type="dxa"/>
          </w:tcPr>
          <w:p w14:paraId="749B97B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73,661</w:t>
            </w:r>
          </w:p>
        </w:tc>
        <w:tc>
          <w:tcPr>
            <w:tcW w:w="1080" w:type="dxa"/>
          </w:tcPr>
          <w:p w14:paraId="1018B83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13.40%</w:t>
            </w:r>
          </w:p>
        </w:tc>
      </w:tr>
      <w:tr w:rsidR="00C246DE" w:rsidRPr="00424BD3" w14:paraId="30B03030" w14:textId="77777777" w:rsidTr="00CE1A80">
        <w:trPr>
          <w:trHeight w:val="323"/>
        </w:trPr>
        <w:tc>
          <w:tcPr>
            <w:tcW w:w="1136" w:type="dxa"/>
          </w:tcPr>
          <w:p w14:paraId="4D862FEC" w14:textId="77777777" w:rsidR="00C246DE" w:rsidRPr="00424BD3" w:rsidRDefault="00C246DE" w:rsidP="000126EE">
            <w:pPr>
              <w:spacing w:line="480" w:lineRule="auto"/>
              <w:rPr>
                <w:rFonts w:ascii="Arial" w:hAnsi="Arial" w:cs="Arial"/>
                <w:b/>
                <w:bCs/>
                <w:sz w:val="20"/>
                <w:szCs w:val="20"/>
              </w:rPr>
            </w:pPr>
            <w:r w:rsidRPr="00424BD3">
              <w:rPr>
                <w:rFonts w:ascii="Arial" w:hAnsi="Arial" w:cs="Arial"/>
                <w:b/>
                <w:bCs/>
                <w:sz w:val="20"/>
                <w:szCs w:val="20"/>
              </w:rPr>
              <w:t>Blount</w:t>
            </w:r>
          </w:p>
        </w:tc>
        <w:tc>
          <w:tcPr>
            <w:tcW w:w="1084" w:type="dxa"/>
          </w:tcPr>
          <w:p w14:paraId="2FE95477"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151,526</w:t>
            </w:r>
          </w:p>
        </w:tc>
        <w:tc>
          <w:tcPr>
            <w:tcW w:w="1018" w:type="dxa"/>
          </w:tcPr>
          <w:p w14:paraId="255A2A01"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8,470</w:t>
            </w:r>
          </w:p>
        </w:tc>
        <w:tc>
          <w:tcPr>
            <w:tcW w:w="990" w:type="dxa"/>
          </w:tcPr>
          <w:p w14:paraId="0F0A3AD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7,118</w:t>
            </w:r>
          </w:p>
        </w:tc>
        <w:tc>
          <w:tcPr>
            <w:tcW w:w="990" w:type="dxa"/>
          </w:tcPr>
          <w:p w14:paraId="1680E33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5,049</w:t>
            </w:r>
          </w:p>
        </w:tc>
        <w:tc>
          <w:tcPr>
            <w:tcW w:w="899" w:type="dxa"/>
          </w:tcPr>
          <w:p w14:paraId="699A626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3,060</w:t>
            </w:r>
          </w:p>
        </w:tc>
        <w:tc>
          <w:tcPr>
            <w:tcW w:w="989" w:type="dxa"/>
          </w:tcPr>
          <w:p w14:paraId="62BE72BE"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2,878</w:t>
            </w:r>
          </w:p>
        </w:tc>
        <w:tc>
          <w:tcPr>
            <w:tcW w:w="990" w:type="dxa"/>
          </w:tcPr>
          <w:p w14:paraId="3F44D4F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26,575</w:t>
            </w:r>
          </w:p>
        </w:tc>
        <w:tc>
          <w:tcPr>
            <w:tcW w:w="1080" w:type="dxa"/>
          </w:tcPr>
          <w:p w14:paraId="4EABD25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17.54%</w:t>
            </w:r>
          </w:p>
        </w:tc>
      </w:tr>
      <w:tr w:rsidR="00C246DE" w:rsidRPr="00424BD3" w14:paraId="3CDD08E8" w14:textId="77777777" w:rsidTr="00CE1A80">
        <w:tc>
          <w:tcPr>
            <w:tcW w:w="1136" w:type="dxa"/>
          </w:tcPr>
          <w:p w14:paraId="72357534" w14:textId="77777777" w:rsidR="00C246DE" w:rsidRPr="00424BD3" w:rsidRDefault="00C246DE" w:rsidP="000126EE">
            <w:pPr>
              <w:spacing w:line="480" w:lineRule="auto"/>
              <w:rPr>
                <w:rFonts w:ascii="Arial" w:hAnsi="Arial" w:cs="Arial"/>
                <w:b/>
                <w:bCs/>
                <w:sz w:val="20"/>
                <w:szCs w:val="20"/>
              </w:rPr>
            </w:pPr>
            <w:r w:rsidRPr="00424BD3">
              <w:rPr>
                <w:rFonts w:ascii="Arial" w:hAnsi="Arial" w:cs="Arial"/>
                <w:b/>
                <w:bCs/>
                <w:sz w:val="20"/>
                <w:szCs w:val="20"/>
              </w:rPr>
              <w:t xml:space="preserve">Sevier </w:t>
            </w:r>
          </w:p>
        </w:tc>
        <w:tc>
          <w:tcPr>
            <w:tcW w:w="1084" w:type="dxa"/>
          </w:tcPr>
          <w:p w14:paraId="07DE4EF2"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123,451</w:t>
            </w:r>
          </w:p>
        </w:tc>
        <w:tc>
          <w:tcPr>
            <w:tcW w:w="1018" w:type="dxa"/>
          </w:tcPr>
          <w:p w14:paraId="7687418C"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6,542</w:t>
            </w:r>
          </w:p>
        </w:tc>
        <w:tc>
          <w:tcPr>
            <w:tcW w:w="990" w:type="dxa"/>
          </w:tcPr>
          <w:p w14:paraId="3DEA9B6F"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5,402</w:t>
            </w:r>
          </w:p>
        </w:tc>
        <w:tc>
          <w:tcPr>
            <w:tcW w:w="990" w:type="dxa"/>
          </w:tcPr>
          <w:p w14:paraId="6C59C9A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3,663</w:t>
            </w:r>
          </w:p>
        </w:tc>
        <w:tc>
          <w:tcPr>
            <w:tcW w:w="899" w:type="dxa"/>
          </w:tcPr>
          <w:p w14:paraId="4B9A5E84"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2,058</w:t>
            </w:r>
          </w:p>
        </w:tc>
        <w:tc>
          <w:tcPr>
            <w:tcW w:w="989" w:type="dxa"/>
          </w:tcPr>
          <w:p w14:paraId="7C28CD2F"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1,676</w:t>
            </w:r>
          </w:p>
        </w:tc>
        <w:tc>
          <w:tcPr>
            <w:tcW w:w="990" w:type="dxa"/>
          </w:tcPr>
          <w:p w14:paraId="44547F1B"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19,341</w:t>
            </w:r>
          </w:p>
        </w:tc>
        <w:tc>
          <w:tcPr>
            <w:tcW w:w="1080" w:type="dxa"/>
          </w:tcPr>
          <w:p w14:paraId="789D1289"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15.67%</w:t>
            </w:r>
          </w:p>
        </w:tc>
      </w:tr>
      <w:tr w:rsidR="00FD1FBC" w:rsidRPr="00424BD3" w14:paraId="6D8AF596" w14:textId="77777777" w:rsidTr="00CE1A80">
        <w:tc>
          <w:tcPr>
            <w:tcW w:w="1136" w:type="dxa"/>
          </w:tcPr>
          <w:p w14:paraId="1805596A" w14:textId="77777777" w:rsidR="00FD1FBC" w:rsidRPr="00424BD3" w:rsidRDefault="00FD1FBC" w:rsidP="000126EE">
            <w:pPr>
              <w:spacing w:line="480" w:lineRule="auto"/>
              <w:rPr>
                <w:rFonts w:cs="Arial"/>
                <w:b/>
                <w:bCs/>
                <w:sz w:val="20"/>
                <w:szCs w:val="20"/>
              </w:rPr>
            </w:pPr>
          </w:p>
        </w:tc>
        <w:tc>
          <w:tcPr>
            <w:tcW w:w="1084" w:type="dxa"/>
          </w:tcPr>
          <w:p w14:paraId="20440091" w14:textId="77777777" w:rsidR="00FD1FBC" w:rsidRPr="00424BD3" w:rsidRDefault="00FD1FBC" w:rsidP="000126EE">
            <w:pPr>
              <w:spacing w:line="480" w:lineRule="auto"/>
              <w:rPr>
                <w:rFonts w:cs="Arial"/>
                <w:sz w:val="20"/>
                <w:szCs w:val="20"/>
              </w:rPr>
            </w:pPr>
          </w:p>
        </w:tc>
        <w:tc>
          <w:tcPr>
            <w:tcW w:w="1018" w:type="dxa"/>
          </w:tcPr>
          <w:p w14:paraId="6BD671F8" w14:textId="77777777" w:rsidR="00FD1FBC" w:rsidRPr="00424BD3" w:rsidRDefault="00FD1FBC" w:rsidP="000126EE">
            <w:pPr>
              <w:spacing w:line="480" w:lineRule="auto"/>
              <w:rPr>
                <w:rFonts w:cs="Arial"/>
                <w:sz w:val="20"/>
                <w:szCs w:val="20"/>
              </w:rPr>
            </w:pPr>
          </w:p>
        </w:tc>
        <w:tc>
          <w:tcPr>
            <w:tcW w:w="990" w:type="dxa"/>
          </w:tcPr>
          <w:p w14:paraId="1CDF393F" w14:textId="77777777" w:rsidR="00FD1FBC" w:rsidRPr="00424BD3" w:rsidRDefault="00FD1FBC" w:rsidP="000126EE">
            <w:pPr>
              <w:spacing w:line="480" w:lineRule="auto"/>
              <w:rPr>
                <w:rFonts w:cs="Arial"/>
                <w:sz w:val="20"/>
                <w:szCs w:val="20"/>
              </w:rPr>
            </w:pPr>
          </w:p>
        </w:tc>
        <w:tc>
          <w:tcPr>
            <w:tcW w:w="990" w:type="dxa"/>
          </w:tcPr>
          <w:p w14:paraId="3AA3ECFF" w14:textId="77777777" w:rsidR="00FD1FBC" w:rsidRPr="00424BD3" w:rsidRDefault="00FD1FBC" w:rsidP="000126EE">
            <w:pPr>
              <w:spacing w:line="480" w:lineRule="auto"/>
              <w:rPr>
                <w:rFonts w:cs="Arial"/>
                <w:sz w:val="20"/>
                <w:szCs w:val="20"/>
              </w:rPr>
            </w:pPr>
          </w:p>
        </w:tc>
        <w:tc>
          <w:tcPr>
            <w:tcW w:w="899" w:type="dxa"/>
          </w:tcPr>
          <w:p w14:paraId="3DC7B493" w14:textId="77777777" w:rsidR="00FD1FBC" w:rsidRPr="00424BD3" w:rsidRDefault="00FD1FBC" w:rsidP="000126EE">
            <w:pPr>
              <w:spacing w:line="480" w:lineRule="auto"/>
              <w:rPr>
                <w:rFonts w:cs="Arial"/>
                <w:sz w:val="20"/>
                <w:szCs w:val="20"/>
              </w:rPr>
            </w:pPr>
          </w:p>
        </w:tc>
        <w:tc>
          <w:tcPr>
            <w:tcW w:w="989" w:type="dxa"/>
          </w:tcPr>
          <w:p w14:paraId="31673F40" w14:textId="77777777" w:rsidR="00FD1FBC" w:rsidRPr="00424BD3" w:rsidRDefault="00FD1FBC" w:rsidP="000126EE">
            <w:pPr>
              <w:spacing w:line="480" w:lineRule="auto"/>
              <w:rPr>
                <w:rFonts w:cs="Arial"/>
                <w:sz w:val="20"/>
                <w:szCs w:val="20"/>
              </w:rPr>
            </w:pPr>
          </w:p>
        </w:tc>
        <w:tc>
          <w:tcPr>
            <w:tcW w:w="990" w:type="dxa"/>
          </w:tcPr>
          <w:p w14:paraId="60F2378A" w14:textId="77777777" w:rsidR="00FD1FBC" w:rsidRPr="00424BD3" w:rsidRDefault="00FD1FBC" w:rsidP="000126EE">
            <w:pPr>
              <w:spacing w:line="480" w:lineRule="auto"/>
              <w:rPr>
                <w:rFonts w:cs="Arial"/>
                <w:sz w:val="20"/>
                <w:szCs w:val="20"/>
              </w:rPr>
            </w:pPr>
          </w:p>
        </w:tc>
        <w:tc>
          <w:tcPr>
            <w:tcW w:w="1080" w:type="dxa"/>
          </w:tcPr>
          <w:p w14:paraId="4749994D" w14:textId="77777777" w:rsidR="00FD1FBC" w:rsidRPr="00424BD3" w:rsidRDefault="00FD1FBC" w:rsidP="000126EE">
            <w:pPr>
              <w:spacing w:line="480" w:lineRule="auto"/>
              <w:rPr>
                <w:rFonts w:cs="Arial"/>
                <w:sz w:val="20"/>
                <w:szCs w:val="20"/>
              </w:rPr>
            </w:pPr>
          </w:p>
        </w:tc>
      </w:tr>
    </w:tbl>
    <w:p w14:paraId="06AB7EEE" w14:textId="376BD688" w:rsidR="00C246DE" w:rsidRPr="00424BD3" w:rsidRDefault="00177842" w:rsidP="000126EE">
      <w:pPr>
        <w:spacing w:after="0" w:line="480" w:lineRule="auto"/>
        <w:ind w:firstLine="720"/>
        <w:rPr>
          <w:rFonts w:cs="Arial"/>
          <w:szCs w:val="24"/>
        </w:rPr>
      </w:pPr>
      <w:r w:rsidRPr="00424BD3">
        <w:rPr>
          <w:rFonts w:cs="Arial"/>
          <w:szCs w:val="24"/>
        </w:rPr>
        <w:fldChar w:fldCharType="begin"/>
      </w:r>
      <w:r w:rsidR="00023341">
        <w:rPr>
          <w:rFonts w:cs="Arial"/>
          <w:szCs w:val="24"/>
        </w:rPr>
        <w:instrText xml:space="preserve"> ADDIN ZOTERO_ITEM CSL_CITATION {"citationID":"kP79DMla","properties":{"formattedCitation":"(UT Boyd Center, 2021)","plainCitation":"(UT Boyd Center, 2021)","noteIndex":0},"citationItems":[{"id":831,"uris":["http://zotero.org/users/4946941/items/BZITVQ5M"],"itemData":{"id":831,"type":"document","language":"en","publisher":"The University of Tennessee, Boyd Center for Business &amp; Economic Research (UT Boyd Center)","title":"Tennessee State Data Center. 2018 to 2070 Tennessee Population Projection","URL":"https://myutk.maps.arcgis.com/apps/opsdashboard/index.html#/cbf0d40870304807a0de26ddf6779604","author":[{"family":"UT Boyd Center","given":""}],"issued":{"date-parts":[["2021"]]}}}],"schema":"https://github.com/citation-style-language/schema/raw/master/csl-citation.json"} </w:instrText>
      </w:r>
      <w:r w:rsidRPr="00424BD3">
        <w:rPr>
          <w:rFonts w:cs="Arial"/>
          <w:szCs w:val="24"/>
        </w:rPr>
        <w:fldChar w:fldCharType="separate"/>
      </w:r>
      <w:r w:rsidRPr="00424BD3">
        <w:rPr>
          <w:rFonts w:cs="Arial"/>
        </w:rPr>
        <w:t>(UT Boyd Center, 2021)</w:t>
      </w:r>
      <w:r w:rsidRPr="00424BD3">
        <w:rPr>
          <w:rFonts w:cs="Arial"/>
          <w:szCs w:val="24"/>
        </w:rPr>
        <w:fldChar w:fldCharType="end"/>
      </w:r>
    </w:p>
    <w:p w14:paraId="01FF4F19" w14:textId="77777777" w:rsidR="009714FE" w:rsidRDefault="009714FE" w:rsidP="00967D70">
      <w:pPr>
        <w:spacing w:after="0" w:line="480" w:lineRule="auto"/>
        <w:ind w:firstLine="720"/>
        <w:rPr>
          <w:rFonts w:cs="Arial"/>
          <w:szCs w:val="24"/>
        </w:rPr>
      </w:pPr>
    </w:p>
    <w:p w14:paraId="61D824B9" w14:textId="7FC41770" w:rsidR="008239EE" w:rsidRDefault="008239EE">
      <w:pPr>
        <w:rPr>
          <w:rFonts w:cs="Arial"/>
          <w:szCs w:val="24"/>
        </w:rPr>
      </w:pPr>
      <w:r>
        <w:rPr>
          <w:rFonts w:cs="Arial"/>
          <w:szCs w:val="24"/>
        </w:rPr>
        <w:br w:type="page"/>
      </w:r>
    </w:p>
    <w:p w14:paraId="7C313158" w14:textId="3D895B46" w:rsidR="00C246DE" w:rsidRDefault="00C246DE" w:rsidP="00967D70">
      <w:pPr>
        <w:spacing w:after="0" w:line="480" w:lineRule="auto"/>
        <w:ind w:firstLine="720"/>
        <w:rPr>
          <w:rFonts w:cs="Arial"/>
          <w:szCs w:val="24"/>
        </w:rPr>
      </w:pPr>
      <w:r w:rsidRPr="00424BD3">
        <w:rPr>
          <w:rFonts w:cs="Arial"/>
          <w:szCs w:val="24"/>
        </w:rPr>
        <w:lastRenderedPageBreak/>
        <w:t xml:space="preserve">The Tennessee Advisory Commission on Intergovernmental Relations (TACIR) provides county indicator profiles which detail several relevant health-impact statistics across the state. Additionally, the </w:t>
      </w:r>
      <w:r w:rsidRPr="00424BD3">
        <w:rPr>
          <w:rFonts w:cs="Arial"/>
          <w:color w:val="000000"/>
          <w:szCs w:val="24"/>
        </w:rPr>
        <w:t xml:space="preserve">‌Tennessee Commission on Aging and Disability (TCAD) provides </w:t>
      </w:r>
      <w:r w:rsidRPr="00424BD3">
        <w:rPr>
          <w:rFonts w:cs="Arial"/>
          <w:szCs w:val="24"/>
        </w:rPr>
        <w:t xml:space="preserve">an annual state of aging report. Together, they provide a county-level geographical contextual snapshot for the experience and perception responses of the women involved and which help to paint a picture of some geosocial determinants in which this study’s participants, as older women, live </w:t>
      </w:r>
      <w:r w:rsidR="00177842" w:rsidRPr="00424BD3">
        <w:rPr>
          <w:rFonts w:cs="Arial"/>
          <w:szCs w:val="24"/>
        </w:rPr>
        <w:fldChar w:fldCharType="begin"/>
      </w:r>
      <w:r w:rsidR="00135BC6">
        <w:rPr>
          <w:rFonts w:cs="Arial"/>
          <w:szCs w:val="24"/>
        </w:rPr>
        <w:instrText xml:space="preserve"> ADDIN ZOTERO_ITEM CSL_CITATION {"citationID":"zBCmwt2l","properties":{"formattedCitation":"(TACIR, 2021; TCAD, 2019)","plainCitation":"(TACIR, 2021; TCAD, 2019)","noteIndex":0},"citationItems":[{"id":815,"uris":["http://zotero.org/users/4946941/items/ZSIFT7QB"],"itemData":{"id":815,"type":"document","language":"en","publisher":"Tennessee Advisory Commission on Intergovernmental Relations (TACIR)","title":"Tennessee County Profiles","URL":"https://www.tn.gov/tacir/tennessee-county-profiles-redirect.html","author":[{"family":"TACIR","given":""}],"issued":{"date-parts":[["2021"]]}}},{"id":817,"uris":["http://zotero.org/users/4946941/items/G3F2YWDR"],"itemData":{"id":817,"type":"document","language":"en","publisher":"State of Tennessee, Tennessee Commission on Aging and Disability (TCAD)","title":"The State of Aging in Tennessee: A County-By-County Snapshot","URL":"https://www.tn.gov/content/dam/tn/aging/documents/2019_TCAD_County_Statistics_Complete.pdf","author":[{"family":"TCAD","given":""}],"issued":{"date-parts":[["2019"]]}}}],"schema":"https://github.com/citation-style-language/schema/raw/master/csl-citation.json"} </w:instrText>
      </w:r>
      <w:r w:rsidR="00177842" w:rsidRPr="00424BD3">
        <w:rPr>
          <w:rFonts w:cs="Arial"/>
          <w:szCs w:val="24"/>
        </w:rPr>
        <w:fldChar w:fldCharType="separate"/>
      </w:r>
      <w:r w:rsidR="00135BC6" w:rsidRPr="00135BC6">
        <w:rPr>
          <w:rFonts w:cs="Arial"/>
        </w:rPr>
        <w:t>(TACIR, 2021; TCAD, 2019)</w:t>
      </w:r>
      <w:r w:rsidR="00177842" w:rsidRPr="00424BD3">
        <w:rPr>
          <w:rFonts w:cs="Arial"/>
          <w:szCs w:val="24"/>
        </w:rPr>
        <w:fldChar w:fldCharType="end"/>
      </w:r>
      <w:r w:rsidRPr="00424BD3">
        <w:rPr>
          <w:rFonts w:cs="Arial"/>
          <w:szCs w:val="24"/>
        </w:rPr>
        <w:t>.</w:t>
      </w:r>
    </w:p>
    <w:p w14:paraId="67034465" w14:textId="6753C657" w:rsidR="008239EE" w:rsidRDefault="008239EE">
      <w:pPr>
        <w:rPr>
          <w:rFonts w:cs="Arial"/>
          <w:szCs w:val="24"/>
        </w:rPr>
      </w:pPr>
      <w:r>
        <w:rPr>
          <w:rFonts w:cs="Arial"/>
          <w:szCs w:val="24"/>
        </w:rPr>
        <w:br w:type="page"/>
      </w:r>
    </w:p>
    <w:p w14:paraId="063F08B7" w14:textId="4A3B2211" w:rsidR="00C246DE" w:rsidRPr="00424BD3" w:rsidRDefault="00A409A7" w:rsidP="00967D70">
      <w:pPr>
        <w:pStyle w:val="Caption"/>
        <w:spacing w:after="0"/>
        <w:rPr>
          <w:rFonts w:cs="Arial"/>
          <w:bCs/>
          <w:color w:val="auto"/>
          <w:sz w:val="24"/>
          <w:szCs w:val="24"/>
        </w:rPr>
      </w:pPr>
      <w:bookmarkStart w:id="120" w:name="_Toc116675206"/>
      <w:r w:rsidRPr="00424BD3">
        <w:rPr>
          <w:color w:val="auto"/>
          <w:sz w:val="24"/>
          <w:szCs w:val="24"/>
        </w:rPr>
        <w:lastRenderedPageBreak/>
        <w:t xml:space="preserve">Table </w:t>
      </w:r>
      <w:r w:rsidRPr="00424BD3">
        <w:rPr>
          <w:color w:val="auto"/>
          <w:sz w:val="24"/>
          <w:szCs w:val="24"/>
        </w:rPr>
        <w:fldChar w:fldCharType="begin"/>
      </w:r>
      <w:r w:rsidRPr="00424BD3">
        <w:rPr>
          <w:color w:val="auto"/>
          <w:sz w:val="24"/>
          <w:szCs w:val="24"/>
        </w:rPr>
        <w:instrText xml:space="preserve"> SEQ Table \* ARABIC </w:instrText>
      </w:r>
      <w:r w:rsidRPr="00424BD3">
        <w:rPr>
          <w:color w:val="auto"/>
          <w:sz w:val="24"/>
          <w:szCs w:val="24"/>
        </w:rPr>
        <w:fldChar w:fldCharType="separate"/>
      </w:r>
      <w:r w:rsidR="00281020">
        <w:rPr>
          <w:noProof/>
          <w:color w:val="auto"/>
          <w:sz w:val="24"/>
          <w:szCs w:val="24"/>
        </w:rPr>
        <w:t>3</w:t>
      </w:r>
      <w:r w:rsidRPr="00424BD3">
        <w:rPr>
          <w:color w:val="auto"/>
          <w:sz w:val="24"/>
          <w:szCs w:val="24"/>
        </w:rPr>
        <w:fldChar w:fldCharType="end"/>
      </w:r>
      <w:r w:rsidR="00C246DE" w:rsidRPr="00424BD3">
        <w:rPr>
          <w:rFonts w:cs="Arial"/>
          <w:bCs/>
          <w:color w:val="auto"/>
          <w:sz w:val="24"/>
          <w:szCs w:val="24"/>
        </w:rPr>
        <w:t>. Geographical and health profile tables of participant counties: County-Level Snapshot - Selected County Indicators</w:t>
      </w:r>
      <w:bookmarkEnd w:id="120"/>
      <w:r w:rsidR="00C246DE" w:rsidRPr="00424BD3">
        <w:rPr>
          <w:rFonts w:cs="Arial"/>
          <w:bCs/>
          <w:color w:val="auto"/>
          <w:sz w:val="24"/>
          <w:szCs w:val="24"/>
        </w:rPr>
        <w:t xml:space="preserve"> </w:t>
      </w:r>
    </w:p>
    <w:p w14:paraId="3B3DFED1" w14:textId="77777777" w:rsidR="00C246DE" w:rsidRPr="00424BD3" w:rsidRDefault="00C246DE" w:rsidP="000126EE">
      <w:pPr>
        <w:spacing w:after="0" w:line="480" w:lineRule="auto"/>
        <w:rPr>
          <w:rFonts w:cs="Arial"/>
          <w:szCs w:val="24"/>
        </w:rPr>
      </w:pPr>
    </w:p>
    <w:tbl>
      <w:tblPr>
        <w:tblStyle w:val="TableGrid"/>
        <w:tblW w:w="9355" w:type="dxa"/>
        <w:tblLook w:val="04A0" w:firstRow="1" w:lastRow="0" w:firstColumn="1" w:lastColumn="0" w:noHBand="0" w:noVBand="1"/>
      </w:tblPr>
      <w:tblGrid>
        <w:gridCol w:w="4855"/>
        <w:gridCol w:w="1057"/>
        <w:gridCol w:w="1103"/>
        <w:gridCol w:w="1140"/>
        <w:gridCol w:w="1200"/>
      </w:tblGrid>
      <w:tr w:rsidR="00E74C26" w:rsidRPr="00424BD3" w14:paraId="381C4D04" w14:textId="77777777" w:rsidTr="00CE1A80">
        <w:trPr>
          <w:trHeight w:val="488"/>
        </w:trPr>
        <w:tc>
          <w:tcPr>
            <w:tcW w:w="4855" w:type="dxa"/>
          </w:tcPr>
          <w:p w14:paraId="230DBAAF" w14:textId="77777777" w:rsidR="00E74C26" w:rsidRPr="00424BD3" w:rsidRDefault="00E74C26" w:rsidP="000126EE">
            <w:pPr>
              <w:spacing w:line="480" w:lineRule="auto"/>
              <w:rPr>
                <w:rFonts w:cs="Arial"/>
                <w:b/>
                <w:bCs/>
                <w:sz w:val="20"/>
                <w:szCs w:val="20"/>
              </w:rPr>
            </w:pPr>
          </w:p>
        </w:tc>
        <w:tc>
          <w:tcPr>
            <w:tcW w:w="1057" w:type="dxa"/>
          </w:tcPr>
          <w:p w14:paraId="60BF9D3F" w14:textId="77777777" w:rsidR="00E74C26" w:rsidRPr="00424BD3" w:rsidRDefault="00E74C26" w:rsidP="000126EE">
            <w:pPr>
              <w:spacing w:line="480" w:lineRule="auto"/>
              <w:rPr>
                <w:rFonts w:cs="Arial"/>
                <w:b/>
                <w:bCs/>
                <w:sz w:val="20"/>
                <w:szCs w:val="20"/>
              </w:rPr>
            </w:pPr>
          </w:p>
        </w:tc>
        <w:tc>
          <w:tcPr>
            <w:tcW w:w="1103" w:type="dxa"/>
          </w:tcPr>
          <w:p w14:paraId="32005347" w14:textId="77777777" w:rsidR="00E74C26" w:rsidRPr="00424BD3" w:rsidRDefault="00E74C26" w:rsidP="000126EE">
            <w:pPr>
              <w:spacing w:line="480" w:lineRule="auto"/>
              <w:rPr>
                <w:rFonts w:cs="Arial"/>
                <w:b/>
                <w:bCs/>
                <w:sz w:val="20"/>
                <w:szCs w:val="20"/>
              </w:rPr>
            </w:pPr>
          </w:p>
        </w:tc>
        <w:tc>
          <w:tcPr>
            <w:tcW w:w="1140" w:type="dxa"/>
          </w:tcPr>
          <w:p w14:paraId="51879904" w14:textId="77777777" w:rsidR="00E74C26" w:rsidRPr="00424BD3" w:rsidRDefault="00E74C26" w:rsidP="000126EE">
            <w:pPr>
              <w:spacing w:line="480" w:lineRule="auto"/>
              <w:rPr>
                <w:rFonts w:cs="Arial"/>
                <w:b/>
                <w:bCs/>
                <w:sz w:val="20"/>
                <w:szCs w:val="20"/>
              </w:rPr>
            </w:pPr>
          </w:p>
        </w:tc>
        <w:tc>
          <w:tcPr>
            <w:tcW w:w="1200" w:type="dxa"/>
          </w:tcPr>
          <w:p w14:paraId="5A062091" w14:textId="77777777" w:rsidR="00E74C26" w:rsidRPr="00424BD3" w:rsidRDefault="00E74C26" w:rsidP="000126EE">
            <w:pPr>
              <w:spacing w:line="480" w:lineRule="auto"/>
              <w:rPr>
                <w:rFonts w:cs="Arial"/>
                <w:b/>
                <w:bCs/>
                <w:sz w:val="20"/>
                <w:szCs w:val="20"/>
              </w:rPr>
            </w:pPr>
          </w:p>
        </w:tc>
      </w:tr>
      <w:tr w:rsidR="00C246DE" w:rsidRPr="00424BD3" w14:paraId="11C12C34" w14:textId="77777777" w:rsidTr="00CE1A80">
        <w:trPr>
          <w:trHeight w:val="488"/>
        </w:trPr>
        <w:tc>
          <w:tcPr>
            <w:tcW w:w="4855" w:type="dxa"/>
          </w:tcPr>
          <w:p w14:paraId="54656374" w14:textId="044EC218" w:rsidR="00C246DE" w:rsidRPr="00424BD3" w:rsidRDefault="00C246DE" w:rsidP="00AD3372">
            <w:pPr>
              <w:rPr>
                <w:rFonts w:ascii="Arial" w:hAnsi="Arial" w:cs="Arial"/>
                <w:b/>
                <w:bCs/>
                <w:sz w:val="20"/>
                <w:szCs w:val="20"/>
              </w:rPr>
            </w:pPr>
            <w:r w:rsidRPr="00424BD3">
              <w:rPr>
                <w:rFonts w:ascii="Arial" w:hAnsi="Arial" w:cs="Arial"/>
                <w:b/>
                <w:bCs/>
                <w:sz w:val="20"/>
                <w:szCs w:val="20"/>
              </w:rPr>
              <w:t xml:space="preserve">TACIR AND TACD APPLICABLE COUNTY INDICATORS (for 2019) </w:t>
            </w:r>
          </w:p>
        </w:tc>
        <w:tc>
          <w:tcPr>
            <w:tcW w:w="1057" w:type="dxa"/>
          </w:tcPr>
          <w:p w14:paraId="50A53693"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Blount</w:t>
            </w:r>
          </w:p>
        </w:tc>
        <w:tc>
          <w:tcPr>
            <w:tcW w:w="1103" w:type="dxa"/>
          </w:tcPr>
          <w:p w14:paraId="6D2B92A5"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Knox</w:t>
            </w:r>
          </w:p>
        </w:tc>
        <w:tc>
          <w:tcPr>
            <w:tcW w:w="1140" w:type="dxa"/>
          </w:tcPr>
          <w:p w14:paraId="3BA5BDB3"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Sevier</w:t>
            </w:r>
          </w:p>
        </w:tc>
        <w:tc>
          <w:tcPr>
            <w:tcW w:w="1200" w:type="dxa"/>
          </w:tcPr>
          <w:p w14:paraId="606B5C4F" w14:textId="77777777" w:rsidR="00C246DE" w:rsidRPr="00424BD3" w:rsidRDefault="00C246DE" w:rsidP="00AD3372">
            <w:pPr>
              <w:rPr>
                <w:rFonts w:ascii="Arial" w:hAnsi="Arial" w:cs="Arial"/>
                <w:b/>
                <w:bCs/>
                <w:sz w:val="20"/>
                <w:szCs w:val="20"/>
              </w:rPr>
            </w:pPr>
            <w:r w:rsidRPr="00424BD3">
              <w:rPr>
                <w:rFonts w:ascii="Arial" w:hAnsi="Arial" w:cs="Arial"/>
                <w:b/>
                <w:bCs/>
                <w:sz w:val="20"/>
                <w:szCs w:val="20"/>
              </w:rPr>
              <w:t>State</w:t>
            </w:r>
          </w:p>
        </w:tc>
      </w:tr>
      <w:tr w:rsidR="00E74C26" w:rsidRPr="00424BD3" w14:paraId="61A541F9" w14:textId="77777777" w:rsidTr="00CE1A80">
        <w:trPr>
          <w:trHeight w:val="488"/>
        </w:trPr>
        <w:tc>
          <w:tcPr>
            <w:tcW w:w="4855" w:type="dxa"/>
          </w:tcPr>
          <w:p w14:paraId="4154DBB8" w14:textId="77777777" w:rsidR="00E74C26" w:rsidRPr="00424BD3" w:rsidRDefault="00E74C26" w:rsidP="000126EE">
            <w:pPr>
              <w:spacing w:line="480" w:lineRule="auto"/>
              <w:rPr>
                <w:rFonts w:cs="Arial"/>
                <w:b/>
                <w:bCs/>
                <w:sz w:val="20"/>
                <w:szCs w:val="20"/>
              </w:rPr>
            </w:pPr>
          </w:p>
        </w:tc>
        <w:tc>
          <w:tcPr>
            <w:tcW w:w="1057" w:type="dxa"/>
          </w:tcPr>
          <w:p w14:paraId="6F7DF9F5" w14:textId="77777777" w:rsidR="00E74C26" w:rsidRPr="00424BD3" w:rsidRDefault="00E74C26" w:rsidP="000126EE">
            <w:pPr>
              <w:spacing w:line="480" w:lineRule="auto"/>
              <w:rPr>
                <w:rFonts w:cs="Arial"/>
                <w:b/>
                <w:bCs/>
                <w:sz w:val="20"/>
                <w:szCs w:val="20"/>
              </w:rPr>
            </w:pPr>
          </w:p>
        </w:tc>
        <w:tc>
          <w:tcPr>
            <w:tcW w:w="1103" w:type="dxa"/>
          </w:tcPr>
          <w:p w14:paraId="4EEB1D38" w14:textId="77777777" w:rsidR="00E74C26" w:rsidRPr="00424BD3" w:rsidRDefault="00E74C26" w:rsidP="000126EE">
            <w:pPr>
              <w:spacing w:line="480" w:lineRule="auto"/>
              <w:rPr>
                <w:rFonts w:cs="Arial"/>
                <w:b/>
                <w:bCs/>
                <w:sz w:val="20"/>
                <w:szCs w:val="20"/>
              </w:rPr>
            </w:pPr>
          </w:p>
        </w:tc>
        <w:tc>
          <w:tcPr>
            <w:tcW w:w="1140" w:type="dxa"/>
          </w:tcPr>
          <w:p w14:paraId="2CCCD8DE" w14:textId="77777777" w:rsidR="00E74C26" w:rsidRPr="00424BD3" w:rsidRDefault="00E74C26" w:rsidP="000126EE">
            <w:pPr>
              <w:spacing w:line="480" w:lineRule="auto"/>
              <w:rPr>
                <w:rFonts w:cs="Arial"/>
                <w:b/>
                <w:bCs/>
                <w:sz w:val="20"/>
                <w:szCs w:val="20"/>
              </w:rPr>
            </w:pPr>
          </w:p>
        </w:tc>
        <w:tc>
          <w:tcPr>
            <w:tcW w:w="1200" w:type="dxa"/>
          </w:tcPr>
          <w:p w14:paraId="49A8893A" w14:textId="77777777" w:rsidR="00E74C26" w:rsidRPr="00424BD3" w:rsidRDefault="00E74C26" w:rsidP="000126EE">
            <w:pPr>
              <w:spacing w:line="480" w:lineRule="auto"/>
              <w:rPr>
                <w:rFonts w:cs="Arial"/>
                <w:b/>
                <w:bCs/>
                <w:sz w:val="20"/>
                <w:szCs w:val="20"/>
              </w:rPr>
            </w:pPr>
          </w:p>
        </w:tc>
      </w:tr>
      <w:tr w:rsidR="00C246DE" w:rsidRPr="00424BD3" w14:paraId="1681D202" w14:textId="77777777" w:rsidTr="00CE1A80">
        <w:trPr>
          <w:trHeight w:val="488"/>
        </w:trPr>
        <w:tc>
          <w:tcPr>
            <w:tcW w:w="4855" w:type="dxa"/>
          </w:tcPr>
          <w:p w14:paraId="3AC970C7"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Poverty Rates (all ages)</w:t>
            </w:r>
          </w:p>
        </w:tc>
        <w:tc>
          <w:tcPr>
            <w:tcW w:w="1057" w:type="dxa"/>
          </w:tcPr>
          <w:p w14:paraId="5CF84A5F"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w:t>
            </w:r>
          </w:p>
        </w:tc>
        <w:tc>
          <w:tcPr>
            <w:tcW w:w="1103" w:type="dxa"/>
          </w:tcPr>
          <w:p w14:paraId="3C4A14A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9.5%</w:t>
            </w:r>
          </w:p>
        </w:tc>
        <w:tc>
          <w:tcPr>
            <w:tcW w:w="1140" w:type="dxa"/>
          </w:tcPr>
          <w:p w14:paraId="0107F57C"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10.7%</w:t>
            </w:r>
          </w:p>
        </w:tc>
        <w:tc>
          <w:tcPr>
            <w:tcW w:w="1200" w:type="dxa"/>
          </w:tcPr>
          <w:p w14:paraId="29615836"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11.1%</w:t>
            </w:r>
          </w:p>
        </w:tc>
      </w:tr>
      <w:tr w:rsidR="00C246DE" w:rsidRPr="00424BD3" w14:paraId="5EEBA287" w14:textId="77777777" w:rsidTr="00CE1A80">
        <w:trPr>
          <w:trHeight w:val="488"/>
        </w:trPr>
        <w:tc>
          <w:tcPr>
            <w:tcW w:w="4855" w:type="dxa"/>
          </w:tcPr>
          <w:p w14:paraId="0D625329"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Mortality Rates (per 1k pop)</w:t>
            </w:r>
          </w:p>
        </w:tc>
        <w:tc>
          <w:tcPr>
            <w:tcW w:w="1057" w:type="dxa"/>
          </w:tcPr>
          <w:p w14:paraId="101CFF1C"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11.6</w:t>
            </w:r>
          </w:p>
        </w:tc>
        <w:tc>
          <w:tcPr>
            <w:tcW w:w="1103" w:type="dxa"/>
          </w:tcPr>
          <w:p w14:paraId="4373A1A3"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10.1</w:t>
            </w:r>
          </w:p>
        </w:tc>
        <w:tc>
          <w:tcPr>
            <w:tcW w:w="1140" w:type="dxa"/>
          </w:tcPr>
          <w:p w14:paraId="460CBED9"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11.6</w:t>
            </w:r>
          </w:p>
        </w:tc>
        <w:tc>
          <w:tcPr>
            <w:tcW w:w="1200" w:type="dxa"/>
          </w:tcPr>
          <w:p w14:paraId="720257B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10.5</w:t>
            </w:r>
          </w:p>
        </w:tc>
      </w:tr>
      <w:tr w:rsidR="00C246DE" w:rsidRPr="00424BD3" w14:paraId="6201EAB9" w14:textId="77777777" w:rsidTr="00CE1A80">
        <w:trPr>
          <w:trHeight w:val="488"/>
        </w:trPr>
        <w:tc>
          <w:tcPr>
            <w:tcW w:w="4855" w:type="dxa"/>
          </w:tcPr>
          <w:p w14:paraId="10C704E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Access - Medical doctors (per 1k pop)</w:t>
            </w:r>
          </w:p>
        </w:tc>
        <w:tc>
          <w:tcPr>
            <w:tcW w:w="1057" w:type="dxa"/>
          </w:tcPr>
          <w:p w14:paraId="3E143FC1"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2.1</w:t>
            </w:r>
          </w:p>
        </w:tc>
        <w:tc>
          <w:tcPr>
            <w:tcW w:w="1103" w:type="dxa"/>
          </w:tcPr>
          <w:p w14:paraId="29DE922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4.8</w:t>
            </w:r>
          </w:p>
        </w:tc>
        <w:tc>
          <w:tcPr>
            <w:tcW w:w="1140" w:type="dxa"/>
          </w:tcPr>
          <w:p w14:paraId="5A9A91A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0.9</w:t>
            </w:r>
          </w:p>
        </w:tc>
        <w:tc>
          <w:tcPr>
            <w:tcW w:w="1200" w:type="dxa"/>
          </w:tcPr>
          <w:p w14:paraId="76D199B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123</w:t>
            </w:r>
          </w:p>
        </w:tc>
      </w:tr>
      <w:tr w:rsidR="00C246DE" w:rsidRPr="00424BD3" w14:paraId="017FED98" w14:textId="77777777" w:rsidTr="00CE1A80">
        <w:trPr>
          <w:trHeight w:val="488"/>
        </w:trPr>
        <w:tc>
          <w:tcPr>
            <w:tcW w:w="4855" w:type="dxa"/>
          </w:tcPr>
          <w:p w14:paraId="7E96A9B9"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Access - hospital beds (per 1k pop)</w:t>
            </w:r>
          </w:p>
        </w:tc>
        <w:tc>
          <w:tcPr>
            <w:tcW w:w="1057" w:type="dxa"/>
          </w:tcPr>
          <w:p w14:paraId="74FA1B56"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3.4</w:t>
            </w:r>
          </w:p>
        </w:tc>
        <w:tc>
          <w:tcPr>
            <w:tcW w:w="1103" w:type="dxa"/>
          </w:tcPr>
          <w:p w14:paraId="39F7994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5.1</w:t>
            </w:r>
          </w:p>
        </w:tc>
        <w:tc>
          <w:tcPr>
            <w:tcW w:w="1140" w:type="dxa"/>
          </w:tcPr>
          <w:p w14:paraId="6ABFBC9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0.8</w:t>
            </w:r>
          </w:p>
        </w:tc>
        <w:tc>
          <w:tcPr>
            <w:tcW w:w="1200" w:type="dxa"/>
          </w:tcPr>
          <w:p w14:paraId="58B3B6FD"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3.7</w:t>
            </w:r>
          </w:p>
        </w:tc>
      </w:tr>
      <w:tr w:rsidR="00C246DE" w:rsidRPr="00424BD3" w14:paraId="145EC3D6" w14:textId="77777777" w:rsidTr="00CE1A80">
        <w:trPr>
          <w:trHeight w:val="488"/>
        </w:trPr>
        <w:tc>
          <w:tcPr>
            <w:tcW w:w="4855" w:type="dxa"/>
          </w:tcPr>
          <w:p w14:paraId="23CA7FFE"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Access – nursing home beds, 65+ (per 1k pop)</w:t>
            </w:r>
          </w:p>
        </w:tc>
        <w:tc>
          <w:tcPr>
            <w:tcW w:w="1057" w:type="dxa"/>
          </w:tcPr>
          <w:p w14:paraId="2A9CE75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25.7</w:t>
            </w:r>
          </w:p>
          <w:p w14:paraId="60642FE3" w14:textId="77777777" w:rsidR="00C246DE" w:rsidRPr="00424BD3" w:rsidRDefault="00C246DE" w:rsidP="000126EE">
            <w:pPr>
              <w:spacing w:line="480" w:lineRule="auto"/>
              <w:jc w:val="center"/>
              <w:rPr>
                <w:rFonts w:ascii="Arial" w:hAnsi="Arial" w:cs="Arial"/>
                <w:sz w:val="20"/>
                <w:szCs w:val="20"/>
              </w:rPr>
            </w:pPr>
          </w:p>
        </w:tc>
        <w:tc>
          <w:tcPr>
            <w:tcW w:w="1103" w:type="dxa"/>
          </w:tcPr>
          <w:p w14:paraId="7E8E04E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26.1</w:t>
            </w:r>
          </w:p>
        </w:tc>
        <w:tc>
          <w:tcPr>
            <w:tcW w:w="1140" w:type="dxa"/>
          </w:tcPr>
          <w:p w14:paraId="295EBD3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14.4</w:t>
            </w:r>
          </w:p>
        </w:tc>
        <w:tc>
          <w:tcPr>
            <w:tcW w:w="1200" w:type="dxa"/>
          </w:tcPr>
          <w:p w14:paraId="328E339C"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33.8</w:t>
            </w:r>
          </w:p>
        </w:tc>
      </w:tr>
      <w:tr w:rsidR="00C246DE" w:rsidRPr="00424BD3" w14:paraId="7AE0A2D3" w14:textId="77777777" w:rsidTr="00CE1A80">
        <w:trPr>
          <w:trHeight w:val="488"/>
        </w:trPr>
        <w:tc>
          <w:tcPr>
            <w:tcW w:w="4855" w:type="dxa"/>
          </w:tcPr>
          <w:p w14:paraId="128BAC41"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Charity Care – Percent All Hospital Care (2015)</w:t>
            </w:r>
          </w:p>
        </w:tc>
        <w:tc>
          <w:tcPr>
            <w:tcW w:w="1057" w:type="dxa"/>
          </w:tcPr>
          <w:p w14:paraId="135C0658"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8.2%</w:t>
            </w:r>
          </w:p>
        </w:tc>
        <w:tc>
          <w:tcPr>
            <w:tcW w:w="1103" w:type="dxa"/>
          </w:tcPr>
          <w:p w14:paraId="4C6C1172"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4.7%</w:t>
            </w:r>
          </w:p>
        </w:tc>
        <w:tc>
          <w:tcPr>
            <w:tcW w:w="1140" w:type="dxa"/>
          </w:tcPr>
          <w:p w14:paraId="68E6141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6.3%</w:t>
            </w:r>
          </w:p>
        </w:tc>
        <w:tc>
          <w:tcPr>
            <w:tcW w:w="1200" w:type="dxa"/>
          </w:tcPr>
          <w:p w14:paraId="5D9D6961"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10.4%</w:t>
            </w:r>
          </w:p>
        </w:tc>
      </w:tr>
      <w:tr w:rsidR="00C246DE" w:rsidRPr="00424BD3" w14:paraId="674560B5" w14:textId="77777777" w:rsidTr="00CE1A80">
        <w:trPr>
          <w:trHeight w:val="488"/>
        </w:trPr>
        <w:tc>
          <w:tcPr>
            <w:tcW w:w="4855" w:type="dxa"/>
          </w:tcPr>
          <w:p w14:paraId="16D36AC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Pop less than 100% below Fed Poverty Level</w:t>
            </w:r>
          </w:p>
        </w:tc>
        <w:tc>
          <w:tcPr>
            <w:tcW w:w="1057" w:type="dxa"/>
          </w:tcPr>
          <w:p w14:paraId="47B3D39E"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w:t>
            </w:r>
          </w:p>
        </w:tc>
        <w:tc>
          <w:tcPr>
            <w:tcW w:w="1103" w:type="dxa"/>
          </w:tcPr>
          <w:p w14:paraId="58CA3C3F"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w:t>
            </w:r>
          </w:p>
        </w:tc>
        <w:tc>
          <w:tcPr>
            <w:tcW w:w="1140" w:type="dxa"/>
          </w:tcPr>
          <w:p w14:paraId="617633A5"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8%</w:t>
            </w:r>
          </w:p>
        </w:tc>
        <w:tc>
          <w:tcPr>
            <w:tcW w:w="1200" w:type="dxa"/>
          </w:tcPr>
          <w:p w14:paraId="0EA83D53" w14:textId="77777777" w:rsidR="00C246DE" w:rsidRPr="00424BD3" w:rsidRDefault="00C246DE" w:rsidP="000126EE">
            <w:pPr>
              <w:spacing w:line="480" w:lineRule="auto"/>
              <w:rPr>
                <w:rFonts w:ascii="Arial" w:hAnsi="Arial" w:cs="Arial"/>
                <w:sz w:val="20"/>
                <w:szCs w:val="20"/>
              </w:rPr>
            </w:pPr>
          </w:p>
        </w:tc>
      </w:tr>
      <w:tr w:rsidR="00967D70" w:rsidRPr="00424BD3" w14:paraId="35E8D9AB" w14:textId="77777777" w:rsidTr="00967D70">
        <w:trPr>
          <w:trHeight w:val="488"/>
        </w:trPr>
        <w:tc>
          <w:tcPr>
            <w:tcW w:w="4855" w:type="dxa"/>
          </w:tcPr>
          <w:p w14:paraId="651D85E6"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65+ who receive property tax relief</w:t>
            </w:r>
          </w:p>
        </w:tc>
        <w:tc>
          <w:tcPr>
            <w:tcW w:w="1057" w:type="dxa"/>
          </w:tcPr>
          <w:p w14:paraId="38A6C60F"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1.2%</w:t>
            </w:r>
          </w:p>
        </w:tc>
        <w:tc>
          <w:tcPr>
            <w:tcW w:w="1103" w:type="dxa"/>
          </w:tcPr>
          <w:p w14:paraId="710910CD"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0.8%</w:t>
            </w:r>
          </w:p>
        </w:tc>
        <w:tc>
          <w:tcPr>
            <w:tcW w:w="1140" w:type="dxa"/>
          </w:tcPr>
          <w:p w14:paraId="03D68322"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1.3%</w:t>
            </w:r>
          </w:p>
        </w:tc>
        <w:tc>
          <w:tcPr>
            <w:tcW w:w="1200" w:type="dxa"/>
          </w:tcPr>
          <w:p w14:paraId="5771702A" w14:textId="77777777" w:rsidR="00967D70" w:rsidRPr="00424BD3" w:rsidRDefault="00967D70" w:rsidP="003F0137">
            <w:pPr>
              <w:spacing w:line="480" w:lineRule="auto"/>
              <w:rPr>
                <w:rFonts w:ascii="Arial" w:hAnsi="Arial" w:cs="Arial"/>
                <w:sz w:val="20"/>
                <w:szCs w:val="20"/>
              </w:rPr>
            </w:pPr>
          </w:p>
        </w:tc>
      </w:tr>
      <w:tr w:rsidR="00967D70" w:rsidRPr="00424BD3" w14:paraId="12A2F130" w14:textId="77777777" w:rsidTr="00967D70">
        <w:trPr>
          <w:trHeight w:val="488"/>
        </w:trPr>
        <w:tc>
          <w:tcPr>
            <w:tcW w:w="4855" w:type="dxa"/>
          </w:tcPr>
          <w:p w14:paraId="40F349DE"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65+ civic participation</w:t>
            </w:r>
          </w:p>
        </w:tc>
        <w:tc>
          <w:tcPr>
            <w:tcW w:w="1057" w:type="dxa"/>
          </w:tcPr>
          <w:p w14:paraId="50658DD5"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&gt;60%</w:t>
            </w:r>
          </w:p>
        </w:tc>
        <w:tc>
          <w:tcPr>
            <w:tcW w:w="1103" w:type="dxa"/>
          </w:tcPr>
          <w:p w14:paraId="62FF0975"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&gt;60%</w:t>
            </w:r>
          </w:p>
        </w:tc>
        <w:tc>
          <w:tcPr>
            <w:tcW w:w="1140" w:type="dxa"/>
          </w:tcPr>
          <w:p w14:paraId="6D1AA89D"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&gt;60%</w:t>
            </w:r>
          </w:p>
        </w:tc>
        <w:tc>
          <w:tcPr>
            <w:tcW w:w="1200" w:type="dxa"/>
          </w:tcPr>
          <w:p w14:paraId="32C38A71" w14:textId="77777777" w:rsidR="00967D70" w:rsidRPr="00424BD3" w:rsidRDefault="00967D70" w:rsidP="003F0137">
            <w:pPr>
              <w:spacing w:line="480" w:lineRule="auto"/>
              <w:rPr>
                <w:rFonts w:ascii="Arial" w:hAnsi="Arial" w:cs="Arial"/>
                <w:sz w:val="20"/>
                <w:szCs w:val="20"/>
              </w:rPr>
            </w:pPr>
          </w:p>
        </w:tc>
      </w:tr>
      <w:tr w:rsidR="00967D70" w:rsidRPr="00424BD3" w14:paraId="77D8457C" w14:textId="77777777" w:rsidTr="00967D70">
        <w:trPr>
          <w:trHeight w:val="488"/>
        </w:trPr>
        <w:tc>
          <w:tcPr>
            <w:tcW w:w="4855" w:type="dxa"/>
          </w:tcPr>
          <w:p w14:paraId="100B73A4"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65+ who have difficulty walking</w:t>
            </w:r>
          </w:p>
        </w:tc>
        <w:tc>
          <w:tcPr>
            <w:tcW w:w="1057" w:type="dxa"/>
          </w:tcPr>
          <w:p w14:paraId="22600CB5"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24%</w:t>
            </w:r>
          </w:p>
        </w:tc>
        <w:tc>
          <w:tcPr>
            <w:tcW w:w="1103" w:type="dxa"/>
          </w:tcPr>
          <w:p w14:paraId="59D44316"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22%</w:t>
            </w:r>
          </w:p>
        </w:tc>
        <w:tc>
          <w:tcPr>
            <w:tcW w:w="1140" w:type="dxa"/>
          </w:tcPr>
          <w:p w14:paraId="3F1E79D6"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22%</w:t>
            </w:r>
          </w:p>
        </w:tc>
        <w:tc>
          <w:tcPr>
            <w:tcW w:w="1200" w:type="dxa"/>
          </w:tcPr>
          <w:p w14:paraId="0F34CE3A" w14:textId="77777777" w:rsidR="00967D70" w:rsidRPr="00424BD3" w:rsidRDefault="00967D70" w:rsidP="003F0137">
            <w:pPr>
              <w:spacing w:line="480" w:lineRule="auto"/>
              <w:rPr>
                <w:rFonts w:ascii="Arial" w:hAnsi="Arial" w:cs="Arial"/>
                <w:sz w:val="20"/>
                <w:szCs w:val="20"/>
              </w:rPr>
            </w:pPr>
          </w:p>
        </w:tc>
      </w:tr>
      <w:tr w:rsidR="00967D70" w:rsidRPr="00424BD3" w14:paraId="3C141678" w14:textId="77777777" w:rsidTr="00967D70">
        <w:trPr>
          <w:trHeight w:val="488"/>
        </w:trPr>
        <w:tc>
          <w:tcPr>
            <w:tcW w:w="4855" w:type="dxa"/>
          </w:tcPr>
          <w:p w14:paraId="3EEE8BA6"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65+ who are raising grandchildren</w:t>
            </w:r>
          </w:p>
        </w:tc>
        <w:tc>
          <w:tcPr>
            <w:tcW w:w="1057" w:type="dxa"/>
          </w:tcPr>
          <w:p w14:paraId="607044D5"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1.1%</w:t>
            </w:r>
          </w:p>
        </w:tc>
        <w:tc>
          <w:tcPr>
            <w:tcW w:w="1103" w:type="dxa"/>
          </w:tcPr>
          <w:p w14:paraId="4E0D7DF0"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0.8%</w:t>
            </w:r>
          </w:p>
        </w:tc>
        <w:tc>
          <w:tcPr>
            <w:tcW w:w="1140" w:type="dxa"/>
          </w:tcPr>
          <w:p w14:paraId="76A542DD" w14:textId="77777777" w:rsidR="00967D70" w:rsidRPr="00424BD3" w:rsidRDefault="00967D70" w:rsidP="003F0137">
            <w:pPr>
              <w:spacing w:line="480" w:lineRule="auto"/>
              <w:rPr>
                <w:rFonts w:ascii="Arial" w:hAnsi="Arial" w:cs="Arial"/>
                <w:sz w:val="20"/>
                <w:szCs w:val="20"/>
              </w:rPr>
            </w:pPr>
            <w:r w:rsidRPr="00424BD3">
              <w:rPr>
                <w:rFonts w:ascii="Arial" w:hAnsi="Arial" w:cs="Arial"/>
                <w:sz w:val="20"/>
                <w:szCs w:val="20"/>
              </w:rPr>
              <w:t>1.4%</w:t>
            </w:r>
          </w:p>
        </w:tc>
        <w:tc>
          <w:tcPr>
            <w:tcW w:w="1200" w:type="dxa"/>
          </w:tcPr>
          <w:p w14:paraId="3D0320F4" w14:textId="77777777" w:rsidR="00967D70" w:rsidRPr="00424BD3" w:rsidRDefault="00967D70" w:rsidP="003F0137">
            <w:pPr>
              <w:spacing w:line="480" w:lineRule="auto"/>
              <w:rPr>
                <w:rFonts w:ascii="Arial" w:hAnsi="Arial" w:cs="Arial"/>
                <w:sz w:val="20"/>
                <w:szCs w:val="20"/>
              </w:rPr>
            </w:pPr>
          </w:p>
        </w:tc>
      </w:tr>
      <w:tr w:rsidR="00AD3372" w:rsidRPr="00424BD3" w14:paraId="59E0D1A7" w14:textId="77777777" w:rsidTr="00AD3372">
        <w:trPr>
          <w:trHeight w:val="488"/>
        </w:trPr>
        <w:tc>
          <w:tcPr>
            <w:tcW w:w="4855" w:type="dxa"/>
          </w:tcPr>
          <w:p w14:paraId="2B2347CD" w14:textId="77777777" w:rsidR="00AD3372" w:rsidRPr="00424BD3" w:rsidRDefault="00AD3372" w:rsidP="003F0137">
            <w:pPr>
              <w:spacing w:line="480" w:lineRule="auto"/>
              <w:rPr>
                <w:rFonts w:cs="Arial"/>
                <w:sz w:val="20"/>
                <w:szCs w:val="20"/>
              </w:rPr>
            </w:pPr>
            <w:r w:rsidRPr="00424BD3">
              <w:rPr>
                <w:rFonts w:ascii="Arial" w:hAnsi="Arial" w:cs="Arial"/>
                <w:sz w:val="20"/>
                <w:szCs w:val="20"/>
              </w:rPr>
              <w:t>Medicare Enrollees</w:t>
            </w:r>
            <w:r w:rsidRPr="00846A04">
              <w:rPr>
                <w:rStyle w:val="FootnoteReference"/>
              </w:rPr>
              <w:footnoteReference w:id="15"/>
            </w:r>
          </w:p>
        </w:tc>
        <w:tc>
          <w:tcPr>
            <w:tcW w:w="1057" w:type="dxa"/>
          </w:tcPr>
          <w:p w14:paraId="03865EAA" w14:textId="77777777" w:rsidR="00AD3372" w:rsidRPr="00424BD3" w:rsidRDefault="00AD3372" w:rsidP="003F0137">
            <w:pPr>
              <w:rPr>
                <w:rFonts w:cs="Arial"/>
                <w:sz w:val="20"/>
                <w:szCs w:val="20"/>
              </w:rPr>
            </w:pPr>
            <w:r w:rsidRPr="00424BD3">
              <w:rPr>
                <w:rFonts w:ascii="Arial" w:hAnsi="Arial" w:cs="Arial"/>
                <w:sz w:val="20"/>
                <w:szCs w:val="20"/>
              </w:rPr>
              <w:t>17,689 (13.3%)</w:t>
            </w:r>
          </w:p>
        </w:tc>
        <w:tc>
          <w:tcPr>
            <w:tcW w:w="1103" w:type="dxa"/>
          </w:tcPr>
          <w:p w14:paraId="54EA5568" w14:textId="77777777" w:rsidR="00AD3372" w:rsidRPr="00424BD3" w:rsidRDefault="00AD3372" w:rsidP="003F0137">
            <w:pPr>
              <w:rPr>
                <w:rFonts w:cs="Arial"/>
                <w:sz w:val="20"/>
                <w:szCs w:val="20"/>
              </w:rPr>
            </w:pPr>
            <w:r w:rsidRPr="00424BD3">
              <w:rPr>
                <w:rFonts w:ascii="Arial" w:hAnsi="Arial" w:cs="Arial"/>
                <w:sz w:val="20"/>
                <w:szCs w:val="20"/>
              </w:rPr>
              <w:t>70,343 (15%)</w:t>
            </w:r>
          </w:p>
        </w:tc>
        <w:tc>
          <w:tcPr>
            <w:tcW w:w="1140" w:type="dxa"/>
          </w:tcPr>
          <w:p w14:paraId="3CDB52B8" w14:textId="77777777" w:rsidR="00AD3372" w:rsidRPr="00424BD3" w:rsidRDefault="00AD3372" w:rsidP="003F0137">
            <w:pPr>
              <w:rPr>
                <w:rFonts w:cs="Arial"/>
                <w:sz w:val="20"/>
                <w:szCs w:val="20"/>
              </w:rPr>
            </w:pPr>
            <w:r w:rsidRPr="00424BD3">
              <w:rPr>
                <w:rFonts w:ascii="Arial" w:hAnsi="Arial" w:cs="Arial"/>
                <w:sz w:val="20"/>
                <w:szCs w:val="20"/>
              </w:rPr>
              <w:t>18,534 (18.9%)</w:t>
            </w:r>
          </w:p>
        </w:tc>
        <w:tc>
          <w:tcPr>
            <w:tcW w:w="1200" w:type="dxa"/>
          </w:tcPr>
          <w:p w14:paraId="450131D0" w14:textId="77777777" w:rsidR="00AD3372" w:rsidRPr="00424BD3" w:rsidRDefault="00AD3372" w:rsidP="003F0137">
            <w:pPr>
              <w:rPr>
                <w:rFonts w:cs="Arial"/>
                <w:sz w:val="20"/>
                <w:szCs w:val="20"/>
              </w:rPr>
            </w:pPr>
          </w:p>
        </w:tc>
      </w:tr>
      <w:tr w:rsidR="00AD3372" w:rsidRPr="00424BD3" w14:paraId="326EC2C3" w14:textId="77777777" w:rsidTr="00AD3372">
        <w:trPr>
          <w:trHeight w:val="488"/>
        </w:trPr>
        <w:tc>
          <w:tcPr>
            <w:tcW w:w="4855" w:type="dxa"/>
          </w:tcPr>
          <w:p w14:paraId="20D7CC63" w14:textId="77777777" w:rsidR="00AD3372" w:rsidRPr="00424BD3" w:rsidRDefault="00AD3372" w:rsidP="003F0137">
            <w:pPr>
              <w:spacing w:line="480" w:lineRule="auto"/>
              <w:rPr>
                <w:rFonts w:cs="Arial"/>
                <w:sz w:val="20"/>
                <w:szCs w:val="20"/>
              </w:rPr>
            </w:pPr>
            <w:r w:rsidRPr="00424BD3">
              <w:rPr>
                <w:rFonts w:ascii="Arial" w:hAnsi="Arial" w:cs="Arial"/>
                <w:sz w:val="20"/>
                <w:szCs w:val="20"/>
              </w:rPr>
              <w:t>Four or more chronic conditions</w:t>
            </w:r>
          </w:p>
        </w:tc>
        <w:tc>
          <w:tcPr>
            <w:tcW w:w="1057" w:type="dxa"/>
          </w:tcPr>
          <w:p w14:paraId="11C8A7D7" w14:textId="77777777" w:rsidR="00AD3372" w:rsidRPr="00424BD3" w:rsidRDefault="00AD3372" w:rsidP="003F0137">
            <w:pPr>
              <w:spacing w:line="480" w:lineRule="auto"/>
              <w:rPr>
                <w:rFonts w:cs="Arial"/>
                <w:sz w:val="20"/>
                <w:szCs w:val="20"/>
              </w:rPr>
            </w:pPr>
            <w:r w:rsidRPr="00424BD3">
              <w:rPr>
                <w:rFonts w:ascii="Arial" w:hAnsi="Arial" w:cs="Arial"/>
                <w:sz w:val="20"/>
                <w:szCs w:val="20"/>
              </w:rPr>
              <w:t>39%</w:t>
            </w:r>
          </w:p>
        </w:tc>
        <w:tc>
          <w:tcPr>
            <w:tcW w:w="1103" w:type="dxa"/>
          </w:tcPr>
          <w:p w14:paraId="59DBAD95" w14:textId="77777777" w:rsidR="00AD3372" w:rsidRPr="00424BD3" w:rsidRDefault="00AD3372" w:rsidP="003F0137">
            <w:pPr>
              <w:spacing w:line="480" w:lineRule="auto"/>
              <w:rPr>
                <w:rFonts w:cs="Arial"/>
                <w:sz w:val="20"/>
                <w:szCs w:val="20"/>
              </w:rPr>
            </w:pPr>
            <w:r w:rsidRPr="00424BD3">
              <w:rPr>
                <w:rFonts w:ascii="Arial" w:hAnsi="Arial" w:cs="Arial"/>
                <w:sz w:val="20"/>
                <w:szCs w:val="20"/>
              </w:rPr>
              <w:t>37%</w:t>
            </w:r>
          </w:p>
        </w:tc>
        <w:tc>
          <w:tcPr>
            <w:tcW w:w="1140" w:type="dxa"/>
          </w:tcPr>
          <w:p w14:paraId="5B9F1C19" w14:textId="77777777" w:rsidR="00AD3372" w:rsidRPr="00424BD3" w:rsidRDefault="00AD3372" w:rsidP="003F0137">
            <w:pPr>
              <w:spacing w:line="480" w:lineRule="auto"/>
              <w:rPr>
                <w:rFonts w:cs="Arial"/>
                <w:sz w:val="20"/>
                <w:szCs w:val="20"/>
              </w:rPr>
            </w:pPr>
            <w:r w:rsidRPr="00424BD3">
              <w:rPr>
                <w:rFonts w:ascii="Arial" w:hAnsi="Arial" w:cs="Arial"/>
                <w:sz w:val="20"/>
                <w:szCs w:val="20"/>
              </w:rPr>
              <w:t>36%</w:t>
            </w:r>
          </w:p>
        </w:tc>
        <w:tc>
          <w:tcPr>
            <w:tcW w:w="1200" w:type="dxa"/>
          </w:tcPr>
          <w:p w14:paraId="0205C54D" w14:textId="77777777" w:rsidR="00AD3372" w:rsidRPr="00424BD3" w:rsidRDefault="00AD3372" w:rsidP="003F0137">
            <w:pPr>
              <w:spacing w:line="480" w:lineRule="auto"/>
              <w:rPr>
                <w:rFonts w:cs="Arial"/>
                <w:sz w:val="20"/>
                <w:szCs w:val="20"/>
              </w:rPr>
            </w:pPr>
          </w:p>
        </w:tc>
      </w:tr>
      <w:tr w:rsidR="00AD3372" w:rsidRPr="00424BD3" w14:paraId="05838F1A" w14:textId="77777777" w:rsidTr="00AD3372">
        <w:trPr>
          <w:trHeight w:val="488"/>
        </w:trPr>
        <w:tc>
          <w:tcPr>
            <w:tcW w:w="4855" w:type="dxa"/>
          </w:tcPr>
          <w:p w14:paraId="0D2B15C3" w14:textId="4E99BC40" w:rsidR="00AD3372" w:rsidRPr="00424BD3" w:rsidRDefault="00AD3372" w:rsidP="003F0137">
            <w:pPr>
              <w:spacing w:line="480" w:lineRule="auto"/>
              <w:rPr>
                <w:rFonts w:cs="Arial"/>
                <w:sz w:val="20"/>
                <w:szCs w:val="20"/>
              </w:rPr>
            </w:pPr>
            <w:r w:rsidRPr="00424BD3">
              <w:rPr>
                <w:rFonts w:ascii="Arial" w:hAnsi="Arial" w:cs="Arial"/>
                <w:sz w:val="20"/>
                <w:szCs w:val="20"/>
              </w:rPr>
              <w:t>Food Environment Index</w:t>
            </w:r>
          </w:p>
        </w:tc>
        <w:tc>
          <w:tcPr>
            <w:tcW w:w="1057" w:type="dxa"/>
          </w:tcPr>
          <w:p w14:paraId="48EEA2E5" w14:textId="77777777" w:rsidR="00AD3372" w:rsidRPr="00424BD3" w:rsidRDefault="00AD3372" w:rsidP="003F0137">
            <w:pPr>
              <w:spacing w:line="480" w:lineRule="auto"/>
              <w:rPr>
                <w:rFonts w:cs="Arial"/>
                <w:sz w:val="20"/>
                <w:szCs w:val="20"/>
              </w:rPr>
            </w:pPr>
            <w:r w:rsidRPr="00424BD3">
              <w:rPr>
                <w:rFonts w:ascii="Arial" w:hAnsi="Arial" w:cs="Arial"/>
                <w:sz w:val="20"/>
                <w:szCs w:val="20"/>
              </w:rPr>
              <w:t>7.5</w:t>
            </w:r>
          </w:p>
        </w:tc>
        <w:tc>
          <w:tcPr>
            <w:tcW w:w="1103" w:type="dxa"/>
          </w:tcPr>
          <w:p w14:paraId="05EC08DB" w14:textId="77777777" w:rsidR="00AD3372" w:rsidRPr="00424BD3" w:rsidRDefault="00AD3372" w:rsidP="003F0137">
            <w:pPr>
              <w:spacing w:line="480" w:lineRule="auto"/>
              <w:rPr>
                <w:rFonts w:cs="Arial"/>
                <w:sz w:val="20"/>
                <w:szCs w:val="20"/>
              </w:rPr>
            </w:pPr>
            <w:r w:rsidRPr="00424BD3">
              <w:rPr>
                <w:rFonts w:ascii="Arial" w:hAnsi="Arial" w:cs="Arial"/>
                <w:sz w:val="20"/>
                <w:szCs w:val="20"/>
              </w:rPr>
              <w:t>7.2</w:t>
            </w:r>
          </w:p>
        </w:tc>
        <w:tc>
          <w:tcPr>
            <w:tcW w:w="1140" w:type="dxa"/>
          </w:tcPr>
          <w:p w14:paraId="4B1C6EFB" w14:textId="77777777" w:rsidR="00AD3372" w:rsidRPr="00424BD3" w:rsidRDefault="00AD3372" w:rsidP="003F0137">
            <w:pPr>
              <w:spacing w:line="480" w:lineRule="auto"/>
              <w:rPr>
                <w:rFonts w:cs="Arial"/>
                <w:sz w:val="20"/>
                <w:szCs w:val="20"/>
              </w:rPr>
            </w:pPr>
            <w:r w:rsidRPr="00424BD3">
              <w:rPr>
                <w:rFonts w:ascii="Arial" w:hAnsi="Arial" w:cs="Arial"/>
                <w:sz w:val="20"/>
                <w:szCs w:val="20"/>
              </w:rPr>
              <w:t>7.9</w:t>
            </w:r>
          </w:p>
        </w:tc>
        <w:tc>
          <w:tcPr>
            <w:tcW w:w="1200" w:type="dxa"/>
          </w:tcPr>
          <w:p w14:paraId="1CDA8095" w14:textId="77777777" w:rsidR="00AD3372" w:rsidRPr="00424BD3" w:rsidRDefault="00AD3372" w:rsidP="003F0137">
            <w:pPr>
              <w:spacing w:line="480" w:lineRule="auto"/>
              <w:rPr>
                <w:rFonts w:cs="Arial"/>
                <w:sz w:val="20"/>
                <w:szCs w:val="20"/>
              </w:rPr>
            </w:pPr>
          </w:p>
        </w:tc>
      </w:tr>
      <w:tr w:rsidR="00FD55D8" w:rsidRPr="00424BD3" w14:paraId="3924A0A0" w14:textId="77777777" w:rsidTr="00BB5905">
        <w:trPr>
          <w:trHeight w:val="488"/>
        </w:trPr>
        <w:tc>
          <w:tcPr>
            <w:tcW w:w="4855" w:type="dxa"/>
          </w:tcPr>
          <w:p w14:paraId="5D8184E0" w14:textId="33FED078" w:rsidR="00FD55D8" w:rsidRPr="00424BD3" w:rsidRDefault="00FD55D8" w:rsidP="00BB5905">
            <w:pPr>
              <w:spacing w:line="480" w:lineRule="auto"/>
              <w:rPr>
                <w:rFonts w:cs="Arial"/>
                <w:sz w:val="20"/>
                <w:szCs w:val="20"/>
              </w:rPr>
            </w:pPr>
            <w:r w:rsidRPr="00424BD3">
              <w:rPr>
                <w:rFonts w:ascii="Arial" w:hAnsi="Arial" w:cs="Arial"/>
                <w:sz w:val="20"/>
                <w:szCs w:val="20"/>
              </w:rPr>
              <w:t>65+ who live alone</w:t>
            </w:r>
          </w:p>
        </w:tc>
        <w:tc>
          <w:tcPr>
            <w:tcW w:w="1057" w:type="dxa"/>
          </w:tcPr>
          <w:p w14:paraId="4CD37FA9" w14:textId="77777777" w:rsidR="00FD55D8" w:rsidRPr="00424BD3" w:rsidRDefault="00FD55D8" w:rsidP="00BB5905">
            <w:pPr>
              <w:spacing w:line="480" w:lineRule="auto"/>
              <w:rPr>
                <w:rFonts w:cs="Arial"/>
                <w:sz w:val="20"/>
                <w:szCs w:val="20"/>
              </w:rPr>
            </w:pPr>
            <w:r w:rsidRPr="00424BD3">
              <w:rPr>
                <w:rFonts w:ascii="Arial" w:hAnsi="Arial" w:cs="Arial"/>
                <w:sz w:val="20"/>
                <w:szCs w:val="20"/>
              </w:rPr>
              <w:t>27%</w:t>
            </w:r>
          </w:p>
        </w:tc>
        <w:tc>
          <w:tcPr>
            <w:tcW w:w="1103" w:type="dxa"/>
          </w:tcPr>
          <w:p w14:paraId="68D551A8" w14:textId="77777777" w:rsidR="00FD55D8" w:rsidRPr="00424BD3" w:rsidRDefault="00FD55D8" w:rsidP="00BB5905">
            <w:pPr>
              <w:spacing w:line="480" w:lineRule="auto"/>
              <w:rPr>
                <w:rFonts w:cs="Arial"/>
                <w:sz w:val="20"/>
                <w:szCs w:val="20"/>
              </w:rPr>
            </w:pPr>
            <w:r w:rsidRPr="00424BD3">
              <w:rPr>
                <w:rFonts w:ascii="Arial" w:hAnsi="Arial" w:cs="Arial"/>
                <w:sz w:val="20"/>
                <w:szCs w:val="20"/>
              </w:rPr>
              <w:t>29%</w:t>
            </w:r>
          </w:p>
        </w:tc>
        <w:tc>
          <w:tcPr>
            <w:tcW w:w="1140" w:type="dxa"/>
          </w:tcPr>
          <w:p w14:paraId="5AAA7D03" w14:textId="77777777" w:rsidR="00FD55D8" w:rsidRPr="00424BD3" w:rsidRDefault="00FD55D8" w:rsidP="00BB5905">
            <w:pPr>
              <w:spacing w:line="480" w:lineRule="auto"/>
              <w:rPr>
                <w:rFonts w:cs="Arial"/>
                <w:sz w:val="20"/>
                <w:szCs w:val="20"/>
              </w:rPr>
            </w:pPr>
            <w:r w:rsidRPr="00424BD3">
              <w:rPr>
                <w:rFonts w:ascii="Arial" w:hAnsi="Arial" w:cs="Arial"/>
                <w:sz w:val="20"/>
                <w:szCs w:val="20"/>
              </w:rPr>
              <w:t>22%</w:t>
            </w:r>
          </w:p>
        </w:tc>
        <w:tc>
          <w:tcPr>
            <w:tcW w:w="1200" w:type="dxa"/>
          </w:tcPr>
          <w:p w14:paraId="598AB3E8" w14:textId="77777777" w:rsidR="00FD55D8" w:rsidRPr="00424BD3" w:rsidRDefault="00FD55D8" w:rsidP="00BB5905">
            <w:pPr>
              <w:spacing w:line="480" w:lineRule="auto"/>
              <w:rPr>
                <w:rFonts w:cs="Arial"/>
                <w:sz w:val="20"/>
                <w:szCs w:val="20"/>
              </w:rPr>
            </w:pPr>
          </w:p>
        </w:tc>
      </w:tr>
      <w:tr w:rsidR="00FD55D8" w:rsidRPr="00424BD3" w14:paraId="2ACE4F02" w14:textId="77777777" w:rsidTr="00BB5905">
        <w:trPr>
          <w:trHeight w:val="488"/>
        </w:trPr>
        <w:tc>
          <w:tcPr>
            <w:tcW w:w="4855" w:type="dxa"/>
          </w:tcPr>
          <w:p w14:paraId="4D32EFB1" w14:textId="77777777" w:rsidR="00FD55D8" w:rsidRPr="00424BD3" w:rsidRDefault="00FD55D8" w:rsidP="00BB5905">
            <w:pPr>
              <w:spacing w:line="480" w:lineRule="auto"/>
              <w:rPr>
                <w:rFonts w:cs="Arial"/>
                <w:sz w:val="20"/>
                <w:szCs w:val="20"/>
              </w:rPr>
            </w:pPr>
            <w:r w:rsidRPr="00424BD3">
              <w:rPr>
                <w:rFonts w:ascii="Arial" w:hAnsi="Arial" w:cs="Arial"/>
                <w:sz w:val="20"/>
                <w:szCs w:val="20"/>
              </w:rPr>
              <w:t>65+ who are housing insecure</w:t>
            </w:r>
          </w:p>
        </w:tc>
        <w:tc>
          <w:tcPr>
            <w:tcW w:w="1057" w:type="dxa"/>
          </w:tcPr>
          <w:p w14:paraId="362243C6" w14:textId="77777777" w:rsidR="00FD55D8" w:rsidRPr="00424BD3" w:rsidRDefault="00FD55D8" w:rsidP="00BB5905">
            <w:pPr>
              <w:spacing w:line="480" w:lineRule="auto"/>
              <w:rPr>
                <w:rFonts w:cs="Arial"/>
                <w:sz w:val="20"/>
                <w:szCs w:val="20"/>
              </w:rPr>
            </w:pPr>
            <w:r w:rsidRPr="00424BD3">
              <w:rPr>
                <w:rFonts w:ascii="Arial" w:hAnsi="Arial" w:cs="Arial"/>
                <w:sz w:val="20"/>
                <w:szCs w:val="20"/>
              </w:rPr>
              <w:t>20%</w:t>
            </w:r>
          </w:p>
        </w:tc>
        <w:tc>
          <w:tcPr>
            <w:tcW w:w="1103" w:type="dxa"/>
          </w:tcPr>
          <w:p w14:paraId="5B8EE10A" w14:textId="77777777" w:rsidR="00FD55D8" w:rsidRPr="00424BD3" w:rsidRDefault="00FD55D8" w:rsidP="00BB5905">
            <w:pPr>
              <w:spacing w:line="480" w:lineRule="auto"/>
              <w:rPr>
                <w:rFonts w:cs="Arial"/>
                <w:sz w:val="20"/>
                <w:szCs w:val="20"/>
              </w:rPr>
            </w:pPr>
            <w:r w:rsidRPr="00424BD3">
              <w:rPr>
                <w:rFonts w:ascii="Arial" w:hAnsi="Arial" w:cs="Arial"/>
                <w:sz w:val="20"/>
                <w:szCs w:val="20"/>
              </w:rPr>
              <w:t>20%</w:t>
            </w:r>
          </w:p>
        </w:tc>
        <w:tc>
          <w:tcPr>
            <w:tcW w:w="1140" w:type="dxa"/>
          </w:tcPr>
          <w:p w14:paraId="135C1BDF" w14:textId="77777777" w:rsidR="00FD55D8" w:rsidRPr="00424BD3" w:rsidRDefault="00FD55D8" w:rsidP="00BB5905">
            <w:pPr>
              <w:spacing w:line="480" w:lineRule="auto"/>
              <w:rPr>
                <w:rFonts w:cs="Arial"/>
                <w:sz w:val="20"/>
                <w:szCs w:val="20"/>
              </w:rPr>
            </w:pPr>
            <w:r w:rsidRPr="00424BD3">
              <w:rPr>
                <w:rFonts w:ascii="Arial" w:hAnsi="Arial" w:cs="Arial"/>
                <w:sz w:val="20"/>
                <w:szCs w:val="20"/>
              </w:rPr>
              <w:t>17%</w:t>
            </w:r>
          </w:p>
        </w:tc>
        <w:tc>
          <w:tcPr>
            <w:tcW w:w="1200" w:type="dxa"/>
          </w:tcPr>
          <w:p w14:paraId="4FA5E851" w14:textId="77777777" w:rsidR="00FD55D8" w:rsidRPr="00424BD3" w:rsidRDefault="00FD55D8" w:rsidP="00BB5905">
            <w:pPr>
              <w:spacing w:line="480" w:lineRule="auto"/>
              <w:rPr>
                <w:rFonts w:cs="Arial"/>
                <w:sz w:val="20"/>
                <w:szCs w:val="20"/>
              </w:rPr>
            </w:pPr>
          </w:p>
        </w:tc>
      </w:tr>
    </w:tbl>
    <w:p w14:paraId="18CFEA5B" w14:textId="77777777" w:rsidR="00FD55D8" w:rsidRPr="00424BD3" w:rsidRDefault="00FD55D8" w:rsidP="00FD55D8">
      <w:pPr>
        <w:spacing w:after="0" w:line="480" w:lineRule="auto"/>
        <w:rPr>
          <w:rFonts w:cs="Arial"/>
          <w:szCs w:val="24"/>
        </w:rPr>
      </w:pPr>
      <w:r w:rsidRPr="00424BD3">
        <w:rPr>
          <w:rFonts w:cs="Arial"/>
          <w:szCs w:val="24"/>
        </w:rPr>
        <w:fldChar w:fldCharType="begin"/>
      </w:r>
      <w:r>
        <w:rPr>
          <w:rFonts w:cs="Arial"/>
          <w:szCs w:val="24"/>
        </w:rPr>
        <w:instrText xml:space="preserve"> ADDIN ZOTERO_ITEM CSL_CITATION {"citationID":"2e0ievnz","properties":{"formattedCitation":"(TACIR, 2021; TCAD, 2019)","plainCitation":"(TACIR, 2021; TCAD, 2019)","noteIndex":0},"citationItems":[{"id":815,"uris":["http://zotero.org/users/4946941/items/ZSIFT7QB"],"itemData":{"id":815,"type":"document","language":"en","publisher":"Tennessee Advisory Commission on Intergovernmental Relations (TACIR)","title":"Tennessee County Profiles","URL":"https://www.tn.gov/tacir/tennessee-county-profiles-redirect.html","author":[{"family":"TACIR","given":""}],"issued":{"date-parts":[["2021"]]}}},{"id":817,"uris":["http://zotero.org/users/4946941/items/G3F2YWDR"],"itemData":{"id":817,"type":"document","language":"en","publisher":"State of Tennessee, Tennessee Commission on Aging and Disability (TCAD)","title":"The State of Aging in Tennessee: A County-By-County Snapshot","URL":"https://www.tn.gov/content/dam/tn/aging/documents/2019_TCAD_County_Statistics_Complete.pdf","author":[{"family":"TCAD","given":""}],"issued":{"date-parts":[["2019"]]}}}],"schema":"https://github.com/citation-style-language/schema/raw/master/csl-citation.json"} </w:instrText>
      </w:r>
      <w:r w:rsidRPr="00424BD3">
        <w:rPr>
          <w:rFonts w:cs="Arial"/>
          <w:szCs w:val="24"/>
        </w:rPr>
        <w:fldChar w:fldCharType="separate"/>
      </w:r>
      <w:r w:rsidRPr="00424BD3">
        <w:rPr>
          <w:rFonts w:cs="Arial"/>
        </w:rPr>
        <w:t>(TACIR, 2021; TCAD, 2019)</w:t>
      </w:r>
      <w:r w:rsidRPr="00424BD3">
        <w:rPr>
          <w:rFonts w:cs="Arial"/>
          <w:szCs w:val="24"/>
        </w:rPr>
        <w:fldChar w:fldCharType="end"/>
      </w:r>
    </w:p>
    <w:p w14:paraId="2DDE3D19" w14:textId="0AF7D1CA" w:rsidR="00C246DE" w:rsidRPr="00424BD3" w:rsidRDefault="0015610A" w:rsidP="00337C83">
      <w:pPr>
        <w:pStyle w:val="Caption"/>
        <w:spacing w:after="0"/>
        <w:rPr>
          <w:rFonts w:cs="Arial"/>
          <w:color w:val="auto"/>
          <w:sz w:val="24"/>
          <w:szCs w:val="24"/>
        </w:rPr>
      </w:pPr>
      <w:bookmarkStart w:id="121" w:name="_Toc116675207"/>
      <w:r w:rsidRPr="00424BD3">
        <w:rPr>
          <w:color w:val="auto"/>
          <w:sz w:val="24"/>
          <w:szCs w:val="24"/>
        </w:rPr>
        <w:lastRenderedPageBreak/>
        <w:t xml:space="preserve">Table </w:t>
      </w:r>
      <w:r w:rsidRPr="00424BD3">
        <w:rPr>
          <w:color w:val="auto"/>
          <w:sz w:val="24"/>
          <w:szCs w:val="24"/>
        </w:rPr>
        <w:fldChar w:fldCharType="begin"/>
      </w:r>
      <w:r w:rsidRPr="00424BD3">
        <w:rPr>
          <w:color w:val="auto"/>
          <w:sz w:val="24"/>
          <w:szCs w:val="24"/>
        </w:rPr>
        <w:instrText xml:space="preserve"> SEQ Table \* ARABIC </w:instrText>
      </w:r>
      <w:r w:rsidRPr="00424BD3">
        <w:rPr>
          <w:color w:val="auto"/>
          <w:sz w:val="24"/>
          <w:szCs w:val="24"/>
        </w:rPr>
        <w:fldChar w:fldCharType="separate"/>
      </w:r>
      <w:r w:rsidR="00281020">
        <w:rPr>
          <w:noProof/>
          <w:color w:val="auto"/>
          <w:sz w:val="24"/>
          <w:szCs w:val="24"/>
        </w:rPr>
        <w:t>4</w:t>
      </w:r>
      <w:r w:rsidRPr="00424BD3">
        <w:rPr>
          <w:color w:val="auto"/>
          <w:sz w:val="24"/>
          <w:szCs w:val="24"/>
        </w:rPr>
        <w:fldChar w:fldCharType="end"/>
      </w:r>
      <w:r w:rsidR="00C246DE" w:rsidRPr="00424BD3">
        <w:rPr>
          <w:rFonts w:cs="Arial"/>
          <w:color w:val="auto"/>
          <w:sz w:val="24"/>
          <w:szCs w:val="24"/>
        </w:rPr>
        <w:t>. Participant City / Town Residences (Disclosed) (minus East Tennessee cities / towns)</w:t>
      </w:r>
      <w:bookmarkEnd w:id="121"/>
    </w:p>
    <w:p w14:paraId="4A67C262" w14:textId="77777777" w:rsidR="00337C83" w:rsidRPr="00424BD3" w:rsidRDefault="00337C83" w:rsidP="00337C83"/>
    <w:tbl>
      <w:tblPr>
        <w:tblStyle w:val="TableGrid"/>
        <w:tblW w:w="0" w:type="auto"/>
        <w:tblLook w:val="04A0" w:firstRow="1" w:lastRow="0" w:firstColumn="1" w:lastColumn="0" w:noHBand="0" w:noVBand="1"/>
      </w:tblPr>
      <w:tblGrid>
        <w:gridCol w:w="2785"/>
        <w:gridCol w:w="1440"/>
        <w:gridCol w:w="3060"/>
        <w:gridCol w:w="1834"/>
      </w:tblGrid>
      <w:tr w:rsidR="00E04083" w:rsidRPr="00424BD3" w14:paraId="62163935" w14:textId="040C9504" w:rsidTr="00AD3372">
        <w:tc>
          <w:tcPr>
            <w:tcW w:w="2785" w:type="dxa"/>
          </w:tcPr>
          <w:p w14:paraId="67507990" w14:textId="77777777" w:rsidR="00E04083" w:rsidRPr="00424BD3" w:rsidRDefault="00E04083" w:rsidP="000126EE">
            <w:pPr>
              <w:spacing w:line="480" w:lineRule="auto"/>
              <w:rPr>
                <w:rFonts w:cs="Arial"/>
                <w:b/>
                <w:bCs/>
                <w:sz w:val="20"/>
                <w:szCs w:val="20"/>
              </w:rPr>
            </w:pPr>
          </w:p>
        </w:tc>
        <w:tc>
          <w:tcPr>
            <w:tcW w:w="1440" w:type="dxa"/>
          </w:tcPr>
          <w:p w14:paraId="15546793" w14:textId="77777777" w:rsidR="00E04083" w:rsidRPr="00424BD3" w:rsidRDefault="00E04083" w:rsidP="000126EE">
            <w:pPr>
              <w:spacing w:line="480" w:lineRule="auto"/>
              <w:rPr>
                <w:rFonts w:cs="Arial"/>
                <w:b/>
                <w:bCs/>
                <w:sz w:val="20"/>
                <w:szCs w:val="20"/>
              </w:rPr>
            </w:pPr>
          </w:p>
        </w:tc>
        <w:tc>
          <w:tcPr>
            <w:tcW w:w="3060" w:type="dxa"/>
          </w:tcPr>
          <w:p w14:paraId="71BD6456" w14:textId="77777777" w:rsidR="00E04083" w:rsidRPr="00424BD3" w:rsidRDefault="00E04083" w:rsidP="000126EE">
            <w:pPr>
              <w:spacing w:line="480" w:lineRule="auto"/>
              <w:rPr>
                <w:rFonts w:cs="Arial"/>
                <w:b/>
                <w:bCs/>
                <w:sz w:val="20"/>
                <w:szCs w:val="20"/>
              </w:rPr>
            </w:pPr>
          </w:p>
        </w:tc>
        <w:tc>
          <w:tcPr>
            <w:tcW w:w="1834" w:type="dxa"/>
          </w:tcPr>
          <w:p w14:paraId="09BF25B1" w14:textId="77777777" w:rsidR="00E04083" w:rsidRPr="00424BD3" w:rsidRDefault="00E04083" w:rsidP="000126EE">
            <w:pPr>
              <w:spacing w:line="480" w:lineRule="auto"/>
              <w:rPr>
                <w:rFonts w:cs="Arial"/>
                <w:b/>
                <w:bCs/>
                <w:sz w:val="20"/>
                <w:szCs w:val="20"/>
              </w:rPr>
            </w:pPr>
          </w:p>
        </w:tc>
      </w:tr>
      <w:tr w:rsidR="00E04083" w:rsidRPr="00424BD3" w14:paraId="03B8CF72" w14:textId="4416F48D" w:rsidTr="00AD3372">
        <w:tc>
          <w:tcPr>
            <w:tcW w:w="2785" w:type="dxa"/>
          </w:tcPr>
          <w:p w14:paraId="41DAB3E9" w14:textId="77777777" w:rsidR="00E04083" w:rsidRPr="00424BD3" w:rsidRDefault="00E04083" w:rsidP="00AD3372">
            <w:pPr>
              <w:rPr>
                <w:rFonts w:ascii="Arial" w:hAnsi="Arial" w:cs="Arial"/>
                <w:b/>
                <w:bCs/>
                <w:sz w:val="20"/>
                <w:szCs w:val="20"/>
              </w:rPr>
            </w:pPr>
            <w:r w:rsidRPr="00424BD3">
              <w:rPr>
                <w:rFonts w:ascii="Arial" w:hAnsi="Arial" w:cs="Arial"/>
                <w:b/>
                <w:bCs/>
                <w:sz w:val="20"/>
                <w:szCs w:val="20"/>
              </w:rPr>
              <w:t xml:space="preserve">City / Town </w:t>
            </w:r>
          </w:p>
        </w:tc>
        <w:tc>
          <w:tcPr>
            <w:tcW w:w="1440" w:type="dxa"/>
          </w:tcPr>
          <w:p w14:paraId="7E34C496" w14:textId="77777777" w:rsidR="00E04083" w:rsidRPr="00424BD3" w:rsidRDefault="00E04083" w:rsidP="00AD3372">
            <w:pPr>
              <w:rPr>
                <w:rFonts w:ascii="Arial" w:hAnsi="Arial" w:cs="Arial"/>
                <w:b/>
                <w:bCs/>
                <w:sz w:val="20"/>
                <w:szCs w:val="20"/>
              </w:rPr>
            </w:pPr>
            <w:r w:rsidRPr="00424BD3">
              <w:rPr>
                <w:rFonts w:ascii="Arial" w:hAnsi="Arial" w:cs="Arial"/>
                <w:b/>
                <w:bCs/>
                <w:sz w:val="20"/>
                <w:szCs w:val="20"/>
              </w:rPr>
              <w:t xml:space="preserve">Number of </w:t>
            </w:r>
          </w:p>
          <w:p w14:paraId="4966B19E" w14:textId="77777777" w:rsidR="00E04083" w:rsidRPr="00424BD3" w:rsidRDefault="00E04083" w:rsidP="00AD3372">
            <w:pPr>
              <w:rPr>
                <w:rFonts w:ascii="Arial" w:hAnsi="Arial" w:cs="Arial"/>
                <w:b/>
                <w:bCs/>
                <w:sz w:val="20"/>
                <w:szCs w:val="20"/>
              </w:rPr>
            </w:pPr>
            <w:r w:rsidRPr="00424BD3">
              <w:rPr>
                <w:rFonts w:ascii="Arial" w:hAnsi="Arial" w:cs="Arial"/>
                <w:b/>
                <w:bCs/>
                <w:sz w:val="20"/>
                <w:szCs w:val="20"/>
              </w:rPr>
              <w:t>Participants Residencies</w:t>
            </w:r>
          </w:p>
        </w:tc>
        <w:tc>
          <w:tcPr>
            <w:tcW w:w="3060" w:type="dxa"/>
          </w:tcPr>
          <w:p w14:paraId="3FB0AEB9" w14:textId="36FAE758" w:rsidR="00E04083" w:rsidRPr="00424BD3" w:rsidRDefault="00E04083" w:rsidP="00AD3372">
            <w:pPr>
              <w:rPr>
                <w:rFonts w:cs="Arial"/>
                <w:b/>
                <w:bCs/>
                <w:sz w:val="20"/>
                <w:szCs w:val="20"/>
              </w:rPr>
            </w:pPr>
            <w:r w:rsidRPr="00424BD3">
              <w:rPr>
                <w:rFonts w:ascii="Arial" w:hAnsi="Arial" w:cs="Arial"/>
                <w:b/>
                <w:bCs/>
                <w:sz w:val="20"/>
                <w:szCs w:val="20"/>
              </w:rPr>
              <w:t xml:space="preserve">City / Town </w:t>
            </w:r>
          </w:p>
        </w:tc>
        <w:tc>
          <w:tcPr>
            <w:tcW w:w="1834" w:type="dxa"/>
          </w:tcPr>
          <w:p w14:paraId="5289EB98" w14:textId="77777777" w:rsidR="00E04083" w:rsidRPr="00424BD3" w:rsidRDefault="00E04083" w:rsidP="00AD3372">
            <w:pPr>
              <w:rPr>
                <w:rFonts w:ascii="Arial" w:hAnsi="Arial" w:cs="Arial"/>
                <w:b/>
                <w:bCs/>
                <w:sz w:val="20"/>
                <w:szCs w:val="20"/>
              </w:rPr>
            </w:pPr>
            <w:r w:rsidRPr="00424BD3">
              <w:rPr>
                <w:rFonts w:ascii="Arial" w:hAnsi="Arial" w:cs="Arial"/>
                <w:b/>
                <w:bCs/>
                <w:sz w:val="20"/>
                <w:szCs w:val="20"/>
              </w:rPr>
              <w:t xml:space="preserve">Number of </w:t>
            </w:r>
          </w:p>
          <w:p w14:paraId="782BBF74" w14:textId="101FF63F" w:rsidR="00E04083" w:rsidRPr="00424BD3" w:rsidRDefault="00E04083" w:rsidP="00AD3372">
            <w:pPr>
              <w:rPr>
                <w:rFonts w:cs="Arial"/>
                <w:b/>
                <w:bCs/>
                <w:sz w:val="20"/>
                <w:szCs w:val="20"/>
              </w:rPr>
            </w:pPr>
            <w:r w:rsidRPr="00424BD3">
              <w:rPr>
                <w:rFonts w:ascii="Arial" w:hAnsi="Arial" w:cs="Arial"/>
                <w:b/>
                <w:bCs/>
                <w:sz w:val="20"/>
                <w:szCs w:val="20"/>
              </w:rPr>
              <w:t>Participants Residencies</w:t>
            </w:r>
          </w:p>
        </w:tc>
      </w:tr>
      <w:tr w:rsidR="00AD3372" w:rsidRPr="00424BD3" w14:paraId="523AD277" w14:textId="77777777" w:rsidTr="00AD3372">
        <w:tc>
          <w:tcPr>
            <w:tcW w:w="2785" w:type="dxa"/>
          </w:tcPr>
          <w:p w14:paraId="348538E8" w14:textId="77777777" w:rsidR="00AD3372" w:rsidRPr="00424BD3" w:rsidRDefault="00AD3372" w:rsidP="003F0137">
            <w:pPr>
              <w:spacing w:line="480" w:lineRule="auto"/>
              <w:rPr>
                <w:rFonts w:ascii="Arial" w:hAnsi="Arial" w:cs="Arial"/>
                <w:sz w:val="20"/>
                <w:szCs w:val="20"/>
              </w:rPr>
            </w:pPr>
            <w:r w:rsidRPr="00424BD3">
              <w:rPr>
                <w:rFonts w:ascii="Arial" w:hAnsi="Arial" w:cs="Arial"/>
                <w:sz w:val="20"/>
                <w:szCs w:val="20"/>
              </w:rPr>
              <w:t>Alexandria, VA</w:t>
            </w:r>
          </w:p>
        </w:tc>
        <w:tc>
          <w:tcPr>
            <w:tcW w:w="1440" w:type="dxa"/>
          </w:tcPr>
          <w:p w14:paraId="75E4F046" w14:textId="77777777" w:rsidR="00AD3372" w:rsidRPr="00424BD3" w:rsidRDefault="00AD3372"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6AE29F05" w14:textId="77777777" w:rsidR="00AD3372" w:rsidRPr="00424BD3" w:rsidRDefault="00AD3372" w:rsidP="003F0137">
            <w:pPr>
              <w:spacing w:line="480" w:lineRule="auto"/>
              <w:rPr>
                <w:rFonts w:cs="Arial"/>
                <w:sz w:val="20"/>
                <w:szCs w:val="20"/>
              </w:rPr>
            </w:pPr>
            <w:r w:rsidRPr="00424BD3">
              <w:rPr>
                <w:rFonts w:ascii="Arial" w:hAnsi="Arial" w:cs="Arial"/>
                <w:sz w:val="20"/>
                <w:szCs w:val="20"/>
              </w:rPr>
              <w:t>Rochester, NY</w:t>
            </w:r>
          </w:p>
        </w:tc>
        <w:tc>
          <w:tcPr>
            <w:tcW w:w="1834" w:type="dxa"/>
          </w:tcPr>
          <w:p w14:paraId="12FB6ABF" w14:textId="77777777" w:rsidR="00AD3372" w:rsidRPr="00424BD3" w:rsidRDefault="00AD3372" w:rsidP="003F0137">
            <w:pPr>
              <w:spacing w:line="480" w:lineRule="auto"/>
              <w:rPr>
                <w:rFonts w:cs="Arial"/>
                <w:sz w:val="20"/>
                <w:szCs w:val="20"/>
              </w:rPr>
            </w:pPr>
            <w:r w:rsidRPr="00424BD3">
              <w:rPr>
                <w:rFonts w:ascii="Arial" w:hAnsi="Arial" w:cs="Arial"/>
                <w:sz w:val="20"/>
                <w:szCs w:val="20"/>
              </w:rPr>
              <w:t>1</w:t>
            </w:r>
          </w:p>
        </w:tc>
      </w:tr>
      <w:tr w:rsidR="00AD3372" w:rsidRPr="00424BD3" w14:paraId="7092F498" w14:textId="77777777" w:rsidTr="00AD3372">
        <w:tc>
          <w:tcPr>
            <w:tcW w:w="2785" w:type="dxa"/>
          </w:tcPr>
          <w:p w14:paraId="35A8F819" w14:textId="77777777" w:rsidR="00AD3372" w:rsidRPr="00424BD3" w:rsidRDefault="00AD3372" w:rsidP="003F0137">
            <w:pPr>
              <w:spacing w:line="480" w:lineRule="auto"/>
              <w:rPr>
                <w:rFonts w:ascii="Arial" w:hAnsi="Arial" w:cs="Arial"/>
                <w:sz w:val="20"/>
                <w:szCs w:val="20"/>
              </w:rPr>
            </w:pPr>
            <w:r w:rsidRPr="00424BD3">
              <w:rPr>
                <w:rFonts w:ascii="Arial" w:hAnsi="Arial" w:cs="Arial"/>
                <w:sz w:val="20"/>
                <w:szCs w:val="20"/>
              </w:rPr>
              <w:t>Ann Arbor, MI</w:t>
            </w:r>
          </w:p>
        </w:tc>
        <w:tc>
          <w:tcPr>
            <w:tcW w:w="1440" w:type="dxa"/>
          </w:tcPr>
          <w:p w14:paraId="2E429AE5" w14:textId="77777777" w:rsidR="00AD3372" w:rsidRPr="00424BD3" w:rsidRDefault="00AD3372" w:rsidP="003F0137">
            <w:pPr>
              <w:spacing w:line="480" w:lineRule="auto"/>
              <w:rPr>
                <w:rFonts w:ascii="Arial" w:hAnsi="Arial" w:cs="Arial"/>
                <w:sz w:val="20"/>
                <w:szCs w:val="20"/>
              </w:rPr>
            </w:pPr>
            <w:r w:rsidRPr="00424BD3">
              <w:rPr>
                <w:rFonts w:ascii="Arial" w:hAnsi="Arial" w:cs="Arial"/>
                <w:sz w:val="20"/>
                <w:szCs w:val="20"/>
              </w:rPr>
              <w:t>2</w:t>
            </w:r>
          </w:p>
        </w:tc>
        <w:tc>
          <w:tcPr>
            <w:tcW w:w="3060" w:type="dxa"/>
          </w:tcPr>
          <w:p w14:paraId="4C3D056D" w14:textId="77777777" w:rsidR="00AD3372" w:rsidRPr="00424BD3" w:rsidRDefault="00AD3372" w:rsidP="003F0137">
            <w:pPr>
              <w:spacing w:line="480" w:lineRule="auto"/>
              <w:rPr>
                <w:rFonts w:cs="Arial"/>
                <w:sz w:val="20"/>
                <w:szCs w:val="20"/>
              </w:rPr>
            </w:pPr>
            <w:r w:rsidRPr="00424BD3">
              <w:rPr>
                <w:rFonts w:ascii="Arial" w:hAnsi="Arial" w:cs="Arial"/>
                <w:sz w:val="20"/>
                <w:szCs w:val="20"/>
              </w:rPr>
              <w:t>Santa Cruz, CA</w:t>
            </w:r>
          </w:p>
        </w:tc>
        <w:tc>
          <w:tcPr>
            <w:tcW w:w="1834" w:type="dxa"/>
          </w:tcPr>
          <w:p w14:paraId="5C061650" w14:textId="77777777" w:rsidR="00AD3372" w:rsidRPr="00424BD3" w:rsidRDefault="00AD3372" w:rsidP="003F0137">
            <w:pPr>
              <w:spacing w:line="480" w:lineRule="auto"/>
              <w:rPr>
                <w:rFonts w:cs="Arial"/>
                <w:sz w:val="20"/>
                <w:szCs w:val="20"/>
              </w:rPr>
            </w:pPr>
            <w:r w:rsidRPr="00424BD3">
              <w:rPr>
                <w:rFonts w:ascii="Arial" w:hAnsi="Arial" w:cs="Arial"/>
                <w:sz w:val="20"/>
                <w:szCs w:val="20"/>
              </w:rPr>
              <w:t>1</w:t>
            </w:r>
          </w:p>
        </w:tc>
      </w:tr>
      <w:tr w:rsidR="0057274D" w:rsidRPr="00424BD3" w14:paraId="5B12006A" w14:textId="77777777" w:rsidTr="0057274D">
        <w:tc>
          <w:tcPr>
            <w:tcW w:w="2785" w:type="dxa"/>
          </w:tcPr>
          <w:p w14:paraId="445224B5"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Arlington, TX</w:t>
            </w:r>
          </w:p>
        </w:tc>
        <w:tc>
          <w:tcPr>
            <w:tcW w:w="1440" w:type="dxa"/>
          </w:tcPr>
          <w:p w14:paraId="1E5719BC"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0E82FCF1" w14:textId="77777777" w:rsidR="0057274D" w:rsidRPr="00424BD3" w:rsidRDefault="0057274D" w:rsidP="003F0137">
            <w:pPr>
              <w:spacing w:line="480" w:lineRule="auto"/>
              <w:rPr>
                <w:rFonts w:cs="Arial"/>
                <w:sz w:val="20"/>
                <w:szCs w:val="20"/>
              </w:rPr>
            </w:pPr>
            <w:r w:rsidRPr="00424BD3">
              <w:rPr>
                <w:rFonts w:ascii="Arial" w:hAnsi="Arial" w:cs="Arial"/>
                <w:sz w:val="20"/>
                <w:szCs w:val="20"/>
              </w:rPr>
              <w:t>Somers, CT</w:t>
            </w:r>
          </w:p>
        </w:tc>
        <w:tc>
          <w:tcPr>
            <w:tcW w:w="1834" w:type="dxa"/>
          </w:tcPr>
          <w:p w14:paraId="522E7381"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02E3FC6C" w14:textId="77777777" w:rsidTr="0057274D">
        <w:tc>
          <w:tcPr>
            <w:tcW w:w="2785" w:type="dxa"/>
          </w:tcPr>
          <w:p w14:paraId="5CA6D991"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Boston, MA</w:t>
            </w:r>
          </w:p>
        </w:tc>
        <w:tc>
          <w:tcPr>
            <w:tcW w:w="1440" w:type="dxa"/>
          </w:tcPr>
          <w:p w14:paraId="07F58192"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7078751C" w14:textId="77777777" w:rsidR="0057274D" w:rsidRPr="00424BD3" w:rsidRDefault="0057274D" w:rsidP="003F0137">
            <w:pPr>
              <w:spacing w:line="480" w:lineRule="auto"/>
              <w:rPr>
                <w:rFonts w:cs="Arial"/>
                <w:sz w:val="20"/>
                <w:szCs w:val="20"/>
              </w:rPr>
            </w:pPr>
            <w:r w:rsidRPr="00424BD3">
              <w:rPr>
                <w:rFonts w:ascii="Arial" w:hAnsi="Arial" w:cs="Arial"/>
                <w:sz w:val="20"/>
                <w:szCs w:val="20"/>
              </w:rPr>
              <w:t>Walkerville, IN</w:t>
            </w:r>
          </w:p>
        </w:tc>
        <w:tc>
          <w:tcPr>
            <w:tcW w:w="1834" w:type="dxa"/>
          </w:tcPr>
          <w:p w14:paraId="5831A06B"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070727CB" w14:textId="77777777" w:rsidTr="0057274D">
        <w:tc>
          <w:tcPr>
            <w:tcW w:w="2785" w:type="dxa"/>
          </w:tcPr>
          <w:p w14:paraId="7F575CA6"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Charlottesville, VA</w:t>
            </w:r>
          </w:p>
        </w:tc>
        <w:tc>
          <w:tcPr>
            <w:tcW w:w="1440" w:type="dxa"/>
          </w:tcPr>
          <w:p w14:paraId="558A4CF5"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35B73F20" w14:textId="77777777" w:rsidR="0057274D" w:rsidRPr="00424BD3" w:rsidRDefault="0057274D" w:rsidP="003F0137">
            <w:pPr>
              <w:spacing w:line="480" w:lineRule="auto"/>
              <w:rPr>
                <w:rFonts w:cs="Arial"/>
                <w:sz w:val="20"/>
                <w:szCs w:val="20"/>
              </w:rPr>
            </w:pPr>
            <w:r w:rsidRPr="00424BD3">
              <w:rPr>
                <w:rFonts w:ascii="Arial" w:hAnsi="Arial" w:cs="Arial"/>
                <w:sz w:val="20"/>
                <w:szCs w:val="20"/>
              </w:rPr>
              <w:t>Wallingford, CT</w:t>
            </w:r>
          </w:p>
        </w:tc>
        <w:tc>
          <w:tcPr>
            <w:tcW w:w="1834" w:type="dxa"/>
          </w:tcPr>
          <w:p w14:paraId="51FD8C96"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57BE5470" w14:textId="77777777" w:rsidTr="0057274D">
        <w:tc>
          <w:tcPr>
            <w:tcW w:w="2785" w:type="dxa"/>
          </w:tcPr>
          <w:p w14:paraId="388E4D4B"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Chicago, IL</w:t>
            </w:r>
          </w:p>
        </w:tc>
        <w:tc>
          <w:tcPr>
            <w:tcW w:w="1440" w:type="dxa"/>
          </w:tcPr>
          <w:p w14:paraId="46381914"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2</w:t>
            </w:r>
          </w:p>
        </w:tc>
        <w:tc>
          <w:tcPr>
            <w:tcW w:w="3060" w:type="dxa"/>
          </w:tcPr>
          <w:p w14:paraId="7126DE24" w14:textId="77777777" w:rsidR="0057274D" w:rsidRPr="00424BD3" w:rsidRDefault="0057274D" w:rsidP="003F0137">
            <w:pPr>
              <w:spacing w:line="480" w:lineRule="auto"/>
              <w:rPr>
                <w:rFonts w:cs="Arial"/>
                <w:sz w:val="20"/>
                <w:szCs w:val="20"/>
              </w:rPr>
            </w:pPr>
            <w:r w:rsidRPr="00424BD3">
              <w:rPr>
                <w:rFonts w:ascii="Arial" w:hAnsi="Arial" w:cs="Arial"/>
                <w:sz w:val="20"/>
                <w:szCs w:val="20"/>
              </w:rPr>
              <w:t>Washington, IL</w:t>
            </w:r>
          </w:p>
        </w:tc>
        <w:tc>
          <w:tcPr>
            <w:tcW w:w="1834" w:type="dxa"/>
          </w:tcPr>
          <w:p w14:paraId="7B250F06"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611B2425" w14:textId="77777777" w:rsidTr="0057274D">
        <w:tc>
          <w:tcPr>
            <w:tcW w:w="2785" w:type="dxa"/>
          </w:tcPr>
          <w:p w14:paraId="3BBA1EE2"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Columbus, OH</w:t>
            </w:r>
          </w:p>
        </w:tc>
        <w:tc>
          <w:tcPr>
            <w:tcW w:w="1440" w:type="dxa"/>
          </w:tcPr>
          <w:p w14:paraId="6E3FA7E7"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1B194706" w14:textId="77777777" w:rsidR="0057274D" w:rsidRPr="00424BD3" w:rsidRDefault="0057274D" w:rsidP="003F0137">
            <w:pPr>
              <w:spacing w:line="480" w:lineRule="auto"/>
              <w:rPr>
                <w:rFonts w:cs="Arial"/>
                <w:sz w:val="20"/>
                <w:szCs w:val="20"/>
              </w:rPr>
            </w:pPr>
            <w:r w:rsidRPr="00424BD3">
              <w:rPr>
                <w:rFonts w:ascii="Arial" w:hAnsi="Arial" w:cs="Arial"/>
                <w:sz w:val="20"/>
                <w:szCs w:val="20"/>
              </w:rPr>
              <w:t>Westchester Co, NY</w:t>
            </w:r>
          </w:p>
        </w:tc>
        <w:tc>
          <w:tcPr>
            <w:tcW w:w="1834" w:type="dxa"/>
          </w:tcPr>
          <w:p w14:paraId="33C67FA1" w14:textId="77777777" w:rsidR="0057274D" w:rsidRPr="00424BD3" w:rsidRDefault="0057274D" w:rsidP="003F0137">
            <w:pPr>
              <w:spacing w:line="480" w:lineRule="auto"/>
              <w:rPr>
                <w:rFonts w:cs="Arial"/>
                <w:sz w:val="20"/>
                <w:szCs w:val="20"/>
              </w:rPr>
            </w:pPr>
            <w:r w:rsidRPr="00424BD3">
              <w:rPr>
                <w:rFonts w:ascii="Arial" w:hAnsi="Arial" w:cs="Arial"/>
                <w:sz w:val="20"/>
                <w:szCs w:val="20"/>
              </w:rPr>
              <w:t>2</w:t>
            </w:r>
          </w:p>
        </w:tc>
      </w:tr>
      <w:tr w:rsidR="0057274D" w:rsidRPr="00424BD3" w14:paraId="2C719442" w14:textId="77777777" w:rsidTr="0057274D">
        <w:tc>
          <w:tcPr>
            <w:tcW w:w="2785" w:type="dxa"/>
          </w:tcPr>
          <w:p w14:paraId="6946856B"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Davis, CA</w:t>
            </w:r>
          </w:p>
        </w:tc>
        <w:tc>
          <w:tcPr>
            <w:tcW w:w="1440" w:type="dxa"/>
          </w:tcPr>
          <w:p w14:paraId="51793BE0"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32FAF0B2" w14:textId="77777777" w:rsidR="0057274D" w:rsidRPr="00424BD3" w:rsidRDefault="0057274D" w:rsidP="003F0137">
            <w:pPr>
              <w:spacing w:line="480" w:lineRule="auto"/>
              <w:rPr>
                <w:rFonts w:cs="Arial"/>
                <w:sz w:val="20"/>
                <w:szCs w:val="20"/>
              </w:rPr>
            </w:pPr>
            <w:r w:rsidRPr="00424BD3">
              <w:rPr>
                <w:rFonts w:ascii="Arial" w:hAnsi="Arial" w:cs="Arial"/>
                <w:sz w:val="20"/>
                <w:szCs w:val="20"/>
              </w:rPr>
              <w:t>Wichita Falls, TX</w:t>
            </w:r>
          </w:p>
        </w:tc>
        <w:tc>
          <w:tcPr>
            <w:tcW w:w="1834" w:type="dxa"/>
          </w:tcPr>
          <w:p w14:paraId="5FF09ADA"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52BF7197" w14:textId="77777777" w:rsidTr="0057274D">
        <w:tc>
          <w:tcPr>
            <w:tcW w:w="2785" w:type="dxa"/>
          </w:tcPr>
          <w:p w14:paraId="1C517382"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Findlay, OH</w:t>
            </w:r>
          </w:p>
        </w:tc>
        <w:tc>
          <w:tcPr>
            <w:tcW w:w="1440" w:type="dxa"/>
          </w:tcPr>
          <w:p w14:paraId="7BC8F94C"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6810C5DA" w14:textId="77777777" w:rsidR="0057274D" w:rsidRPr="00424BD3" w:rsidRDefault="0057274D" w:rsidP="003F0137">
            <w:pPr>
              <w:spacing w:line="480" w:lineRule="auto"/>
              <w:rPr>
                <w:rFonts w:cs="Arial"/>
                <w:sz w:val="20"/>
                <w:szCs w:val="20"/>
              </w:rPr>
            </w:pPr>
            <w:r w:rsidRPr="00424BD3">
              <w:rPr>
                <w:rFonts w:ascii="Arial" w:hAnsi="Arial" w:cs="Arial"/>
                <w:sz w:val="20"/>
                <w:szCs w:val="20"/>
              </w:rPr>
              <w:t>Winona Lake, IN</w:t>
            </w:r>
          </w:p>
        </w:tc>
        <w:tc>
          <w:tcPr>
            <w:tcW w:w="1834" w:type="dxa"/>
          </w:tcPr>
          <w:p w14:paraId="6683361A"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15E5C13C" w14:textId="77777777" w:rsidTr="0057274D">
        <w:tc>
          <w:tcPr>
            <w:tcW w:w="2785" w:type="dxa"/>
          </w:tcPr>
          <w:p w14:paraId="15758826"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Greenberg, NY</w:t>
            </w:r>
          </w:p>
        </w:tc>
        <w:tc>
          <w:tcPr>
            <w:tcW w:w="1440" w:type="dxa"/>
          </w:tcPr>
          <w:p w14:paraId="58F4C88F"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41BEFCFA" w14:textId="77777777" w:rsidR="0057274D" w:rsidRPr="00424BD3" w:rsidRDefault="0057274D" w:rsidP="003F0137">
            <w:pPr>
              <w:spacing w:line="480" w:lineRule="auto"/>
              <w:rPr>
                <w:rFonts w:cs="Arial"/>
                <w:sz w:val="20"/>
                <w:szCs w:val="20"/>
              </w:rPr>
            </w:pPr>
            <w:r w:rsidRPr="00424BD3">
              <w:rPr>
                <w:rFonts w:ascii="Arial" w:hAnsi="Arial" w:cs="Arial"/>
                <w:sz w:val="20"/>
                <w:szCs w:val="20"/>
              </w:rPr>
              <w:t>Unspecified, CO</w:t>
            </w:r>
          </w:p>
        </w:tc>
        <w:tc>
          <w:tcPr>
            <w:tcW w:w="1834" w:type="dxa"/>
          </w:tcPr>
          <w:p w14:paraId="56FBD34B"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0465D143" w14:textId="77777777" w:rsidTr="0057274D">
        <w:tc>
          <w:tcPr>
            <w:tcW w:w="2785" w:type="dxa"/>
          </w:tcPr>
          <w:p w14:paraId="2A32DE3C"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Hartford, CT</w:t>
            </w:r>
          </w:p>
        </w:tc>
        <w:tc>
          <w:tcPr>
            <w:tcW w:w="1440" w:type="dxa"/>
          </w:tcPr>
          <w:p w14:paraId="7C84698D"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7ED24A8B" w14:textId="77777777" w:rsidR="0057274D" w:rsidRPr="00424BD3" w:rsidRDefault="0057274D" w:rsidP="003F0137">
            <w:pPr>
              <w:spacing w:line="480" w:lineRule="auto"/>
              <w:rPr>
                <w:rFonts w:cs="Arial"/>
                <w:sz w:val="20"/>
                <w:szCs w:val="20"/>
              </w:rPr>
            </w:pPr>
            <w:r w:rsidRPr="00424BD3">
              <w:rPr>
                <w:rFonts w:ascii="Arial" w:hAnsi="Arial" w:cs="Arial"/>
                <w:sz w:val="20"/>
                <w:szCs w:val="20"/>
              </w:rPr>
              <w:t>Unspecified, NC</w:t>
            </w:r>
          </w:p>
        </w:tc>
        <w:tc>
          <w:tcPr>
            <w:tcW w:w="1834" w:type="dxa"/>
          </w:tcPr>
          <w:p w14:paraId="6482AE4E"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2F598156" w14:textId="77777777" w:rsidTr="0057274D">
        <w:tc>
          <w:tcPr>
            <w:tcW w:w="2785" w:type="dxa"/>
          </w:tcPr>
          <w:p w14:paraId="5119B288"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International</w:t>
            </w:r>
          </w:p>
        </w:tc>
        <w:tc>
          <w:tcPr>
            <w:tcW w:w="1440" w:type="dxa"/>
          </w:tcPr>
          <w:p w14:paraId="61E2F846"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2</w:t>
            </w:r>
          </w:p>
        </w:tc>
        <w:tc>
          <w:tcPr>
            <w:tcW w:w="3060" w:type="dxa"/>
          </w:tcPr>
          <w:p w14:paraId="5B5B92B5" w14:textId="77777777" w:rsidR="0057274D" w:rsidRPr="00424BD3" w:rsidRDefault="0057274D" w:rsidP="003F0137">
            <w:pPr>
              <w:spacing w:line="480" w:lineRule="auto"/>
              <w:rPr>
                <w:rFonts w:cs="Arial"/>
                <w:sz w:val="20"/>
                <w:szCs w:val="20"/>
              </w:rPr>
            </w:pPr>
            <w:r w:rsidRPr="00424BD3">
              <w:rPr>
                <w:rFonts w:ascii="Arial" w:hAnsi="Arial" w:cs="Arial"/>
                <w:sz w:val="20"/>
                <w:szCs w:val="20"/>
              </w:rPr>
              <w:t>Unspecified, north DE</w:t>
            </w:r>
          </w:p>
        </w:tc>
        <w:tc>
          <w:tcPr>
            <w:tcW w:w="1834" w:type="dxa"/>
          </w:tcPr>
          <w:p w14:paraId="63181E91"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6F3D19B1" w14:textId="77777777" w:rsidTr="0057274D">
        <w:tc>
          <w:tcPr>
            <w:tcW w:w="2785" w:type="dxa"/>
          </w:tcPr>
          <w:p w14:paraId="17C37FDC"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Livingston, NJ</w:t>
            </w:r>
          </w:p>
        </w:tc>
        <w:tc>
          <w:tcPr>
            <w:tcW w:w="1440" w:type="dxa"/>
          </w:tcPr>
          <w:p w14:paraId="420CD691"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019042A2" w14:textId="77777777" w:rsidR="0057274D" w:rsidRPr="00424BD3" w:rsidRDefault="0057274D" w:rsidP="003F0137">
            <w:pPr>
              <w:spacing w:line="480" w:lineRule="auto"/>
              <w:rPr>
                <w:rFonts w:cs="Arial"/>
                <w:sz w:val="20"/>
                <w:szCs w:val="20"/>
              </w:rPr>
            </w:pPr>
            <w:r w:rsidRPr="00424BD3">
              <w:rPr>
                <w:rFonts w:ascii="Arial" w:hAnsi="Arial" w:cs="Arial"/>
                <w:sz w:val="20"/>
                <w:szCs w:val="20"/>
              </w:rPr>
              <w:t>Unspecified, Pacific Northwest</w:t>
            </w:r>
          </w:p>
        </w:tc>
        <w:tc>
          <w:tcPr>
            <w:tcW w:w="1834" w:type="dxa"/>
          </w:tcPr>
          <w:p w14:paraId="1658FF0B"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7C5F8584" w14:textId="77777777" w:rsidTr="0057274D">
        <w:tc>
          <w:tcPr>
            <w:tcW w:w="2785" w:type="dxa"/>
          </w:tcPr>
          <w:p w14:paraId="160F98B2"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Mount Vernon, NY</w:t>
            </w:r>
          </w:p>
        </w:tc>
        <w:tc>
          <w:tcPr>
            <w:tcW w:w="1440" w:type="dxa"/>
          </w:tcPr>
          <w:p w14:paraId="6F61AA6B"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10D3CF33" w14:textId="77777777" w:rsidR="0057274D" w:rsidRPr="00424BD3" w:rsidRDefault="0057274D" w:rsidP="003F0137">
            <w:pPr>
              <w:spacing w:line="480" w:lineRule="auto"/>
              <w:rPr>
                <w:rFonts w:cs="Arial"/>
                <w:sz w:val="20"/>
                <w:szCs w:val="20"/>
              </w:rPr>
            </w:pPr>
            <w:r w:rsidRPr="00424BD3">
              <w:rPr>
                <w:rFonts w:ascii="Arial" w:hAnsi="Arial" w:cs="Arial"/>
                <w:sz w:val="20"/>
                <w:szCs w:val="20"/>
              </w:rPr>
              <w:t>Unspecified, Southern CA</w:t>
            </w:r>
          </w:p>
        </w:tc>
        <w:tc>
          <w:tcPr>
            <w:tcW w:w="1834" w:type="dxa"/>
          </w:tcPr>
          <w:p w14:paraId="28C0829D"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33951423" w14:textId="77777777" w:rsidTr="0057274D">
        <w:tc>
          <w:tcPr>
            <w:tcW w:w="2785" w:type="dxa"/>
          </w:tcPr>
          <w:p w14:paraId="779219E7"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Muncie, IN</w:t>
            </w:r>
          </w:p>
        </w:tc>
        <w:tc>
          <w:tcPr>
            <w:tcW w:w="1440" w:type="dxa"/>
          </w:tcPr>
          <w:p w14:paraId="3AF8A3FC"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1</w:t>
            </w:r>
          </w:p>
        </w:tc>
        <w:tc>
          <w:tcPr>
            <w:tcW w:w="3060" w:type="dxa"/>
          </w:tcPr>
          <w:p w14:paraId="6FB7D821" w14:textId="77777777" w:rsidR="0057274D" w:rsidRPr="00424BD3" w:rsidRDefault="0057274D" w:rsidP="003F0137">
            <w:pPr>
              <w:spacing w:line="480" w:lineRule="auto"/>
              <w:rPr>
                <w:rFonts w:cs="Arial"/>
                <w:sz w:val="20"/>
                <w:szCs w:val="20"/>
              </w:rPr>
            </w:pPr>
            <w:r w:rsidRPr="00424BD3">
              <w:rPr>
                <w:rFonts w:ascii="Arial" w:hAnsi="Arial" w:cs="Arial"/>
                <w:sz w:val="20"/>
                <w:szCs w:val="20"/>
              </w:rPr>
              <w:t>Unspecified, Southern IL</w:t>
            </w:r>
          </w:p>
        </w:tc>
        <w:tc>
          <w:tcPr>
            <w:tcW w:w="1834" w:type="dxa"/>
          </w:tcPr>
          <w:p w14:paraId="7AEB652B" w14:textId="77777777" w:rsidR="0057274D" w:rsidRPr="00424BD3" w:rsidRDefault="0057274D" w:rsidP="003F0137">
            <w:pPr>
              <w:spacing w:line="480" w:lineRule="auto"/>
              <w:rPr>
                <w:rFonts w:cs="Arial"/>
                <w:sz w:val="20"/>
                <w:szCs w:val="20"/>
              </w:rPr>
            </w:pPr>
            <w:r w:rsidRPr="00424BD3">
              <w:rPr>
                <w:rFonts w:ascii="Arial" w:hAnsi="Arial" w:cs="Arial"/>
                <w:sz w:val="20"/>
                <w:szCs w:val="20"/>
              </w:rPr>
              <w:t>1</w:t>
            </w:r>
          </w:p>
        </w:tc>
      </w:tr>
      <w:tr w:rsidR="0057274D" w:rsidRPr="00424BD3" w14:paraId="574C97D5" w14:textId="77777777" w:rsidTr="0057274D">
        <w:tc>
          <w:tcPr>
            <w:tcW w:w="2785" w:type="dxa"/>
          </w:tcPr>
          <w:p w14:paraId="793263BE"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Nashville, TN</w:t>
            </w:r>
          </w:p>
        </w:tc>
        <w:tc>
          <w:tcPr>
            <w:tcW w:w="1440" w:type="dxa"/>
          </w:tcPr>
          <w:p w14:paraId="1D2978D8" w14:textId="77777777" w:rsidR="0057274D" w:rsidRPr="00424BD3" w:rsidRDefault="0057274D" w:rsidP="003F0137">
            <w:pPr>
              <w:spacing w:line="480" w:lineRule="auto"/>
              <w:rPr>
                <w:rFonts w:ascii="Arial" w:hAnsi="Arial" w:cs="Arial"/>
                <w:sz w:val="20"/>
                <w:szCs w:val="20"/>
              </w:rPr>
            </w:pPr>
            <w:r w:rsidRPr="00424BD3">
              <w:rPr>
                <w:rFonts w:ascii="Arial" w:hAnsi="Arial" w:cs="Arial"/>
                <w:sz w:val="20"/>
                <w:szCs w:val="20"/>
              </w:rPr>
              <w:t>2</w:t>
            </w:r>
          </w:p>
        </w:tc>
        <w:tc>
          <w:tcPr>
            <w:tcW w:w="3060" w:type="dxa"/>
          </w:tcPr>
          <w:p w14:paraId="5B0DC405" w14:textId="77777777" w:rsidR="0057274D" w:rsidRPr="00424BD3" w:rsidRDefault="0057274D" w:rsidP="003F0137">
            <w:pPr>
              <w:spacing w:line="480" w:lineRule="auto"/>
              <w:rPr>
                <w:rFonts w:cs="Arial"/>
                <w:sz w:val="20"/>
                <w:szCs w:val="20"/>
              </w:rPr>
            </w:pPr>
          </w:p>
        </w:tc>
        <w:tc>
          <w:tcPr>
            <w:tcW w:w="1834" w:type="dxa"/>
          </w:tcPr>
          <w:p w14:paraId="3A25CD95" w14:textId="77777777" w:rsidR="0057274D" w:rsidRPr="00424BD3" w:rsidRDefault="0057274D" w:rsidP="003F0137">
            <w:pPr>
              <w:spacing w:line="480" w:lineRule="auto"/>
              <w:rPr>
                <w:rFonts w:cs="Arial"/>
                <w:sz w:val="20"/>
                <w:szCs w:val="20"/>
              </w:rPr>
            </w:pPr>
          </w:p>
        </w:tc>
      </w:tr>
      <w:tr w:rsidR="00FD55D8" w:rsidRPr="00424BD3" w14:paraId="67794949" w14:textId="77777777" w:rsidTr="0057274D">
        <w:tc>
          <w:tcPr>
            <w:tcW w:w="2785" w:type="dxa"/>
          </w:tcPr>
          <w:p w14:paraId="3D43046E" w14:textId="33F560E1" w:rsidR="00FD55D8" w:rsidRPr="00FD55D8" w:rsidRDefault="00FD55D8" w:rsidP="003F0137">
            <w:pPr>
              <w:spacing w:line="480" w:lineRule="auto"/>
              <w:rPr>
                <w:rFonts w:ascii="Arial" w:hAnsi="Arial" w:cs="Arial"/>
                <w:sz w:val="20"/>
                <w:szCs w:val="20"/>
              </w:rPr>
            </w:pPr>
            <w:r w:rsidRPr="00FD55D8">
              <w:rPr>
                <w:rFonts w:ascii="Arial" w:hAnsi="Arial" w:cs="Arial"/>
                <w:sz w:val="20"/>
                <w:szCs w:val="20"/>
              </w:rPr>
              <w:t>New York, NY</w:t>
            </w:r>
          </w:p>
        </w:tc>
        <w:tc>
          <w:tcPr>
            <w:tcW w:w="1440" w:type="dxa"/>
          </w:tcPr>
          <w:p w14:paraId="4F0DD171" w14:textId="67927206" w:rsidR="00FD55D8" w:rsidRPr="00FD55D8" w:rsidRDefault="00FD55D8" w:rsidP="003F0137">
            <w:pPr>
              <w:spacing w:line="480" w:lineRule="auto"/>
              <w:rPr>
                <w:rFonts w:ascii="Arial" w:hAnsi="Arial" w:cs="Arial"/>
                <w:sz w:val="20"/>
                <w:szCs w:val="20"/>
              </w:rPr>
            </w:pPr>
            <w:r w:rsidRPr="00FD55D8">
              <w:rPr>
                <w:rFonts w:ascii="Arial" w:hAnsi="Arial" w:cs="Arial"/>
                <w:sz w:val="20"/>
                <w:szCs w:val="20"/>
              </w:rPr>
              <w:t>2</w:t>
            </w:r>
          </w:p>
        </w:tc>
        <w:tc>
          <w:tcPr>
            <w:tcW w:w="3060" w:type="dxa"/>
          </w:tcPr>
          <w:p w14:paraId="6028C1F4" w14:textId="77777777" w:rsidR="00FD55D8" w:rsidRPr="00FD55D8" w:rsidRDefault="00FD55D8" w:rsidP="003F0137">
            <w:pPr>
              <w:spacing w:line="480" w:lineRule="auto"/>
              <w:rPr>
                <w:rFonts w:ascii="Arial" w:hAnsi="Arial" w:cs="Arial"/>
                <w:sz w:val="20"/>
                <w:szCs w:val="20"/>
              </w:rPr>
            </w:pPr>
          </w:p>
        </w:tc>
        <w:tc>
          <w:tcPr>
            <w:tcW w:w="1834" w:type="dxa"/>
          </w:tcPr>
          <w:p w14:paraId="16A588AE" w14:textId="77777777" w:rsidR="00FD55D8" w:rsidRPr="00FD55D8" w:rsidRDefault="00FD55D8" w:rsidP="003F0137">
            <w:pPr>
              <w:spacing w:line="480" w:lineRule="auto"/>
              <w:rPr>
                <w:rFonts w:ascii="Arial" w:hAnsi="Arial" w:cs="Arial"/>
                <w:sz w:val="20"/>
                <w:szCs w:val="20"/>
              </w:rPr>
            </w:pPr>
          </w:p>
        </w:tc>
      </w:tr>
      <w:tr w:rsidR="00FD55D8" w:rsidRPr="00424BD3" w14:paraId="28E61147" w14:textId="77777777" w:rsidTr="0057274D">
        <w:tc>
          <w:tcPr>
            <w:tcW w:w="2785" w:type="dxa"/>
          </w:tcPr>
          <w:p w14:paraId="7D77A210" w14:textId="3D43EF6F" w:rsidR="00FD55D8" w:rsidRPr="00FD55D8" w:rsidRDefault="00FD55D8" w:rsidP="00FD55D8">
            <w:pPr>
              <w:spacing w:line="480" w:lineRule="auto"/>
              <w:rPr>
                <w:rFonts w:cs="Arial"/>
                <w:sz w:val="20"/>
                <w:szCs w:val="20"/>
              </w:rPr>
            </w:pPr>
            <w:r w:rsidRPr="00424BD3">
              <w:rPr>
                <w:rFonts w:ascii="Arial" w:hAnsi="Arial" w:cs="Arial"/>
                <w:sz w:val="20"/>
                <w:szCs w:val="20"/>
              </w:rPr>
              <w:t>Los Angeles, CA</w:t>
            </w:r>
          </w:p>
        </w:tc>
        <w:tc>
          <w:tcPr>
            <w:tcW w:w="1440" w:type="dxa"/>
          </w:tcPr>
          <w:p w14:paraId="7191445C" w14:textId="7245462B" w:rsidR="00FD55D8" w:rsidRPr="00FD55D8" w:rsidRDefault="00FD55D8" w:rsidP="00FD55D8">
            <w:pPr>
              <w:spacing w:line="480" w:lineRule="auto"/>
              <w:rPr>
                <w:rFonts w:cs="Arial"/>
                <w:sz w:val="20"/>
                <w:szCs w:val="20"/>
              </w:rPr>
            </w:pPr>
            <w:r w:rsidRPr="00424BD3">
              <w:rPr>
                <w:rFonts w:ascii="Arial" w:hAnsi="Arial" w:cs="Arial"/>
                <w:sz w:val="20"/>
                <w:szCs w:val="20"/>
              </w:rPr>
              <w:t>1</w:t>
            </w:r>
          </w:p>
        </w:tc>
        <w:tc>
          <w:tcPr>
            <w:tcW w:w="3060" w:type="dxa"/>
          </w:tcPr>
          <w:p w14:paraId="6CF863B2" w14:textId="77777777" w:rsidR="00FD55D8" w:rsidRPr="00FD55D8" w:rsidRDefault="00FD55D8" w:rsidP="00FD55D8">
            <w:pPr>
              <w:spacing w:line="480" w:lineRule="auto"/>
              <w:rPr>
                <w:rFonts w:cs="Arial"/>
                <w:sz w:val="20"/>
                <w:szCs w:val="20"/>
              </w:rPr>
            </w:pPr>
          </w:p>
        </w:tc>
        <w:tc>
          <w:tcPr>
            <w:tcW w:w="1834" w:type="dxa"/>
          </w:tcPr>
          <w:p w14:paraId="1015A19F" w14:textId="77777777" w:rsidR="00FD55D8" w:rsidRPr="00FD55D8" w:rsidRDefault="00FD55D8" w:rsidP="00FD55D8">
            <w:pPr>
              <w:spacing w:line="480" w:lineRule="auto"/>
              <w:rPr>
                <w:rFonts w:cs="Arial"/>
                <w:sz w:val="20"/>
                <w:szCs w:val="20"/>
              </w:rPr>
            </w:pPr>
          </w:p>
        </w:tc>
      </w:tr>
      <w:tr w:rsidR="00FD55D8" w:rsidRPr="00424BD3" w14:paraId="7FE1B711" w14:textId="77777777" w:rsidTr="0057274D">
        <w:tc>
          <w:tcPr>
            <w:tcW w:w="2785" w:type="dxa"/>
          </w:tcPr>
          <w:p w14:paraId="07B451DF" w14:textId="553EDDD3" w:rsidR="00FD55D8" w:rsidRPr="00424BD3" w:rsidRDefault="00FD55D8" w:rsidP="00FD55D8">
            <w:pPr>
              <w:spacing w:line="480" w:lineRule="auto"/>
              <w:rPr>
                <w:rFonts w:cs="Arial"/>
                <w:sz w:val="20"/>
                <w:szCs w:val="20"/>
              </w:rPr>
            </w:pPr>
            <w:r w:rsidRPr="00424BD3">
              <w:rPr>
                <w:rFonts w:ascii="Arial" w:hAnsi="Arial" w:cs="Arial"/>
                <w:sz w:val="20"/>
                <w:szCs w:val="20"/>
              </w:rPr>
              <w:t>Peoria, IL</w:t>
            </w:r>
          </w:p>
        </w:tc>
        <w:tc>
          <w:tcPr>
            <w:tcW w:w="1440" w:type="dxa"/>
          </w:tcPr>
          <w:p w14:paraId="2BB59514" w14:textId="67D0C2D7" w:rsidR="00FD55D8" w:rsidRPr="00424BD3" w:rsidRDefault="00FD55D8" w:rsidP="00FD55D8">
            <w:pPr>
              <w:spacing w:line="480" w:lineRule="auto"/>
              <w:rPr>
                <w:rFonts w:cs="Arial"/>
                <w:sz w:val="20"/>
                <w:szCs w:val="20"/>
              </w:rPr>
            </w:pPr>
            <w:r w:rsidRPr="00424BD3">
              <w:rPr>
                <w:rFonts w:ascii="Arial" w:hAnsi="Arial" w:cs="Arial"/>
                <w:sz w:val="20"/>
                <w:szCs w:val="20"/>
              </w:rPr>
              <w:t>1</w:t>
            </w:r>
          </w:p>
        </w:tc>
        <w:tc>
          <w:tcPr>
            <w:tcW w:w="3060" w:type="dxa"/>
          </w:tcPr>
          <w:p w14:paraId="7024FB87" w14:textId="77777777" w:rsidR="00FD55D8" w:rsidRPr="00FD55D8" w:rsidRDefault="00FD55D8" w:rsidP="00FD55D8">
            <w:pPr>
              <w:spacing w:line="480" w:lineRule="auto"/>
              <w:rPr>
                <w:rFonts w:cs="Arial"/>
                <w:sz w:val="20"/>
                <w:szCs w:val="20"/>
              </w:rPr>
            </w:pPr>
          </w:p>
        </w:tc>
        <w:tc>
          <w:tcPr>
            <w:tcW w:w="1834" w:type="dxa"/>
          </w:tcPr>
          <w:p w14:paraId="55D24D06" w14:textId="77777777" w:rsidR="00FD55D8" w:rsidRPr="00FD55D8" w:rsidRDefault="00FD55D8" w:rsidP="00FD55D8">
            <w:pPr>
              <w:spacing w:line="480" w:lineRule="auto"/>
              <w:rPr>
                <w:rFonts w:cs="Arial"/>
                <w:sz w:val="20"/>
                <w:szCs w:val="20"/>
              </w:rPr>
            </w:pPr>
          </w:p>
        </w:tc>
      </w:tr>
    </w:tbl>
    <w:p w14:paraId="1AF310CF" w14:textId="768C78B4" w:rsidR="00A9518E" w:rsidRPr="00424BD3" w:rsidRDefault="00A9518E">
      <w:pPr>
        <w:rPr>
          <w:rFonts w:cs="Arial"/>
          <w:i/>
          <w:iCs/>
          <w:szCs w:val="24"/>
        </w:rPr>
      </w:pPr>
    </w:p>
    <w:p w14:paraId="5B5B9B8D" w14:textId="7AA26E08" w:rsidR="00A97631" w:rsidRDefault="00A97631" w:rsidP="000126EE">
      <w:pPr>
        <w:spacing w:after="0" w:line="480" w:lineRule="auto"/>
      </w:pPr>
    </w:p>
    <w:p w14:paraId="44640F8F" w14:textId="77777777" w:rsidR="00FD55D8" w:rsidRPr="00424BD3" w:rsidRDefault="00FD55D8" w:rsidP="000126EE">
      <w:pPr>
        <w:spacing w:after="0" w:line="480" w:lineRule="auto"/>
      </w:pPr>
    </w:p>
    <w:p w14:paraId="3CCC6540" w14:textId="00EF230C" w:rsidR="00C246DE" w:rsidRPr="00424BD3" w:rsidRDefault="008E595F" w:rsidP="00C15BB3">
      <w:pPr>
        <w:pStyle w:val="Caption"/>
        <w:spacing w:after="0"/>
        <w:rPr>
          <w:rFonts w:cs="Arial"/>
          <w:bCs/>
          <w:color w:val="auto"/>
          <w:sz w:val="24"/>
          <w:szCs w:val="24"/>
        </w:rPr>
      </w:pPr>
      <w:bookmarkStart w:id="122" w:name="_Toc116675208"/>
      <w:r w:rsidRPr="00424BD3">
        <w:rPr>
          <w:color w:val="auto"/>
          <w:sz w:val="24"/>
          <w:szCs w:val="24"/>
        </w:rPr>
        <w:lastRenderedPageBreak/>
        <w:t xml:space="preserve">Table </w:t>
      </w:r>
      <w:r w:rsidRPr="00424BD3">
        <w:rPr>
          <w:color w:val="auto"/>
          <w:sz w:val="24"/>
          <w:szCs w:val="24"/>
        </w:rPr>
        <w:fldChar w:fldCharType="begin"/>
      </w:r>
      <w:r w:rsidRPr="00424BD3">
        <w:rPr>
          <w:color w:val="auto"/>
          <w:sz w:val="24"/>
          <w:szCs w:val="24"/>
        </w:rPr>
        <w:instrText xml:space="preserve"> SEQ Table \* ARABIC </w:instrText>
      </w:r>
      <w:r w:rsidRPr="00424BD3">
        <w:rPr>
          <w:color w:val="auto"/>
          <w:sz w:val="24"/>
          <w:szCs w:val="24"/>
        </w:rPr>
        <w:fldChar w:fldCharType="separate"/>
      </w:r>
      <w:r w:rsidR="00281020">
        <w:rPr>
          <w:noProof/>
          <w:color w:val="auto"/>
          <w:sz w:val="24"/>
          <w:szCs w:val="24"/>
        </w:rPr>
        <w:t>5</w:t>
      </w:r>
      <w:r w:rsidRPr="00424BD3">
        <w:rPr>
          <w:color w:val="auto"/>
          <w:sz w:val="24"/>
          <w:szCs w:val="24"/>
        </w:rPr>
        <w:fldChar w:fldCharType="end"/>
      </w:r>
      <w:r w:rsidR="00C246DE" w:rsidRPr="00424BD3">
        <w:rPr>
          <w:rFonts w:cs="Arial"/>
          <w:bCs/>
          <w:color w:val="auto"/>
          <w:sz w:val="24"/>
          <w:szCs w:val="24"/>
        </w:rPr>
        <w:t>. Participant’s perceptions of whether place mattered in their healthcare experiences</w:t>
      </w:r>
      <w:bookmarkEnd w:id="122"/>
      <w:r w:rsidR="00C246DE" w:rsidRPr="00424BD3">
        <w:rPr>
          <w:rFonts w:cs="Arial"/>
          <w:bCs/>
          <w:color w:val="auto"/>
          <w:sz w:val="24"/>
          <w:szCs w:val="24"/>
        </w:rPr>
        <w:t xml:space="preserve"> </w:t>
      </w:r>
    </w:p>
    <w:p w14:paraId="4DCBE1D7" w14:textId="77777777" w:rsidR="00C15BB3" w:rsidRPr="00424BD3" w:rsidRDefault="00C15BB3" w:rsidP="00C15BB3"/>
    <w:tbl>
      <w:tblPr>
        <w:tblStyle w:val="TableGrid"/>
        <w:tblW w:w="0" w:type="auto"/>
        <w:tblLook w:val="04A0" w:firstRow="1" w:lastRow="0" w:firstColumn="1" w:lastColumn="0" w:noHBand="0" w:noVBand="1"/>
      </w:tblPr>
      <w:tblGrid>
        <w:gridCol w:w="1795"/>
        <w:gridCol w:w="2520"/>
        <w:gridCol w:w="5035"/>
      </w:tblGrid>
      <w:tr w:rsidR="00823240" w:rsidRPr="00424BD3" w14:paraId="56351449" w14:textId="77777777" w:rsidTr="0008307D">
        <w:tc>
          <w:tcPr>
            <w:tcW w:w="1795" w:type="dxa"/>
          </w:tcPr>
          <w:p w14:paraId="0569DF66" w14:textId="77777777" w:rsidR="00823240" w:rsidRPr="00424BD3" w:rsidRDefault="00823240" w:rsidP="000126EE">
            <w:pPr>
              <w:spacing w:line="480" w:lineRule="auto"/>
              <w:rPr>
                <w:rFonts w:cs="Arial"/>
                <w:b/>
                <w:bCs/>
                <w:sz w:val="20"/>
                <w:szCs w:val="20"/>
              </w:rPr>
            </w:pPr>
          </w:p>
        </w:tc>
        <w:tc>
          <w:tcPr>
            <w:tcW w:w="2520" w:type="dxa"/>
          </w:tcPr>
          <w:p w14:paraId="49AC0C1E" w14:textId="77777777" w:rsidR="00823240" w:rsidRPr="00424BD3" w:rsidRDefault="00823240" w:rsidP="000126EE">
            <w:pPr>
              <w:spacing w:line="480" w:lineRule="auto"/>
              <w:rPr>
                <w:rFonts w:cs="Arial"/>
                <w:b/>
                <w:bCs/>
                <w:sz w:val="20"/>
                <w:szCs w:val="20"/>
              </w:rPr>
            </w:pPr>
          </w:p>
        </w:tc>
        <w:tc>
          <w:tcPr>
            <w:tcW w:w="5035" w:type="dxa"/>
          </w:tcPr>
          <w:p w14:paraId="6859C059" w14:textId="77777777" w:rsidR="00823240" w:rsidRPr="00424BD3" w:rsidRDefault="00823240" w:rsidP="000126EE">
            <w:pPr>
              <w:spacing w:line="480" w:lineRule="auto"/>
              <w:rPr>
                <w:rFonts w:cs="Arial"/>
                <w:b/>
                <w:bCs/>
                <w:sz w:val="20"/>
                <w:szCs w:val="20"/>
              </w:rPr>
            </w:pPr>
          </w:p>
        </w:tc>
      </w:tr>
      <w:tr w:rsidR="00C246DE" w:rsidRPr="00424BD3" w14:paraId="7370027D" w14:textId="77777777" w:rsidTr="0008307D">
        <w:tc>
          <w:tcPr>
            <w:tcW w:w="1795" w:type="dxa"/>
          </w:tcPr>
          <w:p w14:paraId="08551DD2" w14:textId="77777777" w:rsidR="00C246DE" w:rsidRPr="00424BD3" w:rsidRDefault="00C246DE" w:rsidP="00D41619">
            <w:pPr>
              <w:rPr>
                <w:rFonts w:ascii="Arial" w:hAnsi="Arial" w:cs="Arial"/>
                <w:b/>
                <w:bCs/>
                <w:sz w:val="20"/>
                <w:szCs w:val="20"/>
              </w:rPr>
            </w:pPr>
            <w:r w:rsidRPr="00424BD3">
              <w:rPr>
                <w:rFonts w:ascii="Arial" w:hAnsi="Arial" w:cs="Arial"/>
                <w:b/>
                <w:bCs/>
                <w:sz w:val="20"/>
                <w:szCs w:val="20"/>
              </w:rPr>
              <w:t>Participant</w:t>
            </w:r>
          </w:p>
        </w:tc>
        <w:tc>
          <w:tcPr>
            <w:tcW w:w="2520" w:type="dxa"/>
          </w:tcPr>
          <w:p w14:paraId="4465C566" w14:textId="77777777" w:rsidR="00C246DE" w:rsidRPr="00424BD3" w:rsidRDefault="00C246DE" w:rsidP="00D41619">
            <w:pPr>
              <w:rPr>
                <w:rFonts w:ascii="Arial" w:hAnsi="Arial" w:cs="Arial"/>
                <w:b/>
                <w:bCs/>
                <w:sz w:val="20"/>
                <w:szCs w:val="20"/>
              </w:rPr>
            </w:pPr>
            <w:r w:rsidRPr="00424BD3">
              <w:rPr>
                <w:rFonts w:ascii="Arial" w:hAnsi="Arial" w:cs="Arial"/>
                <w:b/>
                <w:bCs/>
                <w:sz w:val="20"/>
                <w:szCs w:val="20"/>
              </w:rPr>
              <w:t>Place Matters in healthcare experiences</w:t>
            </w:r>
          </w:p>
        </w:tc>
        <w:tc>
          <w:tcPr>
            <w:tcW w:w="5035" w:type="dxa"/>
          </w:tcPr>
          <w:p w14:paraId="0F52B82B" w14:textId="77777777" w:rsidR="00C246DE" w:rsidRPr="00424BD3" w:rsidRDefault="00C246DE" w:rsidP="00D41619">
            <w:pPr>
              <w:rPr>
                <w:rFonts w:ascii="Arial" w:hAnsi="Arial" w:cs="Arial"/>
                <w:b/>
                <w:bCs/>
                <w:sz w:val="20"/>
                <w:szCs w:val="20"/>
              </w:rPr>
            </w:pPr>
            <w:r w:rsidRPr="00424BD3">
              <w:rPr>
                <w:rFonts w:ascii="Arial" w:hAnsi="Arial" w:cs="Arial"/>
                <w:b/>
                <w:bCs/>
                <w:sz w:val="20"/>
                <w:szCs w:val="20"/>
              </w:rPr>
              <w:t>Perceptions of whether place mattered in their healthcare experience</w:t>
            </w:r>
          </w:p>
        </w:tc>
      </w:tr>
      <w:tr w:rsidR="005C4E9A" w:rsidRPr="00424BD3" w14:paraId="324F28BC" w14:textId="77777777" w:rsidTr="0008307D">
        <w:tc>
          <w:tcPr>
            <w:tcW w:w="1795" w:type="dxa"/>
          </w:tcPr>
          <w:p w14:paraId="20D9EDED" w14:textId="77777777" w:rsidR="005C4E9A" w:rsidRPr="00424BD3" w:rsidRDefault="005C4E9A" w:rsidP="000126EE">
            <w:pPr>
              <w:spacing w:line="480" w:lineRule="auto"/>
              <w:rPr>
                <w:rFonts w:cs="Arial"/>
                <w:b/>
                <w:bCs/>
                <w:sz w:val="20"/>
                <w:szCs w:val="20"/>
              </w:rPr>
            </w:pPr>
          </w:p>
        </w:tc>
        <w:tc>
          <w:tcPr>
            <w:tcW w:w="2520" w:type="dxa"/>
          </w:tcPr>
          <w:p w14:paraId="63895511" w14:textId="77777777" w:rsidR="005C4E9A" w:rsidRPr="00424BD3" w:rsidRDefault="005C4E9A" w:rsidP="000126EE">
            <w:pPr>
              <w:spacing w:line="480" w:lineRule="auto"/>
              <w:rPr>
                <w:rFonts w:cs="Arial"/>
                <w:b/>
                <w:bCs/>
                <w:sz w:val="20"/>
                <w:szCs w:val="20"/>
              </w:rPr>
            </w:pPr>
          </w:p>
        </w:tc>
        <w:tc>
          <w:tcPr>
            <w:tcW w:w="5035" w:type="dxa"/>
          </w:tcPr>
          <w:p w14:paraId="26916151" w14:textId="77777777" w:rsidR="005C4E9A" w:rsidRPr="00424BD3" w:rsidRDefault="005C4E9A" w:rsidP="000126EE">
            <w:pPr>
              <w:spacing w:line="480" w:lineRule="auto"/>
              <w:rPr>
                <w:rFonts w:cs="Arial"/>
                <w:b/>
                <w:bCs/>
                <w:sz w:val="20"/>
                <w:szCs w:val="20"/>
              </w:rPr>
            </w:pPr>
          </w:p>
        </w:tc>
      </w:tr>
      <w:tr w:rsidR="00C246DE" w:rsidRPr="00424BD3" w14:paraId="2F00659C" w14:textId="77777777" w:rsidTr="0008307D">
        <w:tc>
          <w:tcPr>
            <w:tcW w:w="1795" w:type="dxa"/>
          </w:tcPr>
          <w:p w14:paraId="2B1C7072"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Mary</w:t>
            </w:r>
          </w:p>
        </w:tc>
        <w:tc>
          <w:tcPr>
            <w:tcW w:w="2520" w:type="dxa"/>
          </w:tcPr>
          <w:p w14:paraId="7D1282C7"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Yes</w:t>
            </w:r>
          </w:p>
        </w:tc>
        <w:tc>
          <w:tcPr>
            <w:tcW w:w="5035" w:type="dxa"/>
          </w:tcPr>
          <w:p w14:paraId="4A30036E"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However, when thinking of her birthplace, she wondered if she perceived healthcare there as not as good because of her parents’ attitudes toward health and healthcare.</w:t>
            </w:r>
          </w:p>
        </w:tc>
      </w:tr>
      <w:tr w:rsidR="00C246DE" w:rsidRPr="00424BD3" w14:paraId="6742D9A3" w14:textId="77777777" w:rsidTr="0008307D">
        <w:tc>
          <w:tcPr>
            <w:tcW w:w="1795" w:type="dxa"/>
          </w:tcPr>
          <w:p w14:paraId="3D46D28F"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Peggy</w:t>
            </w:r>
          </w:p>
        </w:tc>
        <w:tc>
          <w:tcPr>
            <w:tcW w:w="2520" w:type="dxa"/>
          </w:tcPr>
          <w:p w14:paraId="61089D53"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Yes</w:t>
            </w:r>
          </w:p>
        </w:tc>
        <w:tc>
          <w:tcPr>
            <w:tcW w:w="5035" w:type="dxa"/>
          </w:tcPr>
          <w:p w14:paraId="22887024"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 xml:space="preserve">Peggy viewed healthcare in one state she lived as worse than every other place she lived. However, she based this on one physician’s patronizing treatment and poor care regarding her first heart attack. </w:t>
            </w:r>
          </w:p>
        </w:tc>
      </w:tr>
      <w:tr w:rsidR="00C246DE" w:rsidRPr="00424BD3" w14:paraId="5C8AFCC2" w14:textId="77777777" w:rsidTr="0008307D">
        <w:tc>
          <w:tcPr>
            <w:tcW w:w="1795" w:type="dxa"/>
          </w:tcPr>
          <w:p w14:paraId="0AA423C6"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Deborah</w:t>
            </w:r>
          </w:p>
        </w:tc>
        <w:tc>
          <w:tcPr>
            <w:tcW w:w="2520" w:type="dxa"/>
          </w:tcPr>
          <w:p w14:paraId="55FD297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Not stated</w:t>
            </w:r>
          </w:p>
        </w:tc>
        <w:tc>
          <w:tcPr>
            <w:tcW w:w="5035" w:type="dxa"/>
          </w:tcPr>
          <w:p w14:paraId="6C2B849A" w14:textId="77777777" w:rsidR="00C246DE" w:rsidRPr="00424BD3" w:rsidRDefault="00C246DE" w:rsidP="000126EE">
            <w:pPr>
              <w:spacing w:line="480" w:lineRule="auto"/>
              <w:rPr>
                <w:rFonts w:ascii="Arial" w:hAnsi="Arial" w:cs="Arial"/>
                <w:sz w:val="20"/>
                <w:szCs w:val="20"/>
              </w:rPr>
            </w:pPr>
          </w:p>
        </w:tc>
      </w:tr>
      <w:tr w:rsidR="00FD55D8" w:rsidRPr="00424BD3" w14:paraId="3CD8FED2" w14:textId="77777777" w:rsidTr="00FD55D8">
        <w:tc>
          <w:tcPr>
            <w:tcW w:w="1795" w:type="dxa"/>
          </w:tcPr>
          <w:p w14:paraId="672C3938" w14:textId="77777777" w:rsidR="00FD55D8" w:rsidRPr="00424BD3" w:rsidRDefault="00FD55D8" w:rsidP="00BB5905">
            <w:pPr>
              <w:spacing w:line="480" w:lineRule="auto"/>
              <w:rPr>
                <w:rFonts w:cs="Arial"/>
                <w:sz w:val="20"/>
                <w:szCs w:val="20"/>
              </w:rPr>
            </w:pPr>
            <w:r w:rsidRPr="00424BD3">
              <w:rPr>
                <w:rFonts w:ascii="Arial" w:hAnsi="Arial" w:cs="Arial"/>
                <w:sz w:val="20"/>
                <w:szCs w:val="20"/>
              </w:rPr>
              <w:t>Barbara</w:t>
            </w:r>
          </w:p>
        </w:tc>
        <w:tc>
          <w:tcPr>
            <w:tcW w:w="2520" w:type="dxa"/>
          </w:tcPr>
          <w:p w14:paraId="269C0C83" w14:textId="77777777" w:rsidR="00FD55D8" w:rsidRPr="00424BD3" w:rsidRDefault="00FD55D8" w:rsidP="00BB5905">
            <w:pPr>
              <w:spacing w:line="480" w:lineRule="auto"/>
              <w:rPr>
                <w:rFonts w:cs="Arial"/>
                <w:sz w:val="20"/>
                <w:szCs w:val="20"/>
              </w:rPr>
            </w:pPr>
            <w:r w:rsidRPr="00424BD3">
              <w:rPr>
                <w:rFonts w:ascii="Arial" w:hAnsi="Arial" w:cs="Arial"/>
                <w:sz w:val="20"/>
                <w:szCs w:val="20"/>
              </w:rPr>
              <w:t>Yes</w:t>
            </w:r>
          </w:p>
        </w:tc>
        <w:tc>
          <w:tcPr>
            <w:tcW w:w="5035" w:type="dxa"/>
          </w:tcPr>
          <w:p w14:paraId="4B98B809" w14:textId="77777777" w:rsidR="00FD55D8" w:rsidRPr="00424BD3" w:rsidRDefault="00FD55D8" w:rsidP="00BB5905">
            <w:pPr>
              <w:spacing w:line="480" w:lineRule="auto"/>
              <w:rPr>
                <w:rFonts w:cs="Arial"/>
                <w:sz w:val="20"/>
                <w:szCs w:val="20"/>
              </w:rPr>
            </w:pPr>
            <w:r w:rsidRPr="00424BD3">
              <w:rPr>
                <w:rFonts w:ascii="Arial" w:hAnsi="Arial" w:cs="Arial"/>
                <w:sz w:val="20"/>
                <w:szCs w:val="20"/>
              </w:rPr>
              <w:t xml:space="preserve">Yes. She noticed a significant different in cultural attitudes towards health, healthy living, wellness, well-being and nutrition in one area of the country in which she lived compared to all other areas of the country. </w:t>
            </w:r>
          </w:p>
        </w:tc>
      </w:tr>
      <w:tr w:rsidR="00FD55D8" w:rsidRPr="00424BD3" w14:paraId="73778BE9" w14:textId="77777777" w:rsidTr="00FD55D8">
        <w:tc>
          <w:tcPr>
            <w:tcW w:w="1795" w:type="dxa"/>
          </w:tcPr>
          <w:p w14:paraId="6BB4980D" w14:textId="77777777" w:rsidR="00FD55D8" w:rsidRPr="00424BD3" w:rsidRDefault="00FD55D8" w:rsidP="00BB5905">
            <w:pPr>
              <w:spacing w:line="480" w:lineRule="auto"/>
              <w:rPr>
                <w:rFonts w:cs="Arial"/>
                <w:sz w:val="20"/>
                <w:szCs w:val="20"/>
              </w:rPr>
            </w:pPr>
            <w:r w:rsidRPr="00424BD3">
              <w:rPr>
                <w:rFonts w:ascii="Arial" w:hAnsi="Arial" w:cs="Arial"/>
                <w:sz w:val="20"/>
                <w:szCs w:val="20"/>
              </w:rPr>
              <w:t>Cynthia</w:t>
            </w:r>
          </w:p>
        </w:tc>
        <w:tc>
          <w:tcPr>
            <w:tcW w:w="2520" w:type="dxa"/>
          </w:tcPr>
          <w:p w14:paraId="0A3A1BCB" w14:textId="77777777" w:rsidR="00FD55D8" w:rsidRPr="00424BD3" w:rsidRDefault="00FD55D8" w:rsidP="00BB5905">
            <w:pPr>
              <w:spacing w:line="480" w:lineRule="auto"/>
              <w:rPr>
                <w:rFonts w:cs="Arial"/>
                <w:sz w:val="20"/>
                <w:szCs w:val="20"/>
              </w:rPr>
            </w:pPr>
            <w:r w:rsidRPr="00424BD3">
              <w:rPr>
                <w:rFonts w:ascii="Arial" w:hAnsi="Arial" w:cs="Arial"/>
                <w:sz w:val="20"/>
                <w:szCs w:val="20"/>
              </w:rPr>
              <w:t>No</w:t>
            </w:r>
          </w:p>
        </w:tc>
        <w:tc>
          <w:tcPr>
            <w:tcW w:w="5035" w:type="dxa"/>
          </w:tcPr>
          <w:p w14:paraId="7248F1F7" w14:textId="77777777" w:rsidR="00FD55D8" w:rsidRPr="00424BD3" w:rsidRDefault="00FD55D8" w:rsidP="00BB5905">
            <w:pPr>
              <w:spacing w:line="480" w:lineRule="auto"/>
              <w:rPr>
                <w:rFonts w:cs="Arial"/>
                <w:sz w:val="20"/>
                <w:szCs w:val="20"/>
              </w:rPr>
            </w:pPr>
            <w:r w:rsidRPr="00424BD3">
              <w:rPr>
                <w:rFonts w:ascii="Arial" w:hAnsi="Arial" w:cs="Arial"/>
                <w:sz w:val="20"/>
                <w:szCs w:val="20"/>
              </w:rPr>
              <w:t>Cynthia did not think place really made a difference. Instead, she felt ethnicity did, again focusing on weight as the indicator of health.</w:t>
            </w:r>
          </w:p>
        </w:tc>
      </w:tr>
      <w:tr w:rsidR="00FD55D8" w:rsidRPr="00424BD3" w14:paraId="252DC8BC" w14:textId="77777777" w:rsidTr="00FD55D8">
        <w:tc>
          <w:tcPr>
            <w:tcW w:w="1795" w:type="dxa"/>
          </w:tcPr>
          <w:p w14:paraId="5F54C1AF"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Anita</w:t>
            </w:r>
          </w:p>
        </w:tc>
        <w:tc>
          <w:tcPr>
            <w:tcW w:w="2520" w:type="dxa"/>
          </w:tcPr>
          <w:p w14:paraId="519741CC"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Yes</w:t>
            </w:r>
          </w:p>
        </w:tc>
        <w:tc>
          <w:tcPr>
            <w:tcW w:w="5035" w:type="dxa"/>
          </w:tcPr>
          <w:p w14:paraId="32C4062D"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Anita lived abroad in a Global South country for several years and had need of dental care while she was abroad. As a result, she felt that place matters in that every place has a different cultural approach to medical care.</w:t>
            </w:r>
          </w:p>
        </w:tc>
      </w:tr>
    </w:tbl>
    <w:p w14:paraId="55AEEA9B" w14:textId="5CB4D6AB" w:rsidR="000443BD" w:rsidRPr="00424BD3" w:rsidRDefault="000443BD"/>
    <w:p w14:paraId="209C4F57" w14:textId="279C81B1" w:rsidR="008A7E2A" w:rsidRPr="00424BD3" w:rsidRDefault="008A7E2A"/>
    <w:p w14:paraId="085D5FF6" w14:textId="77777777" w:rsidR="008A212C" w:rsidRPr="00424BD3" w:rsidRDefault="008A212C" w:rsidP="008A212C">
      <w:pPr>
        <w:spacing w:after="0" w:line="480" w:lineRule="auto"/>
        <w:rPr>
          <w:i/>
        </w:rPr>
      </w:pPr>
      <w:r w:rsidRPr="00424BD3">
        <w:rPr>
          <w:i/>
        </w:rPr>
        <w:lastRenderedPageBreak/>
        <w:t>Table 5 continued</w:t>
      </w:r>
    </w:p>
    <w:tbl>
      <w:tblPr>
        <w:tblStyle w:val="TableGrid"/>
        <w:tblW w:w="0" w:type="auto"/>
        <w:tblLook w:val="04A0" w:firstRow="1" w:lastRow="0" w:firstColumn="1" w:lastColumn="0" w:noHBand="0" w:noVBand="1"/>
      </w:tblPr>
      <w:tblGrid>
        <w:gridCol w:w="1795"/>
        <w:gridCol w:w="2520"/>
        <w:gridCol w:w="5035"/>
      </w:tblGrid>
      <w:tr w:rsidR="008A212C" w:rsidRPr="00424BD3" w14:paraId="2F2EC227" w14:textId="77777777" w:rsidTr="0008307D">
        <w:tc>
          <w:tcPr>
            <w:tcW w:w="1795" w:type="dxa"/>
          </w:tcPr>
          <w:p w14:paraId="373C746D" w14:textId="77777777" w:rsidR="008A212C" w:rsidRPr="00424BD3" w:rsidRDefault="008A212C" w:rsidP="00D41619">
            <w:pPr>
              <w:rPr>
                <w:rFonts w:cs="Arial"/>
                <w:sz w:val="20"/>
                <w:szCs w:val="20"/>
              </w:rPr>
            </w:pPr>
            <w:r w:rsidRPr="00424BD3">
              <w:rPr>
                <w:rFonts w:ascii="Arial" w:hAnsi="Arial" w:cs="Arial"/>
                <w:b/>
                <w:bCs/>
                <w:sz w:val="20"/>
                <w:szCs w:val="20"/>
              </w:rPr>
              <w:t>Participant</w:t>
            </w:r>
          </w:p>
        </w:tc>
        <w:tc>
          <w:tcPr>
            <w:tcW w:w="2520" w:type="dxa"/>
          </w:tcPr>
          <w:p w14:paraId="254B4F18" w14:textId="77777777" w:rsidR="008A212C" w:rsidRPr="00424BD3" w:rsidRDefault="008A212C" w:rsidP="00D41619">
            <w:pPr>
              <w:rPr>
                <w:rFonts w:cs="Arial"/>
                <w:sz w:val="20"/>
                <w:szCs w:val="20"/>
              </w:rPr>
            </w:pPr>
            <w:r w:rsidRPr="00424BD3">
              <w:rPr>
                <w:rFonts w:ascii="Arial" w:hAnsi="Arial" w:cs="Arial"/>
                <w:b/>
                <w:bCs/>
                <w:sz w:val="20"/>
                <w:szCs w:val="20"/>
              </w:rPr>
              <w:t>Place Matters in healthcare experiences</w:t>
            </w:r>
          </w:p>
        </w:tc>
        <w:tc>
          <w:tcPr>
            <w:tcW w:w="5035" w:type="dxa"/>
          </w:tcPr>
          <w:p w14:paraId="552608DC" w14:textId="77777777" w:rsidR="008A212C" w:rsidRPr="00424BD3" w:rsidRDefault="008A212C" w:rsidP="00D41619">
            <w:pPr>
              <w:rPr>
                <w:rFonts w:cs="Arial"/>
                <w:sz w:val="20"/>
                <w:szCs w:val="20"/>
              </w:rPr>
            </w:pPr>
            <w:r w:rsidRPr="00424BD3">
              <w:rPr>
                <w:rFonts w:ascii="Arial" w:hAnsi="Arial" w:cs="Arial"/>
                <w:b/>
                <w:bCs/>
                <w:sz w:val="20"/>
                <w:szCs w:val="20"/>
              </w:rPr>
              <w:t>Perceptions of whether place mattered in their healthcare experience</w:t>
            </w:r>
          </w:p>
        </w:tc>
      </w:tr>
      <w:tr w:rsidR="00D41619" w:rsidRPr="00424BD3" w14:paraId="102FE22A" w14:textId="77777777" w:rsidTr="0008307D">
        <w:tc>
          <w:tcPr>
            <w:tcW w:w="1795" w:type="dxa"/>
          </w:tcPr>
          <w:p w14:paraId="77F2E890"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Sharon</w:t>
            </w:r>
          </w:p>
        </w:tc>
        <w:tc>
          <w:tcPr>
            <w:tcW w:w="2520" w:type="dxa"/>
          </w:tcPr>
          <w:p w14:paraId="3CD0E4FB"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No</w:t>
            </w:r>
          </w:p>
        </w:tc>
        <w:tc>
          <w:tcPr>
            <w:tcW w:w="5035" w:type="dxa"/>
          </w:tcPr>
          <w:p w14:paraId="34ED5703"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Sharon gave no explanations as to why she felt that place didn’t matter.</w:t>
            </w:r>
          </w:p>
        </w:tc>
      </w:tr>
      <w:tr w:rsidR="00D41619" w:rsidRPr="00424BD3" w14:paraId="6420A2AA" w14:textId="77777777" w:rsidTr="0008307D">
        <w:tc>
          <w:tcPr>
            <w:tcW w:w="1795" w:type="dxa"/>
          </w:tcPr>
          <w:p w14:paraId="18041118"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Margaret</w:t>
            </w:r>
          </w:p>
        </w:tc>
        <w:tc>
          <w:tcPr>
            <w:tcW w:w="2520" w:type="dxa"/>
          </w:tcPr>
          <w:p w14:paraId="6F108328"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Yes</w:t>
            </w:r>
          </w:p>
        </w:tc>
        <w:tc>
          <w:tcPr>
            <w:tcW w:w="5035" w:type="dxa"/>
          </w:tcPr>
          <w:p w14:paraId="678493A2"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 xml:space="preserve">Born and raised abroad prior to relocating to East Tennessee. As a result, she felt there were also cultural differences in how places approach healthcare provision. </w:t>
            </w:r>
          </w:p>
        </w:tc>
      </w:tr>
      <w:tr w:rsidR="00D41619" w:rsidRPr="00424BD3" w14:paraId="2E4A2A0B" w14:textId="77777777" w:rsidTr="0008307D">
        <w:tc>
          <w:tcPr>
            <w:tcW w:w="1795" w:type="dxa"/>
          </w:tcPr>
          <w:p w14:paraId="530D346A"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Ruth</w:t>
            </w:r>
          </w:p>
        </w:tc>
        <w:tc>
          <w:tcPr>
            <w:tcW w:w="2520" w:type="dxa"/>
          </w:tcPr>
          <w:p w14:paraId="3CA0AC7C"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Yes</w:t>
            </w:r>
          </w:p>
        </w:tc>
        <w:tc>
          <w:tcPr>
            <w:tcW w:w="5035" w:type="dxa"/>
          </w:tcPr>
          <w:p w14:paraId="7B05F30D"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Felt place mattered in relation to the efficacy of healthcare services available in each area that she lived.</w:t>
            </w:r>
          </w:p>
        </w:tc>
      </w:tr>
      <w:tr w:rsidR="00D41619" w:rsidRPr="00424BD3" w14:paraId="3A7BA9E8" w14:textId="77777777" w:rsidTr="0008307D">
        <w:tc>
          <w:tcPr>
            <w:tcW w:w="1795" w:type="dxa"/>
          </w:tcPr>
          <w:p w14:paraId="6E3BA642"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Sylvia</w:t>
            </w:r>
          </w:p>
        </w:tc>
        <w:tc>
          <w:tcPr>
            <w:tcW w:w="2520" w:type="dxa"/>
          </w:tcPr>
          <w:p w14:paraId="01663003" w14:textId="77777777" w:rsidR="00D41619" w:rsidRPr="00424BD3" w:rsidRDefault="00D41619" w:rsidP="00D41619">
            <w:pPr>
              <w:spacing w:line="480" w:lineRule="auto"/>
              <w:rPr>
                <w:rFonts w:ascii="Arial" w:hAnsi="Arial" w:cs="Arial"/>
                <w:sz w:val="20"/>
                <w:szCs w:val="20"/>
              </w:rPr>
            </w:pPr>
            <w:r w:rsidRPr="00424BD3">
              <w:rPr>
                <w:rFonts w:ascii="Arial" w:hAnsi="Arial" w:cs="Arial"/>
                <w:sz w:val="20"/>
                <w:szCs w:val="20"/>
              </w:rPr>
              <w:t>Not stated</w:t>
            </w:r>
          </w:p>
        </w:tc>
        <w:tc>
          <w:tcPr>
            <w:tcW w:w="5035" w:type="dxa"/>
          </w:tcPr>
          <w:p w14:paraId="484C8448" w14:textId="77777777" w:rsidR="00D41619" w:rsidRPr="00424BD3" w:rsidRDefault="00D41619" w:rsidP="00D41619">
            <w:pPr>
              <w:spacing w:line="480" w:lineRule="auto"/>
              <w:rPr>
                <w:rFonts w:ascii="Arial" w:hAnsi="Arial" w:cs="Arial"/>
                <w:sz w:val="20"/>
                <w:szCs w:val="20"/>
              </w:rPr>
            </w:pPr>
          </w:p>
        </w:tc>
      </w:tr>
      <w:tr w:rsidR="00FD55D8" w:rsidRPr="00424BD3" w14:paraId="1D8F9665" w14:textId="77777777" w:rsidTr="00FD55D8">
        <w:tc>
          <w:tcPr>
            <w:tcW w:w="1795" w:type="dxa"/>
          </w:tcPr>
          <w:p w14:paraId="17DD334B"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Carolyn</w:t>
            </w:r>
          </w:p>
        </w:tc>
        <w:tc>
          <w:tcPr>
            <w:tcW w:w="2520" w:type="dxa"/>
          </w:tcPr>
          <w:p w14:paraId="1C0595B2"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Yes</w:t>
            </w:r>
          </w:p>
        </w:tc>
        <w:tc>
          <w:tcPr>
            <w:tcW w:w="5035" w:type="dxa"/>
          </w:tcPr>
          <w:p w14:paraId="1D4C9227"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 xml:space="preserve">Felt place mattered in relation to cultural attitudes toward health, but that age, and the people who are in your life make a difference in how she perceived place to play a role in health. </w:t>
            </w:r>
          </w:p>
        </w:tc>
      </w:tr>
      <w:tr w:rsidR="00FD55D8" w:rsidRPr="00424BD3" w14:paraId="492B4718" w14:textId="77777777" w:rsidTr="00FD55D8">
        <w:tc>
          <w:tcPr>
            <w:tcW w:w="1795" w:type="dxa"/>
          </w:tcPr>
          <w:p w14:paraId="28896B52"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Kathryn</w:t>
            </w:r>
          </w:p>
        </w:tc>
        <w:tc>
          <w:tcPr>
            <w:tcW w:w="2520" w:type="dxa"/>
          </w:tcPr>
          <w:p w14:paraId="3AE6FF55"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Yes perhaps</w:t>
            </w:r>
          </w:p>
        </w:tc>
        <w:tc>
          <w:tcPr>
            <w:tcW w:w="5035" w:type="dxa"/>
          </w:tcPr>
          <w:p w14:paraId="4ADE31DA"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 xml:space="preserve">Felt that one state in particular had a noticeable difference in cultural attitudes towards health. However, she felt that age and the silence norm played a role in whether or not her observations of place mattering were accurate. </w:t>
            </w:r>
          </w:p>
        </w:tc>
      </w:tr>
      <w:tr w:rsidR="00135BC6" w:rsidRPr="00424BD3" w14:paraId="652F3C2D" w14:textId="77777777" w:rsidTr="00FD55D8">
        <w:tc>
          <w:tcPr>
            <w:tcW w:w="1795" w:type="dxa"/>
          </w:tcPr>
          <w:p w14:paraId="70CEB72F" w14:textId="77777777" w:rsidR="00135BC6" w:rsidRPr="00424BD3" w:rsidRDefault="00135BC6" w:rsidP="00BB5905">
            <w:pPr>
              <w:spacing w:line="480" w:lineRule="auto"/>
              <w:rPr>
                <w:rFonts w:cs="Arial"/>
                <w:sz w:val="20"/>
                <w:szCs w:val="20"/>
              </w:rPr>
            </w:pPr>
          </w:p>
        </w:tc>
        <w:tc>
          <w:tcPr>
            <w:tcW w:w="2520" w:type="dxa"/>
          </w:tcPr>
          <w:p w14:paraId="4556872D" w14:textId="77777777" w:rsidR="00135BC6" w:rsidRPr="00424BD3" w:rsidRDefault="00135BC6" w:rsidP="00BB5905">
            <w:pPr>
              <w:spacing w:line="480" w:lineRule="auto"/>
              <w:rPr>
                <w:rFonts w:cs="Arial"/>
                <w:sz w:val="20"/>
                <w:szCs w:val="20"/>
              </w:rPr>
            </w:pPr>
          </w:p>
        </w:tc>
        <w:tc>
          <w:tcPr>
            <w:tcW w:w="5035" w:type="dxa"/>
          </w:tcPr>
          <w:p w14:paraId="238CA1FD" w14:textId="77777777" w:rsidR="00135BC6" w:rsidRPr="00424BD3" w:rsidRDefault="00135BC6" w:rsidP="00BB5905">
            <w:pPr>
              <w:spacing w:line="480" w:lineRule="auto"/>
              <w:rPr>
                <w:rFonts w:cs="Arial"/>
                <w:sz w:val="20"/>
                <w:szCs w:val="20"/>
              </w:rPr>
            </w:pPr>
          </w:p>
        </w:tc>
      </w:tr>
    </w:tbl>
    <w:p w14:paraId="3B99E48A" w14:textId="4A62CE71" w:rsidR="003B6703" w:rsidRPr="00424BD3" w:rsidRDefault="003B6703" w:rsidP="000126EE">
      <w:pPr>
        <w:spacing w:after="0" w:line="480" w:lineRule="auto"/>
      </w:pPr>
    </w:p>
    <w:p w14:paraId="4B969513" w14:textId="6AE1D370" w:rsidR="0008307D" w:rsidRPr="00424BD3" w:rsidRDefault="0008307D" w:rsidP="000126EE">
      <w:pPr>
        <w:spacing w:after="0" w:line="480" w:lineRule="auto"/>
      </w:pPr>
    </w:p>
    <w:p w14:paraId="18747AC3" w14:textId="1C5347D3" w:rsidR="003B6703" w:rsidRPr="00424BD3" w:rsidRDefault="003B6703" w:rsidP="000126EE">
      <w:pPr>
        <w:spacing w:after="0" w:line="480" w:lineRule="auto"/>
        <w:rPr>
          <w:i/>
        </w:rPr>
      </w:pPr>
    </w:p>
    <w:p w14:paraId="76A530E0" w14:textId="2BC46D2F" w:rsidR="00C246DE" w:rsidRDefault="00C246DE" w:rsidP="000126EE">
      <w:pPr>
        <w:spacing w:after="0" w:line="480" w:lineRule="auto"/>
        <w:rPr>
          <w:rFonts w:cs="Arial"/>
          <w:szCs w:val="24"/>
        </w:rPr>
      </w:pPr>
    </w:p>
    <w:p w14:paraId="299D5F1F" w14:textId="77777777" w:rsidR="00FD55D8" w:rsidRPr="00424BD3" w:rsidRDefault="00FD55D8" w:rsidP="000126EE">
      <w:pPr>
        <w:spacing w:after="0" w:line="480" w:lineRule="auto"/>
        <w:rPr>
          <w:rFonts w:cs="Arial"/>
          <w:szCs w:val="24"/>
        </w:rPr>
      </w:pPr>
    </w:p>
    <w:p w14:paraId="3A50FCA2" w14:textId="6972609E" w:rsidR="00C246DE" w:rsidRPr="00424BD3" w:rsidRDefault="008E595F" w:rsidP="000126EE">
      <w:pPr>
        <w:pStyle w:val="Caption"/>
        <w:spacing w:after="0" w:line="480" w:lineRule="auto"/>
        <w:rPr>
          <w:rFonts w:cs="Arial"/>
          <w:bCs/>
          <w:color w:val="auto"/>
          <w:sz w:val="24"/>
          <w:szCs w:val="24"/>
        </w:rPr>
      </w:pPr>
      <w:bookmarkStart w:id="123" w:name="_Toc116675209"/>
      <w:r w:rsidRPr="00424BD3">
        <w:rPr>
          <w:color w:val="auto"/>
          <w:sz w:val="24"/>
          <w:szCs w:val="24"/>
        </w:rPr>
        <w:lastRenderedPageBreak/>
        <w:t xml:space="preserve">Table </w:t>
      </w:r>
      <w:r w:rsidRPr="00424BD3">
        <w:rPr>
          <w:color w:val="auto"/>
          <w:sz w:val="24"/>
          <w:szCs w:val="24"/>
        </w:rPr>
        <w:fldChar w:fldCharType="begin"/>
      </w:r>
      <w:r w:rsidRPr="00424BD3">
        <w:rPr>
          <w:color w:val="auto"/>
          <w:sz w:val="24"/>
          <w:szCs w:val="24"/>
        </w:rPr>
        <w:instrText xml:space="preserve"> SEQ Table \* ARABIC </w:instrText>
      </w:r>
      <w:r w:rsidRPr="00424BD3">
        <w:rPr>
          <w:color w:val="auto"/>
          <w:sz w:val="24"/>
          <w:szCs w:val="24"/>
        </w:rPr>
        <w:fldChar w:fldCharType="separate"/>
      </w:r>
      <w:r w:rsidR="00281020">
        <w:rPr>
          <w:noProof/>
          <w:color w:val="auto"/>
          <w:sz w:val="24"/>
          <w:szCs w:val="24"/>
        </w:rPr>
        <w:t>6</w:t>
      </w:r>
      <w:r w:rsidRPr="00424BD3">
        <w:rPr>
          <w:color w:val="auto"/>
          <w:sz w:val="24"/>
          <w:szCs w:val="24"/>
        </w:rPr>
        <w:fldChar w:fldCharType="end"/>
      </w:r>
      <w:r w:rsidR="00C246DE" w:rsidRPr="00424BD3">
        <w:rPr>
          <w:rFonts w:cs="Arial"/>
          <w:bCs/>
          <w:color w:val="auto"/>
          <w:sz w:val="24"/>
          <w:szCs w:val="24"/>
        </w:rPr>
        <w:t>. Participants’ Recommendations to Policy and Decision Makers</w:t>
      </w:r>
      <w:bookmarkEnd w:id="123"/>
    </w:p>
    <w:tbl>
      <w:tblPr>
        <w:tblStyle w:val="TableGrid1"/>
        <w:tblW w:w="0" w:type="auto"/>
        <w:tblLook w:val="04A0" w:firstRow="1" w:lastRow="0" w:firstColumn="1" w:lastColumn="0" w:noHBand="0" w:noVBand="1"/>
      </w:tblPr>
      <w:tblGrid>
        <w:gridCol w:w="1885"/>
        <w:gridCol w:w="7465"/>
      </w:tblGrid>
      <w:tr w:rsidR="00E16B5D" w:rsidRPr="00424BD3" w14:paraId="464C9B0B" w14:textId="77777777" w:rsidTr="0008307D">
        <w:tc>
          <w:tcPr>
            <w:tcW w:w="1885" w:type="dxa"/>
          </w:tcPr>
          <w:p w14:paraId="73E51106" w14:textId="77777777" w:rsidR="00E16B5D" w:rsidRPr="00424BD3" w:rsidRDefault="00E16B5D" w:rsidP="000126EE">
            <w:pPr>
              <w:spacing w:line="480" w:lineRule="auto"/>
              <w:rPr>
                <w:rFonts w:cs="Arial"/>
                <w:b/>
                <w:bCs/>
                <w:sz w:val="20"/>
                <w:szCs w:val="20"/>
              </w:rPr>
            </w:pPr>
          </w:p>
        </w:tc>
        <w:tc>
          <w:tcPr>
            <w:tcW w:w="7465" w:type="dxa"/>
          </w:tcPr>
          <w:p w14:paraId="35CAF603" w14:textId="77777777" w:rsidR="00E16B5D" w:rsidRPr="00424BD3" w:rsidRDefault="00E16B5D" w:rsidP="000126EE">
            <w:pPr>
              <w:spacing w:line="480" w:lineRule="auto"/>
              <w:rPr>
                <w:rFonts w:cs="Arial"/>
                <w:b/>
                <w:bCs/>
                <w:sz w:val="20"/>
                <w:szCs w:val="20"/>
              </w:rPr>
            </w:pPr>
          </w:p>
        </w:tc>
      </w:tr>
      <w:tr w:rsidR="00C246DE" w:rsidRPr="00424BD3" w14:paraId="1493A000" w14:textId="77777777" w:rsidTr="0008307D">
        <w:tc>
          <w:tcPr>
            <w:tcW w:w="1885" w:type="dxa"/>
          </w:tcPr>
          <w:p w14:paraId="4FF8A50C" w14:textId="79D5F438" w:rsidR="00C246DE" w:rsidRPr="00424BD3" w:rsidRDefault="00C246DE" w:rsidP="00C02BB9">
            <w:pPr>
              <w:rPr>
                <w:rFonts w:ascii="Arial" w:hAnsi="Arial" w:cs="Arial"/>
                <w:b/>
                <w:bCs/>
                <w:sz w:val="20"/>
                <w:szCs w:val="20"/>
              </w:rPr>
            </w:pPr>
            <w:r w:rsidRPr="00424BD3">
              <w:rPr>
                <w:rFonts w:ascii="Arial" w:hAnsi="Arial" w:cs="Arial"/>
                <w:b/>
                <w:bCs/>
                <w:sz w:val="20"/>
                <w:szCs w:val="20"/>
              </w:rPr>
              <w:t>Participant</w:t>
            </w:r>
          </w:p>
        </w:tc>
        <w:tc>
          <w:tcPr>
            <w:tcW w:w="7465" w:type="dxa"/>
          </w:tcPr>
          <w:p w14:paraId="10E0A12B" w14:textId="77777777" w:rsidR="00C246DE" w:rsidRPr="00424BD3" w:rsidRDefault="00C246DE" w:rsidP="00C02BB9">
            <w:pPr>
              <w:rPr>
                <w:rFonts w:ascii="Arial" w:hAnsi="Arial" w:cs="Arial"/>
                <w:b/>
                <w:bCs/>
                <w:sz w:val="20"/>
                <w:szCs w:val="20"/>
              </w:rPr>
            </w:pPr>
            <w:r w:rsidRPr="00424BD3">
              <w:rPr>
                <w:rFonts w:ascii="Arial" w:hAnsi="Arial" w:cs="Arial"/>
                <w:b/>
                <w:bCs/>
                <w:sz w:val="20"/>
                <w:szCs w:val="20"/>
              </w:rPr>
              <w:t>Recommendations to Policy and Decision Makers</w:t>
            </w:r>
          </w:p>
        </w:tc>
      </w:tr>
      <w:tr w:rsidR="00E16B5D" w:rsidRPr="00424BD3" w14:paraId="66F1932C" w14:textId="77777777" w:rsidTr="0008307D">
        <w:tc>
          <w:tcPr>
            <w:tcW w:w="1885" w:type="dxa"/>
          </w:tcPr>
          <w:p w14:paraId="6A2E1743" w14:textId="77777777" w:rsidR="00E16B5D" w:rsidRPr="00424BD3" w:rsidRDefault="00E16B5D" w:rsidP="000126EE">
            <w:pPr>
              <w:spacing w:line="480" w:lineRule="auto"/>
              <w:rPr>
                <w:rFonts w:cs="Arial"/>
                <w:b/>
                <w:bCs/>
                <w:sz w:val="20"/>
                <w:szCs w:val="20"/>
              </w:rPr>
            </w:pPr>
          </w:p>
        </w:tc>
        <w:tc>
          <w:tcPr>
            <w:tcW w:w="7465" w:type="dxa"/>
          </w:tcPr>
          <w:p w14:paraId="053F42C8" w14:textId="77777777" w:rsidR="00E16B5D" w:rsidRPr="00424BD3" w:rsidRDefault="00E16B5D" w:rsidP="000126EE">
            <w:pPr>
              <w:spacing w:line="480" w:lineRule="auto"/>
              <w:rPr>
                <w:rFonts w:cs="Arial"/>
                <w:b/>
                <w:bCs/>
                <w:sz w:val="20"/>
                <w:szCs w:val="20"/>
              </w:rPr>
            </w:pPr>
          </w:p>
        </w:tc>
      </w:tr>
      <w:tr w:rsidR="00C246DE" w:rsidRPr="00424BD3" w14:paraId="6F96EEB6" w14:textId="77777777" w:rsidTr="0008307D">
        <w:tc>
          <w:tcPr>
            <w:tcW w:w="1885" w:type="dxa"/>
          </w:tcPr>
          <w:p w14:paraId="7E6DEE5F" w14:textId="4E87B5E0"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Mary</w:t>
            </w:r>
          </w:p>
        </w:tc>
        <w:tc>
          <w:tcPr>
            <w:tcW w:w="7465" w:type="dxa"/>
          </w:tcPr>
          <w:p w14:paraId="5A5EB29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More provision for aging counseling.</w:t>
            </w:r>
          </w:p>
          <w:p w14:paraId="7DF5287C"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Creation of programs in senior centers for older women's movement and exercise (similar to programs offered by the supplemental insurance) that accept supplemental insurance payments).</w:t>
            </w:r>
          </w:p>
          <w:p w14:paraId="411F05A6"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Less policymaker patronizing.</w:t>
            </w:r>
          </w:p>
          <w:p w14:paraId="5E287AA8"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Equal treatment by clinicians.</w:t>
            </w:r>
          </w:p>
          <w:p w14:paraId="51F67890"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Carer pay (of spouses, children, grandchildren) that older people do.</w:t>
            </w:r>
          </w:p>
          <w:p w14:paraId="777C1DFA" w14:textId="77777777" w:rsidR="00C246DE" w:rsidRPr="00424BD3" w:rsidRDefault="00C246DE" w:rsidP="000126EE">
            <w:pPr>
              <w:spacing w:line="480" w:lineRule="auto"/>
              <w:rPr>
                <w:rFonts w:ascii="Arial" w:hAnsi="Arial" w:cs="Arial"/>
                <w:sz w:val="20"/>
                <w:szCs w:val="20"/>
              </w:rPr>
            </w:pPr>
            <w:r w:rsidRPr="00424BD3">
              <w:rPr>
                <w:rFonts w:ascii="Arial" w:hAnsi="Arial" w:cs="Arial"/>
                <w:sz w:val="20"/>
                <w:szCs w:val="20"/>
              </w:rPr>
              <w:t>No care rationing based on age.</w:t>
            </w:r>
          </w:p>
        </w:tc>
      </w:tr>
      <w:tr w:rsidR="00FD55D8" w:rsidRPr="00424BD3" w14:paraId="3910B611" w14:textId="77777777" w:rsidTr="00FD55D8">
        <w:tc>
          <w:tcPr>
            <w:tcW w:w="1885" w:type="dxa"/>
          </w:tcPr>
          <w:p w14:paraId="62D2EF1B"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Peggy</w:t>
            </w:r>
          </w:p>
        </w:tc>
        <w:tc>
          <w:tcPr>
            <w:tcW w:w="7465" w:type="dxa"/>
          </w:tcPr>
          <w:p w14:paraId="512BD75E"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Listen to older women.</w:t>
            </w:r>
          </w:p>
          <w:p w14:paraId="19F214F5"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Pay more attention to older women’s cardiac health.</w:t>
            </w:r>
          </w:p>
          <w:p w14:paraId="771AAC61"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Medicare for All.</w:t>
            </w:r>
          </w:p>
          <w:p w14:paraId="5553F9FA"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Access to high quality medicine.</w:t>
            </w:r>
          </w:p>
          <w:p w14:paraId="11A9C5AA"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Equal treatment – respectful treatment.</w:t>
            </w:r>
          </w:p>
        </w:tc>
      </w:tr>
      <w:tr w:rsidR="00FD55D8" w:rsidRPr="00424BD3" w14:paraId="3C15ACAC" w14:textId="77777777" w:rsidTr="00FD55D8">
        <w:tc>
          <w:tcPr>
            <w:tcW w:w="1885" w:type="dxa"/>
          </w:tcPr>
          <w:p w14:paraId="51258391"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Deborah</w:t>
            </w:r>
          </w:p>
        </w:tc>
        <w:tc>
          <w:tcPr>
            <w:tcW w:w="7465" w:type="dxa"/>
          </w:tcPr>
          <w:p w14:paraId="27351FE7"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Better preventative care for women over 65, including preventative care of diseases that are often associated with older age (Alzheimer’s, osteoporosis) - but starting well below the age of 65.</w:t>
            </w:r>
          </w:p>
        </w:tc>
      </w:tr>
      <w:tr w:rsidR="00FD55D8" w:rsidRPr="00424BD3" w14:paraId="79633031" w14:textId="77777777" w:rsidTr="00FD55D8">
        <w:tc>
          <w:tcPr>
            <w:tcW w:w="1885" w:type="dxa"/>
          </w:tcPr>
          <w:p w14:paraId="268E0E77"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Barbara</w:t>
            </w:r>
          </w:p>
        </w:tc>
        <w:tc>
          <w:tcPr>
            <w:tcW w:w="7465" w:type="dxa"/>
          </w:tcPr>
          <w:p w14:paraId="32CDA5C0"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Healthcare access</w:t>
            </w:r>
          </w:p>
          <w:p w14:paraId="165C8B46"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Good clinical care</w:t>
            </w:r>
          </w:p>
          <w:p w14:paraId="7757ABB5"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Provider compassion</w:t>
            </w:r>
          </w:p>
        </w:tc>
      </w:tr>
      <w:tr w:rsidR="00FD55D8" w:rsidRPr="00424BD3" w14:paraId="7111DA2A" w14:textId="77777777" w:rsidTr="00FD55D8">
        <w:tc>
          <w:tcPr>
            <w:tcW w:w="1885" w:type="dxa"/>
          </w:tcPr>
          <w:p w14:paraId="6D3CC84D"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Cynthia</w:t>
            </w:r>
          </w:p>
        </w:tc>
        <w:tc>
          <w:tcPr>
            <w:tcW w:w="7465" w:type="dxa"/>
          </w:tcPr>
          <w:p w14:paraId="4FDD1F98"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Preventative care continuation, regardless of age (mammograms, pap smears, etc</w:t>
            </w:r>
            <w:r>
              <w:rPr>
                <w:rFonts w:ascii="Arial" w:hAnsi="Arial" w:cs="Arial"/>
                <w:sz w:val="20"/>
                <w:szCs w:val="20"/>
              </w:rPr>
              <w:t>.</w:t>
            </w:r>
            <w:r w:rsidRPr="00424BD3">
              <w:rPr>
                <w:rFonts w:ascii="Arial" w:hAnsi="Arial" w:cs="Arial"/>
                <w:sz w:val="20"/>
                <w:szCs w:val="20"/>
              </w:rPr>
              <w:t>)</w:t>
            </w:r>
          </w:p>
        </w:tc>
      </w:tr>
      <w:tr w:rsidR="00FD55D8" w:rsidRPr="00424BD3" w14:paraId="05AF4F06" w14:textId="77777777" w:rsidTr="00FD55D8">
        <w:tc>
          <w:tcPr>
            <w:tcW w:w="1885" w:type="dxa"/>
          </w:tcPr>
          <w:p w14:paraId="54EB7631"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Anita</w:t>
            </w:r>
          </w:p>
        </w:tc>
        <w:tc>
          <w:tcPr>
            <w:tcW w:w="7465" w:type="dxa"/>
          </w:tcPr>
          <w:p w14:paraId="6822163B"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More federal government involvement in health and healthcare.</w:t>
            </w:r>
          </w:p>
          <w:p w14:paraId="7EBBCCDE"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Good care for older people, without worry of affordability or lack of care.</w:t>
            </w:r>
          </w:p>
        </w:tc>
      </w:tr>
      <w:tr w:rsidR="00FD55D8" w:rsidRPr="00424BD3" w14:paraId="5F46497D" w14:textId="77777777" w:rsidTr="00FD55D8">
        <w:tc>
          <w:tcPr>
            <w:tcW w:w="1885" w:type="dxa"/>
          </w:tcPr>
          <w:p w14:paraId="31773BB9"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Sharon</w:t>
            </w:r>
          </w:p>
        </w:tc>
        <w:tc>
          <w:tcPr>
            <w:tcW w:w="7465" w:type="dxa"/>
          </w:tcPr>
          <w:p w14:paraId="463AF7EE" w14:textId="77777777" w:rsidR="00FD55D8" w:rsidRPr="00424BD3" w:rsidRDefault="00FD55D8" w:rsidP="00BB5905">
            <w:pPr>
              <w:spacing w:line="480" w:lineRule="auto"/>
              <w:rPr>
                <w:rFonts w:ascii="Arial" w:hAnsi="Arial" w:cs="Arial"/>
                <w:sz w:val="20"/>
                <w:szCs w:val="20"/>
              </w:rPr>
            </w:pPr>
            <w:r w:rsidRPr="00424BD3">
              <w:rPr>
                <w:rFonts w:ascii="Arial" w:hAnsi="Arial" w:cs="Arial"/>
                <w:sz w:val="20"/>
                <w:szCs w:val="20"/>
              </w:rPr>
              <w:t>Universal healthcare</w:t>
            </w:r>
          </w:p>
        </w:tc>
      </w:tr>
    </w:tbl>
    <w:p w14:paraId="1C846576" w14:textId="77777777" w:rsidR="0008307D" w:rsidRPr="00424BD3" w:rsidRDefault="0008307D" w:rsidP="0008307D">
      <w:pPr>
        <w:spacing w:after="0" w:line="480" w:lineRule="auto"/>
        <w:rPr>
          <w:i/>
        </w:rPr>
      </w:pPr>
      <w:r w:rsidRPr="00424BD3">
        <w:rPr>
          <w:i/>
        </w:rPr>
        <w:lastRenderedPageBreak/>
        <w:t>Table 6 continued</w:t>
      </w:r>
    </w:p>
    <w:tbl>
      <w:tblPr>
        <w:tblStyle w:val="TableGrid1"/>
        <w:tblW w:w="0" w:type="auto"/>
        <w:tblLook w:val="04A0" w:firstRow="1" w:lastRow="0" w:firstColumn="1" w:lastColumn="0" w:noHBand="0" w:noVBand="1"/>
      </w:tblPr>
      <w:tblGrid>
        <w:gridCol w:w="1885"/>
        <w:gridCol w:w="7465"/>
      </w:tblGrid>
      <w:tr w:rsidR="005E6E9B" w:rsidRPr="00424BD3" w14:paraId="7A5AC451" w14:textId="77777777" w:rsidTr="0008307D">
        <w:tc>
          <w:tcPr>
            <w:tcW w:w="1885" w:type="dxa"/>
          </w:tcPr>
          <w:p w14:paraId="1412D973" w14:textId="65BF160C" w:rsidR="005E6E9B" w:rsidRPr="00424BD3" w:rsidRDefault="005E6E9B" w:rsidP="005E6E9B">
            <w:pPr>
              <w:spacing w:line="480" w:lineRule="auto"/>
              <w:rPr>
                <w:rFonts w:cs="Arial"/>
                <w:sz w:val="20"/>
                <w:szCs w:val="20"/>
              </w:rPr>
            </w:pPr>
            <w:r w:rsidRPr="00424BD3">
              <w:rPr>
                <w:rFonts w:ascii="Arial" w:hAnsi="Arial" w:cs="Arial"/>
                <w:b/>
                <w:bCs/>
                <w:sz w:val="20"/>
                <w:szCs w:val="20"/>
              </w:rPr>
              <w:t>Participant</w:t>
            </w:r>
          </w:p>
        </w:tc>
        <w:tc>
          <w:tcPr>
            <w:tcW w:w="7465" w:type="dxa"/>
          </w:tcPr>
          <w:p w14:paraId="322CC3A8" w14:textId="6EBDC5FD" w:rsidR="005E6E9B" w:rsidRPr="00424BD3" w:rsidRDefault="005E6E9B" w:rsidP="005E6E9B">
            <w:pPr>
              <w:spacing w:line="480" w:lineRule="auto"/>
              <w:rPr>
                <w:rFonts w:cs="Arial"/>
                <w:sz w:val="20"/>
                <w:szCs w:val="20"/>
              </w:rPr>
            </w:pPr>
            <w:r w:rsidRPr="00424BD3">
              <w:rPr>
                <w:rFonts w:ascii="Arial" w:hAnsi="Arial" w:cs="Arial"/>
                <w:b/>
                <w:bCs/>
                <w:sz w:val="20"/>
                <w:szCs w:val="20"/>
              </w:rPr>
              <w:t>Recommendations to Policy and Decision Makers</w:t>
            </w:r>
          </w:p>
        </w:tc>
      </w:tr>
      <w:tr w:rsidR="005E6E9B" w:rsidRPr="00424BD3" w14:paraId="64E5070F" w14:textId="77777777" w:rsidTr="0008307D">
        <w:tc>
          <w:tcPr>
            <w:tcW w:w="1885" w:type="dxa"/>
          </w:tcPr>
          <w:p w14:paraId="453194FE"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Margaret</w:t>
            </w:r>
          </w:p>
        </w:tc>
        <w:tc>
          <w:tcPr>
            <w:tcW w:w="7465" w:type="dxa"/>
          </w:tcPr>
          <w:p w14:paraId="1A2DAA25"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Less policymaker patronizing, more policymaker empathy, and more policymaker direct engagement with older women constituents</w:t>
            </w:r>
          </w:p>
        </w:tc>
      </w:tr>
      <w:tr w:rsidR="005E6E9B" w:rsidRPr="00424BD3" w14:paraId="41AB9BDC" w14:textId="77777777" w:rsidTr="0008307D">
        <w:tc>
          <w:tcPr>
            <w:tcW w:w="1885" w:type="dxa"/>
          </w:tcPr>
          <w:p w14:paraId="414CBE70"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Ruth</w:t>
            </w:r>
          </w:p>
        </w:tc>
        <w:tc>
          <w:tcPr>
            <w:tcW w:w="7465" w:type="dxa"/>
          </w:tcPr>
          <w:p w14:paraId="3832AF6C"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Healthcare access for all</w:t>
            </w:r>
          </w:p>
          <w:p w14:paraId="0B8088D2"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Spread the healthcare load across care facilities for indigent care</w:t>
            </w:r>
          </w:p>
          <w:p w14:paraId="5D0D97CF"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Population education on where to get help if someone is unable to afford care</w:t>
            </w:r>
          </w:p>
          <w:p w14:paraId="6D85D0E4"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Investment in rural care, access, hospitals and clinical care / facilities</w:t>
            </w:r>
          </w:p>
        </w:tc>
      </w:tr>
      <w:tr w:rsidR="005E6E9B" w:rsidRPr="00424BD3" w14:paraId="0DB3057E" w14:textId="77777777" w:rsidTr="00FD55D8">
        <w:tc>
          <w:tcPr>
            <w:tcW w:w="1885" w:type="dxa"/>
          </w:tcPr>
          <w:p w14:paraId="6B11B209"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Sylvia</w:t>
            </w:r>
          </w:p>
        </w:tc>
        <w:tc>
          <w:tcPr>
            <w:tcW w:w="7465" w:type="dxa"/>
          </w:tcPr>
          <w:p w14:paraId="20E7EB33"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Universal free mammograms</w:t>
            </w:r>
          </w:p>
          <w:p w14:paraId="7C36B49A"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Coverage of dental, eye, and hearing costs for older people through Medicare and supplemental health insurance</w:t>
            </w:r>
          </w:p>
          <w:p w14:paraId="59BB772C"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Alternatively, affordable dental insurance</w:t>
            </w:r>
          </w:p>
          <w:p w14:paraId="07D7BD50"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Affordable drug prices</w:t>
            </w:r>
          </w:p>
          <w:p w14:paraId="7A864FDF"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More older women age group health research</w:t>
            </w:r>
          </w:p>
        </w:tc>
      </w:tr>
      <w:tr w:rsidR="005E6E9B" w:rsidRPr="00424BD3" w14:paraId="3383D1A7" w14:textId="77777777" w:rsidTr="00FD55D8">
        <w:tc>
          <w:tcPr>
            <w:tcW w:w="1885" w:type="dxa"/>
          </w:tcPr>
          <w:p w14:paraId="27E66068"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Carolyn</w:t>
            </w:r>
          </w:p>
        </w:tc>
        <w:tc>
          <w:tcPr>
            <w:tcW w:w="7465" w:type="dxa"/>
          </w:tcPr>
          <w:p w14:paraId="4C0D4102"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More health research focused on women and focused on pre-menopause and post-menopause; particularly more heart health research focused on women; but also research on men in relation to their drop in hormones</w:t>
            </w:r>
          </w:p>
        </w:tc>
      </w:tr>
      <w:tr w:rsidR="005E6E9B" w:rsidRPr="00424BD3" w14:paraId="4C290E71" w14:textId="77777777" w:rsidTr="00FD55D8">
        <w:tc>
          <w:tcPr>
            <w:tcW w:w="1885" w:type="dxa"/>
          </w:tcPr>
          <w:p w14:paraId="630ECB08"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Kathryn</w:t>
            </w:r>
          </w:p>
        </w:tc>
        <w:tc>
          <w:tcPr>
            <w:tcW w:w="7465" w:type="dxa"/>
          </w:tcPr>
          <w:p w14:paraId="498FEA2A"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Medicare expansion</w:t>
            </w:r>
          </w:p>
          <w:p w14:paraId="31173B8E"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Affordable healthcare for everyone</w:t>
            </w:r>
          </w:p>
          <w:p w14:paraId="63547872"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Access for everyone</w:t>
            </w:r>
          </w:p>
          <w:p w14:paraId="3A9DA0A8" w14:textId="77777777" w:rsidR="005E6E9B" w:rsidRPr="00424BD3" w:rsidRDefault="005E6E9B" w:rsidP="005E6E9B">
            <w:pPr>
              <w:spacing w:line="480" w:lineRule="auto"/>
              <w:rPr>
                <w:rFonts w:ascii="Arial" w:hAnsi="Arial" w:cs="Arial"/>
                <w:sz w:val="20"/>
                <w:szCs w:val="20"/>
              </w:rPr>
            </w:pPr>
            <w:r w:rsidRPr="00424BD3">
              <w:rPr>
                <w:rFonts w:ascii="Arial" w:hAnsi="Arial" w:cs="Arial"/>
                <w:sz w:val="20"/>
                <w:szCs w:val="20"/>
              </w:rPr>
              <w:t>Affordable in-home care- more financial support for home carers and for in-home care</w:t>
            </w:r>
          </w:p>
        </w:tc>
      </w:tr>
      <w:tr w:rsidR="005E6E9B" w:rsidRPr="00424BD3" w14:paraId="43F813DB" w14:textId="77777777" w:rsidTr="00FD55D8">
        <w:tc>
          <w:tcPr>
            <w:tcW w:w="1885" w:type="dxa"/>
          </w:tcPr>
          <w:p w14:paraId="5E1BF4D8" w14:textId="77777777" w:rsidR="005E6E9B" w:rsidRPr="00424BD3" w:rsidRDefault="005E6E9B" w:rsidP="005E6E9B">
            <w:pPr>
              <w:spacing w:line="480" w:lineRule="auto"/>
              <w:rPr>
                <w:rFonts w:cs="Arial"/>
                <w:sz w:val="20"/>
                <w:szCs w:val="20"/>
              </w:rPr>
            </w:pPr>
          </w:p>
        </w:tc>
        <w:tc>
          <w:tcPr>
            <w:tcW w:w="7465" w:type="dxa"/>
          </w:tcPr>
          <w:p w14:paraId="718CDC9B" w14:textId="77777777" w:rsidR="005E6E9B" w:rsidRPr="00424BD3" w:rsidRDefault="005E6E9B" w:rsidP="005E6E9B">
            <w:pPr>
              <w:spacing w:line="480" w:lineRule="auto"/>
              <w:rPr>
                <w:rFonts w:cs="Arial"/>
                <w:sz w:val="20"/>
                <w:szCs w:val="20"/>
              </w:rPr>
            </w:pPr>
          </w:p>
        </w:tc>
      </w:tr>
    </w:tbl>
    <w:p w14:paraId="7D8C7FCE" w14:textId="77777777" w:rsidR="00FD55D8" w:rsidRDefault="00FD55D8"/>
    <w:p w14:paraId="08F7A4BB" w14:textId="77777777" w:rsidR="00FD55D8" w:rsidRDefault="00FD55D8"/>
    <w:p w14:paraId="402C17F2" w14:textId="77777777" w:rsidR="00FD55D8" w:rsidRDefault="00FD55D8"/>
    <w:p w14:paraId="7E4142A9" w14:textId="1F775607" w:rsidR="00221DE0" w:rsidRPr="00424BD3" w:rsidRDefault="00221DE0">
      <w:r w:rsidRPr="00424BD3">
        <w:br w:type="page"/>
      </w:r>
    </w:p>
    <w:p w14:paraId="12FC5585" w14:textId="501EB746" w:rsidR="004A23B3" w:rsidRPr="00424BD3" w:rsidRDefault="00213E14" w:rsidP="000126EE">
      <w:pPr>
        <w:pStyle w:val="Heading1"/>
        <w:spacing w:before="0" w:line="480" w:lineRule="auto"/>
        <w:jc w:val="center"/>
        <w:rPr>
          <w:rFonts w:ascii="Arial" w:hAnsi="Arial" w:cs="Arial"/>
          <w:b/>
          <w:color w:val="auto"/>
          <w:sz w:val="24"/>
          <w:szCs w:val="24"/>
        </w:rPr>
      </w:pPr>
      <w:bookmarkStart w:id="124" w:name="_Toc118232384"/>
      <w:r w:rsidRPr="00424BD3">
        <w:rPr>
          <w:rFonts w:ascii="Arial" w:hAnsi="Arial" w:cs="Arial"/>
          <w:b/>
          <w:color w:val="auto"/>
          <w:sz w:val="24"/>
          <w:szCs w:val="24"/>
        </w:rPr>
        <w:lastRenderedPageBreak/>
        <w:t>VITA</w:t>
      </w:r>
      <w:bookmarkEnd w:id="124"/>
    </w:p>
    <w:p w14:paraId="56BE52D4" w14:textId="3FD51D1F" w:rsidR="00CE1A80" w:rsidRDefault="0050438A" w:rsidP="00DC2276">
      <w:pPr>
        <w:spacing w:after="0" w:line="480" w:lineRule="auto"/>
        <w:ind w:firstLine="720"/>
      </w:pPr>
      <w:r w:rsidRPr="00424BD3">
        <w:t>Heather A. Davis</w:t>
      </w:r>
      <w:r w:rsidR="00123F83" w:rsidRPr="00424BD3">
        <w:t xml:space="preserve"> </w:t>
      </w:r>
      <w:r w:rsidR="00B9175C" w:rsidRPr="00424BD3">
        <w:t>(</w:t>
      </w:r>
      <w:r w:rsidR="00A64D0E" w:rsidRPr="00424BD3">
        <w:t>née</w:t>
      </w:r>
      <w:r w:rsidR="00B9175C" w:rsidRPr="00424BD3">
        <w:t xml:space="preserve"> Turner)</w:t>
      </w:r>
      <w:r w:rsidR="00A64D0E" w:rsidRPr="00424BD3">
        <w:t xml:space="preserve"> was born in Knoxville, Tennessee on September 20, 1970. </w:t>
      </w:r>
      <w:r w:rsidR="001C73DF" w:rsidRPr="00424BD3">
        <w:t>She attended elementary and middle schools in the Knox County and Blount County School Districts</w:t>
      </w:r>
      <w:r w:rsidR="000E51D1" w:rsidRPr="00424BD3">
        <w:t xml:space="preserve"> and graduated from William Blount High School with honors in May 1988. </w:t>
      </w:r>
      <w:r w:rsidR="00D22D67" w:rsidRPr="00424BD3">
        <w:t>The following August she entered the University of Tennessee, Knoxville</w:t>
      </w:r>
      <w:r w:rsidR="00070490" w:rsidRPr="00424BD3">
        <w:t>, switching to part-time attendance in 1989. She</w:t>
      </w:r>
      <w:r w:rsidR="00D22D67" w:rsidRPr="00424BD3">
        <w:t xml:space="preserve"> </w:t>
      </w:r>
      <w:r w:rsidR="00C64037" w:rsidRPr="00424BD3">
        <w:t xml:space="preserve">received a </w:t>
      </w:r>
      <w:r w:rsidR="00C47802" w:rsidRPr="00424BD3">
        <w:t>Bachelor of Arts</w:t>
      </w:r>
      <w:r w:rsidR="00C64037" w:rsidRPr="00424BD3">
        <w:t xml:space="preserve"> in Political Science and a minor in Economics in May 1996. </w:t>
      </w:r>
      <w:r w:rsidR="005F5153" w:rsidRPr="00424BD3">
        <w:t xml:space="preserve">She entered the University of </w:t>
      </w:r>
      <w:r w:rsidR="002537FD" w:rsidRPr="00424BD3">
        <w:t xml:space="preserve">Notre Dame of Maryland (formerly College of Notre Dame of Maryland) in </w:t>
      </w:r>
      <w:r w:rsidR="0079399D" w:rsidRPr="00424BD3">
        <w:t xml:space="preserve">May </w:t>
      </w:r>
      <w:r w:rsidR="002537FD" w:rsidRPr="00424BD3">
        <w:t xml:space="preserve">2002 graduating with a </w:t>
      </w:r>
      <w:r w:rsidR="00C47802" w:rsidRPr="00424BD3">
        <w:t>Master of Art</w:t>
      </w:r>
      <w:r w:rsidR="00B7079A" w:rsidRPr="00424BD3">
        <w:t>s</w:t>
      </w:r>
      <w:r w:rsidR="002537FD" w:rsidRPr="00424BD3">
        <w:t xml:space="preserve"> in Contemporary Communication </w:t>
      </w:r>
      <w:r w:rsidR="00AB6A22" w:rsidRPr="00424BD3">
        <w:t>in December 2004.</w:t>
      </w:r>
      <w:r w:rsidR="00AB6A22">
        <w:t xml:space="preserve"> </w:t>
      </w:r>
    </w:p>
    <w:sectPr w:rsidR="00CE1A80" w:rsidSect="00956DFE">
      <w:head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9C3B4" w14:textId="77777777" w:rsidR="009917E2" w:rsidRDefault="009917E2" w:rsidP="008844E4">
      <w:pPr>
        <w:spacing w:after="0" w:line="240" w:lineRule="auto"/>
      </w:pPr>
      <w:r>
        <w:separator/>
      </w:r>
    </w:p>
  </w:endnote>
  <w:endnote w:type="continuationSeparator" w:id="0">
    <w:p w14:paraId="2D31746B" w14:textId="77777777" w:rsidR="009917E2" w:rsidRDefault="009917E2" w:rsidP="00884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040889"/>
      <w:docPartObj>
        <w:docPartGallery w:val="Page Numbers (Bottom of Page)"/>
        <w:docPartUnique/>
      </w:docPartObj>
    </w:sdtPr>
    <w:sdtEndPr>
      <w:rPr>
        <w:rFonts w:ascii="Arial" w:hAnsi="Arial" w:cs="Arial"/>
        <w:noProof/>
      </w:rPr>
    </w:sdtEndPr>
    <w:sdtContent>
      <w:p w14:paraId="2F61BA98" w14:textId="60BC7616" w:rsidR="00090727" w:rsidRPr="006723BD" w:rsidRDefault="00090727">
        <w:pPr>
          <w:pStyle w:val="Footer"/>
          <w:jc w:val="center"/>
          <w:rPr>
            <w:rFonts w:ascii="Arial" w:hAnsi="Arial" w:cs="Arial"/>
          </w:rPr>
        </w:pPr>
        <w:r w:rsidRPr="00EE104C">
          <w:rPr>
            <w:rFonts w:ascii="Arial" w:hAnsi="Arial" w:cs="Arial"/>
            <w:sz w:val="20"/>
            <w:szCs w:val="20"/>
          </w:rPr>
          <w:fldChar w:fldCharType="begin"/>
        </w:r>
        <w:r w:rsidRPr="00EE104C">
          <w:rPr>
            <w:rFonts w:ascii="Arial" w:hAnsi="Arial" w:cs="Arial"/>
            <w:sz w:val="20"/>
            <w:szCs w:val="20"/>
          </w:rPr>
          <w:instrText xml:space="preserve"> PAGE   \* MERGEFORMAT </w:instrText>
        </w:r>
        <w:r w:rsidRPr="00EE104C">
          <w:rPr>
            <w:rFonts w:ascii="Arial" w:hAnsi="Arial" w:cs="Arial"/>
            <w:sz w:val="20"/>
            <w:szCs w:val="20"/>
          </w:rPr>
          <w:fldChar w:fldCharType="separate"/>
        </w:r>
        <w:r w:rsidRPr="00EE104C">
          <w:rPr>
            <w:rFonts w:ascii="Arial" w:hAnsi="Arial" w:cs="Arial"/>
            <w:noProof/>
            <w:sz w:val="20"/>
            <w:szCs w:val="20"/>
          </w:rPr>
          <w:t>2</w:t>
        </w:r>
        <w:r w:rsidRPr="00EE104C">
          <w:rPr>
            <w:rFonts w:ascii="Arial" w:hAnsi="Arial" w:cs="Arial"/>
            <w:noProof/>
            <w:sz w:val="20"/>
            <w:szCs w:val="20"/>
          </w:rPr>
          <w:fldChar w:fldCharType="end"/>
        </w:r>
      </w:p>
    </w:sdtContent>
  </w:sdt>
  <w:p w14:paraId="2E7E55F4" w14:textId="66976F2A" w:rsidR="00090727" w:rsidRPr="00EB4F16" w:rsidRDefault="00090727" w:rsidP="0079794B">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63D3F" w14:textId="77777777" w:rsidR="009917E2" w:rsidRDefault="009917E2" w:rsidP="008844E4">
      <w:pPr>
        <w:spacing w:after="0" w:line="240" w:lineRule="auto"/>
      </w:pPr>
      <w:r>
        <w:separator/>
      </w:r>
    </w:p>
  </w:footnote>
  <w:footnote w:type="continuationSeparator" w:id="0">
    <w:p w14:paraId="7349C834" w14:textId="77777777" w:rsidR="009917E2" w:rsidRDefault="009917E2" w:rsidP="008844E4">
      <w:pPr>
        <w:spacing w:after="0" w:line="240" w:lineRule="auto"/>
      </w:pPr>
      <w:r>
        <w:continuationSeparator/>
      </w:r>
    </w:p>
  </w:footnote>
  <w:footnote w:id="1">
    <w:p w14:paraId="0903CB54" w14:textId="2F499A95" w:rsidR="00090727" w:rsidRPr="00CF241E" w:rsidRDefault="00090727">
      <w:pPr>
        <w:pStyle w:val="FootnoteText"/>
        <w:rPr>
          <w:rFonts w:ascii="Arial" w:hAnsi="Arial" w:cs="Arial"/>
        </w:rPr>
      </w:pPr>
      <w:r w:rsidRPr="00846A04">
        <w:rPr>
          <w:rStyle w:val="FootnoteReference"/>
        </w:rPr>
        <w:footnoteRef/>
      </w:r>
      <w:r>
        <w:t xml:space="preserve"> </w:t>
      </w:r>
      <w:r w:rsidRPr="00CF241E">
        <w:rPr>
          <w:rFonts w:ascii="Arial" w:hAnsi="Arial" w:cs="Arial"/>
        </w:rPr>
        <w:t>The interviews took place nearly one year prior to the publication of this dissertation. The women were one year younger at the time of the interviews.</w:t>
      </w:r>
    </w:p>
  </w:footnote>
  <w:footnote w:id="2">
    <w:p w14:paraId="0F474FA2" w14:textId="30B66EC9" w:rsidR="00090727" w:rsidRDefault="00090727">
      <w:pPr>
        <w:pStyle w:val="FootnoteText"/>
      </w:pPr>
      <w:r w:rsidRPr="00846A04">
        <w:rPr>
          <w:rStyle w:val="FootnoteReference"/>
        </w:rPr>
        <w:footnoteRef/>
      </w:r>
      <w:r w:rsidRPr="00CF241E">
        <w:rPr>
          <w:rFonts w:ascii="Arial" w:hAnsi="Arial" w:cs="Arial"/>
        </w:rPr>
        <w:t xml:space="preserve"> The Jim Crow South refers to the U.S. southern geographic area and its involvement in the enactment of social and cultural norms, laws, and policies which established a caste system based on race against BIPOC people, particularly Black people </w:t>
      </w:r>
      <w:r w:rsidRPr="00CF241E">
        <w:rPr>
          <w:rFonts w:ascii="Arial" w:hAnsi="Arial" w:cs="Arial"/>
        </w:rPr>
        <w:fldChar w:fldCharType="begin"/>
      </w:r>
      <w:r w:rsidR="00990F3A" w:rsidRPr="00CF241E">
        <w:rPr>
          <w:rFonts w:ascii="Arial" w:hAnsi="Arial" w:cs="Arial"/>
        </w:rPr>
        <w:instrText xml:space="preserve"> ADDIN ZOTERO_ITEM CSL_CITATION {"citationID":"0beMrSOt","properties":{"formattedCitation":"(Pilgrim, 2012)","plainCitation":"(Pilgrim, 2012)","noteIndex":2},"citationItems":[{"id":1312,"uris":["http://zotero.org/users/4946941/items/GKC3DU6T"],"itemData":{"id":1312,"type":"webpage","container-title":"Ferris State University, Jim Crow Museum","title":"What was Jim Crow?","URL":"https://www.ferris.edu/HTMLS/news/jimcrow/what.htm","author":[{"family":"Pilgrim","given":"Davis"}],"accessed":{"date-parts":[["2022",9,4]]},"issued":{"date-parts":[["2012"]]}}}],"schema":"https://github.com/citation-style-language/schema/raw/master/csl-citation.json"} </w:instrText>
      </w:r>
      <w:r w:rsidRPr="00CF241E">
        <w:rPr>
          <w:rFonts w:ascii="Arial" w:hAnsi="Arial" w:cs="Arial"/>
        </w:rPr>
        <w:fldChar w:fldCharType="separate"/>
      </w:r>
      <w:r w:rsidRPr="00CF241E">
        <w:rPr>
          <w:rFonts w:ascii="Arial" w:hAnsi="Arial" w:cs="Arial"/>
        </w:rPr>
        <w:t>(Pilgrim, 2012)</w:t>
      </w:r>
      <w:r w:rsidRPr="00CF241E">
        <w:rPr>
          <w:rFonts w:ascii="Arial" w:hAnsi="Arial" w:cs="Arial"/>
        </w:rPr>
        <w:fldChar w:fldCharType="end"/>
      </w:r>
      <w:r w:rsidR="00DB396C">
        <w:rPr>
          <w:rFonts w:ascii="Arial" w:hAnsi="Arial" w:cs="Arial"/>
        </w:rPr>
        <w:t>.</w:t>
      </w:r>
      <w:r>
        <w:t xml:space="preserve"> </w:t>
      </w:r>
    </w:p>
  </w:footnote>
  <w:footnote w:id="3">
    <w:p w14:paraId="18ABD13B" w14:textId="1364AA65" w:rsidR="00090727" w:rsidRDefault="00090727">
      <w:pPr>
        <w:pStyle w:val="FootnoteText"/>
      </w:pPr>
      <w:r w:rsidRPr="00846A04">
        <w:rPr>
          <w:rStyle w:val="FootnoteReference"/>
        </w:rPr>
        <w:footnoteRef/>
      </w:r>
      <w:r>
        <w:t xml:space="preserve"> </w:t>
      </w:r>
      <w:r w:rsidRPr="00AB24F5">
        <w:rPr>
          <w:rFonts w:ascii="Arial" w:hAnsi="Arial" w:cs="Arial"/>
        </w:rPr>
        <w:t>The Southern Disadvantage states are made up of the c</w:t>
      </w:r>
      <w:r w:rsidRPr="00AB24F5">
        <w:rPr>
          <w:rFonts w:ascii="Arial" w:hAnsi="Arial" w:cs="Arial"/>
          <w:szCs w:val="24"/>
        </w:rPr>
        <w:t>entral Southern states of Alabama, Kentucky, Mississippi, and Tennessee</w:t>
      </w:r>
      <w:r w:rsidR="00AB24F5" w:rsidRPr="00AB24F5">
        <w:rPr>
          <w:rFonts w:ascii="Arial" w:hAnsi="Arial" w:cs="Arial"/>
          <w:szCs w:val="24"/>
        </w:rPr>
        <w:t>.</w:t>
      </w:r>
    </w:p>
  </w:footnote>
  <w:footnote w:id="4">
    <w:p w14:paraId="5E47C340" w14:textId="77777777" w:rsidR="00090727" w:rsidRPr="008218B1" w:rsidRDefault="00090727">
      <w:pPr>
        <w:pStyle w:val="FootnoteText"/>
        <w:rPr>
          <w:rFonts w:ascii="Arial" w:hAnsi="Arial" w:cs="Arial"/>
        </w:rPr>
      </w:pPr>
      <w:r w:rsidRPr="00846A04">
        <w:rPr>
          <w:rStyle w:val="FootnoteReference"/>
        </w:rPr>
        <w:footnoteRef/>
      </w:r>
      <w:r>
        <w:t xml:space="preserve"> </w:t>
      </w:r>
      <w:r w:rsidRPr="008218B1">
        <w:rPr>
          <w:rFonts w:ascii="Arial" w:hAnsi="Arial" w:cs="Arial"/>
        </w:rPr>
        <w:t>The Spirit of 1848 group was introduced to me by my PhD co-advisor, Dr. Gerry McCartney in 2017.</w:t>
      </w:r>
    </w:p>
  </w:footnote>
  <w:footnote w:id="5">
    <w:p w14:paraId="021A5AC0" w14:textId="042ACA61" w:rsidR="00090727" w:rsidRDefault="00090727">
      <w:pPr>
        <w:pStyle w:val="FootnoteText"/>
      </w:pPr>
      <w:r w:rsidRPr="00846A04">
        <w:rPr>
          <w:rStyle w:val="FootnoteReference"/>
        </w:rPr>
        <w:footnoteRef/>
      </w:r>
      <w:r w:rsidRPr="008218B1">
        <w:rPr>
          <w:rFonts w:ascii="Arial" w:hAnsi="Arial" w:cs="Arial"/>
        </w:rPr>
        <w:t xml:space="preserve"> Reverend Dr. Barber’s daughter, Dr. Sharrelle Barber received her Doctor of Science in Social Epidemiology from the Harvard T.H. Chan School of Public Health </w:t>
      </w:r>
      <w:r w:rsidRPr="008218B1">
        <w:rPr>
          <w:rFonts w:ascii="Arial" w:hAnsi="Arial" w:cs="Arial"/>
        </w:rPr>
        <w:fldChar w:fldCharType="begin"/>
      </w:r>
      <w:r w:rsidR="00990F3A" w:rsidRPr="008218B1">
        <w:rPr>
          <w:rFonts w:ascii="Arial" w:hAnsi="Arial" w:cs="Arial"/>
        </w:rPr>
        <w:instrText xml:space="preserve"> ADDIN ZOTERO_ITEM CSL_CITATION {"citationID":"skhw15Uy","properties":{"formattedCitation":"(Drexel University, 2022)","plainCitation":"(Drexel University, 2022)","noteIndex":5},"citationItems":[{"id":1210,"uris":["http://zotero.org/users/4946941/items/VZMIHYLL"],"itemData":{"id":1210,"type":"webpage","container-title":"Drexel University Dornsife School of Public Health","language":"en","title":"Sharrelle Barber, ScD, MPH","URL":"https://drexel.edu/dornsife/academics/faculty/Sharrelle-Barber/","author":[{"family":"Drexel University","given":""}],"accessed":{"date-parts":[["2022",7,21]]},"issued":{"date-parts":[["2022",5,24]]}}}],"schema":"https://github.com/citation-style-language/schema/raw/master/csl-citation.json"} </w:instrText>
      </w:r>
      <w:r w:rsidRPr="008218B1">
        <w:rPr>
          <w:rFonts w:ascii="Arial" w:hAnsi="Arial" w:cs="Arial"/>
        </w:rPr>
        <w:fldChar w:fldCharType="separate"/>
      </w:r>
      <w:r w:rsidRPr="008218B1">
        <w:rPr>
          <w:rFonts w:ascii="Arial" w:hAnsi="Arial" w:cs="Arial"/>
        </w:rPr>
        <w:t>(Drexel University, 2022)</w:t>
      </w:r>
      <w:r w:rsidRPr="008218B1">
        <w:rPr>
          <w:rFonts w:ascii="Arial" w:hAnsi="Arial" w:cs="Arial"/>
        </w:rPr>
        <w:fldChar w:fldCharType="end"/>
      </w:r>
      <w:r w:rsidRPr="008218B1">
        <w:rPr>
          <w:rFonts w:ascii="Arial" w:hAnsi="Arial" w:cs="Arial"/>
        </w:rPr>
        <w:t xml:space="preserve">, which Krieger herself informed me of during an email exchange between she and I about Reverend Dr. Barber’s work. It was from Sharrelle and through Krieger that Reverend Dr. Barber learned about social epidemiology to build his health inequities social justice work </w:t>
      </w:r>
      <w:r w:rsidRPr="008218B1">
        <w:rPr>
          <w:rFonts w:ascii="Arial" w:hAnsi="Arial" w:cs="Arial"/>
        </w:rPr>
        <w:fldChar w:fldCharType="begin"/>
      </w:r>
      <w:r w:rsidR="00990F3A" w:rsidRPr="008218B1">
        <w:rPr>
          <w:rFonts w:ascii="Arial" w:hAnsi="Arial" w:cs="Arial"/>
        </w:rPr>
        <w:instrText xml:space="preserve"> ADDIN ZOTERO_ITEM CSL_CITATION {"citationID":"xDBfFXo1","properties":{"formattedCitation":"(Bennett College, 2019)","plainCitation":"(Bennett College, 2019)","noteIndex":5},"citationItems":[{"id":896,"uris":["http://zotero.org/users/4946941/items/89UDIRQM"],"itemData":{"id":896,"type":"post-weblog","abstract":"GREENSBORO, N.C. – Former State NAACP President the Reverend Dr. William J. Barber, II and his daughter, Dr. Sharrelle Barber, will discuss the Institution’s pivotal role in the civil rights movement, among other topics, on Jan. 26 at 2 p.m. inside the Global Learning Center on Bennett’s campus. The event will be moderated by WFMY Channel 2 anchor/reporter Taheshah Moise and will feature the Bennett College Choir Ambassador Ensemble. There is no admission charge; however donations will be accepted and will go toward the Stand With Bennett fundraising campaign. Barber was president of North Carolina’s chapter of the National Association …","container-title":"Bennett College","language":"en-US","title":"Rev. Dr. William Barber and daughter Dr. Sharrelle Barber to hold event at Bennett on Saturday","URL":"https://www.bennett.edu/news/sisters-for-justice-featuring-sharrelle-barber-and-rev-william-barber/","author":[{"family":"Bennett College","given":""}],"accessed":{"date-parts":[["2022",7,15]]},"issued":{"date-parts":[["2019",1,25]]}}}],"schema":"https://github.com/citation-style-language/schema/raw/master/csl-citation.json"} </w:instrText>
      </w:r>
      <w:r w:rsidRPr="008218B1">
        <w:rPr>
          <w:rFonts w:ascii="Arial" w:hAnsi="Arial" w:cs="Arial"/>
        </w:rPr>
        <w:fldChar w:fldCharType="separate"/>
      </w:r>
      <w:r w:rsidRPr="008218B1">
        <w:rPr>
          <w:rFonts w:ascii="Arial" w:hAnsi="Arial" w:cs="Arial"/>
        </w:rPr>
        <w:t>(Bennett College, 2019)</w:t>
      </w:r>
      <w:r w:rsidRPr="008218B1">
        <w:rPr>
          <w:rFonts w:ascii="Arial" w:hAnsi="Arial" w:cs="Arial"/>
        </w:rPr>
        <w:fldChar w:fldCharType="end"/>
      </w:r>
      <w:r w:rsidR="008218B1" w:rsidRPr="008218B1">
        <w:rPr>
          <w:rFonts w:ascii="Arial" w:hAnsi="Arial" w:cs="Arial"/>
        </w:rPr>
        <w:t>.</w:t>
      </w:r>
    </w:p>
  </w:footnote>
  <w:footnote w:id="6">
    <w:p w14:paraId="4FAEC76C" w14:textId="4C251526" w:rsidR="00090727" w:rsidRDefault="00090727" w:rsidP="001D70BB">
      <w:pPr>
        <w:pStyle w:val="FootnoteText"/>
      </w:pPr>
      <w:r w:rsidRPr="00846A04">
        <w:rPr>
          <w:rStyle w:val="FootnoteReference"/>
        </w:rPr>
        <w:footnoteRef/>
      </w:r>
      <w:r>
        <w:t xml:space="preserve"> </w:t>
      </w:r>
      <w:r w:rsidRPr="008218B1">
        <w:rPr>
          <w:rFonts w:ascii="Arial" w:hAnsi="Arial" w:cs="Arial"/>
        </w:rPr>
        <w:t>Thomeer, Yahirum &amp; Cólon-Lófapez indicate that their definition of families is connected groups, not solely by biology, and can include legal, emotional, or biological. For the purposes of this dissertation only, the familial focus is on biological intergenerational ties, while at the same time acknowledging the wider context of familial connected groups.</w:t>
      </w:r>
    </w:p>
  </w:footnote>
  <w:footnote w:id="7">
    <w:p w14:paraId="6F881D04" w14:textId="5A275EC0" w:rsidR="00090727" w:rsidRPr="008218B1" w:rsidRDefault="00090727" w:rsidP="00CE1A80">
      <w:pPr>
        <w:pStyle w:val="FootnoteText"/>
        <w:rPr>
          <w:rFonts w:ascii="Arial" w:hAnsi="Arial" w:cs="Arial"/>
        </w:rPr>
      </w:pPr>
      <w:r w:rsidRPr="00846A04">
        <w:rPr>
          <w:rStyle w:val="FootnoteReference"/>
        </w:rPr>
        <w:footnoteRef/>
      </w:r>
      <w:r>
        <w:t xml:space="preserve"> </w:t>
      </w:r>
      <w:r w:rsidRPr="008218B1">
        <w:rPr>
          <w:rFonts w:ascii="Arial" w:hAnsi="Arial" w:cs="Arial"/>
        </w:rPr>
        <w:t xml:space="preserve">Tennessee has 95 counties, with 89 mainly rural health departments that are appointed by the Tennessee Health Department (TDOH) Commissioner. Six which are larger and more urban, are appointed by their county leaders, and operated under local governance </w:t>
      </w:r>
      <w:r w:rsidRPr="008218B1">
        <w:rPr>
          <w:rFonts w:ascii="Arial" w:hAnsi="Arial" w:cs="Arial"/>
        </w:rPr>
        <w:fldChar w:fldCharType="begin"/>
      </w:r>
      <w:r w:rsidR="009E4175" w:rsidRPr="008218B1">
        <w:rPr>
          <w:rFonts w:ascii="Arial" w:hAnsi="Arial" w:cs="Arial"/>
        </w:rPr>
        <w:instrText xml:space="preserve"> ADDIN ZOTERO_ITEM CSL_CITATION {"citationID":"XISsQi6K","properties":{"formattedCitation":"(TDOH, 2021)","plainCitation":"(TDOH, 2021)","noteIndex":7},"citationItems":[{"id":1052,"uris":["http://zotero.org/users/4946941/items/8VN6WX8I"],"itemData":{"id":1052,"type":"webpage","container-title":"State of Tennessee, Department of Health (TDOH)","language":"en","title":"Local and Regional Health Departments","URL":"https://www.tn.gov/health/health-program-areas/localdepartments.html","author":[{"family":"TDOH","given":""}],"accessed":{"date-parts":[["2022",7,16]]},"issued":{"date-parts":[["2021"]]}}}],"schema":"https://github.com/citation-style-language/schema/raw/master/csl-citation.json"} </w:instrText>
      </w:r>
      <w:r w:rsidRPr="008218B1">
        <w:rPr>
          <w:rFonts w:ascii="Arial" w:hAnsi="Arial" w:cs="Arial"/>
        </w:rPr>
        <w:fldChar w:fldCharType="separate"/>
      </w:r>
      <w:r w:rsidRPr="008218B1">
        <w:rPr>
          <w:rFonts w:ascii="Arial" w:hAnsi="Arial" w:cs="Arial"/>
        </w:rPr>
        <w:t>(TDOH, 2021)</w:t>
      </w:r>
      <w:r w:rsidRPr="008218B1">
        <w:rPr>
          <w:rFonts w:ascii="Arial" w:hAnsi="Arial" w:cs="Arial"/>
        </w:rPr>
        <w:fldChar w:fldCharType="end"/>
      </w:r>
      <w:r w:rsidRPr="008218B1">
        <w:rPr>
          <w:rFonts w:ascii="Arial" w:hAnsi="Arial" w:cs="Arial"/>
        </w:rPr>
        <w:t xml:space="preserve"> until November 2021, when the state’s republican supermajority and the republican Governor, in reaction against federal COVID-19 public health measures, removed the rights of the six urban public health boards to make certain public health decisions and placed it in the hands of the governor, county mayors, and state appointed health commissioner </w:t>
      </w:r>
      <w:r w:rsidRPr="008218B1">
        <w:rPr>
          <w:rFonts w:ascii="Arial" w:hAnsi="Arial" w:cs="Arial"/>
        </w:rPr>
        <w:fldChar w:fldCharType="begin"/>
      </w:r>
      <w:r w:rsidR="009E4175" w:rsidRPr="008218B1">
        <w:rPr>
          <w:rFonts w:ascii="Arial" w:hAnsi="Arial" w:cs="Arial"/>
        </w:rPr>
        <w:instrText xml:space="preserve"> ADDIN ZOTERO_ITEM CSL_CITATION {"citationID":"4kb9kajJ","properties":{"formattedCitation":"(T.C.A., 2021)","plainCitation":"(T.C.A., 2021)","dontUpdate":true,"noteIndex":7},"citationItems":[{"id":1055,"uris":["http://zotero.org/users/4946941/items/DFEUFIVY"],"itemData":{"id":1055,"type":"webpage","container-title":"Tennessee Code Annotated (T.C.A.)","title":"T.C.A. 14 COVID-19 of 2021","URL":"https://www.tncourts.gov/Tennessee%20Code","author":[{"family":"T.C.A.","given":"14 COVID-19 of 2021"}],"issued":{"date-parts":[["2021"]]}}}],"schema":"https://github.com/citation-style-language/schema/raw/master/csl-citation.json"} </w:instrText>
      </w:r>
      <w:r w:rsidRPr="008218B1">
        <w:rPr>
          <w:rFonts w:ascii="Arial" w:hAnsi="Arial" w:cs="Arial"/>
        </w:rPr>
        <w:fldChar w:fldCharType="separate"/>
      </w:r>
      <w:r w:rsidRPr="008218B1">
        <w:rPr>
          <w:rFonts w:ascii="Arial" w:hAnsi="Arial" w:cs="Arial"/>
        </w:rPr>
        <w:t>(T.C.A. 14 COVID-19 19 of 2021)</w:t>
      </w:r>
      <w:r w:rsidRPr="008218B1">
        <w:rPr>
          <w:rFonts w:ascii="Arial" w:hAnsi="Arial" w:cs="Arial"/>
        </w:rPr>
        <w:fldChar w:fldCharType="end"/>
      </w:r>
      <w:r w:rsidRPr="008218B1">
        <w:rPr>
          <w:rFonts w:ascii="Arial" w:hAnsi="Arial" w:cs="Arial"/>
        </w:rPr>
        <w:t>. The</w:t>
      </w:r>
      <w:r w:rsidRPr="004E5245">
        <w:t xml:space="preserve"> </w:t>
      </w:r>
      <w:r w:rsidRPr="00DB396C">
        <w:rPr>
          <w:rFonts w:ascii="Arial" w:hAnsi="Arial" w:cs="Arial"/>
        </w:rPr>
        <w:t>counties are divided by TDOH into</w:t>
      </w:r>
      <w:r w:rsidRPr="004E5245">
        <w:t xml:space="preserve"> </w:t>
      </w:r>
      <w:r w:rsidRPr="008218B1">
        <w:rPr>
          <w:rFonts w:ascii="Arial" w:hAnsi="Arial" w:cs="Arial"/>
        </w:rPr>
        <w:t>eight regions, one of which is East Tennessee, with two additional regions known as Northeast Tennessee and Southeast Tennessee. For public health purposes, the East Tennessee region is divided into sixteen counties, all of which have rural health departments with the exception of Knox County which is one of the state’s six urban health departments.</w:t>
      </w:r>
    </w:p>
  </w:footnote>
  <w:footnote w:id="8">
    <w:p w14:paraId="53CE0642" w14:textId="38765210" w:rsidR="00090727" w:rsidRPr="008218B1" w:rsidRDefault="00090727" w:rsidP="00CE1A80">
      <w:pPr>
        <w:pStyle w:val="FootnoteText"/>
        <w:rPr>
          <w:rFonts w:ascii="Arial" w:hAnsi="Arial" w:cs="Arial"/>
        </w:rPr>
      </w:pPr>
      <w:r w:rsidRPr="00846A04">
        <w:rPr>
          <w:rStyle w:val="FootnoteReference"/>
        </w:rPr>
        <w:footnoteRef/>
      </w:r>
      <w:r w:rsidRPr="008218B1">
        <w:rPr>
          <w:rFonts w:ascii="Arial" w:hAnsi="Arial" w:cs="Arial"/>
        </w:rPr>
        <w:t xml:space="preserve"> All counties in the study are located in and/or along the Great Smoky Mountains range, an international biosphere reserve and UNESCO World Heritage Site, situated between the Tennessee and North Carolina borders. The Great Smoky Mountains National Park, the most visited national park in the United States, is located within the Smokies and is maintained by the U.S. National Park Service. </w:t>
      </w:r>
      <w:r w:rsidRPr="008218B1">
        <w:rPr>
          <w:rFonts w:ascii="Arial" w:hAnsi="Arial" w:cs="Arial"/>
        </w:rPr>
        <w:fldChar w:fldCharType="begin"/>
      </w:r>
      <w:r w:rsidR="00C84B7D" w:rsidRPr="008218B1">
        <w:rPr>
          <w:rFonts w:ascii="Arial" w:hAnsi="Arial" w:cs="Arial"/>
        </w:rPr>
        <w:instrText xml:space="preserve"> ADDIN ZOTERO_ITEM CSL_CITATION {"citationID":"HPHK5UWO","properties":{"formattedCitation":"(NPS, 2021)","plainCitation":"(NPS, 2021)","noteIndex":8},"citationItems":[{"id":746,"uris":["http://zotero.org/users/4946941/items/FKDTRQQC"],"itemData":{"id":746,"type":"document","language":"en","publisher":"National Park Service (NPS)","title":"Visitation Numbers","URL":"https://www.nps.gov/aboutus/visitation-numbers.htm","author":[{"family":"NPS","given":""}],"issued":{"date-parts":[["2021"]]}}}],"schema":"https://github.com/citation-style-language/schema/raw/master/csl-citation.json"} </w:instrText>
      </w:r>
      <w:r w:rsidRPr="008218B1">
        <w:rPr>
          <w:rFonts w:ascii="Arial" w:hAnsi="Arial" w:cs="Arial"/>
        </w:rPr>
        <w:fldChar w:fldCharType="separate"/>
      </w:r>
      <w:r w:rsidRPr="008218B1">
        <w:rPr>
          <w:rFonts w:ascii="Arial" w:hAnsi="Arial" w:cs="Arial"/>
        </w:rPr>
        <w:t>(NPS, 2021)</w:t>
      </w:r>
      <w:r w:rsidRPr="008218B1">
        <w:rPr>
          <w:rFonts w:ascii="Arial" w:hAnsi="Arial" w:cs="Arial"/>
        </w:rPr>
        <w:fldChar w:fldCharType="end"/>
      </w:r>
      <w:r w:rsidRPr="008218B1">
        <w:rPr>
          <w:rFonts w:ascii="Arial" w:hAnsi="Arial" w:cs="Arial"/>
        </w:rPr>
        <w:t xml:space="preserve">. Blount County is considered part of the Knox County metropolitan area while Sevier County (home of Dolly Parton) is considered a micropolitan area </w:t>
      </w:r>
      <w:r w:rsidRPr="008218B1">
        <w:rPr>
          <w:rFonts w:ascii="Arial" w:hAnsi="Arial" w:cs="Arial"/>
        </w:rPr>
        <w:fldChar w:fldCharType="begin"/>
      </w:r>
      <w:r w:rsidR="009E4175" w:rsidRPr="008218B1">
        <w:rPr>
          <w:rFonts w:ascii="Arial" w:hAnsi="Arial" w:cs="Arial"/>
        </w:rPr>
        <w:instrText xml:space="preserve"> ADDIN ZOTERO_ITEM CSL_CITATION {"citationID":"FNf3G2QB","properties":{"formattedCitation":"(TDC of Knox County, 2021)","plainCitation":"(TDC of Knox County, 2021)","noteIndex":8},"citationItems":[{"id":827,"uris":["http://zotero.org/users/4946941/items/FJXYFHEF"],"itemData":{"id":827,"type":"document","language":"en","publisher":"The Development Corporation (TDC) of Knox County","title":"County Profile","URL":"https://knoxdevelopment.org/county-profile/","author":[{"family":"TDC of Knox County","given":""}],"issued":{"date-parts":[["2021"]]}}}],"schema":"https://github.com/citation-style-language/schema/raw/master/csl-citation.json"} </w:instrText>
      </w:r>
      <w:r w:rsidRPr="008218B1">
        <w:rPr>
          <w:rFonts w:ascii="Arial" w:hAnsi="Arial" w:cs="Arial"/>
        </w:rPr>
        <w:fldChar w:fldCharType="separate"/>
      </w:r>
      <w:r w:rsidRPr="008218B1">
        <w:rPr>
          <w:rFonts w:ascii="Arial" w:hAnsi="Arial" w:cs="Arial"/>
        </w:rPr>
        <w:t>(TDC of Knox County, 2021)</w:t>
      </w:r>
      <w:r w:rsidRPr="008218B1">
        <w:rPr>
          <w:rFonts w:ascii="Arial" w:hAnsi="Arial" w:cs="Arial"/>
        </w:rPr>
        <w:fldChar w:fldCharType="end"/>
      </w:r>
      <w:r w:rsidRPr="008218B1">
        <w:rPr>
          <w:rFonts w:ascii="Arial" w:hAnsi="Arial" w:cs="Arial"/>
        </w:rPr>
        <w:t xml:space="preserve">. According to Waldorf’s Index of Relative Rurality (IRR), Blount and Sevier counties are considered to be mixed rural counties and Knox County is considered a mixed urban county, while at the same time the IRR considers Knox and Blount are in the top quartile of most urban counties in the US </w:t>
      </w:r>
      <w:r w:rsidRPr="008218B1">
        <w:rPr>
          <w:rFonts w:ascii="Arial" w:hAnsi="Arial" w:cs="Arial"/>
        </w:rPr>
        <w:fldChar w:fldCharType="begin"/>
      </w:r>
      <w:r w:rsidR="009E4175" w:rsidRPr="008218B1">
        <w:rPr>
          <w:rFonts w:ascii="Arial" w:hAnsi="Arial" w:cs="Arial"/>
        </w:rPr>
        <w:instrText xml:space="preserve"> ADDIN ZOTERO_ITEM CSL_CITATION {"citationID":"N5TvUFmN","properties":{"formattedCitation":"(TACIR, 2021)","plainCitation":"(TACIR, 2021)","noteIndex":8},"citationItems":[{"id":815,"uris":["http://zotero.org/users/4946941/items/ZSIFT7QB"],"itemData":{"id":815,"type":"document","language":"en","publisher":"Tennessee Advisory Commission on Intergovernmental Relations (TACIR)","title":"Tennessee County Profiles","URL":"https://www.tn.gov/tacir/tennessee-county-profiles-redirect.html","author":[{"family":"TACIR","given":""}],"issued":{"date-parts":[["2021"]]}}}],"schema":"https://github.com/citation-style-language/schema/raw/master/csl-citation.json"} </w:instrText>
      </w:r>
      <w:r w:rsidRPr="008218B1">
        <w:rPr>
          <w:rFonts w:ascii="Arial" w:hAnsi="Arial" w:cs="Arial"/>
        </w:rPr>
        <w:fldChar w:fldCharType="separate"/>
      </w:r>
      <w:r w:rsidRPr="008218B1">
        <w:rPr>
          <w:rFonts w:ascii="Arial" w:hAnsi="Arial" w:cs="Arial"/>
        </w:rPr>
        <w:t>(TACIR, 2021)</w:t>
      </w:r>
      <w:r w:rsidRPr="008218B1">
        <w:rPr>
          <w:rFonts w:ascii="Arial" w:hAnsi="Arial" w:cs="Arial"/>
        </w:rPr>
        <w:fldChar w:fldCharType="end"/>
      </w:r>
      <w:r w:rsidRPr="008218B1">
        <w:rPr>
          <w:rFonts w:ascii="Arial" w:hAnsi="Arial" w:cs="Arial"/>
        </w:rPr>
        <w:t>. This belies the complicated nature of socially qualifying these three counties within a region traditionally thought of as a rural Appalachian region.</w:t>
      </w:r>
    </w:p>
  </w:footnote>
  <w:footnote w:id="9">
    <w:p w14:paraId="21D2E9B8" w14:textId="158ADFEC" w:rsidR="00090727" w:rsidRDefault="00090727" w:rsidP="00CE1A80">
      <w:pPr>
        <w:pStyle w:val="FootnoteText"/>
      </w:pPr>
      <w:r w:rsidRPr="00846A04">
        <w:rPr>
          <w:rStyle w:val="FootnoteReference"/>
        </w:rPr>
        <w:footnoteRef/>
      </w:r>
      <w:r w:rsidRPr="008218B1">
        <w:rPr>
          <w:rFonts w:ascii="Arial" w:hAnsi="Arial" w:cs="Arial"/>
        </w:rPr>
        <w:t xml:space="preserve"> Blount and Sevier showing well over 90% (Knox – 76.3%; Blount – 93.7%; Sevier – 95.0%) </w:t>
      </w:r>
      <w:r w:rsidRPr="008218B1">
        <w:rPr>
          <w:rFonts w:ascii="Arial" w:hAnsi="Arial" w:cs="Arial"/>
        </w:rPr>
        <w:fldChar w:fldCharType="begin"/>
      </w:r>
      <w:r w:rsidR="00990F3A" w:rsidRPr="008218B1">
        <w:rPr>
          <w:rFonts w:ascii="Arial" w:hAnsi="Arial" w:cs="Arial"/>
        </w:rPr>
        <w:instrText xml:space="preserve"> ADDIN ZOTERO_ITEM CSL_CITATION {"citationID":"Gh1ONn7G","properties":{"formattedCitation":"(U.S. Census Bureau, 2021b)","plainCitation":"(U.S. Census Bureau, 2021b)","noteIndex":9},"citationItems":[{"id":849,"uris":["http://zotero.org/users/4946941/items/NR9B5CNJ"],"itemData":{"id":849,"type":"document","language":"en","title":"b. Quick Facts","URL":"https://www.census.gov/quickfacts","author":[{"family":"U.S. Census Bureau","given":""}],"issued":{"date-parts":[["2021"]]}}}],"schema":"https://github.com/citation-style-language/schema/raw/master/csl-citation.json"} </w:instrText>
      </w:r>
      <w:r w:rsidRPr="008218B1">
        <w:rPr>
          <w:rFonts w:ascii="Arial" w:hAnsi="Arial" w:cs="Arial"/>
        </w:rPr>
        <w:fldChar w:fldCharType="separate"/>
      </w:r>
      <w:r w:rsidRPr="008218B1">
        <w:rPr>
          <w:rFonts w:ascii="Arial" w:hAnsi="Arial" w:cs="Arial"/>
        </w:rPr>
        <w:t>(U.S. Census Bureau, 2021b)</w:t>
      </w:r>
      <w:r w:rsidRPr="008218B1">
        <w:rPr>
          <w:rFonts w:ascii="Arial" w:hAnsi="Arial" w:cs="Arial"/>
        </w:rPr>
        <w:fldChar w:fldCharType="end"/>
      </w:r>
      <w:r w:rsidRPr="008218B1">
        <w:rPr>
          <w:rFonts w:ascii="Arial" w:hAnsi="Arial" w:cs="Arial"/>
        </w:rPr>
        <w:t>.</w:t>
      </w:r>
    </w:p>
  </w:footnote>
  <w:footnote w:id="10">
    <w:p w14:paraId="3F4418DB" w14:textId="5DA65EAA" w:rsidR="00090727" w:rsidRPr="008218B1" w:rsidRDefault="00090727">
      <w:pPr>
        <w:pStyle w:val="FootnoteText"/>
        <w:rPr>
          <w:rFonts w:ascii="Arial" w:hAnsi="Arial" w:cs="Arial"/>
        </w:rPr>
      </w:pPr>
      <w:r w:rsidRPr="00846A04">
        <w:rPr>
          <w:rStyle w:val="FootnoteReference"/>
        </w:rPr>
        <w:footnoteRef/>
      </w:r>
      <w:r>
        <w:t xml:space="preserve"> </w:t>
      </w:r>
      <w:r w:rsidRPr="008218B1">
        <w:rPr>
          <w:rFonts w:ascii="Arial" w:hAnsi="Arial" w:cs="Arial"/>
        </w:rPr>
        <w:t xml:space="preserve">The Older Americans Act of 1965 was enacted to provide services to people aged 60 years and over </w:t>
      </w:r>
      <w:r w:rsidRPr="008218B1">
        <w:rPr>
          <w:rFonts w:ascii="Arial" w:hAnsi="Arial" w:cs="Arial"/>
        </w:rPr>
        <w:fldChar w:fldCharType="begin"/>
      </w:r>
      <w:r w:rsidR="00990F3A" w:rsidRPr="008218B1">
        <w:rPr>
          <w:rFonts w:ascii="Arial" w:hAnsi="Arial" w:cs="Arial"/>
        </w:rPr>
        <w:instrText xml:space="preserve"> ADDIN ZOTERO_ITEM CSL_CITATION {"citationID":"IeO1yjDA","properties":{"formattedCitation":"(Colello &amp; Napili, 2022)","plainCitation":"(Colello &amp; Napili, 2022)","noteIndex":10},"citationItems":[{"id":1563,"uris":["http://zotero.org/users/4946941/items/25ZBGTWA"],"itemData":{"id":1563,"type":"report","abstract":"Search Results for all congressional items related to the OAA and OAA amendements","genre":"Government","note":"https://crsreports.congress.gov/","number":"R43414","page":"29","publisher":"Congressional Research Service","title":"Congressional Research Service - Older Americans Act","URL":"https://crsreports.congress.gov/search/#/?termsToSearch=Older%20Americans%20Act&amp;orderBy=Relevance","author":[{"family":"Colello","given":"Kirsten J."},{"family":"Napili","given":"Angela"}],"accessed":{"date-parts":[["2022",9,10]]},"issued":{"date-parts":[["2022",6,23]]}}}],"schema":"https://github.com/citation-style-language/schema/raw/master/csl-citation.json"} </w:instrText>
      </w:r>
      <w:r w:rsidRPr="008218B1">
        <w:rPr>
          <w:rFonts w:ascii="Arial" w:hAnsi="Arial" w:cs="Arial"/>
        </w:rPr>
        <w:fldChar w:fldCharType="separate"/>
      </w:r>
      <w:r w:rsidRPr="008218B1">
        <w:rPr>
          <w:rFonts w:ascii="Arial" w:hAnsi="Arial" w:cs="Arial"/>
        </w:rPr>
        <w:t>(Colello &amp; Napili, 2022)</w:t>
      </w:r>
      <w:r w:rsidRPr="008218B1">
        <w:rPr>
          <w:rFonts w:ascii="Arial" w:hAnsi="Arial" w:cs="Arial"/>
        </w:rPr>
        <w:fldChar w:fldCharType="end"/>
      </w:r>
      <w:r w:rsidRPr="008218B1">
        <w:rPr>
          <w:rFonts w:ascii="Arial" w:hAnsi="Arial" w:cs="Arial"/>
        </w:rPr>
        <w:t xml:space="preserve">. Provisions in the Older Americans Act include, but are not limited to, home and community-based infrastructure programs such as “protective services, homemaker services, transportation services, adult day care services, training for employment, information and referral, nutrition assistance, and health supports” </w:t>
      </w:r>
      <w:r w:rsidRPr="008218B1">
        <w:rPr>
          <w:rFonts w:ascii="Arial" w:hAnsi="Arial" w:cs="Arial"/>
        </w:rPr>
        <w:fldChar w:fldCharType="begin"/>
      </w:r>
      <w:r w:rsidR="00990F3A" w:rsidRPr="008218B1">
        <w:rPr>
          <w:rFonts w:ascii="Arial" w:hAnsi="Arial" w:cs="Arial"/>
        </w:rPr>
        <w:instrText xml:space="preserve"> ADDIN ZOTERO_ITEM CSL_CITATION {"citationID":"y8XM0UMR","properties":{"formattedCitation":"(Dillingham, 2019)","plainCitation":"(Dillingham, 2019)","noteIndex":10},"citationItems":[{"id":1212,"uris":["http://zotero.org/users/4946941/items/BNI3CFTC"],"itemData":{"id":1212,"type":"thesis","publisher":"Murray State University","title":"Aging in America","URL":"https://digitalcommons.murraystate.edu/bis437/208","author":[{"family":"Dillingham","given":"Elizabeth"}],"issued":{"date-parts":[["2019",1,1]]}}}],"schema":"https://github.com/citation-style-language/schema/raw/master/csl-citation.json"} </w:instrText>
      </w:r>
      <w:r w:rsidRPr="008218B1">
        <w:rPr>
          <w:rFonts w:ascii="Arial" w:hAnsi="Arial" w:cs="Arial"/>
        </w:rPr>
        <w:fldChar w:fldCharType="separate"/>
      </w:r>
      <w:r w:rsidRPr="008218B1">
        <w:rPr>
          <w:rFonts w:ascii="Arial" w:hAnsi="Arial" w:cs="Arial"/>
        </w:rPr>
        <w:t>(Dillingham, 2019)</w:t>
      </w:r>
      <w:r w:rsidRPr="008218B1">
        <w:rPr>
          <w:rFonts w:ascii="Arial" w:hAnsi="Arial" w:cs="Arial"/>
        </w:rPr>
        <w:fldChar w:fldCharType="end"/>
      </w:r>
      <w:r w:rsidR="00DB396C">
        <w:rPr>
          <w:rFonts w:ascii="Arial" w:hAnsi="Arial" w:cs="Arial"/>
        </w:rPr>
        <w:t>.</w:t>
      </w:r>
    </w:p>
  </w:footnote>
  <w:footnote w:id="11">
    <w:p w14:paraId="3D2C3F19" w14:textId="1C52298B" w:rsidR="00090727" w:rsidRDefault="00090727" w:rsidP="00CE1A80">
      <w:pPr>
        <w:pStyle w:val="FootnoteText"/>
      </w:pPr>
      <w:r w:rsidRPr="00846A04">
        <w:rPr>
          <w:rStyle w:val="FootnoteReference"/>
        </w:rPr>
        <w:footnoteRef/>
      </w:r>
      <w:r w:rsidRPr="008218B1">
        <w:rPr>
          <w:rFonts w:ascii="Arial" w:hAnsi="Arial" w:cs="Arial"/>
        </w:rPr>
        <w:t xml:space="preserve"> Including social security, disability, and social service programs; housing; nutrition; transportation; adult day care and congregate independent living services; special needs; foster grandparenting; counseling; volunteering; employment; in-home care services and caregiver’s community development; Medicare and Medicaid; age</w:t>
      </w:r>
      <w:r w:rsidRPr="002F43B4">
        <w:t xml:space="preserve"> discrimination; legal services; nursing home reform; special needs assistance; elder abuse prevention; and much more.</w:t>
      </w:r>
    </w:p>
  </w:footnote>
  <w:footnote w:id="12">
    <w:p w14:paraId="66D49D64" w14:textId="7D0DFC98" w:rsidR="00090727" w:rsidRDefault="00090727" w:rsidP="00CE1A80">
      <w:pPr>
        <w:pStyle w:val="FootnoteText"/>
      </w:pPr>
      <w:r w:rsidRPr="00846A04">
        <w:rPr>
          <w:rStyle w:val="FootnoteReference"/>
        </w:rPr>
        <w:footnoteRef/>
      </w:r>
      <w:r>
        <w:t xml:space="preserve"> </w:t>
      </w:r>
      <w:r w:rsidRPr="008218B1">
        <w:rPr>
          <w:rFonts w:ascii="Arial" w:hAnsi="Arial" w:cs="Arial"/>
        </w:rPr>
        <w:t xml:space="preserve">For a full list of services, visit </w:t>
      </w:r>
      <w:hyperlink r:id="rId1" w:history="1">
        <w:r w:rsidRPr="008218B1">
          <w:rPr>
            <w:rStyle w:val="Hyperlink"/>
            <w:rFonts w:ascii="Arial" w:hAnsi="Arial" w:cs="Arial"/>
          </w:rPr>
          <w:t>https://comptroller.tn.gov/office-functions/research-and-education-accountability/publications/other-topics/content/senior-long-term-care-in-tennessee--trends-and-options0.html</w:t>
        </w:r>
      </w:hyperlink>
      <w:r w:rsidRPr="008218B1">
        <w:rPr>
          <w:rFonts w:ascii="Arial" w:hAnsi="Arial" w:cs="Arial"/>
        </w:rPr>
        <w:t xml:space="preserve"> </w:t>
      </w:r>
      <w:r w:rsidRPr="008218B1">
        <w:rPr>
          <w:rFonts w:ascii="Arial" w:hAnsi="Arial" w:cs="Arial"/>
        </w:rPr>
        <w:fldChar w:fldCharType="begin"/>
      </w:r>
      <w:r w:rsidR="00990F3A" w:rsidRPr="008218B1">
        <w:rPr>
          <w:rFonts w:ascii="Arial" w:hAnsi="Arial" w:cs="Arial"/>
        </w:rPr>
        <w:instrText xml:space="preserve"> ADDIN ZOTERO_ITEM CSL_CITATION {"citationID":"7MuTuhQD","properties":{"formattedCitation":"(TN Comptroller, 2022)","plainCitation":"(TN Comptroller, 2022)","noteIndex":12},"citationItems":[{"id":1214,"uris":["http://zotero.org/users/4946941/items/NZFEUTMZ"],"itemData":{"id":1214,"type":"webpage","container-title":"Tennessee Comptroller of the Treasury, Research and Education Accountability","language":"en","title":"Senior Long-Term Care in Tennessee: Trends and Options","title-short":"Senior Long-Term Care in Tennessee","URL":"https://comptroller.tn.gov/office-functions/research-and-education-accountability/publications/other-topics/content/senior-long-term-care-in-tennessee--trends-and-options0.html","author":[{"family":"TN Comptroller","given":""}],"accessed":{"date-parts":[["2022",7,22]]},"issued":{"date-parts":[["2022"]]}}}],"schema":"https://github.com/citation-style-language/schema/raw/master/csl-citation.json"} </w:instrText>
      </w:r>
      <w:r w:rsidRPr="008218B1">
        <w:rPr>
          <w:rFonts w:ascii="Arial" w:hAnsi="Arial" w:cs="Arial"/>
        </w:rPr>
        <w:fldChar w:fldCharType="separate"/>
      </w:r>
      <w:r w:rsidRPr="008218B1">
        <w:rPr>
          <w:rFonts w:ascii="Arial" w:hAnsi="Arial" w:cs="Arial"/>
        </w:rPr>
        <w:t>(TN Comptroller, 2022)</w:t>
      </w:r>
      <w:r w:rsidRPr="008218B1">
        <w:rPr>
          <w:rFonts w:ascii="Arial" w:hAnsi="Arial" w:cs="Arial"/>
        </w:rPr>
        <w:fldChar w:fldCharType="end"/>
      </w:r>
      <w:r w:rsidR="008218B1" w:rsidRPr="008218B1">
        <w:rPr>
          <w:rFonts w:ascii="Arial" w:hAnsi="Arial" w:cs="Arial"/>
        </w:rPr>
        <w:t>.</w:t>
      </w:r>
      <w:r>
        <w:rPr>
          <w:rStyle w:val="Hyperlink"/>
        </w:rPr>
        <w:t xml:space="preserve"> </w:t>
      </w:r>
    </w:p>
  </w:footnote>
  <w:footnote w:id="13">
    <w:p w14:paraId="32B7242F" w14:textId="4BB7861E" w:rsidR="00090727" w:rsidRDefault="00090727">
      <w:pPr>
        <w:pStyle w:val="FootnoteText"/>
      </w:pPr>
      <w:r w:rsidRPr="00846A04">
        <w:rPr>
          <w:rStyle w:val="FootnoteReference"/>
        </w:rPr>
        <w:footnoteRef/>
      </w:r>
      <w:r>
        <w:t xml:space="preserve"> </w:t>
      </w:r>
      <w:r w:rsidRPr="008218B1">
        <w:rPr>
          <w:rFonts w:ascii="Arial" w:hAnsi="Arial" w:cs="Arial"/>
        </w:rPr>
        <w:t xml:space="preserve">World Bank size classification and Best Places politics &amp; voting data are used here (Best Places data is compiled using Federal Election Commission data) </w:t>
      </w:r>
      <w:r w:rsidRPr="008218B1">
        <w:rPr>
          <w:rFonts w:ascii="Arial" w:hAnsi="Arial" w:cs="Arial"/>
        </w:rPr>
        <w:fldChar w:fldCharType="begin"/>
      </w:r>
      <w:r w:rsidR="008B15B9" w:rsidRPr="008218B1">
        <w:rPr>
          <w:rFonts w:ascii="Arial" w:hAnsi="Arial" w:cs="Arial"/>
        </w:rPr>
        <w:instrText xml:space="preserve"> ADDIN ZOTERO_ITEM CSL_CITATION {"citationID":"0IXPIjRm","properties":{"formattedCitation":"(Best Places, n.d)","plainCitation":"(Best Places, n.d)","noteIndex":13},"citationItems":[{"id":1073,"uris":["http://zotero.org/users/4946941/items/MLMS8QLP"],"itemData":{"id":1073,"type":"webpage","abstract":"Best Places to Live | Compare cost of living, crime, cities, schools and more.","container-title":"Best Places","title":"Tennessee: 428 Cities","title-short":"Tennessee","URL":"https://www.bestplaces.net/find/state.aspx?state=tn","author":[{"family":"Best Places","given":""}],"accessed":{"date-parts":[["2022",7,16]]},"issued":{"literal":"n.d"}}}],"schema":"https://github.com/citation-style-language/schema/raw/master/csl-citation.json"} </w:instrText>
      </w:r>
      <w:r w:rsidRPr="008218B1">
        <w:rPr>
          <w:rFonts w:ascii="Arial" w:hAnsi="Arial" w:cs="Arial"/>
        </w:rPr>
        <w:fldChar w:fldCharType="separate"/>
      </w:r>
      <w:r w:rsidRPr="008218B1">
        <w:rPr>
          <w:rFonts w:ascii="Arial" w:hAnsi="Arial" w:cs="Arial"/>
        </w:rPr>
        <w:t>(Best Places, n.d)</w:t>
      </w:r>
      <w:r w:rsidRPr="008218B1">
        <w:rPr>
          <w:rFonts w:ascii="Arial" w:hAnsi="Arial" w:cs="Arial"/>
        </w:rPr>
        <w:fldChar w:fldCharType="end"/>
      </w:r>
      <w:r w:rsidR="008218B1" w:rsidRPr="008218B1">
        <w:rPr>
          <w:rFonts w:ascii="Arial" w:hAnsi="Arial" w:cs="Arial"/>
        </w:rPr>
        <w:t>.</w:t>
      </w:r>
    </w:p>
  </w:footnote>
  <w:footnote w:id="14">
    <w:p w14:paraId="1D411A1D" w14:textId="7F9362E8" w:rsidR="00090727" w:rsidRDefault="00090727">
      <w:pPr>
        <w:pStyle w:val="FootnoteText"/>
      </w:pPr>
      <w:r w:rsidRPr="00846A04">
        <w:rPr>
          <w:rStyle w:val="FootnoteReference"/>
        </w:rPr>
        <w:footnoteRef/>
      </w:r>
      <w:r w:rsidRPr="003C2AB5">
        <w:t xml:space="preserve"> </w:t>
      </w:r>
      <w:r w:rsidRPr="008218B1">
        <w:rPr>
          <w:rFonts w:ascii="Arial" w:hAnsi="Arial" w:cs="Arial"/>
        </w:rPr>
        <w:t>At the time of Sylvia’s interview, Roe v Wade had not yet been overturned by the Supreme Court.</w:t>
      </w:r>
      <w:r>
        <w:t xml:space="preserve"> </w:t>
      </w:r>
    </w:p>
  </w:footnote>
  <w:footnote w:id="15">
    <w:p w14:paraId="5E3277A0" w14:textId="5881E2C7" w:rsidR="00090727" w:rsidRDefault="00090727" w:rsidP="00AD3372">
      <w:r w:rsidRPr="00846A04">
        <w:rPr>
          <w:rStyle w:val="FootnoteReference"/>
        </w:rPr>
        <w:footnoteRef/>
      </w:r>
      <w:r>
        <w:t xml:space="preserve"> </w:t>
      </w:r>
      <w:r w:rsidRPr="008218B1">
        <w:rPr>
          <w:sz w:val="20"/>
          <w:szCs w:val="20"/>
        </w:rPr>
        <w:t>Medicare enrollees’ percentages calculated (in blue) by taking the US Census 2019 county populations and diving them INTO the TACD numbers then multiplying by 100 to get the percentages</w:t>
      </w:r>
      <w:r w:rsidR="008218B1" w:rsidRPr="008218B1">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C309" w14:textId="77777777" w:rsidR="00090727" w:rsidRDefault="00090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96CC5" w14:textId="77777777" w:rsidR="00090727" w:rsidRDefault="000907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C6243" w14:textId="77777777" w:rsidR="00090727" w:rsidRDefault="00090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013B"/>
    <w:multiLevelType w:val="hybridMultilevel"/>
    <w:tmpl w:val="77706D5E"/>
    <w:lvl w:ilvl="0" w:tplc="6E7AD8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CD11EE"/>
    <w:multiLevelType w:val="hybridMultilevel"/>
    <w:tmpl w:val="F3D6D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61B2C"/>
    <w:multiLevelType w:val="hybridMultilevel"/>
    <w:tmpl w:val="38EC44D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3" w15:restartNumberingAfterBreak="0">
    <w:nsid w:val="225A225E"/>
    <w:multiLevelType w:val="hybridMultilevel"/>
    <w:tmpl w:val="387C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E44B3"/>
    <w:multiLevelType w:val="hybridMultilevel"/>
    <w:tmpl w:val="A83E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263EE"/>
    <w:multiLevelType w:val="hybridMultilevel"/>
    <w:tmpl w:val="E1004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44C01C0"/>
    <w:multiLevelType w:val="hybridMultilevel"/>
    <w:tmpl w:val="BE02E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CF0219"/>
    <w:multiLevelType w:val="hybridMultilevel"/>
    <w:tmpl w:val="1E6A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5676BB"/>
    <w:multiLevelType w:val="hybridMultilevel"/>
    <w:tmpl w:val="71367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6D642D"/>
    <w:multiLevelType w:val="hybridMultilevel"/>
    <w:tmpl w:val="FAC4B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FF5AB8"/>
    <w:multiLevelType w:val="hybridMultilevel"/>
    <w:tmpl w:val="34FE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D2735D"/>
    <w:multiLevelType w:val="hybridMultilevel"/>
    <w:tmpl w:val="0FE640EA"/>
    <w:lvl w:ilvl="0" w:tplc="8F3EDBC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9DF6A13"/>
    <w:multiLevelType w:val="hybridMultilevel"/>
    <w:tmpl w:val="38405A62"/>
    <w:lvl w:ilvl="0" w:tplc="32DC6A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AF61F3F"/>
    <w:multiLevelType w:val="hybridMultilevel"/>
    <w:tmpl w:val="D0EA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18102B"/>
    <w:multiLevelType w:val="hybridMultilevel"/>
    <w:tmpl w:val="0D6E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6F1A9C"/>
    <w:multiLevelType w:val="hybridMultilevel"/>
    <w:tmpl w:val="FAEA89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7A6A4D"/>
    <w:multiLevelType w:val="multilevel"/>
    <w:tmpl w:val="925C4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6B840B4"/>
    <w:multiLevelType w:val="hybridMultilevel"/>
    <w:tmpl w:val="145EDA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E4B4744"/>
    <w:multiLevelType w:val="hybridMultilevel"/>
    <w:tmpl w:val="9ABCA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397632">
    <w:abstractNumId w:val="12"/>
  </w:num>
  <w:num w:numId="2" w16cid:durableId="750850863">
    <w:abstractNumId w:val="9"/>
  </w:num>
  <w:num w:numId="3" w16cid:durableId="1863204511">
    <w:abstractNumId w:val="17"/>
  </w:num>
  <w:num w:numId="4" w16cid:durableId="2028362043">
    <w:abstractNumId w:val="14"/>
  </w:num>
  <w:num w:numId="5" w16cid:durableId="1323581719">
    <w:abstractNumId w:val="1"/>
  </w:num>
  <w:num w:numId="6" w16cid:durableId="773743284">
    <w:abstractNumId w:val="11"/>
  </w:num>
  <w:num w:numId="7" w16cid:durableId="1825857051">
    <w:abstractNumId w:val="4"/>
  </w:num>
  <w:num w:numId="8" w16cid:durableId="1916233186">
    <w:abstractNumId w:val="15"/>
  </w:num>
  <w:num w:numId="9" w16cid:durableId="1858694896">
    <w:abstractNumId w:val="18"/>
  </w:num>
  <w:num w:numId="10" w16cid:durableId="1043672204">
    <w:abstractNumId w:val="10"/>
  </w:num>
  <w:num w:numId="11" w16cid:durableId="1895241270">
    <w:abstractNumId w:val="8"/>
  </w:num>
  <w:num w:numId="12" w16cid:durableId="1790856961">
    <w:abstractNumId w:val="3"/>
  </w:num>
  <w:num w:numId="13" w16cid:durableId="495611676">
    <w:abstractNumId w:val="0"/>
  </w:num>
  <w:num w:numId="14" w16cid:durableId="392431700">
    <w:abstractNumId w:val="5"/>
  </w:num>
  <w:num w:numId="15" w16cid:durableId="1125735967">
    <w:abstractNumId w:val="6"/>
  </w:num>
  <w:num w:numId="16" w16cid:durableId="1395347243">
    <w:abstractNumId w:val="13"/>
  </w:num>
  <w:num w:numId="17" w16cid:durableId="729233272">
    <w:abstractNumId w:val="7"/>
  </w:num>
  <w:num w:numId="18" w16cid:durableId="147937696">
    <w:abstractNumId w:val="16"/>
  </w:num>
  <w:num w:numId="19" w16cid:durableId="30232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markup="0"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916"/>
    <w:rsid w:val="00002FBF"/>
    <w:rsid w:val="000033A7"/>
    <w:rsid w:val="000038BA"/>
    <w:rsid w:val="00003E02"/>
    <w:rsid w:val="00004400"/>
    <w:rsid w:val="0000475D"/>
    <w:rsid w:val="000049CD"/>
    <w:rsid w:val="00004EFD"/>
    <w:rsid w:val="000051A7"/>
    <w:rsid w:val="000053DF"/>
    <w:rsid w:val="000058D4"/>
    <w:rsid w:val="00005CFC"/>
    <w:rsid w:val="00005D11"/>
    <w:rsid w:val="00006644"/>
    <w:rsid w:val="000071FF"/>
    <w:rsid w:val="00007AAE"/>
    <w:rsid w:val="000100F4"/>
    <w:rsid w:val="000102A4"/>
    <w:rsid w:val="000104A5"/>
    <w:rsid w:val="00010B13"/>
    <w:rsid w:val="000110AE"/>
    <w:rsid w:val="00011EC4"/>
    <w:rsid w:val="000126EE"/>
    <w:rsid w:val="0001288D"/>
    <w:rsid w:val="000140C1"/>
    <w:rsid w:val="00014AE1"/>
    <w:rsid w:val="00015247"/>
    <w:rsid w:val="00015723"/>
    <w:rsid w:val="000157B4"/>
    <w:rsid w:val="00015EB9"/>
    <w:rsid w:val="00015F10"/>
    <w:rsid w:val="000160D9"/>
    <w:rsid w:val="00016B04"/>
    <w:rsid w:val="00016FDD"/>
    <w:rsid w:val="00017F8C"/>
    <w:rsid w:val="000200EA"/>
    <w:rsid w:val="000202BD"/>
    <w:rsid w:val="00020355"/>
    <w:rsid w:val="0002078A"/>
    <w:rsid w:val="00020BDF"/>
    <w:rsid w:val="0002136B"/>
    <w:rsid w:val="000216CE"/>
    <w:rsid w:val="00021BA0"/>
    <w:rsid w:val="00021CD1"/>
    <w:rsid w:val="00021F63"/>
    <w:rsid w:val="00022079"/>
    <w:rsid w:val="00022218"/>
    <w:rsid w:val="00023341"/>
    <w:rsid w:val="0002397A"/>
    <w:rsid w:val="00024610"/>
    <w:rsid w:val="00025344"/>
    <w:rsid w:val="000263D5"/>
    <w:rsid w:val="00027082"/>
    <w:rsid w:val="00027485"/>
    <w:rsid w:val="0003050D"/>
    <w:rsid w:val="00030CA0"/>
    <w:rsid w:val="00030FB2"/>
    <w:rsid w:val="00031036"/>
    <w:rsid w:val="0003131C"/>
    <w:rsid w:val="00031D7D"/>
    <w:rsid w:val="00032821"/>
    <w:rsid w:val="00033314"/>
    <w:rsid w:val="000333DC"/>
    <w:rsid w:val="0003386E"/>
    <w:rsid w:val="00033971"/>
    <w:rsid w:val="00034075"/>
    <w:rsid w:val="0003493D"/>
    <w:rsid w:val="000360FA"/>
    <w:rsid w:val="0003621A"/>
    <w:rsid w:val="000362B5"/>
    <w:rsid w:val="000368C7"/>
    <w:rsid w:val="0003779E"/>
    <w:rsid w:val="00037C99"/>
    <w:rsid w:val="000404EE"/>
    <w:rsid w:val="00040C93"/>
    <w:rsid w:val="00040D8E"/>
    <w:rsid w:val="00041ABD"/>
    <w:rsid w:val="00041E7D"/>
    <w:rsid w:val="00042043"/>
    <w:rsid w:val="00042313"/>
    <w:rsid w:val="00042704"/>
    <w:rsid w:val="0004319E"/>
    <w:rsid w:val="00043FC9"/>
    <w:rsid w:val="000443BD"/>
    <w:rsid w:val="0004445A"/>
    <w:rsid w:val="0004561F"/>
    <w:rsid w:val="00046352"/>
    <w:rsid w:val="000463E6"/>
    <w:rsid w:val="000469B3"/>
    <w:rsid w:val="000469EF"/>
    <w:rsid w:val="00046B38"/>
    <w:rsid w:val="00046BE7"/>
    <w:rsid w:val="00046C58"/>
    <w:rsid w:val="000474A4"/>
    <w:rsid w:val="000476D2"/>
    <w:rsid w:val="00047994"/>
    <w:rsid w:val="00047FFD"/>
    <w:rsid w:val="00051243"/>
    <w:rsid w:val="00051516"/>
    <w:rsid w:val="00051C06"/>
    <w:rsid w:val="000525FE"/>
    <w:rsid w:val="00052BE8"/>
    <w:rsid w:val="000531F0"/>
    <w:rsid w:val="000535D4"/>
    <w:rsid w:val="00053C9E"/>
    <w:rsid w:val="00054475"/>
    <w:rsid w:val="00054565"/>
    <w:rsid w:val="00054C1D"/>
    <w:rsid w:val="00055221"/>
    <w:rsid w:val="0005545D"/>
    <w:rsid w:val="00055AC8"/>
    <w:rsid w:val="00056298"/>
    <w:rsid w:val="0005778E"/>
    <w:rsid w:val="0006034A"/>
    <w:rsid w:val="00060838"/>
    <w:rsid w:val="000616AB"/>
    <w:rsid w:val="000619D5"/>
    <w:rsid w:val="00061B81"/>
    <w:rsid w:val="00062A25"/>
    <w:rsid w:val="000637C6"/>
    <w:rsid w:val="00063E79"/>
    <w:rsid w:val="00063F96"/>
    <w:rsid w:val="000641A3"/>
    <w:rsid w:val="00064543"/>
    <w:rsid w:val="00064DC1"/>
    <w:rsid w:val="00064E4D"/>
    <w:rsid w:val="00065284"/>
    <w:rsid w:val="00066B6D"/>
    <w:rsid w:val="00066BFF"/>
    <w:rsid w:val="00066C5E"/>
    <w:rsid w:val="00066F49"/>
    <w:rsid w:val="0006759E"/>
    <w:rsid w:val="000703DF"/>
    <w:rsid w:val="00070490"/>
    <w:rsid w:val="00071170"/>
    <w:rsid w:val="000714B5"/>
    <w:rsid w:val="00071750"/>
    <w:rsid w:val="000730E2"/>
    <w:rsid w:val="0007334E"/>
    <w:rsid w:val="000734CA"/>
    <w:rsid w:val="000743F6"/>
    <w:rsid w:val="000751F0"/>
    <w:rsid w:val="00075A3B"/>
    <w:rsid w:val="00075AB4"/>
    <w:rsid w:val="00076238"/>
    <w:rsid w:val="000763CF"/>
    <w:rsid w:val="000765C1"/>
    <w:rsid w:val="00077E87"/>
    <w:rsid w:val="000800E8"/>
    <w:rsid w:val="00080642"/>
    <w:rsid w:val="000812B1"/>
    <w:rsid w:val="00081726"/>
    <w:rsid w:val="000817A3"/>
    <w:rsid w:val="000817CB"/>
    <w:rsid w:val="00082A7C"/>
    <w:rsid w:val="0008307D"/>
    <w:rsid w:val="00083578"/>
    <w:rsid w:val="00083648"/>
    <w:rsid w:val="000836B7"/>
    <w:rsid w:val="000843C7"/>
    <w:rsid w:val="000845E6"/>
    <w:rsid w:val="00085300"/>
    <w:rsid w:val="00085346"/>
    <w:rsid w:val="0008556A"/>
    <w:rsid w:val="00086F85"/>
    <w:rsid w:val="00087D79"/>
    <w:rsid w:val="00090727"/>
    <w:rsid w:val="00090A9A"/>
    <w:rsid w:val="00091A4C"/>
    <w:rsid w:val="00092547"/>
    <w:rsid w:val="00092662"/>
    <w:rsid w:val="00092984"/>
    <w:rsid w:val="000929F5"/>
    <w:rsid w:val="00092F9A"/>
    <w:rsid w:val="00093397"/>
    <w:rsid w:val="00093C25"/>
    <w:rsid w:val="00093FCA"/>
    <w:rsid w:val="0009402C"/>
    <w:rsid w:val="00094031"/>
    <w:rsid w:val="0009461A"/>
    <w:rsid w:val="00094EF7"/>
    <w:rsid w:val="00095048"/>
    <w:rsid w:val="00095762"/>
    <w:rsid w:val="000959B7"/>
    <w:rsid w:val="00095EFF"/>
    <w:rsid w:val="00096E4C"/>
    <w:rsid w:val="00096E7B"/>
    <w:rsid w:val="000973FE"/>
    <w:rsid w:val="00097AEF"/>
    <w:rsid w:val="00097B8D"/>
    <w:rsid w:val="000A06A2"/>
    <w:rsid w:val="000A0BBD"/>
    <w:rsid w:val="000A0C8F"/>
    <w:rsid w:val="000A1358"/>
    <w:rsid w:val="000A2394"/>
    <w:rsid w:val="000A305E"/>
    <w:rsid w:val="000A4660"/>
    <w:rsid w:val="000A4721"/>
    <w:rsid w:val="000A6275"/>
    <w:rsid w:val="000A62FD"/>
    <w:rsid w:val="000A642B"/>
    <w:rsid w:val="000A6D34"/>
    <w:rsid w:val="000A6DE1"/>
    <w:rsid w:val="000A6E47"/>
    <w:rsid w:val="000A6F15"/>
    <w:rsid w:val="000A7162"/>
    <w:rsid w:val="000A7B56"/>
    <w:rsid w:val="000B0F8C"/>
    <w:rsid w:val="000B1AD5"/>
    <w:rsid w:val="000B270F"/>
    <w:rsid w:val="000B2B75"/>
    <w:rsid w:val="000B3305"/>
    <w:rsid w:val="000B3678"/>
    <w:rsid w:val="000B3C47"/>
    <w:rsid w:val="000B3C5B"/>
    <w:rsid w:val="000B4270"/>
    <w:rsid w:val="000B440C"/>
    <w:rsid w:val="000B45F9"/>
    <w:rsid w:val="000B465C"/>
    <w:rsid w:val="000B46B2"/>
    <w:rsid w:val="000B46E3"/>
    <w:rsid w:val="000B505B"/>
    <w:rsid w:val="000B55F5"/>
    <w:rsid w:val="000B570F"/>
    <w:rsid w:val="000B64BB"/>
    <w:rsid w:val="000B6E60"/>
    <w:rsid w:val="000B710F"/>
    <w:rsid w:val="000B7618"/>
    <w:rsid w:val="000B76C8"/>
    <w:rsid w:val="000B7BBF"/>
    <w:rsid w:val="000C010E"/>
    <w:rsid w:val="000C02A1"/>
    <w:rsid w:val="000C188A"/>
    <w:rsid w:val="000C2085"/>
    <w:rsid w:val="000C27AF"/>
    <w:rsid w:val="000C28F1"/>
    <w:rsid w:val="000C355B"/>
    <w:rsid w:val="000C3812"/>
    <w:rsid w:val="000C3FE4"/>
    <w:rsid w:val="000C43E0"/>
    <w:rsid w:val="000C496E"/>
    <w:rsid w:val="000C4AE2"/>
    <w:rsid w:val="000C4D77"/>
    <w:rsid w:val="000C4EE7"/>
    <w:rsid w:val="000C5757"/>
    <w:rsid w:val="000C6803"/>
    <w:rsid w:val="000C6EE5"/>
    <w:rsid w:val="000C779E"/>
    <w:rsid w:val="000C7F15"/>
    <w:rsid w:val="000D08F9"/>
    <w:rsid w:val="000D09AA"/>
    <w:rsid w:val="000D09B8"/>
    <w:rsid w:val="000D1189"/>
    <w:rsid w:val="000D188F"/>
    <w:rsid w:val="000D1EC4"/>
    <w:rsid w:val="000D27D7"/>
    <w:rsid w:val="000D2AB8"/>
    <w:rsid w:val="000D4F1B"/>
    <w:rsid w:val="000D54F3"/>
    <w:rsid w:val="000D60D7"/>
    <w:rsid w:val="000D6254"/>
    <w:rsid w:val="000D721A"/>
    <w:rsid w:val="000D7BC9"/>
    <w:rsid w:val="000E0C8E"/>
    <w:rsid w:val="000E1ADA"/>
    <w:rsid w:val="000E41D6"/>
    <w:rsid w:val="000E4C6F"/>
    <w:rsid w:val="000E4FD2"/>
    <w:rsid w:val="000E51D1"/>
    <w:rsid w:val="000E5414"/>
    <w:rsid w:val="000E5E4E"/>
    <w:rsid w:val="000E76DE"/>
    <w:rsid w:val="000E77EF"/>
    <w:rsid w:val="000F0067"/>
    <w:rsid w:val="000F0095"/>
    <w:rsid w:val="000F0581"/>
    <w:rsid w:val="000F09D5"/>
    <w:rsid w:val="000F0E67"/>
    <w:rsid w:val="000F16EF"/>
    <w:rsid w:val="000F1759"/>
    <w:rsid w:val="000F2C34"/>
    <w:rsid w:val="000F2E1A"/>
    <w:rsid w:val="000F52C1"/>
    <w:rsid w:val="000F53EE"/>
    <w:rsid w:val="000F5546"/>
    <w:rsid w:val="000F5ECB"/>
    <w:rsid w:val="000F685A"/>
    <w:rsid w:val="000F75EF"/>
    <w:rsid w:val="000F7868"/>
    <w:rsid w:val="00100295"/>
    <w:rsid w:val="0010031A"/>
    <w:rsid w:val="00100C1E"/>
    <w:rsid w:val="00100CFF"/>
    <w:rsid w:val="00100FC5"/>
    <w:rsid w:val="00101410"/>
    <w:rsid w:val="001014BB"/>
    <w:rsid w:val="00101A0C"/>
    <w:rsid w:val="001020C7"/>
    <w:rsid w:val="00102390"/>
    <w:rsid w:val="001024BD"/>
    <w:rsid w:val="00102DA1"/>
    <w:rsid w:val="00103313"/>
    <w:rsid w:val="00103985"/>
    <w:rsid w:val="001045B3"/>
    <w:rsid w:val="001046A6"/>
    <w:rsid w:val="00104A72"/>
    <w:rsid w:val="00104B09"/>
    <w:rsid w:val="00104FC5"/>
    <w:rsid w:val="0010713A"/>
    <w:rsid w:val="0010754B"/>
    <w:rsid w:val="00111074"/>
    <w:rsid w:val="00111343"/>
    <w:rsid w:val="00111BC2"/>
    <w:rsid w:val="00111E2A"/>
    <w:rsid w:val="00111FD3"/>
    <w:rsid w:val="00112A7C"/>
    <w:rsid w:val="0011304C"/>
    <w:rsid w:val="001141B6"/>
    <w:rsid w:val="00114978"/>
    <w:rsid w:val="00114A0E"/>
    <w:rsid w:val="00114D59"/>
    <w:rsid w:val="0011510F"/>
    <w:rsid w:val="001155A0"/>
    <w:rsid w:val="00115D63"/>
    <w:rsid w:val="0011732D"/>
    <w:rsid w:val="0011757E"/>
    <w:rsid w:val="00117957"/>
    <w:rsid w:val="00117B97"/>
    <w:rsid w:val="0012022C"/>
    <w:rsid w:val="00120433"/>
    <w:rsid w:val="001205E2"/>
    <w:rsid w:val="0012069F"/>
    <w:rsid w:val="00120870"/>
    <w:rsid w:val="0012195D"/>
    <w:rsid w:val="0012207E"/>
    <w:rsid w:val="0012297B"/>
    <w:rsid w:val="00123267"/>
    <w:rsid w:val="00123326"/>
    <w:rsid w:val="001238E9"/>
    <w:rsid w:val="00123F83"/>
    <w:rsid w:val="00124150"/>
    <w:rsid w:val="00124841"/>
    <w:rsid w:val="00124D13"/>
    <w:rsid w:val="00125896"/>
    <w:rsid w:val="00126AD1"/>
    <w:rsid w:val="00126C3D"/>
    <w:rsid w:val="001279C9"/>
    <w:rsid w:val="001300B9"/>
    <w:rsid w:val="00130A90"/>
    <w:rsid w:val="00131AE1"/>
    <w:rsid w:val="00131D72"/>
    <w:rsid w:val="00131E34"/>
    <w:rsid w:val="001332E8"/>
    <w:rsid w:val="00133F07"/>
    <w:rsid w:val="0013588F"/>
    <w:rsid w:val="00135BC6"/>
    <w:rsid w:val="0013603B"/>
    <w:rsid w:val="00136B6F"/>
    <w:rsid w:val="00137084"/>
    <w:rsid w:val="0013713C"/>
    <w:rsid w:val="0014017D"/>
    <w:rsid w:val="00140AF1"/>
    <w:rsid w:val="001410B6"/>
    <w:rsid w:val="001413E2"/>
    <w:rsid w:val="00141BC1"/>
    <w:rsid w:val="00141E01"/>
    <w:rsid w:val="00141F66"/>
    <w:rsid w:val="0014216C"/>
    <w:rsid w:val="00142AC4"/>
    <w:rsid w:val="00142E6B"/>
    <w:rsid w:val="001438EA"/>
    <w:rsid w:val="00143CD9"/>
    <w:rsid w:val="00144345"/>
    <w:rsid w:val="00144370"/>
    <w:rsid w:val="00144633"/>
    <w:rsid w:val="00144CDE"/>
    <w:rsid w:val="00144F50"/>
    <w:rsid w:val="00145003"/>
    <w:rsid w:val="00145D1D"/>
    <w:rsid w:val="00145E36"/>
    <w:rsid w:val="00146060"/>
    <w:rsid w:val="0014709F"/>
    <w:rsid w:val="00150871"/>
    <w:rsid w:val="00152615"/>
    <w:rsid w:val="00152AA2"/>
    <w:rsid w:val="00152FD3"/>
    <w:rsid w:val="00153299"/>
    <w:rsid w:val="001545FB"/>
    <w:rsid w:val="00154CD5"/>
    <w:rsid w:val="00154FB9"/>
    <w:rsid w:val="001558E4"/>
    <w:rsid w:val="00155A59"/>
    <w:rsid w:val="00155D0E"/>
    <w:rsid w:val="0015610A"/>
    <w:rsid w:val="00156853"/>
    <w:rsid w:val="00157526"/>
    <w:rsid w:val="00157B80"/>
    <w:rsid w:val="00160426"/>
    <w:rsid w:val="0016094A"/>
    <w:rsid w:val="00160D3D"/>
    <w:rsid w:val="00161325"/>
    <w:rsid w:val="001614A1"/>
    <w:rsid w:val="00161F14"/>
    <w:rsid w:val="0016371A"/>
    <w:rsid w:val="001642A1"/>
    <w:rsid w:val="00164498"/>
    <w:rsid w:val="0016465A"/>
    <w:rsid w:val="00164D11"/>
    <w:rsid w:val="00164E0A"/>
    <w:rsid w:val="00165A92"/>
    <w:rsid w:val="00166ACD"/>
    <w:rsid w:val="001675BA"/>
    <w:rsid w:val="00167B1F"/>
    <w:rsid w:val="00170032"/>
    <w:rsid w:val="001703A5"/>
    <w:rsid w:val="00170D58"/>
    <w:rsid w:val="0017136D"/>
    <w:rsid w:val="00171B97"/>
    <w:rsid w:val="00172AFC"/>
    <w:rsid w:val="00172B27"/>
    <w:rsid w:val="00173385"/>
    <w:rsid w:val="00173B2D"/>
    <w:rsid w:val="00174EDC"/>
    <w:rsid w:val="00177156"/>
    <w:rsid w:val="00177163"/>
    <w:rsid w:val="00177842"/>
    <w:rsid w:val="00177B27"/>
    <w:rsid w:val="00177DDA"/>
    <w:rsid w:val="00180165"/>
    <w:rsid w:val="00180241"/>
    <w:rsid w:val="0018041A"/>
    <w:rsid w:val="0018063D"/>
    <w:rsid w:val="00180F3E"/>
    <w:rsid w:val="00181132"/>
    <w:rsid w:val="00181465"/>
    <w:rsid w:val="001814EC"/>
    <w:rsid w:val="00181706"/>
    <w:rsid w:val="00181DDF"/>
    <w:rsid w:val="001825EC"/>
    <w:rsid w:val="00182B06"/>
    <w:rsid w:val="00183CB0"/>
    <w:rsid w:val="0018467B"/>
    <w:rsid w:val="00184C58"/>
    <w:rsid w:val="00185A9B"/>
    <w:rsid w:val="00186A7B"/>
    <w:rsid w:val="001871A8"/>
    <w:rsid w:val="00190B43"/>
    <w:rsid w:val="00190E4B"/>
    <w:rsid w:val="00191204"/>
    <w:rsid w:val="00191886"/>
    <w:rsid w:val="00191C30"/>
    <w:rsid w:val="0019238B"/>
    <w:rsid w:val="001926DD"/>
    <w:rsid w:val="00192F7B"/>
    <w:rsid w:val="00193B14"/>
    <w:rsid w:val="00193B38"/>
    <w:rsid w:val="00194BD0"/>
    <w:rsid w:val="0019565A"/>
    <w:rsid w:val="00195982"/>
    <w:rsid w:val="00195CA3"/>
    <w:rsid w:val="001961B5"/>
    <w:rsid w:val="0019674B"/>
    <w:rsid w:val="00196A41"/>
    <w:rsid w:val="00196AD8"/>
    <w:rsid w:val="00197360"/>
    <w:rsid w:val="00197C00"/>
    <w:rsid w:val="001A0197"/>
    <w:rsid w:val="001A09D2"/>
    <w:rsid w:val="001A16DC"/>
    <w:rsid w:val="001A174A"/>
    <w:rsid w:val="001A18E0"/>
    <w:rsid w:val="001A1AA9"/>
    <w:rsid w:val="001A1B9B"/>
    <w:rsid w:val="001A25B5"/>
    <w:rsid w:val="001A2E29"/>
    <w:rsid w:val="001A2FC0"/>
    <w:rsid w:val="001A30AD"/>
    <w:rsid w:val="001A3335"/>
    <w:rsid w:val="001A33E4"/>
    <w:rsid w:val="001A3D67"/>
    <w:rsid w:val="001A467B"/>
    <w:rsid w:val="001A5588"/>
    <w:rsid w:val="001A56C7"/>
    <w:rsid w:val="001A64C7"/>
    <w:rsid w:val="001A6C36"/>
    <w:rsid w:val="001A6C68"/>
    <w:rsid w:val="001A71DB"/>
    <w:rsid w:val="001B013D"/>
    <w:rsid w:val="001B0354"/>
    <w:rsid w:val="001B0586"/>
    <w:rsid w:val="001B0B9A"/>
    <w:rsid w:val="001B1E7D"/>
    <w:rsid w:val="001B211A"/>
    <w:rsid w:val="001B2458"/>
    <w:rsid w:val="001B2BEB"/>
    <w:rsid w:val="001B2D28"/>
    <w:rsid w:val="001B2DC3"/>
    <w:rsid w:val="001B2ED6"/>
    <w:rsid w:val="001B355A"/>
    <w:rsid w:val="001B36A5"/>
    <w:rsid w:val="001B4512"/>
    <w:rsid w:val="001B4AEB"/>
    <w:rsid w:val="001B4F9B"/>
    <w:rsid w:val="001B522B"/>
    <w:rsid w:val="001B5280"/>
    <w:rsid w:val="001B644D"/>
    <w:rsid w:val="001B6A20"/>
    <w:rsid w:val="001B6DA7"/>
    <w:rsid w:val="001B6EF3"/>
    <w:rsid w:val="001B733E"/>
    <w:rsid w:val="001B7A38"/>
    <w:rsid w:val="001B7C03"/>
    <w:rsid w:val="001B7DAB"/>
    <w:rsid w:val="001C0385"/>
    <w:rsid w:val="001C0B70"/>
    <w:rsid w:val="001C1376"/>
    <w:rsid w:val="001C138B"/>
    <w:rsid w:val="001C1A7B"/>
    <w:rsid w:val="001C1CDA"/>
    <w:rsid w:val="001C2475"/>
    <w:rsid w:val="001C2B84"/>
    <w:rsid w:val="001C2CE7"/>
    <w:rsid w:val="001C3090"/>
    <w:rsid w:val="001C35E4"/>
    <w:rsid w:val="001C3737"/>
    <w:rsid w:val="001C3E2A"/>
    <w:rsid w:val="001C42AE"/>
    <w:rsid w:val="001C4BA9"/>
    <w:rsid w:val="001C4D1E"/>
    <w:rsid w:val="001C5313"/>
    <w:rsid w:val="001C5589"/>
    <w:rsid w:val="001C5744"/>
    <w:rsid w:val="001C5DFB"/>
    <w:rsid w:val="001C5EDA"/>
    <w:rsid w:val="001C618A"/>
    <w:rsid w:val="001C6A73"/>
    <w:rsid w:val="001C6BF7"/>
    <w:rsid w:val="001C6C76"/>
    <w:rsid w:val="001C6FE6"/>
    <w:rsid w:val="001C73DF"/>
    <w:rsid w:val="001D0348"/>
    <w:rsid w:val="001D0642"/>
    <w:rsid w:val="001D0A9A"/>
    <w:rsid w:val="001D19C3"/>
    <w:rsid w:val="001D2269"/>
    <w:rsid w:val="001D25E4"/>
    <w:rsid w:val="001D27CD"/>
    <w:rsid w:val="001D3595"/>
    <w:rsid w:val="001D37AA"/>
    <w:rsid w:val="001D3BC0"/>
    <w:rsid w:val="001D49A1"/>
    <w:rsid w:val="001D53D6"/>
    <w:rsid w:val="001D5745"/>
    <w:rsid w:val="001D5FFC"/>
    <w:rsid w:val="001D6652"/>
    <w:rsid w:val="001D668B"/>
    <w:rsid w:val="001D6FC1"/>
    <w:rsid w:val="001D70BB"/>
    <w:rsid w:val="001D7602"/>
    <w:rsid w:val="001D7CFA"/>
    <w:rsid w:val="001E0876"/>
    <w:rsid w:val="001E17AB"/>
    <w:rsid w:val="001E2050"/>
    <w:rsid w:val="001E2131"/>
    <w:rsid w:val="001E29E6"/>
    <w:rsid w:val="001E2D3C"/>
    <w:rsid w:val="001E3056"/>
    <w:rsid w:val="001E399B"/>
    <w:rsid w:val="001E3EB3"/>
    <w:rsid w:val="001E474E"/>
    <w:rsid w:val="001E4861"/>
    <w:rsid w:val="001E50BB"/>
    <w:rsid w:val="001E577B"/>
    <w:rsid w:val="001E5A95"/>
    <w:rsid w:val="001E6666"/>
    <w:rsid w:val="001E6EAE"/>
    <w:rsid w:val="001E6EC0"/>
    <w:rsid w:val="001E723D"/>
    <w:rsid w:val="001E7DF8"/>
    <w:rsid w:val="001F0886"/>
    <w:rsid w:val="001F0B05"/>
    <w:rsid w:val="001F14C8"/>
    <w:rsid w:val="001F14E1"/>
    <w:rsid w:val="001F1FE7"/>
    <w:rsid w:val="001F2304"/>
    <w:rsid w:val="001F250E"/>
    <w:rsid w:val="001F29A6"/>
    <w:rsid w:val="001F2B17"/>
    <w:rsid w:val="001F32F0"/>
    <w:rsid w:val="001F54E2"/>
    <w:rsid w:val="001F583F"/>
    <w:rsid w:val="001F5863"/>
    <w:rsid w:val="001F5E79"/>
    <w:rsid w:val="001F6167"/>
    <w:rsid w:val="001F6806"/>
    <w:rsid w:val="001F6C6E"/>
    <w:rsid w:val="001F6F31"/>
    <w:rsid w:val="001F75C0"/>
    <w:rsid w:val="001F7AEE"/>
    <w:rsid w:val="00200187"/>
    <w:rsid w:val="002003B4"/>
    <w:rsid w:val="00200729"/>
    <w:rsid w:val="00200DD1"/>
    <w:rsid w:val="00200F97"/>
    <w:rsid w:val="0020121E"/>
    <w:rsid w:val="002016EB"/>
    <w:rsid w:val="00202F3F"/>
    <w:rsid w:val="00203025"/>
    <w:rsid w:val="00203476"/>
    <w:rsid w:val="00203480"/>
    <w:rsid w:val="002036BB"/>
    <w:rsid w:val="002044E2"/>
    <w:rsid w:val="00204EDC"/>
    <w:rsid w:val="00205FA8"/>
    <w:rsid w:val="002065F5"/>
    <w:rsid w:val="00207EB3"/>
    <w:rsid w:val="00207ED6"/>
    <w:rsid w:val="0021000C"/>
    <w:rsid w:val="00210838"/>
    <w:rsid w:val="00210EAD"/>
    <w:rsid w:val="0021113E"/>
    <w:rsid w:val="00211E8F"/>
    <w:rsid w:val="0021334C"/>
    <w:rsid w:val="00213967"/>
    <w:rsid w:val="00213E14"/>
    <w:rsid w:val="00214801"/>
    <w:rsid w:val="00214FDB"/>
    <w:rsid w:val="002159F7"/>
    <w:rsid w:val="00215A53"/>
    <w:rsid w:val="00216C31"/>
    <w:rsid w:val="00216F7C"/>
    <w:rsid w:val="002172B5"/>
    <w:rsid w:val="002172F7"/>
    <w:rsid w:val="002173DD"/>
    <w:rsid w:val="0021784F"/>
    <w:rsid w:val="002178BC"/>
    <w:rsid w:val="00217AFC"/>
    <w:rsid w:val="00220041"/>
    <w:rsid w:val="00220A8F"/>
    <w:rsid w:val="00220BB9"/>
    <w:rsid w:val="00220BF7"/>
    <w:rsid w:val="0022112F"/>
    <w:rsid w:val="00221600"/>
    <w:rsid w:val="00221DE0"/>
    <w:rsid w:val="002227BD"/>
    <w:rsid w:val="00222D8A"/>
    <w:rsid w:val="00223AFF"/>
    <w:rsid w:val="0022402F"/>
    <w:rsid w:val="00224167"/>
    <w:rsid w:val="00224DFA"/>
    <w:rsid w:val="00224F55"/>
    <w:rsid w:val="0022525D"/>
    <w:rsid w:val="00225301"/>
    <w:rsid w:val="00225624"/>
    <w:rsid w:val="002257C0"/>
    <w:rsid w:val="00225941"/>
    <w:rsid w:val="00226343"/>
    <w:rsid w:val="00226526"/>
    <w:rsid w:val="002266C5"/>
    <w:rsid w:val="00227170"/>
    <w:rsid w:val="0022719A"/>
    <w:rsid w:val="00227459"/>
    <w:rsid w:val="002276D2"/>
    <w:rsid w:val="00227A2D"/>
    <w:rsid w:val="00227DA2"/>
    <w:rsid w:val="00227F5C"/>
    <w:rsid w:val="00230498"/>
    <w:rsid w:val="00230696"/>
    <w:rsid w:val="00230751"/>
    <w:rsid w:val="0023089D"/>
    <w:rsid w:val="00230D08"/>
    <w:rsid w:val="0023151A"/>
    <w:rsid w:val="00231B6F"/>
    <w:rsid w:val="00232297"/>
    <w:rsid w:val="00232837"/>
    <w:rsid w:val="002328F9"/>
    <w:rsid w:val="00232E1C"/>
    <w:rsid w:val="00232F04"/>
    <w:rsid w:val="00232F31"/>
    <w:rsid w:val="00233774"/>
    <w:rsid w:val="0023467A"/>
    <w:rsid w:val="002349FD"/>
    <w:rsid w:val="00234B95"/>
    <w:rsid w:val="00234FA1"/>
    <w:rsid w:val="00235296"/>
    <w:rsid w:val="002352CE"/>
    <w:rsid w:val="002352D2"/>
    <w:rsid w:val="0023570A"/>
    <w:rsid w:val="002359FE"/>
    <w:rsid w:val="00235AB4"/>
    <w:rsid w:val="00236459"/>
    <w:rsid w:val="0023650C"/>
    <w:rsid w:val="00236776"/>
    <w:rsid w:val="00236A08"/>
    <w:rsid w:val="00236E9E"/>
    <w:rsid w:val="00237086"/>
    <w:rsid w:val="002374B2"/>
    <w:rsid w:val="002375B2"/>
    <w:rsid w:val="00237817"/>
    <w:rsid w:val="00237A36"/>
    <w:rsid w:val="00237FD6"/>
    <w:rsid w:val="0024064F"/>
    <w:rsid w:val="00240AC7"/>
    <w:rsid w:val="00241066"/>
    <w:rsid w:val="002417C3"/>
    <w:rsid w:val="00241916"/>
    <w:rsid w:val="00241FD2"/>
    <w:rsid w:val="00242107"/>
    <w:rsid w:val="0024243B"/>
    <w:rsid w:val="00243479"/>
    <w:rsid w:val="002437AC"/>
    <w:rsid w:val="00243936"/>
    <w:rsid w:val="00243AD4"/>
    <w:rsid w:val="00243B56"/>
    <w:rsid w:val="00243D07"/>
    <w:rsid w:val="00244B21"/>
    <w:rsid w:val="0024558F"/>
    <w:rsid w:val="002460B3"/>
    <w:rsid w:val="00246EA3"/>
    <w:rsid w:val="00247C53"/>
    <w:rsid w:val="002509A3"/>
    <w:rsid w:val="002510B9"/>
    <w:rsid w:val="00251323"/>
    <w:rsid w:val="00252FC0"/>
    <w:rsid w:val="00252FD4"/>
    <w:rsid w:val="0025369F"/>
    <w:rsid w:val="002537FD"/>
    <w:rsid w:val="002539FA"/>
    <w:rsid w:val="00253D82"/>
    <w:rsid w:val="002541A9"/>
    <w:rsid w:val="00254354"/>
    <w:rsid w:val="00254E01"/>
    <w:rsid w:val="0025504C"/>
    <w:rsid w:val="002553A0"/>
    <w:rsid w:val="00255847"/>
    <w:rsid w:val="0025639D"/>
    <w:rsid w:val="00256D6A"/>
    <w:rsid w:val="00257386"/>
    <w:rsid w:val="0025740F"/>
    <w:rsid w:val="002574E4"/>
    <w:rsid w:val="00257C5A"/>
    <w:rsid w:val="002604CD"/>
    <w:rsid w:val="00260B0F"/>
    <w:rsid w:val="00260D34"/>
    <w:rsid w:val="00260EEC"/>
    <w:rsid w:val="002616D5"/>
    <w:rsid w:val="00261FE3"/>
    <w:rsid w:val="0026270C"/>
    <w:rsid w:val="002628B4"/>
    <w:rsid w:val="00262D2D"/>
    <w:rsid w:val="00263351"/>
    <w:rsid w:val="00263E4F"/>
    <w:rsid w:val="002640CF"/>
    <w:rsid w:val="00264B4A"/>
    <w:rsid w:val="00264C64"/>
    <w:rsid w:val="00265F2E"/>
    <w:rsid w:val="00266409"/>
    <w:rsid w:val="00266D09"/>
    <w:rsid w:val="00267CE9"/>
    <w:rsid w:val="00270411"/>
    <w:rsid w:val="00270C02"/>
    <w:rsid w:val="00270E35"/>
    <w:rsid w:val="00270F10"/>
    <w:rsid w:val="00271F64"/>
    <w:rsid w:val="002722D5"/>
    <w:rsid w:val="00272A46"/>
    <w:rsid w:val="00272C7D"/>
    <w:rsid w:val="00273A7C"/>
    <w:rsid w:val="00273CD3"/>
    <w:rsid w:val="00273FE6"/>
    <w:rsid w:val="0027441B"/>
    <w:rsid w:val="00274C4A"/>
    <w:rsid w:val="00274D2D"/>
    <w:rsid w:val="00275148"/>
    <w:rsid w:val="00275275"/>
    <w:rsid w:val="00275989"/>
    <w:rsid w:val="00276800"/>
    <w:rsid w:val="00280277"/>
    <w:rsid w:val="002806B8"/>
    <w:rsid w:val="002806CB"/>
    <w:rsid w:val="00281020"/>
    <w:rsid w:val="002813AD"/>
    <w:rsid w:val="00281CAE"/>
    <w:rsid w:val="00282021"/>
    <w:rsid w:val="00282606"/>
    <w:rsid w:val="002831EC"/>
    <w:rsid w:val="00285D7B"/>
    <w:rsid w:val="00286D1E"/>
    <w:rsid w:val="002872E0"/>
    <w:rsid w:val="00287799"/>
    <w:rsid w:val="002878E1"/>
    <w:rsid w:val="002879E2"/>
    <w:rsid w:val="00287BA5"/>
    <w:rsid w:val="00287BBD"/>
    <w:rsid w:val="00290509"/>
    <w:rsid w:val="002908BC"/>
    <w:rsid w:val="002908C1"/>
    <w:rsid w:val="00290A87"/>
    <w:rsid w:val="00290E8B"/>
    <w:rsid w:val="00290F16"/>
    <w:rsid w:val="0029150F"/>
    <w:rsid w:val="002915EB"/>
    <w:rsid w:val="00291A65"/>
    <w:rsid w:val="00292FAC"/>
    <w:rsid w:val="00292FE8"/>
    <w:rsid w:val="002938F4"/>
    <w:rsid w:val="002940F7"/>
    <w:rsid w:val="002942E5"/>
    <w:rsid w:val="00294478"/>
    <w:rsid w:val="00295AC9"/>
    <w:rsid w:val="00296378"/>
    <w:rsid w:val="002972A3"/>
    <w:rsid w:val="002972EC"/>
    <w:rsid w:val="002973EC"/>
    <w:rsid w:val="002978DD"/>
    <w:rsid w:val="00297B9C"/>
    <w:rsid w:val="002A0019"/>
    <w:rsid w:val="002A0898"/>
    <w:rsid w:val="002A0F53"/>
    <w:rsid w:val="002A20DD"/>
    <w:rsid w:val="002A3DEF"/>
    <w:rsid w:val="002A4343"/>
    <w:rsid w:val="002A5084"/>
    <w:rsid w:val="002A50E6"/>
    <w:rsid w:val="002A5540"/>
    <w:rsid w:val="002A5849"/>
    <w:rsid w:val="002A661D"/>
    <w:rsid w:val="002A7C30"/>
    <w:rsid w:val="002A7FCB"/>
    <w:rsid w:val="002B0014"/>
    <w:rsid w:val="002B0EAC"/>
    <w:rsid w:val="002B139A"/>
    <w:rsid w:val="002B22B4"/>
    <w:rsid w:val="002B257C"/>
    <w:rsid w:val="002B2993"/>
    <w:rsid w:val="002B29B1"/>
    <w:rsid w:val="002B2EA1"/>
    <w:rsid w:val="002B3146"/>
    <w:rsid w:val="002B3D08"/>
    <w:rsid w:val="002B45E0"/>
    <w:rsid w:val="002B4B85"/>
    <w:rsid w:val="002B4E4E"/>
    <w:rsid w:val="002B53DB"/>
    <w:rsid w:val="002B57D9"/>
    <w:rsid w:val="002B5AAA"/>
    <w:rsid w:val="002B5BDF"/>
    <w:rsid w:val="002B6985"/>
    <w:rsid w:val="002B6A98"/>
    <w:rsid w:val="002B6AA1"/>
    <w:rsid w:val="002B720C"/>
    <w:rsid w:val="002C03BF"/>
    <w:rsid w:val="002C0A22"/>
    <w:rsid w:val="002C0C8D"/>
    <w:rsid w:val="002C1528"/>
    <w:rsid w:val="002C1630"/>
    <w:rsid w:val="002C16B9"/>
    <w:rsid w:val="002C1894"/>
    <w:rsid w:val="002C20A0"/>
    <w:rsid w:val="002C31B4"/>
    <w:rsid w:val="002C349B"/>
    <w:rsid w:val="002C366C"/>
    <w:rsid w:val="002C39E2"/>
    <w:rsid w:val="002C59AD"/>
    <w:rsid w:val="002C5C3C"/>
    <w:rsid w:val="002C677B"/>
    <w:rsid w:val="002C6CE7"/>
    <w:rsid w:val="002C7077"/>
    <w:rsid w:val="002C755E"/>
    <w:rsid w:val="002C7BA1"/>
    <w:rsid w:val="002C7FDB"/>
    <w:rsid w:val="002D043F"/>
    <w:rsid w:val="002D0ABA"/>
    <w:rsid w:val="002D0BC2"/>
    <w:rsid w:val="002D0D1D"/>
    <w:rsid w:val="002D0E0F"/>
    <w:rsid w:val="002D1743"/>
    <w:rsid w:val="002D222D"/>
    <w:rsid w:val="002D242F"/>
    <w:rsid w:val="002D2634"/>
    <w:rsid w:val="002D2E85"/>
    <w:rsid w:val="002D440B"/>
    <w:rsid w:val="002D472D"/>
    <w:rsid w:val="002D4932"/>
    <w:rsid w:val="002D4D59"/>
    <w:rsid w:val="002D5494"/>
    <w:rsid w:val="002D6F07"/>
    <w:rsid w:val="002D72C4"/>
    <w:rsid w:val="002D7595"/>
    <w:rsid w:val="002D7A70"/>
    <w:rsid w:val="002D7F3D"/>
    <w:rsid w:val="002E0646"/>
    <w:rsid w:val="002E0A46"/>
    <w:rsid w:val="002E0E61"/>
    <w:rsid w:val="002E120B"/>
    <w:rsid w:val="002E1AE8"/>
    <w:rsid w:val="002E1E79"/>
    <w:rsid w:val="002E1F21"/>
    <w:rsid w:val="002E2671"/>
    <w:rsid w:val="002E2D7F"/>
    <w:rsid w:val="002E3200"/>
    <w:rsid w:val="002E33DF"/>
    <w:rsid w:val="002E3ACF"/>
    <w:rsid w:val="002E4821"/>
    <w:rsid w:val="002E4F3A"/>
    <w:rsid w:val="002E5161"/>
    <w:rsid w:val="002E5616"/>
    <w:rsid w:val="002E5E3C"/>
    <w:rsid w:val="002E604F"/>
    <w:rsid w:val="002E6D75"/>
    <w:rsid w:val="002E7037"/>
    <w:rsid w:val="002E7110"/>
    <w:rsid w:val="002E71B0"/>
    <w:rsid w:val="002F09F5"/>
    <w:rsid w:val="002F10D9"/>
    <w:rsid w:val="002F1385"/>
    <w:rsid w:val="002F1D05"/>
    <w:rsid w:val="002F20D4"/>
    <w:rsid w:val="002F38B0"/>
    <w:rsid w:val="002F3AAC"/>
    <w:rsid w:val="002F425D"/>
    <w:rsid w:val="002F4404"/>
    <w:rsid w:val="002F536C"/>
    <w:rsid w:val="002F548D"/>
    <w:rsid w:val="002F63C4"/>
    <w:rsid w:val="002F72CA"/>
    <w:rsid w:val="002F7B94"/>
    <w:rsid w:val="002F7E37"/>
    <w:rsid w:val="003002AC"/>
    <w:rsid w:val="0030047B"/>
    <w:rsid w:val="00300F0C"/>
    <w:rsid w:val="00301B3D"/>
    <w:rsid w:val="00302476"/>
    <w:rsid w:val="003026EA"/>
    <w:rsid w:val="00302EF7"/>
    <w:rsid w:val="003037F3"/>
    <w:rsid w:val="00303C7F"/>
    <w:rsid w:val="00304312"/>
    <w:rsid w:val="00305139"/>
    <w:rsid w:val="003054F8"/>
    <w:rsid w:val="00305511"/>
    <w:rsid w:val="00305648"/>
    <w:rsid w:val="00305B7A"/>
    <w:rsid w:val="003061D1"/>
    <w:rsid w:val="00306E8B"/>
    <w:rsid w:val="00306F95"/>
    <w:rsid w:val="003071A4"/>
    <w:rsid w:val="003073CD"/>
    <w:rsid w:val="00307723"/>
    <w:rsid w:val="003077C2"/>
    <w:rsid w:val="00310617"/>
    <w:rsid w:val="00310AF2"/>
    <w:rsid w:val="00312675"/>
    <w:rsid w:val="003132DE"/>
    <w:rsid w:val="0031434D"/>
    <w:rsid w:val="003144DC"/>
    <w:rsid w:val="00314C7C"/>
    <w:rsid w:val="0031578D"/>
    <w:rsid w:val="00315A4E"/>
    <w:rsid w:val="003164CF"/>
    <w:rsid w:val="00316E8A"/>
    <w:rsid w:val="0031742E"/>
    <w:rsid w:val="0031795D"/>
    <w:rsid w:val="00317B8E"/>
    <w:rsid w:val="00317EE9"/>
    <w:rsid w:val="00321178"/>
    <w:rsid w:val="00321185"/>
    <w:rsid w:val="00321304"/>
    <w:rsid w:val="003213A5"/>
    <w:rsid w:val="003215CE"/>
    <w:rsid w:val="00321E2C"/>
    <w:rsid w:val="003231FE"/>
    <w:rsid w:val="00323227"/>
    <w:rsid w:val="00323DE3"/>
    <w:rsid w:val="0032431B"/>
    <w:rsid w:val="0032433B"/>
    <w:rsid w:val="00324BE2"/>
    <w:rsid w:val="00324CCC"/>
    <w:rsid w:val="00324D9B"/>
    <w:rsid w:val="00324FF6"/>
    <w:rsid w:val="00325D9A"/>
    <w:rsid w:val="00326129"/>
    <w:rsid w:val="0032653F"/>
    <w:rsid w:val="003266FD"/>
    <w:rsid w:val="003273FC"/>
    <w:rsid w:val="0032757E"/>
    <w:rsid w:val="0032782F"/>
    <w:rsid w:val="00327D48"/>
    <w:rsid w:val="0033064A"/>
    <w:rsid w:val="00330B53"/>
    <w:rsid w:val="00330BD7"/>
    <w:rsid w:val="00331226"/>
    <w:rsid w:val="00331282"/>
    <w:rsid w:val="003318F4"/>
    <w:rsid w:val="00331906"/>
    <w:rsid w:val="00332099"/>
    <w:rsid w:val="00332B47"/>
    <w:rsid w:val="00334478"/>
    <w:rsid w:val="003345A6"/>
    <w:rsid w:val="00334B7C"/>
    <w:rsid w:val="00334D7A"/>
    <w:rsid w:val="0033508B"/>
    <w:rsid w:val="0033568A"/>
    <w:rsid w:val="0033575E"/>
    <w:rsid w:val="00335B0B"/>
    <w:rsid w:val="00335B98"/>
    <w:rsid w:val="00336187"/>
    <w:rsid w:val="00336836"/>
    <w:rsid w:val="0033686E"/>
    <w:rsid w:val="0033738D"/>
    <w:rsid w:val="00337A15"/>
    <w:rsid w:val="00337C83"/>
    <w:rsid w:val="0034037E"/>
    <w:rsid w:val="00340946"/>
    <w:rsid w:val="00340C35"/>
    <w:rsid w:val="00340D03"/>
    <w:rsid w:val="00340D18"/>
    <w:rsid w:val="0034139E"/>
    <w:rsid w:val="003414CB"/>
    <w:rsid w:val="00341501"/>
    <w:rsid w:val="003417C6"/>
    <w:rsid w:val="00341FC4"/>
    <w:rsid w:val="0034211A"/>
    <w:rsid w:val="0034282C"/>
    <w:rsid w:val="003428E1"/>
    <w:rsid w:val="00342CD1"/>
    <w:rsid w:val="00342E8D"/>
    <w:rsid w:val="003441B4"/>
    <w:rsid w:val="003443F0"/>
    <w:rsid w:val="003446D9"/>
    <w:rsid w:val="003449EE"/>
    <w:rsid w:val="003450FC"/>
    <w:rsid w:val="003452B0"/>
    <w:rsid w:val="0034622B"/>
    <w:rsid w:val="00346D38"/>
    <w:rsid w:val="00347BF9"/>
    <w:rsid w:val="00347D8D"/>
    <w:rsid w:val="00347E0E"/>
    <w:rsid w:val="003503C5"/>
    <w:rsid w:val="0035155A"/>
    <w:rsid w:val="00351962"/>
    <w:rsid w:val="00351BC0"/>
    <w:rsid w:val="00351C09"/>
    <w:rsid w:val="00352729"/>
    <w:rsid w:val="00352779"/>
    <w:rsid w:val="0035297D"/>
    <w:rsid w:val="00352BC7"/>
    <w:rsid w:val="00352C8E"/>
    <w:rsid w:val="00352EFC"/>
    <w:rsid w:val="003531D8"/>
    <w:rsid w:val="003538AD"/>
    <w:rsid w:val="00354D49"/>
    <w:rsid w:val="003551F0"/>
    <w:rsid w:val="003553C7"/>
    <w:rsid w:val="00355DAD"/>
    <w:rsid w:val="00355F99"/>
    <w:rsid w:val="003561AB"/>
    <w:rsid w:val="00356AF4"/>
    <w:rsid w:val="00357F06"/>
    <w:rsid w:val="00360766"/>
    <w:rsid w:val="00360DE6"/>
    <w:rsid w:val="00360F19"/>
    <w:rsid w:val="00361F17"/>
    <w:rsid w:val="00362604"/>
    <w:rsid w:val="00362922"/>
    <w:rsid w:val="003629A5"/>
    <w:rsid w:val="0036335D"/>
    <w:rsid w:val="00363F8F"/>
    <w:rsid w:val="00365414"/>
    <w:rsid w:val="00366B03"/>
    <w:rsid w:val="003670A4"/>
    <w:rsid w:val="003702B6"/>
    <w:rsid w:val="00370900"/>
    <w:rsid w:val="00370A21"/>
    <w:rsid w:val="00371549"/>
    <w:rsid w:val="0037175A"/>
    <w:rsid w:val="00372B64"/>
    <w:rsid w:val="00374AEE"/>
    <w:rsid w:val="003753A6"/>
    <w:rsid w:val="0037544C"/>
    <w:rsid w:val="003754C6"/>
    <w:rsid w:val="00376074"/>
    <w:rsid w:val="00376619"/>
    <w:rsid w:val="00376BA7"/>
    <w:rsid w:val="00377742"/>
    <w:rsid w:val="003779AF"/>
    <w:rsid w:val="00377AD1"/>
    <w:rsid w:val="00381442"/>
    <w:rsid w:val="00381F9F"/>
    <w:rsid w:val="00382090"/>
    <w:rsid w:val="0038212E"/>
    <w:rsid w:val="00382435"/>
    <w:rsid w:val="00382F95"/>
    <w:rsid w:val="0038384F"/>
    <w:rsid w:val="00384502"/>
    <w:rsid w:val="003846AB"/>
    <w:rsid w:val="00384AA8"/>
    <w:rsid w:val="00384D78"/>
    <w:rsid w:val="00385697"/>
    <w:rsid w:val="00385BCB"/>
    <w:rsid w:val="003864B1"/>
    <w:rsid w:val="00386FCC"/>
    <w:rsid w:val="003871DD"/>
    <w:rsid w:val="00387426"/>
    <w:rsid w:val="003910F7"/>
    <w:rsid w:val="003911C5"/>
    <w:rsid w:val="00391540"/>
    <w:rsid w:val="00391935"/>
    <w:rsid w:val="003922B5"/>
    <w:rsid w:val="00392A63"/>
    <w:rsid w:val="00392DBD"/>
    <w:rsid w:val="00394521"/>
    <w:rsid w:val="00395264"/>
    <w:rsid w:val="003952EC"/>
    <w:rsid w:val="00395794"/>
    <w:rsid w:val="0039587A"/>
    <w:rsid w:val="003959FE"/>
    <w:rsid w:val="00395E16"/>
    <w:rsid w:val="00395EF1"/>
    <w:rsid w:val="00395F1E"/>
    <w:rsid w:val="00396B67"/>
    <w:rsid w:val="00396CEA"/>
    <w:rsid w:val="00397149"/>
    <w:rsid w:val="003A0A5B"/>
    <w:rsid w:val="003A16D9"/>
    <w:rsid w:val="003A240B"/>
    <w:rsid w:val="003A356B"/>
    <w:rsid w:val="003A35EF"/>
    <w:rsid w:val="003A3A6B"/>
    <w:rsid w:val="003A4706"/>
    <w:rsid w:val="003A4BC5"/>
    <w:rsid w:val="003A4F31"/>
    <w:rsid w:val="003A527E"/>
    <w:rsid w:val="003A5947"/>
    <w:rsid w:val="003A5F2E"/>
    <w:rsid w:val="003A6A05"/>
    <w:rsid w:val="003A6C6F"/>
    <w:rsid w:val="003A74A2"/>
    <w:rsid w:val="003A789D"/>
    <w:rsid w:val="003A7E19"/>
    <w:rsid w:val="003B0C16"/>
    <w:rsid w:val="003B0E5D"/>
    <w:rsid w:val="003B1557"/>
    <w:rsid w:val="003B16CF"/>
    <w:rsid w:val="003B1807"/>
    <w:rsid w:val="003B1D76"/>
    <w:rsid w:val="003B21E1"/>
    <w:rsid w:val="003B269D"/>
    <w:rsid w:val="003B2703"/>
    <w:rsid w:val="003B29BE"/>
    <w:rsid w:val="003B2F28"/>
    <w:rsid w:val="003B337C"/>
    <w:rsid w:val="003B3AB5"/>
    <w:rsid w:val="003B42DE"/>
    <w:rsid w:val="003B4A4C"/>
    <w:rsid w:val="003B5274"/>
    <w:rsid w:val="003B530C"/>
    <w:rsid w:val="003B5343"/>
    <w:rsid w:val="003B54C6"/>
    <w:rsid w:val="003B54DE"/>
    <w:rsid w:val="003B55D2"/>
    <w:rsid w:val="003B5B4F"/>
    <w:rsid w:val="003B5CE5"/>
    <w:rsid w:val="003B6004"/>
    <w:rsid w:val="003B64E6"/>
    <w:rsid w:val="003B64FE"/>
    <w:rsid w:val="003B661C"/>
    <w:rsid w:val="003B6703"/>
    <w:rsid w:val="003B6917"/>
    <w:rsid w:val="003B69A7"/>
    <w:rsid w:val="003B6C9E"/>
    <w:rsid w:val="003B6E17"/>
    <w:rsid w:val="003B76A1"/>
    <w:rsid w:val="003B7DBC"/>
    <w:rsid w:val="003B7E19"/>
    <w:rsid w:val="003B7ED4"/>
    <w:rsid w:val="003C0A8E"/>
    <w:rsid w:val="003C1185"/>
    <w:rsid w:val="003C1F34"/>
    <w:rsid w:val="003C2481"/>
    <w:rsid w:val="003C2535"/>
    <w:rsid w:val="003C2AB5"/>
    <w:rsid w:val="003C32A0"/>
    <w:rsid w:val="003C46DE"/>
    <w:rsid w:val="003C5990"/>
    <w:rsid w:val="003C6BA5"/>
    <w:rsid w:val="003C728B"/>
    <w:rsid w:val="003C75C6"/>
    <w:rsid w:val="003C76E2"/>
    <w:rsid w:val="003C7BC6"/>
    <w:rsid w:val="003D054F"/>
    <w:rsid w:val="003D0C2B"/>
    <w:rsid w:val="003D1292"/>
    <w:rsid w:val="003D16C1"/>
    <w:rsid w:val="003D1C3B"/>
    <w:rsid w:val="003D1C45"/>
    <w:rsid w:val="003D2AB5"/>
    <w:rsid w:val="003D4016"/>
    <w:rsid w:val="003D418C"/>
    <w:rsid w:val="003D451B"/>
    <w:rsid w:val="003D50C3"/>
    <w:rsid w:val="003D519A"/>
    <w:rsid w:val="003D55A5"/>
    <w:rsid w:val="003D5650"/>
    <w:rsid w:val="003D56F1"/>
    <w:rsid w:val="003D57F1"/>
    <w:rsid w:val="003D58FD"/>
    <w:rsid w:val="003D6356"/>
    <w:rsid w:val="003D69C7"/>
    <w:rsid w:val="003D6D6F"/>
    <w:rsid w:val="003D6E6E"/>
    <w:rsid w:val="003D7480"/>
    <w:rsid w:val="003D74EE"/>
    <w:rsid w:val="003D78EA"/>
    <w:rsid w:val="003D7BE7"/>
    <w:rsid w:val="003E0417"/>
    <w:rsid w:val="003E0507"/>
    <w:rsid w:val="003E0AB0"/>
    <w:rsid w:val="003E0F00"/>
    <w:rsid w:val="003E13DD"/>
    <w:rsid w:val="003E16D5"/>
    <w:rsid w:val="003E1B22"/>
    <w:rsid w:val="003E2075"/>
    <w:rsid w:val="003E28FE"/>
    <w:rsid w:val="003E2C04"/>
    <w:rsid w:val="003E2F12"/>
    <w:rsid w:val="003E3202"/>
    <w:rsid w:val="003E363C"/>
    <w:rsid w:val="003E4247"/>
    <w:rsid w:val="003E4289"/>
    <w:rsid w:val="003E428A"/>
    <w:rsid w:val="003E45FF"/>
    <w:rsid w:val="003E4D06"/>
    <w:rsid w:val="003E51CB"/>
    <w:rsid w:val="003E5B39"/>
    <w:rsid w:val="003E605B"/>
    <w:rsid w:val="003E689D"/>
    <w:rsid w:val="003E7B13"/>
    <w:rsid w:val="003E7E20"/>
    <w:rsid w:val="003F0137"/>
    <w:rsid w:val="003F0A0C"/>
    <w:rsid w:val="003F0C74"/>
    <w:rsid w:val="003F11FE"/>
    <w:rsid w:val="003F1DC7"/>
    <w:rsid w:val="003F21EB"/>
    <w:rsid w:val="003F2936"/>
    <w:rsid w:val="003F2D04"/>
    <w:rsid w:val="003F326B"/>
    <w:rsid w:val="003F390C"/>
    <w:rsid w:val="003F5287"/>
    <w:rsid w:val="003F52A9"/>
    <w:rsid w:val="003F595F"/>
    <w:rsid w:val="003F5BDD"/>
    <w:rsid w:val="003F6BCA"/>
    <w:rsid w:val="003F719F"/>
    <w:rsid w:val="003F71CA"/>
    <w:rsid w:val="003F7763"/>
    <w:rsid w:val="003F7989"/>
    <w:rsid w:val="003F7A08"/>
    <w:rsid w:val="004005E4"/>
    <w:rsid w:val="00400931"/>
    <w:rsid w:val="00400F47"/>
    <w:rsid w:val="00401B6C"/>
    <w:rsid w:val="004033EF"/>
    <w:rsid w:val="00403666"/>
    <w:rsid w:val="00403D3F"/>
    <w:rsid w:val="00404299"/>
    <w:rsid w:val="004046DD"/>
    <w:rsid w:val="00404977"/>
    <w:rsid w:val="00404C95"/>
    <w:rsid w:val="00405264"/>
    <w:rsid w:val="004052C7"/>
    <w:rsid w:val="004055DC"/>
    <w:rsid w:val="00406296"/>
    <w:rsid w:val="004065DF"/>
    <w:rsid w:val="004066ED"/>
    <w:rsid w:val="00406C26"/>
    <w:rsid w:val="00406D79"/>
    <w:rsid w:val="00406DA6"/>
    <w:rsid w:val="00406F39"/>
    <w:rsid w:val="00407490"/>
    <w:rsid w:val="00407857"/>
    <w:rsid w:val="00407A11"/>
    <w:rsid w:val="00410F1C"/>
    <w:rsid w:val="00411FC1"/>
    <w:rsid w:val="0041324C"/>
    <w:rsid w:val="00413279"/>
    <w:rsid w:val="004136BB"/>
    <w:rsid w:val="00413D21"/>
    <w:rsid w:val="00413EFA"/>
    <w:rsid w:val="004142A1"/>
    <w:rsid w:val="00414603"/>
    <w:rsid w:val="00415356"/>
    <w:rsid w:val="0041552A"/>
    <w:rsid w:val="004156C0"/>
    <w:rsid w:val="00415A0E"/>
    <w:rsid w:val="00415BE6"/>
    <w:rsid w:val="0041728A"/>
    <w:rsid w:val="00417FAD"/>
    <w:rsid w:val="0042045D"/>
    <w:rsid w:val="0042050B"/>
    <w:rsid w:val="00420609"/>
    <w:rsid w:val="00420D2F"/>
    <w:rsid w:val="00420D87"/>
    <w:rsid w:val="00420ED8"/>
    <w:rsid w:val="00420F26"/>
    <w:rsid w:val="00420F33"/>
    <w:rsid w:val="004210FF"/>
    <w:rsid w:val="00421AED"/>
    <w:rsid w:val="004225C8"/>
    <w:rsid w:val="0042284E"/>
    <w:rsid w:val="004230B8"/>
    <w:rsid w:val="004237E4"/>
    <w:rsid w:val="00423848"/>
    <w:rsid w:val="00423B85"/>
    <w:rsid w:val="00423F9F"/>
    <w:rsid w:val="004240DD"/>
    <w:rsid w:val="00424BD3"/>
    <w:rsid w:val="0042603B"/>
    <w:rsid w:val="00426322"/>
    <w:rsid w:val="00426E99"/>
    <w:rsid w:val="00427E81"/>
    <w:rsid w:val="0043031B"/>
    <w:rsid w:val="004303A1"/>
    <w:rsid w:val="0043137A"/>
    <w:rsid w:val="00431CD9"/>
    <w:rsid w:val="00431D2D"/>
    <w:rsid w:val="0043249F"/>
    <w:rsid w:val="00432C26"/>
    <w:rsid w:val="00433345"/>
    <w:rsid w:val="004334A6"/>
    <w:rsid w:val="0043473A"/>
    <w:rsid w:val="00434CD8"/>
    <w:rsid w:val="00434F9C"/>
    <w:rsid w:val="004350D7"/>
    <w:rsid w:val="00435F76"/>
    <w:rsid w:val="004365D8"/>
    <w:rsid w:val="004368F1"/>
    <w:rsid w:val="00436F39"/>
    <w:rsid w:val="0043792B"/>
    <w:rsid w:val="00437A3F"/>
    <w:rsid w:val="00437C5C"/>
    <w:rsid w:val="00437F11"/>
    <w:rsid w:val="004405DA"/>
    <w:rsid w:val="00441719"/>
    <w:rsid w:val="00442135"/>
    <w:rsid w:val="00442B60"/>
    <w:rsid w:val="00442F65"/>
    <w:rsid w:val="00443889"/>
    <w:rsid w:val="00443983"/>
    <w:rsid w:val="004451C1"/>
    <w:rsid w:val="00445DA3"/>
    <w:rsid w:val="00446084"/>
    <w:rsid w:val="00447238"/>
    <w:rsid w:val="004473C2"/>
    <w:rsid w:val="00447680"/>
    <w:rsid w:val="004505D5"/>
    <w:rsid w:val="00450FB3"/>
    <w:rsid w:val="00451024"/>
    <w:rsid w:val="004514B7"/>
    <w:rsid w:val="004518DE"/>
    <w:rsid w:val="00451B9D"/>
    <w:rsid w:val="00451D8A"/>
    <w:rsid w:val="004529CF"/>
    <w:rsid w:val="00452E92"/>
    <w:rsid w:val="0045337F"/>
    <w:rsid w:val="004533FF"/>
    <w:rsid w:val="00453621"/>
    <w:rsid w:val="00453B41"/>
    <w:rsid w:val="00453C2D"/>
    <w:rsid w:val="00453F2D"/>
    <w:rsid w:val="00454068"/>
    <w:rsid w:val="004541BA"/>
    <w:rsid w:val="004541C7"/>
    <w:rsid w:val="004544B2"/>
    <w:rsid w:val="00455585"/>
    <w:rsid w:val="004558C0"/>
    <w:rsid w:val="00455EBD"/>
    <w:rsid w:val="004566B8"/>
    <w:rsid w:val="00456AC6"/>
    <w:rsid w:val="00456FB2"/>
    <w:rsid w:val="004573D9"/>
    <w:rsid w:val="00457672"/>
    <w:rsid w:val="00457826"/>
    <w:rsid w:val="00460154"/>
    <w:rsid w:val="00460685"/>
    <w:rsid w:val="00460A26"/>
    <w:rsid w:val="0046109E"/>
    <w:rsid w:val="0046142E"/>
    <w:rsid w:val="00462C6E"/>
    <w:rsid w:val="0046301F"/>
    <w:rsid w:val="00463309"/>
    <w:rsid w:val="00463913"/>
    <w:rsid w:val="0046433E"/>
    <w:rsid w:val="004646C9"/>
    <w:rsid w:val="00464946"/>
    <w:rsid w:val="004667A7"/>
    <w:rsid w:val="004678D8"/>
    <w:rsid w:val="004704D9"/>
    <w:rsid w:val="00470515"/>
    <w:rsid w:val="00470645"/>
    <w:rsid w:val="004709AD"/>
    <w:rsid w:val="00471CCE"/>
    <w:rsid w:val="00471DED"/>
    <w:rsid w:val="004720B5"/>
    <w:rsid w:val="004721A5"/>
    <w:rsid w:val="00472A82"/>
    <w:rsid w:val="004734D3"/>
    <w:rsid w:val="00473FA8"/>
    <w:rsid w:val="004743A5"/>
    <w:rsid w:val="00474681"/>
    <w:rsid w:val="00475892"/>
    <w:rsid w:val="00475B7F"/>
    <w:rsid w:val="00475CBB"/>
    <w:rsid w:val="00475FCB"/>
    <w:rsid w:val="00476224"/>
    <w:rsid w:val="004763AF"/>
    <w:rsid w:val="004767C2"/>
    <w:rsid w:val="00476BCC"/>
    <w:rsid w:val="00477FCF"/>
    <w:rsid w:val="004802B2"/>
    <w:rsid w:val="00480920"/>
    <w:rsid w:val="00481597"/>
    <w:rsid w:val="004816E6"/>
    <w:rsid w:val="004819B8"/>
    <w:rsid w:val="00481BD1"/>
    <w:rsid w:val="00481CED"/>
    <w:rsid w:val="00481FE9"/>
    <w:rsid w:val="00482450"/>
    <w:rsid w:val="00482869"/>
    <w:rsid w:val="00483388"/>
    <w:rsid w:val="00483E9C"/>
    <w:rsid w:val="00483EFF"/>
    <w:rsid w:val="00483F6A"/>
    <w:rsid w:val="0048445C"/>
    <w:rsid w:val="004844AB"/>
    <w:rsid w:val="004849AC"/>
    <w:rsid w:val="00486082"/>
    <w:rsid w:val="0048661C"/>
    <w:rsid w:val="00486945"/>
    <w:rsid w:val="00486A9E"/>
    <w:rsid w:val="00486AF0"/>
    <w:rsid w:val="004877FD"/>
    <w:rsid w:val="00487805"/>
    <w:rsid w:val="00487AE6"/>
    <w:rsid w:val="00487DC5"/>
    <w:rsid w:val="0049000E"/>
    <w:rsid w:val="004906B5"/>
    <w:rsid w:val="00490BD3"/>
    <w:rsid w:val="00490C70"/>
    <w:rsid w:val="0049124F"/>
    <w:rsid w:val="00491B28"/>
    <w:rsid w:val="00491BB9"/>
    <w:rsid w:val="00491CA2"/>
    <w:rsid w:val="00491E3E"/>
    <w:rsid w:val="00491FA1"/>
    <w:rsid w:val="00492A35"/>
    <w:rsid w:val="004934D3"/>
    <w:rsid w:val="00493584"/>
    <w:rsid w:val="0049377B"/>
    <w:rsid w:val="004937F1"/>
    <w:rsid w:val="004938AC"/>
    <w:rsid w:val="00494366"/>
    <w:rsid w:val="00495C7D"/>
    <w:rsid w:val="0049607D"/>
    <w:rsid w:val="0049609D"/>
    <w:rsid w:val="004960FE"/>
    <w:rsid w:val="00496531"/>
    <w:rsid w:val="00496960"/>
    <w:rsid w:val="00496B9D"/>
    <w:rsid w:val="00497C4A"/>
    <w:rsid w:val="00497EB3"/>
    <w:rsid w:val="004A045F"/>
    <w:rsid w:val="004A0789"/>
    <w:rsid w:val="004A1317"/>
    <w:rsid w:val="004A142B"/>
    <w:rsid w:val="004A17B4"/>
    <w:rsid w:val="004A18EF"/>
    <w:rsid w:val="004A1D28"/>
    <w:rsid w:val="004A1D7A"/>
    <w:rsid w:val="004A1F66"/>
    <w:rsid w:val="004A2268"/>
    <w:rsid w:val="004A22DD"/>
    <w:rsid w:val="004A23B3"/>
    <w:rsid w:val="004A23C0"/>
    <w:rsid w:val="004A277E"/>
    <w:rsid w:val="004A4F84"/>
    <w:rsid w:val="004A5052"/>
    <w:rsid w:val="004A5637"/>
    <w:rsid w:val="004A58A8"/>
    <w:rsid w:val="004A64FE"/>
    <w:rsid w:val="004A65CF"/>
    <w:rsid w:val="004A735A"/>
    <w:rsid w:val="004A7431"/>
    <w:rsid w:val="004A7785"/>
    <w:rsid w:val="004B0448"/>
    <w:rsid w:val="004B0616"/>
    <w:rsid w:val="004B0A9F"/>
    <w:rsid w:val="004B1789"/>
    <w:rsid w:val="004B1C71"/>
    <w:rsid w:val="004B242B"/>
    <w:rsid w:val="004B257C"/>
    <w:rsid w:val="004B29C0"/>
    <w:rsid w:val="004B32C8"/>
    <w:rsid w:val="004B37A2"/>
    <w:rsid w:val="004B3D4B"/>
    <w:rsid w:val="004B4622"/>
    <w:rsid w:val="004B4CBB"/>
    <w:rsid w:val="004B5084"/>
    <w:rsid w:val="004B5B3E"/>
    <w:rsid w:val="004B6155"/>
    <w:rsid w:val="004B653B"/>
    <w:rsid w:val="004B7366"/>
    <w:rsid w:val="004B78EF"/>
    <w:rsid w:val="004B7F13"/>
    <w:rsid w:val="004B7FC0"/>
    <w:rsid w:val="004C0B28"/>
    <w:rsid w:val="004C0D40"/>
    <w:rsid w:val="004C263B"/>
    <w:rsid w:val="004C2859"/>
    <w:rsid w:val="004C2C21"/>
    <w:rsid w:val="004C339A"/>
    <w:rsid w:val="004C37AC"/>
    <w:rsid w:val="004C3CCE"/>
    <w:rsid w:val="004C3F78"/>
    <w:rsid w:val="004C456F"/>
    <w:rsid w:val="004C45FA"/>
    <w:rsid w:val="004C5219"/>
    <w:rsid w:val="004C5500"/>
    <w:rsid w:val="004C6218"/>
    <w:rsid w:val="004C66F7"/>
    <w:rsid w:val="004C723B"/>
    <w:rsid w:val="004C735C"/>
    <w:rsid w:val="004C79A7"/>
    <w:rsid w:val="004C7C90"/>
    <w:rsid w:val="004D0870"/>
    <w:rsid w:val="004D1F9E"/>
    <w:rsid w:val="004D20F3"/>
    <w:rsid w:val="004D24FE"/>
    <w:rsid w:val="004D3306"/>
    <w:rsid w:val="004D3402"/>
    <w:rsid w:val="004D3774"/>
    <w:rsid w:val="004D3C9D"/>
    <w:rsid w:val="004D420D"/>
    <w:rsid w:val="004D4597"/>
    <w:rsid w:val="004D4B71"/>
    <w:rsid w:val="004D4C56"/>
    <w:rsid w:val="004D5DA6"/>
    <w:rsid w:val="004D5F21"/>
    <w:rsid w:val="004D688A"/>
    <w:rsid w:val="004D6D08"/>
    <w:rsid w:val="004D6E93"/>
    <w:rsid w:val="004D726E"/>
    <w:rsid w:val="004D74C9"/>
    <w:rsid w:val="004E08D5"/>
    <w:rsid w:val="004E0DCE"/>
    <w:rsid w:val="004E0FB3"/>
    <w:rsid w:val="004E131A"/>
    <w:rsid w:val="004E200D"/>
    <w:rsid w:val="004E23F1"/>
    <w:rsid w:val="004E265D"/>
    <w:rsid w:val="004E28C7"/>
    <w:rsid w:val="004E2B6D"/>
    <w:rsid w:val="004E4348"/>
    <w:rsid w:val="004E455D"/>
    <w:rsid w:val="004E46CE"/>
    <w:rsid w:val="004E5364"/>
    <w:rsid w:val="004E5367"/>
    <w:rsid w:val="004E540A"/>
    <w:rsid w:val="004E5A18"/>
    <w:rsid w:val="004E5BD7"/>
    <w:rsid w:val="004E5CAD"/>
    <w:rsid w:val="004E5ED6"/>
    <w:rsid w:val="004E63DE"/>
    <w:rsid w:val="004E69F2"/>
    <w:rsid w:val="004E6C6B"/>
    <w:rsid w:val="004E73CD"/>
    <w:rsid w:val="004E7587"/>
    <w:rsid w:val="004E7750"/>
    <w:rsid w:val="004E79BF"/>
    <w:rsid w:val="004E79EE"/>
    <w:rsid w:val="004E7BB9"/>
    <w:rsid w:val="004F02A2"/>
    <w:rsid w:val="004F07C1"/>
    <w:rsid w:val="004F10F6"/>
    <w:rsid w:val="004F10FF"/>
    <w:rsid w:val="004F14CB"/>
    <w:rsid w:val="004F2042"/>
    <w:rsid w:val="004F247A"/>
    <w:rsid w:val="004F2994"/>
    <w:rsid w:val="004F2CA5"/>
    <w:rsid w:val="004F2F4E"/>
    <w:rsid w:val="004F35F0"/>
    <w:rsid w:val="004F3D96"/>
    <w:rsid w:val="004F3EA3"/>
    <w:rsid w:val="004F3F31"/>
    <w:rsid w:val="004F3F77"/>
    <w:rsid w:val="004F48BC"/>
    <w:rsid w:val="004F4B28"/>
    <w:rsid w:val="004F547D"/>
    <w:rsid w:val="004F5ACC"/>
    <w:rsid w:val="004F5EB1"/>
    <w:rsid w:val="004F7B92"/>
    <w:rsid w:val="004F7F92"/>
    <w:rsid w:val="0050091A"/>
    <w:rsid w:val="00501579"/>
    <w:rsid w:val="0050268F"/>
    <w:rsid w:val="00502AA8"/>
    <w:rsid w:val="00503594"/>
    <w:rsid w:val="005038DB"/>
    <w:rsid w:val="0050438A"/>
    <w:rsid w:val="0050486D"/>
    <w:rsid w:val="0050551E"/>
    <w:rsid w:val="005059F2"/>
    <w:rsid w:val="00506049"/>
    <w:rsid w:val="005077AF"/>
    <w:rsid w:val="00507AF7"/>
    <w:rsid w:val="00507ECB"/>
    <w:rsid w:val="00510286"/>
    <w:rsid w:val="0051069E"/>
    <w:rsid w:val="0051146C"/>
    <w:rsid w:val="00511AC9"/>
    <w:rsid w:val="00511B27"/>
    <w:rsid w:val="00511E46"/>
    <w:rsid w:val="00511F6D"/>
    <w:rsid w:val="005120C5"/>
    <w:rsid w:val="0051217B"/>
    <w:rsid w:val="005128B4"/>
    <w:rsid w:val="00512CEB"/>
    <w:rsid w:val="00514274"/>
    <w:rsid w:val="005142B4"/>
    <w:rsid w:val="00514DA4"/>
    <w:rsid w:val="00514FC7"/>
    <w:rsid w:val="005151E4"/>
    <w:rsid w:val="005179AC"/>
    <w:rsid w:val="005200A4"/>
    <w:rsid w:val="00520C56"/>
    <w:rsid w:val="00521007"/>
    <w:rsid w:val="005214A7"/>
    <w:rsid w:val="005215EC"/>
    <w:rsid w:val="00521735"/>
    <w:rsid w:val="0052182F"/>
    <w:rsid w:val="0052195D"/>
    <w:rsid w:val="005220B5"/>
    <w:rsid w:val="00523001"/>
    <w:rsid w:val="005237A7"/>
    <w:rsid w:val="00523E40"/>
    <w:rsid w:val="00524303"/>
    <w:rsid w:val="0052431E"/>
    <w:rsid w:val="0052460E"/>
    <w:rsid w:val="00524624"/>
    <w:rsid w:val="0052485A"/>
    <w:rsid w:val="0052487E"/>
    <w:rsid w:val="005248CD"/>
    <w:rsid w:val="00524982"/>
    <w:rsid w:val="00524DD4"/>
    <w:rsid w:val="005254F9"/>
    <w:rsid w:val="005259B7"/>
    <w:rsid w:val="005262E8"/>
    <w:rsid w:val="00526371"/>
    <w:rsid w:val="005264DC"/>
    <w:rsid w:val="0052670E"/>
    <w:rsid w:val="00526BEB"/>
    <w:rsid w:val="00526E54"/>
    <w:rsid w:val="00526E58"/>
    <w:rsid w:val="0052723B"/>
    <w:rsid w:val="00527F0A"/>
    <w:rsid w:val="00531158"/>
    <w:rsid w:val="00531500"/>
    <w:rsid w:val="00531EFE"/>
    <w:rsid w:val="00532BB6"/>
    <w:rsid w:val="005334D4"/>
    <w:rsid w:val="00533A86"/>
    <w:rsid w:val="00534D49"/>
    <w:rsid w:val="00534E91"/>
    <w:rsid w:val="00535510"/>
    <w:rsid w:val="005364A8"/>
    <w:rsid w:val="0053678C"/>
    <w:rsid w:val="005368CE"/>
    <w:rsid w:val="00536A34"/>
    <w:rsid w:val="0053774A"/>
    <w:rsid w:val="00537DFA"/>
    <w:rsid w:val="00537F16"/>
    <w:rsid w:val="005404F0"/>
    <w:rsid w:val="00540B9C"/>
    <w:rsid w:val="00540C0C"/>
    <w:rsid w:val="00540E25"/>
    <w:rsid w:val="0054103E"/>
    <w:rsid w:val="005417F3"/>
    <w:rsid w:val="005421D0"/>
    <w:rsid w:val="005421F6"/>
    <w:rsid w:val="00542826"/>
    <w:rsid w:val="00542ED3"/>
    <w:rsid w:val="0054326F"/>
    <w:rsid w:val="005433DE"/>
    <w:rsid w:val="005439D3"/>
    <w:rsid w:val="00543F1F"/>
    <w:rsid w:val="00544815"/>
    <w:rsid w:val="005448E9"/>
    <w:rsid w:val="005460E3"/>
    <w:rsid w:val="00546AAA"/>
    <w:rsid w:val="00546F42"/>
    <w:rsid w:val="0054757D"/>
    <w:rsid w:val="005475E4"/>
    <w:rsid w:val="005501CB"/>
    <w:rsid w:val="00550890"/>
    <w:rsid w:val="005508FF"/>
    <w:rsid w:val="00550DF8"/>
    <w:rsid w:val="00551342"/>
    <w:rsid w:val="005516C6"/>
    <w:rsid w:val="005516D5"/>
    <w:rsid w:val="005518BC"/>
    <w:rsid w:val="00551D80"/>
    <w:rsid w:val="00551F82"/>
    <w:rsid w:val="00551FB6"/>
    <w:rsid w:val="00552189"/>
    <w:rsid w:val="005527FE"/>
    <w:rsid w:val="00552E6D"/>
    <w:rsid w:val="00553C7B"/>
    <w:rsid w:val="005551D7"/>
    <w:rsid w:val="005556FE"/>
    <w:rsid w:val="00555A61"/>
    <w:rsid w:val="00555BE3"/>
    <w:rsid w:val="005566EE"/>
    <w:rsid w:val="00556D3B"/>
    <w:rsid w:val="0055781F"/>
    <w:rsid w:val="005600C2"/>
    <w:rsid w:val="005602EE"/>
    <w:rsid w:val="00560702"/>
    <w:rsid w:val="00560B1C"/>
    <w:rsid w:val="0056133E"/>
    <w:rsid w:val="00561C3C"/>
    <w:rsid w:val="00561CA5"/>
    <w:rsid w:val="00561ECC"/>
    <w:rsid w:val="00561F03"/>
    <w:rsid w:val="005636A6"/>
    <w:rsid w:val="00563896"/>
    <w:rsid w:val="005639A6"/>
    <w:rsid w:val="00563C23"/>
    <w:rsid w:val="0056411A"/>
    <w:rsid w:val="00564890"/>
    <w:rsid w:val="0056536B"/>
    <w:rsid w:val="0056583C"/>
    <w:rsid w:val="005658F4"/>
    <w:rsid w:val="00565BFE"/>
    <w:rsid w:val="0056607D"/>
    <w:rsid w:val="005664F2"/>
    <w:rsid w:val="00566B1E"/>
    <w:rsid w:val="00566E11"/>
    <w:rsid w:val="00567109"/>
    <w:rsid w:val="00567747"/>
    <w:rsid w:val="005677DF"/>
    <w:rsid w:val="00567E12"/>
    <w:rsid w:val="00567FE7"/>
    <w:rsid w:val="005700F7"/>
    <w:rsid w:val="00570148"/>
    <w:rsid w:val="00570962"/>
    <w:rsid w:val="00570B5E"/>
    <w:rsid w:val="00570E97"/>
    <w:rsid w:val="0057100E"/>
    <w:rsid w:val="0057108F"/>
    <w:rsid w:val="005724DF"/>
    <w:rsid w:val="0057274D"/>
    <w:rsid w:val="00572860"/>
    <w:rsid w:val="00572B37"/>
    <w:rsid w:val="00572FD9"/>
    <w:rsid w:val="0057328C"/>
    <w:rsid w:val="005732CA"/>
    <w:rsid w:val="00573774"/>
    <w:rsid w:val="005742B4"/>
    <w:rsid w:val="005765E4"/>
    <w:rsid w:val="00576E6C"/>
    <w:rsid w:val="00577004"/>
    <w:rsid w:val="005778FC"/>
    <w:rsid w:val="00580DAD"/>
    <w:rsid w:val="00580FAB"/>
    <w:rsid w:val="00581EFF"/>
    <w:rsid w:val="005829CC"/>
    <w:rsid w:val="00582AC3"/>
    <w:rsid w:val="005833D9"/>
    <w:rsid w:val="005834F3"/>
    <w:rsid w:val="005838C1"/>
    <w:rsid w:val="00583D98"/>
    <w:rsid w:val="00583F71"/>
    <w:rsid w:val="00584231"/>
    <w:rsid w:val="005845CA"/>
    <w:rsid w:val="00584761"/>
    <w:rsid w:val="00584862"/>
    <w:rsid w:val="00584994"/>
    <w:rsid w:val="00584DA0"/>
    <w:rsid w:val="00584DC5"/>
    <w:rsid w:val="0058650F"/>
    <w:rsid w:val="005866B7"/>
    <w:rsid w:val="00586A25"/>
    <w:rsid w:val="00586B9A"/>
    <w:rsid w:val="00587B57"/>
    <w:rsid w:val="00587C81"/>
    <w:rsid w:val="00587D76"/>
    <w:rsid w:val="005909D6"/>
    <w:rsid w:val="00591C03"/>
    <w:rsid w:val="00591DD8"/>
    <w:rsid w:val="00592224"/>
    <w:rsid w:val="00592359"/>
    <w:rsid w:val="00592690"/>
    <w:rsid w:val="00592D6F"/>
    <w:rsid w:val="00593416"/>
    <w:rsid w:val="00593802"/>
    <w:rsid w:val="005938CE"/>
    <w:rsid w:val="005939B6"/>
    <w:rsid w:val="00593A30"/>
    <w:rsid w:val="00593A95"/>
    <w:rsid w:val="00594055"/>
    <w:rsid w:val="005943AE"/>
    <w:rsid w:val="00595129"/>
    <w:rsid w:val="00595891"/>
    <w:rsid w:val="00595E7E"/>
    <w:rsid w:val="005965EB"/>
    <w:rsid w:val="00597092"/>
    <w:rsid w:val="005A0BEC"/>
    <w:rsid w:val="005A139E"/>
    <w:rsid w:val="005A2C28"/>
    <w:rsid w:val="005A49E9"/>
    <w:rsid w:val="005A54B2"/>
    <w:rsid w:val="005A58DC"/>
    <w:rsid w:val="005A6176"/>
    <w:rsid w:val="005A6961"/>
    <w:rsid w:val="005A6A4F"/>
    <w:rsid w:val="005A7529"/>
    <w:rsid w:val="005A7636"/>
    <w:rsid w:val="005A776D"/>
    <w:rsid w:val="005B0DA0"/>
    <w:rsid w:val="005B1DE9"/>
    <w:rsid w:val="005B206F"/>
    <w:rsid w:val="005B2A14"/>
    <w:rsid w:val="005B4C23"/>
    <w:rsid w:val="005B4EA1"/>
    <w:rsid w:val="005B62C7"/>
    <w:rsid w:val="005B68C1"/>
    <w:rsid w:val="005B6D71"/>
    <w:rsid w:val="005B789B"/>
    <w:rsid w:val="005B7B40"/>
    <w:rsid w:val="005C0B7B"/>
    <w:rsid w:val="005C0D27"/>
    <w:rsid w:val="005C16D0"/>
    <w:rsid w:val="005C1841"/>
    <w:rsid w:val="005C2151"/>
    <w:rsid w:val="005C222C"/>
    <w:rsid w:val="005C3190"/>
    <w:rsid w:val="005C35B2"/>
    <w:rsid w:val="005C3736"/>
    <w:rsid w:val="005C38BC"/>
    <w:rsid w:val="005C3B63"/>
    <w:rsid w:val="005C423C"/>
    <w:rsid w:val="005C443D"/>
    <w:rsid w:val="005C4A20"/>
    <w:rsid w:val="005C4E9A"/>
    <w:rsid w:val="005C52E0"/>
    <w:rsid w:val="005C6325"/>
    <w:rsid w:val="005C6527"/>
    <w:rsid w:val="005C6881"/>
    <w:rsid w:val="005C6B8F"/>
    <w:rsid w:val="005C72BD"/>
    <w:rsid w:val="005C730E"/>
    <w:rsid w:val="005D024D"/>
    <w:rsid w:val="005D0E12"/>
    <w:rsid w:val="005D10F1"/>
    <w:rsid w:val="005D1215"/>
    <w:rsid w:val="005D133D"/>
    <w:rsid w:val="005D1495"/>
    <w:rsid w:val="005D1C6B"/>
    <w:rsid w:val="005D1FF7"/>
    <w:rsid w:val="005D246D"/>
    <w:rsid w:val="005D24C2"/>
    <w:rsid w:val="005D2861"/>
    <w:rsid w:val="005D29CD"/>
    <w:rsid w:val="005D3B0C"/>
    <w:rsid w:val="005D4C7F"/>
    <w:rsid w:val="005D5927"/>
    <w:rsid w:val="005D65BE"/>
    <w:rsid w:val="005D759D"/>
    <w:rsid w:val="005D75B8"/>
    <w:rsid w:val="005D75ED"/>
    <w:rsid w:val="005D7BEF"/>
    <w:rsid w:val="005D7FB4"/>
    <w:rsid w:val="005E06A2"/>
    <w:rsid w:val="005E1FDB"/>
    <w:rsid w:val="005E27E4"/>
    <w:rsid w:val="005E2D85"/>
    <w:rsid w:val="005E31E7"/>
    <w:rsid w:val="005E33E1"/>
    <w:rsid w:val="005E36A7"/>
    <w:rsid w:val="005E3BB3"/>
    <w:rsid w:val="005E4834"/>
    <w:rsid w:val="005E4CB2"/>
    <w:rsid w:val="005E5D45"/>
    <w:rsid w:val="005E5FF9"/>
    <w:rsid w:val="005E685A"/>
    <w:rsid w:val="005E6D7F"/>
    <w:rsid w:val="005E6E9B"/>
    <w:rsid w:val="005E7533"/>
    <w:rsid w:val="005E77FB"/>
    <w:rsid w:val="005E79C6"/>
    <w:rsid w:val="005F0A84"/>
    <w:rsid w:val="005F150E"/>
    <w:rsid w:val="005F1D44"/>
    <w:rsid w:val="005F1E83"/>
    <w:rsid w:val="005F1F56"/>
    <w:rsid w:val="005F2424"/>
    <w:rsid w:val="005F288D"/>
    <w:rsid w:val="005F28A1"/>
    <w:rsid w:val="005F2C92"/>
    <w:rsid w:val="005F31EC"/>
    <w:rsid w:val="005F3C5F"/>
    <w:rsid w:val="005F4453"/>
    <w:rsid w:val="005F4962"/>
    <w:rsid w:val="005F4B55"/>
    <w:rsid w:val="005F5115"/>
    <w:rsid w:val="005F5153"/>
    <w:rsid w:val="005F5237"/>
    <w:rsid w:val="005F74E3"/>
    <w:rsid w:val="005F7771"/>
    <w:rsid w:val="005F78E8"/>
    <w:rsid w:val="006009B9"/>
    <w:rsid w:val="00600B97"/>
    <w:rsid w:val="00600DC8"/>
    <w:rsid w:val="006011A0"/>
    <w:rsid w:val="0060129A"/>
    <w:rsid w:val="006014ED"/>
    <w:rsid w:val="006015F4"/>
    <w:rsid w:val="00601A72"/>
    <w:rsid w:val="00601DEA"/>
    <w:rsid w:val="00602507"/>
    <w:rsid w:val="00602FF4"/>
    <w:rsid w:val="006036BD"/>
    <w:rsid w:val="00603A55"/>
    <w:rsid w:val="00603CCB"/>
    <w:rsid w:val="0060425C"/>
    <w:rsid w:val="0060468E"/>
    <w:rsid w:val="0060475F"/>
    <w:rsid w:val="00604F83"/>
    <w:rsid w:val="006057AF"/>
    <w:rsid w:val="006065C8"/>
    <w:rsid w:val="006078C5"/>
    <w:rsid w:val="00607EBF"/>
    <w:rsid w:val="0061019F"/>
    <w:rsid w:val="006109A0"/>
    <w:rsid w:val="00611097"/>
    <w:rsid w:val="006113B6"/>
    <w:rsid w:val="00611648"/>
    <w:rsid w:val="00611932"/>
    <w:rsid w:val="00612399"/>
    <w:rsid w:val="00612718"/>
    <w:rsid w:val="00612D62"/>
    <w:rsid w:val="00612E62"/>
    <w:rsid w:val="00612F58"/>
    <w:rsid w:val="00613B9E"/>
    <w:rsid w:val="00613C84"/>
    <w:rsid w:val="0061447C"/>
    <w:rsid w:val="006145D8"/>
    <w:rsid w:val="00614B8B"/>
    <w:rsid w:val="00614C15"/>
    <w:rsid w:val="00614D8B"/>
    <w:rsid w:val="00616209"/>
    <w:rsid w:val="00616D07"/>
    <w:rsid w:val="006171F1"/>
    <w:rsid w:val="00617328"/>
    <w:rsid w:val="00617B6E"/>
    <w:rsid w:val="00620522"/>
    <w:rsid w:val="00620B66"/>
    <w:rsid w:val="00620D9D"/>
    <w:rsid w:val="00621069"/>
    <w:rsid w:val="00621322"/>
    <w:rsid w:val="00621FB8"/>
    <w:rsid w:val="006225A4"/>
    <w:rsid w:val="00622ADA"/>
    <w:rsid w:val="00623416"/>
    <w:rsid w:val="00623CAD"/>
    <w:rsid w:val="006241B4"/>
    <w:rsid w:val="006243EE"/>
    <w:rsid w:val="00624BD7"/>
    <w:rsid w:val="00624F15"/>
    <w:rsid w:val="00625304"/>
    <w:rsid w:val="00625CC7"/>
    <w:rsid w:val="00625F0A"/>
    <w:rsid w:val="00626111"/>
    <w:rsid w:val="00626165"/>
    <w:rsid w:val="0062748B"/>
    <w:rsid w:val="00627E8E"/>
    <w:rsid w:val="006306FD"/>
    <w:rsid w:val="00630A5D"/>
    <w:rsid w:val="00630DBE"/>
    <w:rsid w:val="0063195A"/>
    <w:rsid w:val="00631C7D"/>
    <w:rsid w:val="00631D70"/>
    <w:rsid w:val="00631EA7"/>
    <w:rsid w:val="006324DD"/>
    <w:rsid w:val="006328B4"/>
    <w:rsid w:val="00634177"/>
    <w:rsid w:val="0063430E"/>
    <w:rsid w:val="00634597"/>
    <w:rsid w:val="00634907"/>
    <w:rsid w:val="00634926"/>
    <w:rsid w:val="00636032"/>
    <w:rsid w:val="006363B2"/>
    <w:rsid w:val="00636BEF"/>
    <w:rsid w:val="00637104"/>
    <w:rsid w:val="00637158"/>
    <w:rsid w:val="006373FD"/>
    <w:rsid w:val="006408C9"/>
    <w:rsid w:val="00640D74"/>
    <w:rsid w:val="00641E0A"/>
    <w:rsid w:val="00642404"/>
    <w:rsid w:val="0064253A"/>
    <w:rsid w:val="006426C9"/>
    <w:rsid w:val="006428DF"/>
    <w:rsid w:val="006428FE"/>
    <w:rsid w:val="00642B27"/>
    <w:rsid w:val="00644589"/>
    <w:rsid w:val="006451F3"/>
    <w:rsid w:val="00645E5E"/>
    <w:rsid w:val="00646096"/>
    <w:rsid w:val="00646B04"/>
    <w:rsid w:val="00647084"/>
    <w:rsid w:val="006474D0"/>
    <w:rsid w:val="00647556"/>
    <w:rsid w:val="006479AC"/>
    <w:rsid w:val="006500A1"/>
    <w:rsid w:val="00650182"/>
    <w:rsid w:val="00650628"/>
    <w:rsid w:val="006511EC"/>
    <w:rsid w:val="00651267"/>
    <w:rsid w:val="00651632"/>
    <w:rsid w:val="0065291C"/>
    <w:rsid w:val="006534A1"/>
    <w:rsid w:val="00653701"/>
    <w:rsid w:val="00653BF3"/>
    <w:rsid w:val="0065467D"/>
    <w:rsid w:val="006552CA"/>
    <w:rsid w:val="00655DD9"/>
    <w:rsid w:val="00655ECE"/>
    <w:rsid w:val="006561F9"/>
    <w:rsid w:val="006563AE"/>
    <w:rsid w:val="00656814"/>
    <w:rsid w:val="0065744A"/>
    <w:rsid w:val="0065780A"/>
    <w:rsid w:val="00660573"/>
    <w:rsid w:val="006614CA"/>
    <w:rsid w:val="00661565"/>
    <w:rsid w:val="0066272B"/>
    <w:rsid w:val="00662B66"/>
    <w:rsid w:val="00662C02"/>
    <w:rsid w:val="006630B7"/>
    <w:rsid w:val="006630EF"/>
    <w:rsid w:val="00663A87"/>
    <w:rsid w:val="006640BD"/>
    <w:rsid w:val="006642B4"/>
    <w:rsid w:val="0066430E"/>
    <w:rsid w:val="00664724"/>
    <w:rsid w:val="0066476C"/>
    <w:rsid w:val="00664777"/>
    <w:rsid w:val="006648EB"/>
    <w:rsid w:val="00667345"/>
    <w:rsid w:val="0066781B"/>
    <w:rsid w:val="00670077"/>
    <w:rsid w:val="00670511"/>
    <w:rsid w:val="00670665"/>
    <w:rsid w:val="00670EB3"/>
    <w:rsid w:val="006719DB"/>
    <w:rsid w:val="006721FF"/>
    <w:rsid w:val="006723BD"/>
    <w:rsid w:val="006725BF"/>
    <w:rsid w:val="00673319"/>
    <w:rsid w:val="006734B9"/>
    <w:rsid w:val="0067376B"/>
    <w:rsid w:val="00674A6F"/>
    <w:rsid w:val="00674F5C"/>
    <w:rsid w:val="00675112"/>
    <w:rsid w:val="0067557F"/>
    <w:rsid w:val="00675879"/>
    <w:rsid w:val="006758C7"/>
    <w:rsid w:val="0067594D"/>
    <w:rsid w:val="006765A1"/>
    <w:rsid w:val="00676D53"/>
    <w:rsid w:val="006774E5"/>
    <w:rsid w:val="00677AEF"/>
    <w:rsid w:val="00677BE3"/>
    <w:rsid w:val="00680A60"/>
    <w:rsid w:val="00681517"/>
    <w:rsid w:val="00681E89"/>
    <w:rsid w:val="00682084"/>
    <w:rsid w:val="006827A0"/>
    <w:rsid w:val="00682D62"/>
    <w:rsid w:val="00683A42"/>
    <w:rsid w:val="00684BED"/>
    <w:rsid w:val="00685317"/>
    <w:rsid w:val="00685C1E"/>
    <w:rsid w:val="006868CC"/>
    <w:rsid w:val="0068759B"/>
    <w:rsid w:val="00690B7A"/>
    <w:rsid w:val="006910AC"/>
    <w:rsid w:val="006911BF"/>
    <w:rsid w:val="00691870"/>
    <w:rsid w:val="00691E3D"/>
    <w:rsid w:val="00692376"/>
    <w:rsid w:val="006928C6"/>
    <w:rsid w:val="00692E59"/>
    <w:rsid w:val="006933E9"/>
    <w:rsid w:val="00693C69"/>
    <w:rsid w:val="00693CCE"/>
    <w:rsid w:val="00693CEB"/>
    <w:rsid w:val="0069503C"/>
    <w:rsid w:val="00695F3E"/>
    <w:rsid w:val="006963C3"/>
    <w:rsid w:val="006964B9"/>
    <w:rsid w:val="00696A58"/>
    <w:rsid w:val="00696C0F"/>
    <w:rsid w:val="006976E6"/>
    <w:rsid w:val="006978DD"/>
    <w:rsid w:val="006979BA"/>
    <w:rsid w:val="00697F2A"/>
    <w:rsid w:val="006A12A8"/>
    <w:rsid w:val="006A13F5"/>
    <w:rsid w:val="006A185D"/>
    <w:rsid w:val="006A2319"/>
    <w:rsid w:val="006A2B45"/>
    <w:rsid w:val="006A2E59"/>
    <w:rsid w:val="006A2FCB"/>
    <w:rsid w:val="006A4964"/>
    <w:rsid w:val="006A568B"/>
    <w:rsid w:val="006A5754"/>
    <w:rsid w:val="006A584D"/>
    <w:rsid w:val="006A5AC5"/>
    <w:rsid w:val="006A5C0D"/>
    <w:rsid w:val="006A626F"/>
    <w:rsid w:val="006A6293"/>
    <w:rsid w:val="006A6601"/>
    <w:rsid w:val="006A6AC4"/>
    <w:rsid w:val="006A6BFC"/>
    <w:rsid w:val="006A6C8B"/>
    <w:rsid w:val="006A7606"/>
    <w:rsid w:val="006B059D"/>
    <w:rsid w:val="006B0C37"/>
    <w:rsid w:val="006B0DE2"/>
    <w:rsid w:val="006B19C1"/>
    <w:rsid w:val="006B201D"/>
    <w:rsid w:val="006B2282"/>
    <w:rsid w:val="006B2E9B"/>
    <w:rsid w:val="006B35BB"/>
    <w:rsid w:val="006B469F"/>
    <w:rsid w:val="006B4D8B"/>
    <w:rsid w:val="006B5042"/>
    <w:rsid w:val="006B5A07"/>
    <w:rsid w:val="006B5FBC"/>
    <w:rsid w:val="006B5FFE"/>
    <w:rsid w:val="006B64B3"/>
    <w:rsid w:val="006B6BAD"/>
    <w:rsid w:val="006B6D97"/>
    <w:rsid w:val="006B6D9F"/>
    <w:rsid w:val="006B714C"/>
    <w:rsid w:val="006B7A5C"/>
    <w:rsid w:val="006B7ACC"/>
    <w:rsid w:val="006C03A3"/>
    <w:rsid w:val="006C0A57"/>
    <w:rsid w:val="006C0EA6"/>
    <w:rsid w:val="006C0F5C"/>
    <w:rsid w:val="006C1818"/>
    <w:rsid w:val="006C2119"/>
    <w:rsid w:val="006C220E"/>
    <w:rsid w:val="006C25A8"/>
    <w:rsid w:val="006C276B"/>
    <w:rsid w:val="006C33C8"/>
    <w:rsid w:val="006C3466"/>
    <w:rsid w:val="006C365D"/>
    <w:rsid w:val="006C3960"/>
    <w:rsid w:val="006C3E4E"/>
    <w:rsid w:val="006C404E"/>
    <w:rsid w:val="006C488D"/>
    <w:rsid w:val="006C4D93"/>
    <w:rsid w:val="006C4F44"/>
    <w:rsid w:val="006C51C9"/>
    <w:rsid w:val="006C5612"/>
    <w:rsid w:val="006C5F7D"/>
    <w:rsid w:val="006C647C"/>
    <w:rsid w:val="006C6B01"/>
    <w:rsid w:val="006C7416"/>
    <w:rsid w:val="006D021C"/>
    <w:rsid w:val="006D03EF"/>
    <w:rsid w:val="006D055D"/>
    <w:rsid w:val="006D0652"/>
    <w:rsid w:val="006D0D21"/>
    <w:rsid w:val="006D1528"/>
    <w:rsid w:val="006D1729"/>
    <w:rsid w:val="006D19E9"/>
    <w:rsid w:val="006D1D20"/>
    <w:rsid w:val="006D211E"/>
    <w:rsid w:val="006D22EB"/>
    <w:rsid w:val="006D281B"/>
    <w:rsid w:val="006D407A"/>
    <w:rsid w:val="006D47A9"/>
    <w:rsid w:val="006D4A4D"/>
    <w:rsid w:val="006D4FA7"/>
    <w:rsid w:val="006D5928"/>
    <w:rsid w:val="006D667D"/>
    <w:rsid w:val="006D6E4C"/>
    <w:rsid w:val="006D7074"/>
    <w:rsid w:val="006D7792"/>
    <w:rsid w:val="006D7B12"/>
    <w:rsid w:val="006E0E15"/>
    <w:rsid w:val="006E0EE6"/>
    <w:rsid w:val="006E1B97"/>
    <w:rsid w:val="006E24BF"/>
    <w:rsid w:val="006E24DD"/>
    <w:rsid w:val="006E2C29"/>
    <w:rsid w:val="006E3AED"/>
    <w:rsid w:val="006E3C16"/>
    <w:rsid w:val="006E41D3"/>
    <w:rsid w:val="006E4719"/>
    <w:rsid w:val="006E479D"/>
    <w:rsid w:val="006E6219"/>
    <w:rsid w:val="006E62FD"/>
    <w:rsid w:val="006E667F"/>
    <w:rsid w:val="006E780A"/>
    <w:rsid w:val="006E7F7A"/>
    <w:rsid w:val="006F00FC"/>
    <w:rsid w:val="006F03A1"/>
    <w:rsid w:val="006F0772"/>
    <w:rsid w:val="006F24E9"/>
    <w:rsid w:val="006F2639"/>
    <w:rsid w:val="006F2772"/>
    <w:rsid w:val="006F2897"/>
    <w:rsid w:val="006F2D13"/>
    <w:rsid w:val="006F3071"/>
    <w:rsid w:val="006F3243"/>
    <w:rsid w:val="006F3389"/>
    <w:rsid w:val="006F4718"/>
    <w:rsid w:val="006F4F5F"/>
    <w:rsid w:val="006F5522"/>
    <w:rsid w:val="006F5A1C"/>
    <w:rsid w:val="006F5C1C"/>
    <w:rsid w:val="006F65BB"/>
    <w:rsid w:val="006F6A2A"/>
    <w:rsid w:val="006F6D1B"/>
    <w:rsid w:val="006F6E22"/>
    <w:rsid w:val="006F7D6D"/>
    <w:rsid w:val="006F7E7A"/>
    <w:rsid w:val="007003D6"/>
    <w:rsid w:val="007007AE"/>
    <w:rsid w:val="0070094B"/>
    <w:rsid w:val="00700FBB"/>
    <w:rsid w:val="007012A7"/>
    <w:rsid w:val="00701AD8"/>
    <w:rsid w:val="00702E27"/>
    <w:rsid w:val="0070343E"/>
    <w:rsid w:val="00703525"/>
    <w:rsid w:val="007041FE"/>
    <w:rsid w:val="00704D1F"/>
    <w:rsid w:val="00705C4D"/>
    <w:rsid w:val="007066BE"/>
    <w:rsid w:val="00707196"/>
    <w:rsid w:val="00707B3F"/>
    <w:rsid w:val="00710019"/>
    <w:rsid w:val="007108BD"/>
    <w:rsid w:val="00711187"/>
    <w:rsid w:val="00711206"/>
    <w:rsid w:val="0071142F"/>
    <w:rsid w:val="00711C96"/>
    <w:rsid w:val="007130E2"/>
    <w:rsid w:val="007131D5"/>
    <w:rsid w:val="00713A1E"/>
    <w:rsid w:val="00713EAD"/>
    <w:rsid w:val="00713EF1"/>
    <w:rsid w:val="007145AD"/>
    <w:rsid w:val="007147E7"/>
    <w:rsid w:val="00714F69"/>
    <w:rsid w:val="00715E37"/>
    <w:rsid w:val="00716085"/>
    <w:rsid w:val="0071614F"/>
    <w:rsid w:val="007162A4"/>
    <w:rsid w:val="00716304"/>
    <w:rsid w:val="00716406"/>
    <w:rsid w:val="0072000B"/>
    <w:rsid w:val="00720332"/>
    <w:rsid w:val="007204A1"/>
    <w:rsid w:val="007205C0"/>
    <w:rsid w:val="007209B3"/>
    <w:rsid w:val="00720B15"/>
    <w:rsid w:val="007215B4"/>
    <w:rsid w:val="007217E5"/>
    <w:rsid w:val="00721A93"/>
    <w:rsid w:val="00721D0F"/>
    <w:rsid w:val="00721F02"/>
    <w:rsid w:val="00722352"/>
    <w:rsid w:val="007225CC"/>
    <w:rsid w:val="00722AED"/>
    <w:rsid w:val="00722F3A"/>
    <w:rsid w:val="00723E6E"/>
    <w:rsid w:val="00724637"/>
    <w:rsid w:val="00724AC6"/>
    <w:rsid w:val="00724F22"/>
    <w:rsid w:val="0072502B"/>
    <w:rsid w:val="007252B0"/>
    <w:rsid w:val="00726A0F"/>
    <w:rsid w:val="00726E0F"/>
    <w:rsid w:val="00727203"/>
    <w:rsid w:val="007272CB"/>
    <w:rsid w:val="00727803"/>
    <w:rsid w:val="007278AB"/>
    <w:rsid w:val="00727948"/>
    <w:rsid w:val="00730512"/>
    <w:rsid w:val="007316C2"/>
    <w:rsid w:val="007319E5"/>
    <w:rsid w:val="007321B8"/>
    <w:rsid w:val="007324EE"/>
    <w:rsid w:val="00732682"/>
    <w:rsid w:val="00733617"/>
    <w:rsid w:val="00733BE6"/>
    <w:rsid w:val="00733D5F"/>
    <w:rsid w:val="00733F56"/>
    <w:rsid w:val="007342CE"/>
    <w:rsid w:val="007343ED"/>
    <w:rsid w:val="00734CD5"/>
    <w:rsid w:val="00735810"/>
    <w:rsid w:val="00735ED9"/>
    <w:rsid w:val="00735F99"/>
    <w:rsid w:val="00736617"/>
    <w:rsid w:val="007374CA"/>
    <w:rsid w:val="0073761F"/>
    <w:rsid w:val="00737E12"/>
    <w:rsid w:val="00737E8F"/>
    <w:rsid w:val="00740273"/>
    <w:rsid w:val="007403E7"/>
    <w:rsid w:val="00740EA9"/>
    <w:rsid w:val="00741B96"/>
    <w:rsid w:val="00741FD2"/>
    <w:rsid w:val="00742960"/>
    <w:rsid w:val="00743511"/>
    <w:rsid w:val="00743616"/>
    <w:rsid w:val="00743E2D"/>
    <w:rsid w:val="00743FC0"/>
    <w:rsid w:val="00744841"/>
    <w:rsid w:val="00744F2E"/>
    <w:rsid w:val="00744FE8"/>
    <w:rsid w:val="007453CA"/>
    <w:rsid w:val="00745839"/>
    <w:rsid w:val="00745868"/>
    <w:rsid w:val="00745FA1"/>
    <w:rsid w:val="0074682F"/>
    <w:rsid w:val="00746CE1"/>
    <w:rsid w:val="007471CA"/>
    <w:rsid w:val="007473C7"/>
    <w:rsid w:val="00747461"/>
    <w:rsid w:val="00747D03"/>
    <w:rsid w:val="00747DEF"/>
    <w:rsid w:val="00750279"/>
    <w:rsid w:val="00750A3E"/>
    <w:rsid w:val="007513E6"/>
    <w:rsid w:val="007516CF"/>
    <w:rsid w:val="007517A1"/>
    <w:rsid w:val="00752093"/>
    <w:rsid w:val="0075227F"/>
    <w:rsid w:val="00752993"/>
    <w:rsid w:val="007532A9"/>
    <w:rsid w:val="00753473"/>
    <w:rsid w:val="00753F92"/>
    <w:rsid w:val="00754206"/>
    <w:rsid w:val="00754A6E"/>
    <w:rsid w:val="0075542C"/>
    <w:rsid w:val="0075576C"/>
    <w:rsid w:val="00755E4A"/>
    <w:rsid w:val="00756882"/>
    <w:rsid w:val="00757B60"/>
    <w:rsid w:val="00757C41"/>
    <w:rsid w:val="00760BF7"/>
    <w:rsid w:val="007611F3"/>
    <w:rsid w:val="00761726"/>
    <w:rsid w:val="007628AB"/>
    <w:rsid w:val="00762993"/>
    <w:rsid w:val="00762A3C"/>
    <w:rsid w:val="0076425D"/>
    <w:rsid w:val="007644CB"/>
    <w:rsid w:val="00764DD7"/>
    <w:rsid w:val="00765CD3"/>
    <w:rsid w:val="0076661E"/>
    <w:rsid w:val="0076737D"/>
    <w:rsid w:val="00767438"/>
    <w:rsid w:val="00767DBF"/>
    <w:rsid w:val="007700AD"/>
    <w:rsid w:val="00770174"/>
    <w:rsid w:val="007714E9"/>
    <w:rsid w:val="0077261D"/>
    <w:rsid w:val="007729C9"/>
    <w:rsid w:val="00772A72"/>
    <w:rsid w:val="00772F70"/>
    <w:rsid w:val="00773332"/>
    <w:rsid w:val="00773763"/>
    <w:rsid w:val="00774220"/>
    <w:rsid w:val="007746E2"/>
    <w:rsid w:val="007748B4"/>
    <w:rsid w:val="007753C0"/>
    <w:rsid w:val="007755C4"/>
    <w:rsid w:val="007757E4"/>
    <w:rsid w:val="007757F6"/>
    <w:rsid w:val="007758ED"/>
    <w:rsid w:val="00776195"/>
    <w:rsid w:val="00776783"/>
    <w:rsid w:val="007767B2"/>
    <w:rsid w:val="007773A4"/>
    <w:rsid w:val="00777CE3"/>
    <w:rsid w:val="007802F1"/>
    <w:rsid w:val="0078038B"/>
    <w:rsid w:val="00780983"/>
    <w:rsid w:val="00780C97"/>
    <w:rsid w:val="007810B7"/>
    <w:rsid w:val="00781300"/>
    <w:rsid w:val="00781F0C"/>
    <w:rsid w:val="00782596"/>
    <w:rsid w:val="00783249"/>
    <w:rsid w:val="00783D0A"/>
    <w:rsid w:val="00784533"/>
    <w:rsid w:val="00784A20"/>
    <w:rsid w:val="00784BD4"/>
    <w:rsid w:val="007854A3"/>
    <w:rsid w:val="00786398"/>
    <w:rsid w:val="007865E8"/>
    <w:rsid w:val="00786950"/>
    <w:rsid w:val="00786CBC"/>
    <w:rsid w:val="00786E2F"/>
    <w:rsid w:val="0078702F"/>
    <w:rsid w:val="007872A7"/>
    <w:rsid w:val="00787397"/>
    <w:rsid w:val="007876AD"/>
    <w:rsid w:val="0078774B"/>
    <w:rsid w:val="00787DEA"/>
    <w:rsid w:val="007902F3"/>
    <w:rsid w:val="00791B51"/>
    <w:rsid w:val="0079222F"/>
    <w:rsid w:val="0079292D"/>
    <w:rsid w:val="00792A61"/>
    <w:rsid w:val="0079399D"/>
    <w:rsid w:val="00793AA0"/>
    <w:rsid w:val="00793D59"/>
    <w:rsid w:val="00793DDB"/>
    <w:rsid w:val="00794644"/>
    <w:rsid w:val="00794792"/>
    <w:rsid w:val="007947B4"/>
    <w:rsid w:val="00795030"/>
    <w:rsid w:val="00795063"/>
    <w:rsid w:val="007950C1"/>
    <w:rsid w:val="007972AF"/>
    <w:rsid w:val="0079794B"/>
    <w:rsid w:val="00797BC9"/>
    <w:rsid w:val="007A0326"/>
    <w:rsid w:val="007A0756"/>
    <w:rsid w:val="007A111C"/>
    <w:rsid w:val="007A1F16"/>
    <w:rsid w:val="007A2AB7"/>
    <w:rsid w:val="007A3391"/>
    <w:rsid w:val="007A3EDD"/>
    <w:rsid w:val="007A4042"/>
    <w:rsid w:val="007A4C09"/>
    <w:rsid w:val="007A5088"/>
    <w:rsid w:val="007A5475"/>
    <w:rsid w:val="007A5A96"/>
    <w:rsid w:val="007A5C0C"/>
    <w:rsid w:val="007A60AB"/>
    <w:rsid w:val="007A6449"/>
    <w:rsid w:val="007A6DCB"/>
    <w:rsid w:val="007A6F60"/>
    <w:rsid w:val="007A756F"/>
    <w:rsid w:val="007A77BC"/>
    <w:rsid w:val="007A7937"/>
    <w:rsid w:val="007A7D49"/>
    <w:rsid w:val="007B018D"/>
    <w:rsid w:val="007B0475"/>
    <w:rsid w:val="007B0D44"/>
    <w:rsid w:val="007B1264"/>
    <w:rsid w:val="007B130B"/>
    <w:rsid w:val="007B1606"/>
    <w:rsid w:val="007B1F6C"/>
    <w:rsid w:val="007B1FE8"/>
    <w:rsid w:val="007B2633"/>
    <w:rsid w:val="007B3283"/>
    <w:rsid w:val="007B3FF5"/>
    <w:rsid w:val="007B4331"/>
    <w:rsid w:val="007B53D5"/>
    <w:rsid w:val="007B5BB3"/>
    <w:rsid w:val="007B639C"/>
    <w:rsid w:val="007B65C6"/>
    <w:rsid w:val="007B677D"/>
    <w:rsid w:val="007B745A"/>
    <w:rsid w:val="007B792F"/>
    <w:rsid w:val="007C03F5"/>
    <w:rsid w:val="007C0BD5"/>
    <w:rsid w:val="007C12BD"/>
    <w:rsid w:val="007C18F2"/>
    <w:rsid w:val="007C1F04"/>
    <w:rsid w:val="007C2D54"/>
    <w:rsid w:val="007C3ED2"/>
    <w:rsid w:val="007C4B9E"/>
    <w:rsid w:val="007C4F10"/>
    <w:rsid w:val="007C54DB"/>
    <w:rsid w:val="007C5DED"/>
    <w:rsid w:val="007C6549"/>
    <w:rsid w:val="007C7490"/>
    <w:rsid w:val="007C77C8"/>
    <w:rsid w:val="007C7CE9"/>
    <w:rsid w:val="007D0426"/>
    <w:rsid w:val="007D0ADF"/>
    <w:rsid w:val="007D1CE7"/>
    <w:rsid w:val="007D26F5"/>
    <w:rsid w:val="007D29C0"/>
    <w:rsid w:val="007D2BEA"/>
    <w:rsid w:val="007D3135"/>
    <w:rsid w:val="007D33FC"/>
    <w:rsid w:val="007D3CD6"/>
    <w:rsid w:val="007D3E09"/>
    <w:rsid w:val="007D3E0D"/>
    <w:rsid w:val="007D3FF5"/>
    <w:rsid w:val="007D401F"/>
    <w:rsid w:val="007D4A7C"/>
    <w:rsid w:val="007D4CBB"/>
    <w:rsid w:val="007D4FE6"/>
    <w:rsid w:val="007D57FC"/>
    <w:rsid w:val="007D6688"/>
    <w:rsid w:val="007D66B5"/>
    <w:rsid w:val="007D6A28"/>
    <w:rsid w:val="007D73EE"/>
    <w:rsid w:val="007D75EB"/>
    <w:rsid w:val="007D7829"/>
    <w:rsid w:val="007E0031"/>
    <w:rsid w:val="007E02DC"/>
    <w:rsid w:val="007E0408"/>
    <w:rsid w:val="007E1480"/>
    <w:rsid w:val="007E1549"/>
    <w:rsid w:val="007E1B22"/>
    <w:rsid w:val="007E1B32"/>
    <w:rsid w:val="007E1CF2"/>
    <w:rsid w:val="007E1E3B"/>
    <w:rsid w:val="007E269D"/>
    <w:rsid w:val="007E4133"/>
    <w:rsid w:val="007E482F"/>
    <w:rsid w:val="007E51A4"/>
    <w:rsid w:val="007E531D"/>
    <w:rsid w:val="007E556B"/>
    <w:rsid w:val="007E5E72"/>
    <w:rsid w:val="007E5FA6"/>
    <w:rsid w:val="007E5FD2"/>
    <w:rsid w:val="007E6069"/>
    <w:rsid w:val="007E6A83"/>
    <w:rsid w:val="007E6DC6"/>
    <w:rsid w:val="007F046D"/>
    <w:rsid w:val="007F0E5D"/>
    <w:rsid w:val="007F1B3A"/>
    <w:rsid w:val="007F1BBC"/>
    <w:rsid w:val="007F1D88"/>
    <w:rsid w:val="007F251F"/>
    <w:rsid w:val="007F3064"/>
    <w:rsid w:val="007F46FC"/>
    <w:rsid w:val="007F4AF0"/>
    <w:rsid w:val="007F5623"/>
    <w:rsid w:val="007F5C1E"/>
    <w:rsid w:val="007F5DF5"/>
    <w:rsid w:val="007F5EE1"/>
    <w:rsid w:val="007F6721"/>
    <w:rsid w:val="007F6CD8"/>
    <w:rsid w:val="007F6EEF"/>
    <w:rsid w:val="007F7110"/>
    <w:rsid w:val="007F7963"/>
    <w:rsid w:val="007F7C54"/>
    <w:rsid w:val="008003A1"/>
    <w:rsid w:val="00800A72"/>
    <w:rsid w:val="00801A2B"/>
    <w:rsid w:val="008027BA"/>
    <w:rsid w:val="00803233"/>
    <w:rsid w:val="00803B8D"/>
    <w:rsid w:val="00803EC8"/>
    <w:rsid w:val="00804245"/>
    <w:rsid w:val="00805570"/>
    <w:rsid w:val="008059F9"/>
    <w:rsid w:val="00805D2B"/>
    <w:rsid w:val="00805FE0"/>
    <w:rsid w:val="008068E8"/>
    <w:rsid w:val="00806B3F"/>
    <w:rsid w:val="00810BD4"/>
    <w:rsid w:val="00811E5C"/>
    <w:rsid w:val="008130B2"/>
    <w:rsid w:val="00813578"/>
    <w:rsid w:val="00813DF9"/>
    <w:rsid w:val="00813F20"/>
    <w:rsid w:val="008144E3"/>
    <w:rsid w:val="00814927"/>
    <w:rsid w:val="008149BF"/>
    <w:rsid w:val="00814B9A"/>
    <w:rsid w:val="008151C2"/>
    <w:rsid w:val="008157BA"/>
    <w:rsid w:val="00815C2D"/>
    <w:rsid w:val="00815F08"/>
    <w:rsid w:val="00816106"/>
    <w:rsid w:val="008163E6"/>
    <w:rsid w:val="008164B8"/>
    <w:rsid w:val="008178A5"/>
    <w:rsid w:val="008178DE"/>
    <w:rsid w:val="008203B6"/>
    <w:rsid w:val="008215E1"/>
    <w:rsid w:val="00821610"/>
    <w:rsid w:val="008217DB"/>
    <w:rsid w:val="008218B1"/>
    <w:rsid w:val="00821A55"/>
    <w:rsid w:val="008224EC"/>
    <w:rsid w:val="0082251A"/>
    <w:rsid w:val="008229F0"/>
    <w:rsid w:val="00822ABC"/>
    <w:rsid w:val="00822BB3"/>
    <w:rsid w:val="00823240"/>
    <w:rsid w:val="00823948"/>
    <w:rsid w:val="008239EE"/>
    <w:rsid w:val="00823C7B"/>
    <w:rsid w:val="00823C8D"/>
    <w:rsid w:val="00824994"/>
    <w:rsid w:val="008249D3"/>
    <w:rsid w:val="00825258"/>
    <w:rsid w:val="00825486"/>
    <w:rsid w:val="008255BC"/>
    <w:rsid w:val="00825FBE"/>
    <w:rsid w:val="00826670"/>
    <w:rsid w:val="008267D4"/>
    <w:rsid w:val="00826860"/>
    <w:rsid w:val="0082751D"/>
    <w:rsid w:val="0082770B"/>
    <w:rsid w:val="00827BC3"/>
    <w:rsid w:val="00831677"/>
    <w:rsid w:val="008320D4"/>
    <w:rsid w:val="008321D3"/>
    <w:rsid w:val="00833186"/>
    <w:rsid w:val="00833284"/>
    <w:rsid w:val="008338B0"/>
    <w:rsid w:val="00833A4C"/>
    <w:rsid w:val="008342B8"/>
    <w:rsid w:val="00835794"/>
    <w:rsid w:val="00836E02"/>
    <w:rsid w:val="008371E1"/>
    <w:rsid w:val="00837974"/>
    <w:rsid w:val="00840693"/>
    <w:rsid w:val="0084101C"/>
    <w:rsid w:val="00841567"/>
    <w:rsid w:val="008418A3"/>
    <w:rsid w:val="00841B97"/>
    <w:rsid w:val="00841C59"/>
    <w:rsid w:val="00842006"/>
    <w:rsid w:val="008443E7"/>
    <w:rsid w:val="008445E1"/>
    <w:rsid w:val="00845055"/>
    <w:rsid w:val="0084505E"/>
    <w:rsid w:val="00845941"/>
    <w:rsid w:val="00845991"/>
    <w:rsid w:val="00846A04"/>
    <w:rsid w:val="00846F77"/>
    <w:rsid w:val="00847423"/>
    <w:rsid w:val="00847B10"/>
    <w:rsid w:val="00850335"/>
    <w:rsid w:val="00850B8A"/>
    <w:rsid w:val="0085145B"/>
    <w:rsid w:val="008524FC"/>
    <w:rsid w:val="0085291F"/>
    <w:rsid w:val="008534A5"/>
    <w:rsid w:val="0085364E"/>
    <w:rsid w:val="0085366A"/>
    <w:rsid w:val="00853D3C"/>
    <w:rsid w:val="00853D41"/>
    <w:rsid w:val="008549B1"/>
    <w:rsid w:val="00854B94"/>
    <w:rsid w:val="00855C4A"/>
    <w:rsid w:val="00856155"/>
    <w:rsid w:val="008562CF"/>
    <w:rsid w:val="00856854"/>
    <w:rsid w:val="00857BF8"/>
    <w:rsid w:val="0086048F"/>
    <w:rsid w:val="00860761"/>
    <w:rsid w:val="00860D20"/>
    <w:rsid w:val="008612C2"/>
    <w:rsid w:val="00861D35"/>
    <w:rsid w:val="0086288A"/>
    <w:rsid w:val="008630AC"/>
    <w:rsid w:val="008637BD"/>
    <w:rsid w:val="00863EAF"/>
    <w:rsid w:val="00863EEE"/>
    <w:rsid w:val="00864084"/>
    <w:rsid w:val="008640DF"/>
    <w:rsid w:val="0086438C"/>
    <w:rsid w:val="008644D5"/>
    <w:rsid w:val="00864613"/>
    <w:rsid w:val="00867725"/>
    <w:rsid w:val="0086773C"/>
    <w:rsid w:val="00867981"/>
    <w:rsid w:val="00867FDA"/>
    <w:rsid w:val="00870096"/>
    <w:rsid w:val="008709FB"/>
    <w:rsid w:val="0087143B"/>
    <w:rsid w:val="008716BE"/>
    <w:rsid w:val="00871E7D"/>
    <w:rsid w:val="00872086"/>
    <w:rsid w:val="00872822"/>
    <w:rsid w:val="00872A61"/>
    <w:rsid w:val="00872AF6"/>
    <w:rsid w:val="008736D6"/>
    <w:rsid w:val="00874852"/>
    <w:rsid w:val="008748C3"/>
    <w:rsid w:val="00874F9D"/>
    <w:rsid w:val="00874FE3"/>
    <w:rsid w:val="00875038"/>
    <w:rsid w:val="0087508F"/>
    <w:rsid w:val="00875646"/>
    <w:rsid w:val="0087580E"/>
    <w:rsid w:val="0087623A"/>
    <w:rsid w:val="00876661"/>
    <w:rsid w:val="008768FF"/>
    <w:rsid w:val="00876E67"/>
    <w:rsid w:val="0087704F"/>
    <w:rsid w:val="0087782B"/>
    <w:rsid w:val="00877E59"/>
    <w:rsid w:val="00877EC6"/>
    <w:rsid w:val="0088027B"/>
    <w:rsid w:val="008807BF"/>
    <w:rsid w:val="00881079"/>
    <w:rsid w:val="00881A66"/>
    <w:rsid w:val="008821F9"/>
    <w:rsid w:val="0088241C"/>
    <w:rsid w:val="00882E82"/>
    <w:rsid w:val="008844E4"/>
    <w:rsid w:val="0088491B"/>
    <w:rsid w:val="00884D71"/>
    <w:rsid w:val="00885BE5"/>
    <w:rsid w:val="00885C08"/>
    <w:rsid w:val="00885F13"/>
    <w:rsid w:val="00885F6F"/>
    <w:rsid w:val="00885F9D"/>
    <w:rsid w:val="0088605B"/>
    <w:rsid w:val="00886C0B"/>
    <w:rsid w:val="00887F3B"/>
    <w:rsid w:val="00887FD7"/>
    <w:rsid w:val="008904E8"/>
    <w:rsid w:val="0089084A"/>
    <w:rsid w:val="00891454"/>
    <w:rsid w:val="008922C4"/>
    <w:rsid w:val="00892315"/>
    <w:rsid w:val="0089233E"/>
    <w:rsid w:val="00892EE0"/>
    <w:rsid w:val="00893415"/>
    <w:rsid w:val="008944EF"/>
    <w:rsid w:val="008951E9"/>
    <w:rsid w:val="00895297"/>
    <w:rsid w:val="00895E04"/>
    <w:rsid w:val="00895EAF"/>
    <w:rsid w:val="008960A8"/>
    <w:rsid w:val="0089659D"/>
    <w:rsid w:val="00896F1B"/>
    <w:rsid w:val="00897898"/>
    <w:rsid w:val="008A019C"/>
    <w:rsid w:val="008A0486"/>
    <w:rsid w:val="008A0C11"/>
    <w:rsid w:val="008A0CA2"/>
    <w:rsid w:val="008A126B"/>
    <w:rsid w:val="008A14FA"/>
    <w:rsid w:val="008A17CF"/>
    <w:rsid w:val="008A2116"/>
    <w:rsid w:val="008A212C"/>
    <w:rsid w:val="008A23EC"/>
    <w:rsid w:val="008A282C"/>
    <w:rsid w:val="008A2EF9"/>
    <w:rsid w:val="008A3113"/>
    <w:rsid w:val="008A353A"/>
    <w:rsid w:val="008A3945"/>
    <w:rsid w:val="008A395A"/>
    <w:rsid w:val="008A3C65"/>
    <w:rsid w:val="008A4243"/>
    <w:rsid w:val="008A46A6"/>
    <w:rsid w:val="008A4D6D"/>
    <w:rsid w:val="008A4DA1"/>
    <w:rsid w:val="008A4DE1"/>
    <w:rsid w:val="008A5E9D"/>
    <w:rsid w:val="008A5EE5"/>
    <w:rsid w:val="008A60A7"/>
    <w:rsid w:val="008A638A"/>
    <w:rsid w:val="008A64CB"/>
    <w:rsid w:val="008A707A"/>
    <w:rsid w:val="008A7845"/>
    <w:rsid w:val="008A7B85"/>
    <w:rsid w:val="008A7E2A"/>
    <w:rsid w:val="008A7EE8"/>
    <w:rsid w:val="008B0639"/>
    <w:rsid w:val="008B09B7"/>
    <w:rsid w:val="008B0D60"/>
    <w:rsid w:val="008B15B9"/>
    <w:rsid w:val="008B267B"/>
    <w:rsid w:val="008B2C53"/>
    <w:rsid w:val="008B34F2"/>
    <w:rsid w:val="008B3B2B"/>
    <w:rsid w:val="008B3D29"/>
    <w:rsid w:val="008B3D6F"/>
    <w:rsid w:val="008B5843"/>
    <w:rsid w:val="008B5BF4"/>
    <w:rsid w:val="008B5EC5"/>
    <w:rsid w:val="008B5FC5"/>
    <w:rsid w:val="008B613F"/>
    <w:rsid w:val="008B65F6"/>
    <w:rsid w:val="008B66DF"/>
    <w:rsid w:val="008B6DDD"/>
    <w:rsid w:val="008B6EA1"/>
    <w:rsid w:val="008B7034"/>
    <w:rsid w:val="008B74B2"/>
    <w:rsid w:val="008B7656"/>
    <w:rsid w:val="008B780E"/>
    <w:rsid w:val="008C0421"/>
    <w:rsid w:val="008C0592"/>
    <w:rsid w:val="008C05DF"/>
    <w:rsid w:val="008C0D48"/>
    <w:rsid w:val="008C1155"/>
    <w:rsid w:val="008C154F"/>
    <w:rsid w:val="008C1750"/>
    <w:rsid w:val="008C198E"/>
    <w:rsid w:val="008C213F"/>
    <w:rsid w:val="008C2DF4"/>
    <w:rsid w:val="008C3679"/>
    <w:rsid w:val="008C3804"/>
    <w:rsid w:val="008C4337"/>
    <w:rsid w:val="008C437B"/>
    <w:rsid w:val="008C4499"/>
    <w:rsid w:val="008C4786"/>
    <w:rsid w:val="008C4CB9"/>
    <w:rsid w:val="008C50C6"/>
    <w:rsid w:val="008C53C2"/>
    <w:rsid w:val="008C57C2"/>
    <w:rsid w:val="008C5B0F"/>
    <w:rsid w:val="008C5EAD"/>
    <w:rsid w:val="008C5EBC"/>
    <w:rsid w:val="008C7708"/>
    <w:rsid w:val="008C7F24"/>
    <w:rsid w:val="008D01EB"/>
    <w:rsid w:val="008D0480"/>
    <w:rsid w:val="008D156D"/>
    <w:rsid w:val="008D1BFC"/>
    <w:rsid w:val="008D20BD"/>
    <w:rsid w:val="008D32BA"/>
    <w:rsid w:val="008D3C6F"/>
    <w:rsid w:val="008D41E0"/>
    <w:rsid w:val="008D4316"/>
    <w:rsid w:val="008D4331"/>
    <w:rsid w:val="008D4806"/>
    <w:rsid w:val="008D48DD"/>
    <w:rsid w:val="008D4F3B"/>
    <w:rsid w:val="008D573D"/>
    <w:rsid w:val="008D5B9F"/>
    <w:rsid w:val="008D6005"/>
    <w:rsid w:val="008D64E0"/>
    <w:rsid w:val="008D6A31"/>
    <w:rsid w:val="008D6BD8"/>
    <w:rsid w:val="008D7216"/>
    <w:rsid w:val="008D7C8E"/>
    <w:rsid w:val="008D7CC3"/>
    <w:rsid w:val="008D7DB5"/>
    <w:rsid w:val="008D7FBB"/>
    <w:rsid w:val="008E01AF"/>
    <w:rsid w:val="008E0371"/>
    <w:rsid w:val="008E06D0"/>
    <w:rsid w:val="008E1030"/>
    <w:rsid w:val="008E160E"/>
    <w:rsid w:val="008E165E"/>
    <w:rsid w:val="008E195C"/>
    <w:rsid w:val="008E2531"/>
    <w:rsid w:val="008E29F7"/>
    <w:rsid w:val="008E29FB"/>
    <w:rsid w:val="008E33AE"/>
    <w:rsid w:val="008E35BE"/>
    <w:rsid w:val="008E387D"/>
    <w:rsid w:val="008E4EA8"/>
    <w:rsid w:val="008E5188"/>
    <w:rsid w:val="008E532D"/>
    <w:rsid w:val="008E595F"/>
    <w:rsid w:val="008E5A8E"/>
    <w:rsid w:val="008E7508"/>
    <w:rsid w:val="008E7A44"/>
    <w:rsid w:val="008F0B5C"/>
    <w:rsid w:val="008F1BC7"/>
    <w:rsid w:val="008F2D6C"/>
    <w:rsid w:val="008F371C"/>
    <w:rsid w:val="008F3956"/>
    <w:rsid w:val="008F3B56"/>
    <w:rsid w:val="008F3E5B"/>
    <w:rsid w:val="008F40C8"/>
    <w:rsid w:val="008F48C1"/>
    <w:rsid w:val="008F4BCD"/>
    <w:rsid w:val="008F5327"/>
    <w:rsid w:val="008F5838"/>
    <w:rsid w:val="008F596B"/>
    <w:rsid w:val="008F60A1"/>
    <w:rsid w:val="008F649A"/>
    <w:rsid w:val="008F6E91"/>
    <w:rsid w:val="008F75D3"/>
    <w:rsid w:val="008F7691"/>
    <w:rsid w:val="008F79C6"/>
    <w:rsid w:val="008F7CE6"/>
    <w:rsid w:val="00900C37"/>
    <w:rsid w:val="00900D0A"/>
    <w:rsid w:val="0090140A"/>
    <w:rsid w:val="00902450"/>
    <w:rsid w:val="00902DF2"/>
    <w:rsid w:val="0090373B"/>
    <w:rsid w:val="00903841"/>
    <w:rsid w:val="009038F9"/>
    <w:rsid w:val="00903CE6"/>
    <w:rsid w:val="00903DED"/>
    <w:rsid w:val="00905CC5"/>
    <w:rsid w:val="00906165"/>
    <w:rsid w:val="0090671D"/>
    <w:rsid w:val="00906946"/>
    <w:rsid w:val="00906B3A"/>
    <w:rsid w:val="00906B5D"/>
    <w:rsid w:val="00907500"/>
    <w:rsid w:val="00910CFA"/>
    <w:rsid w:val="00911126"/>
    <w:rsid w:val="00911FA2"/>
    <w:rsid w:val="00912052"/>
    <w:rsid w:val="00912319"/>
    <w:rsid w:val="009133D6"/>
    <w:rsid w:val="00913CB7"/>
    <w:rsid w:val="00913D76"/>
    <w:rsid w:val="0091558B"/>
    <w:rsid w:val="00916666"/>
    <w:rsid w:val="00916920"/>
    <w:rsid w:val="00916DE5"/>
    <w:rsid w:val="00916E22"/>
    <w:rsid w:val="00917372"/>
    <w:rsid w:val="009175F9"/>
    <w:rsid w:val="00917726"/>
    <w:rsid w:val="0091774E"/>
    <w:rsid w:val="00917C6A"/>
    <w:rsid w:val="00917D79"/>
    <w:rsid w:val="00920258"/>
    <w:rsid w:val="00920557"/>
    <w:rsid w:val="00920640"/>
    <w:rsid w:val="00920AB4"/>
    <w:rsid w:val="00921479"/>
    <w:rsid w:val="00921595"/>
    <w:rsid w:val="0092159E"/>
    <w:rsid w:val="00921A21"/>
    <w:rsid w:val="00921C3E"/>
    <w:rsid w:val="009227C9"/>
    <w:rsid w:val="00922AA6"/>
    <w:rsid w:val="00922C36"/>
    <w:rsid w:val="00922D23"/>
    <w:rsid w:val="00922F96"/>
    <w:rsid w:val="0092330D"/>
    <w:rsid w:val="0092351A"/>
    <w:rsid w:val="00924A7D"/>
    <w:rsid w:val="0092613D"/>
    <w:rsid w:val="0092771C"/>
    <w:rsid w:val="0092772F"/>
    <w:rsid w:val="00927C21"/>
    <w:rsid w:val="00927FFC"/>
    <w:rsid w:val="00930AF7"/>
    <w:rsid w:val="00930B17"/>
    <w:rsid w:val="00930E40"/>
    <w:rsid w:val="009310E4"/>
    <w:rsid w:val="00931A5F"/>
    <w:rsid w:val="00932A9B"/>
    <w:rsid w:val="00932F15"/>
    <w:rsid w:val="00933406"/>
    <w:rsid w:val="00933523"/>
    <w:rsid w:val="009338B9"/>
    <w:rsid w:val="00934918"/>
    <w:rsid w:val="009350D7"/>
    <w:rsid w:val="009357CB"/>
    <w:rsid w:val="009358AC"/>
    <w:rsid w:val="00935F10"/>
    <w:rsid w:val="009361AE"/>
    <w:rsid w:val="009364E2"/>
    <w:rsid w:val="009368E1"/>
    <w:rsid w:val="00937CFA"/>
    <w:rsid w:val="00937E35"/>
    <w:rsid w:val="009402DA"/>
    <w:rsid w:val="009409C1"/>
    <w:rsid w:val="00940CE0"/>
    <w:rsid w:val="00941375"/>
    <w:rsid w:val="009416F3"/>
    <w:rsid w:val="00941C05"/>
    <w:rsid w:val="00941E57"/>
    <w:rsid w:val="0094261F"/>
    <w:rsid w:val="0094427D"/>
    <w:rsid w:val="00944D15"/>
    <w:rsid w:val="00945029"/>
    <w:rsid w:val="0094568E"/>
    <w:rsid w:val="00945946"/>
    <w:rsid w:val="00945A60"/>
    <w:rsid w:val="00945C08"/>
    <w:rsid w:val="00945CDB"/>
    <w:rsid w:val="00945EFE"/>
    <w:rsid w:val="009464DF"/>
    <w:rsid w:val="0094722E"/>
    <w:rsid w:val="009477D6"/>
    <w:rsid w:val="0095005E"/>
    <w:rsid w:val="0095151A"/>
    <w:rsid w:val="00951E3B"/>
    <w:rsid w:val="00952877"/>
    <w:rsid w:val="00952879"/>
    <w:rsid w:val="00952A60"/>
    <w:rsid w:val="00953255"/>
    <w:rsid w:val="00953429"/>
    <w:rsid w:val="009536E9"/>
    <w:rsid w:val="0095375A"/>
    <w:rsid w:val="0095422C"/>
    <w:rsid w:val="009543C6"/>
    <w:rsid w:val="00954C4B"/>
    <w:rsid w:val="00954FC2"/>
    <w:rsid w:val="00954FE3"/>
    <w:rsid w:val="009555B2"/>
    <w:rsid w:val="009557D0"/>
    <w:rsid w:val="00955C5D"/>
    <w:rsid w:val="009560CF"/>
    <w:rsid w:val="009568EF"/>
    <w:rsid w:val="00956974"/>
    <w:rsid w:val="00956DFE"/>
    <w:rsid w:val="0095791E"/>
    <w:rsid w:val="00957967"/>
    <w:rsid w:val="0096010B"/>
    <w:rsid w:val="00960F70"/>
    <w:rsid w:val="00960FFB"/>
    <w:rsid w:val="009612FB"/>
    <w:rsid w:val="0096199D"/>
    <w:rsid w:val="0096233B"/>
    <w:rsid w:val="0096237F"/>
    <w:rsid w:val="0096391F"/>
    <w:rsid w:val="009645E9"/>
    <w:rsid w:val="009646A0"/>
    <w:rsid w:val="00964ACF"/>
    <w:rsid w:val="00964CC9"/>
    <w:rsid w:val="0096509D"/>
    <w:rsid w:val="00965535"/>
    <w:rsid w:val="009655C4"/>
    <w:rsid w:val="009659EF"/>
    <w:rsid w:val="00965B16"/>
    <w:rsid w:val="0096657F"/>
    <w:rsid w:val="0096718B"/>
    <w:rsid w:val="009672D3"/>
    <w:rsid w:val="009674E0"/>
    <w:rsid w:val="009675B1"/>
    <w:rsid w:val="00967B6E"/>
    <w:rsid w:val="00967D70"/>
    <w:rsid w:val="009703DF"/>
    <w:rsid w:val="00970690"/>
    <w:rsid w:val="009706E0"/>
    <w:rsid w:val="00970909"/>
    <w:rsid w:val="00970E4F"/>
    <w:rsid w:val="00970F0F"/>
    <w:rsid w:val="009714FE"/>
    <w:rsid w:val="009718A4"/>
    <w:rsid w:val="009718ED"/>
    <w:rsid w:val="009719C9"/>
    <w:rsid w:val="00971E83"/>
    <w:rsid w:val="00972467"/>
    <w:rsid w:val="00972B2D"/>
    <w:rsid w:val="00972BD9"/>
    <w:rsid w:val="00973DCD"/>
    <w:rsid w:val="00974006"/>
    <w:rsid w:val="00974D52"/>
    <w:rsid w:val="00975BDB"/>
    <w:rsid w:val="009763A6"/>
    <w:rsid w:val="0097696D"/>
    <w:rsid w:val="00980712"/>
    <w:rsid w:val="009816A4"/>
    <w:rsid w:val="00981AF8"/>
    <w:rsid w:val="009826F0"/>
    <w:rsid w:val="00982735"/>
    <w:rsid w:val="00982BF3"/>
    <w:rsid w:val="0098315D"/>
    <w:rsid w:val="00984DDF"/>
    <w:rsid w:val="00984E38"/>
    <w:rsid w:val="00984E93"/>
    <w:rsid w:val="00985064"/>
    <w:rsid w:val="00985A87"/>
    <w:rsid w:val="00985D48"/>
    <w:rsid w:val="009868A9"/>
    <w:rsid w:val="00987167"/>
    <w:rsid w:val="00987588"/>
    <w:rsid w:val="0099054B"/>
    <w:rsid w:val="009906B4"/>
    <w:rsid w:val="009909B8"/>
    <w:rsid w:val="00990F3A"/>
    <w:rsid w:val="00991361"/>
    <w:rsid w:val="009917E2"/>
    <w:rsid w:val="009918BD"/>
    <w:rsid w:val="00992B8E"/>
    <w:rsid w:val="00992F46"/>
    <w:rsid w:val="00992FCB"/>
    <w:rsid w:val="00993235"/>
    <w:rsid w:val="00994CF0"/>
    <w:rsid w:val="009955E6"/>
    <w:rsid w:val="00995738"/>
    <w:rsid w:val="00996477"/>
    <w:rsid w:val="009975CF"/>
    <w:rsid w:val="009A01A4"/>
    <w:rsid w:val="009A038E"/>
    <w:rsid w:val="009A10FF"/>
    <w:rsid w:val="009A11C3"/>
    <w:rsid w:val="009A154B"/>
    <w:rsid w:val="009A18DC"/>
    <w:rsid w:val="009A298D"/>
    <w:rsid w:val="009A343D"/>
    <w:rsid w:val="009A35E5"/>
    <w:rsid w:val="009A3D53"/>
    <w:rsid w:val="009A4185"/>
    <w:rsid w:val="009A43E5"/>
    <w:rsid w:val="009A4A03"/>
    <w:rsid w:val="009A5422"/>
    <w:rsid w:val="009A5A73"/>
    <w:rsid w:val="009A63B1"/>
    <w:rsid w:val="009A6554"/>
    <w:rsid w:val="009A6DDB"/>
    <w:rsid w:val="009A6FE5"/>
    <w:rsid w:val="009A747B"/>
    <w:rsid w:val="009A7B58"/>
    <w:rsid w:val="009B1390"/>
    <w:rsid w:val="009B14DD"/>
    <w:rsid w:val="009B1C52"/>
    <w:rsid w:val="009B1EAE"/>
    <w:rsid w:val="009B2322"/>
    <w:rsid w:val="009B27B5"/>
    <w:rsid w:val="009B2ED0"/>
    <w:rsid w:val="009B36EC"/>
    <w:rsid w:val="009B36FC"/>
    <w:rsid w:val="009B3941"/>
    <w:rsid w:val="009B443F"/>
    <w:rsid w:val="009B47C9"/>
    <w:rsid w:val="009B5CDB"/>
    <w:rsid w:val="009B60DC"/>
    <w:rsid w:val="009B6D22"/>
    <w:rsid w:val="009B7298"/>
    <w:rsid w:val="009B73AB"/>
    <w:rsid w:val="009C0032"/>
    <w:rsid w:val="009C0895"/>
    <w:rsid w:val="009C10E5"/>
    <w:rsid w:val="009C2001"/>
    <w:rsid w:val="009C2E19"/>
    <w:rsid w:val="009C3E61"/>
    <w:rsid w:val="009C4A01"/>
    <w:rsid w:val="009C525C"/>
    <w:rsid w:val="009C546A"/>
    <w:rsid w:val="009C5FF5"/>
    <w:rsid w:val="009C6A2C"/>
    <w:rsid w:val="009C6A80"/>
    <w:rsid w:val="009C6D3A"/>
    <w:rsid w:val="009C723F"/>
    <w:rsid w:val="009C7247"/>
    <w:rsid w:val="009C7AB7"/>
    <w:rsid w:val="009D0164"/>
    <w:rsid w:val="009D04B9"/>
    <w:rsid w:val="009D05BF"/>
    <w:rsid w:val="009D089E"/>
    <w:rsid w:val="009D0E2F"/>
    <w:rsid w:val="009D19F2"/>
    <w:rsid w:val="009D1CDF"/>
    <w:rsid w:val="009D1F42"/>
    <w:rsid w:val="009D23AA"/>
    <w:rsid w:val="009D35C9"/>
    <w:rsid w:val="009D3C48"/>
    <w:rsid w:val="009D4E27"/>
    <w:rsid w:val="009D68BF"/>
    <w:rsid w:val="009D708E"/>
    <w:rsid w:val="009D7E46"/>
    <w:rsid w:val="009E01EF"/>
    <w:rsid w:val="009E026A"/>
    <w:rsid w:val="009E0277"/>
    <w:rsid w:val="009E0630"/>
    <w:rsid w:val="009E0799"/>
    <w:rsid w:val="009E16E9"/>
    <w:rsid w:val="009E190F"/>
    <w:rsid w:val="009E1F83"/>
    <w:rsid w:val="009E2162"/>
    <w:rsid w:val="009E2CEE"/>
    <w:rsid w:val="009E4175"/>
    <w:rsid w:val="009E4524"/>
    <w:rsid w:val="009E4A74"/>
    <w:rsid w:val="009E4BF9"/>
    <w:rsid w:val="009E4C93"/>
    <w:rsid w:val="009E51AC"/>
    <w:rsid w:val="009E5920"/>
    <w:rsid w:val="009E5B68"/>
    <w:rsid w:val="009E65DF"/>
    <w:rsid w:val="009E66C2"/>
    <w:rsid w:val="009E6816"/>
    <w:rsid w:val="009E6A24"/>
    <w:rsid w:val="009E6CFF"/>
    <w:rsid w:val="009E73C0"/>
    <w:rsid w:val="009F0118"/>
    <w:rsid w:val="009F19C4"/>
    <w:rsid w:val="009F1F73"/>
    <w:rsid w:val="009F22F1"/>
    <w:rsid w:val="009F24CE"/>
    <w:rsid w:val="009F2DE6"/>
    <w:rsid w:val="009F33C9"/>
    <w:rsid w:val="009F39B9"/>
    <w:rsid w:val="009F3F26"/>
    <w:rsid w:val="009F44DC"/>
    <w:rsid w:val="009F4E37"/>
    <w:rsid w:val="009F5039"/>
    <w:rsid w:val="009F5120"/>
    <w:rsid w:val="009F565B"/>
    <w:rsid w:val="009F7653"/>
    <w:rsid w:val="009F77F9"/>
    <w:rsid w:val="009F7864"/>
    <w:rsid w:val="009F7F31"/>
    <w:rsid w:val="00A00350"/>
    <w:rsid w:val="00A00406"/>
    <w:rsid w:val="00A005CA"/>
    <w:rsid w:val="00A008FF"/>
    <w:rsid w:val="00A00C9B"/>
    <w:rsid w:val="00A01F69"/>
    <w:rsid w:val="00A021F7"/>
    <w:rsid w:val="00A02476"/>
    <w:rsid w:val="00A02C0D"/>
    <w:rsid w:val="00A02CE7"/>
    <w:rsid w:val="00A02FAE"/>
    <w:rsid w:val="00A035C6"/>
    <w:rsid w:val="00A03762"/>
    <w:rsid w:val="00A03EA7"/>
    <w:rsid w:val="00A041FA"/>
    <w:rsid w:val="00A04A01"/>
    <w:rsid w:val="00A05120"/>
    <w:rsid w:val="00A0517E"/>
    <w:rsid w:val="00A06842"/>
    <w:rsid w:val="00A06D4D"/>
    <w:rsid w:val="00A06EB7"/>
    <w:rsid w:val="00A07D42"/>
    <w:rsid w:val="00A07EFB"/>
    <w:rsid w:val="00A105D7"/>
    <w:rsid w:val="00A10A91"/>
    <w:rsid w:val="00A110CE"/>
    <w:rsid w:val="00A11371"/>
    <w:rsid w:val="00A114A3"/>
    <w:rsid w:val="00A11527"/>
    <w:rsid w:val="00A117F6"/>
    <w:rsid w:val="00A11F9B"/>
    <w:rsid w:val="00A12AF8"/>
    <w:rsid w:val="00A139BC"/>
    <w:rsid w:val="00A13C0B"/>
    <w:rsid w:val="00A1468F"/>
    <w:rsid w:val="00A14D30"/>
    <w:rsid w:val="00A16579"/>
    <w:rsid w:val="00A171D8"/>
    <w:rsid w:val="00A17D5D"/>
    <w:rsid w:val="00A205F9"/>
    <w:rsid w:val="00A219B8"/>
    <w:rsid w:val="00A22C85"/>
    <w:rsid w:val="00A2361B"/>
    <w:rsid w:val="00A249B5"/>
    <w:rsid w:val="00A252C7"/>
    <w:rsid w:val="00A2547F"/>
    <w:rsid w:val="00A257CC"/>
    <w:rsid w:val="00A25ADF"/>
    <w:rsid w:val="00A25E09"/>
    <w:rsid w:val="00A25EE1"/>
    <w:rsid w:val="00A26394"/>
    <w:rsid w:val="00A26AAC"/>
    <w:rsid w:val="00A26ADC"/>
    <w:rsid w:val="00A26ED0"/>
    <w:rsid w:val="00A270CB"/>
    <w:rsid w:val="00A271E1"/>
    <w:rsid w:val="00A272FB"/>
    <w:rsid w:val="00A2758C"/>
    <w:rsid w:val="00A30731"/>
    <w:rsid w:val="00A30AF8"/>
    <w:rsid w:val="00A3122F"/>
    <w:rsid w:val="00A31405"/>
    <w:rsid w:val="00A32B53"/>
    <w:rsid w:val="00A3311D"/>
    <w:rsid w:val="00A33A2B"/>
    <w:rsid w:val="00A342CE"/>
    <w:rsid w:val="00A34BCF"/>
    <w:rsid w:val="00A3507B"/>
    <w:rsid w:val="00A354ED"/>
    <w:rsid w:val="00A35AA7"/>
    <w:rsid w:val="00A37E31"/>
    <w:rsid w:val="00A37E41"/>
    <w:rsid w:val="00A4014F"/>
    <w:rsid w:val="00A4091F"/>
    <w:rsid w:val="00A409A7"/>
    <w:rsid w:val="00A40BD9"/>
    <w:rsid w:val="00A41309"/>
    <w:rsid w:val="00A41B15"/>
    <w:rsid w:val="00A41DC3"/>
    <w:rsid w:val="00A41E63"/>
    <w:rsid w:val="00A420EC"/>
    <w:rsid w:val="00A4218B"/>
    <w:rsid w:val="00A4289E"/>
    <w:rsid w:val="00A42CAA"/>
    <w:rsid w:val="00A44246"/>
    <w:rsid w:val="00A4472E"/>
    <w:rsid w:val="00A44794"/>
    <w:rsid w:val="00A44E58"/>
    <w:rsid w:val="00A45190"/>
    <w:rsid w:val="00A45CD0"/>
    <w:rsid w:val="00A45CE0"/>
    <w:rsid w:val="00A45D93"/>
    <w:rsid w:val="00A46482"/>
    <w:rsid w:val="00A46683"/>
    <w:rsid w:val="00A46A90"/>
    <w:rsid w:val="00A47854"/>
    <w:rsid w:val="00A50D3D"/>
    <w:rsid w:val="00A510DE"/>
    <w:rsid w:val="00A5190A"/>
    <w:rsid w:val="00A51DCF"/>
    <w:rsid w:val="00A51F54"/>
    <w:rsid w:val="00A51FD7"/>
    <w:rsid w:val="00A52303"/>
    <w:rsid w:val="00A52345"/>
    <w:rsid w:val="00A526B9"/>
    <w:rsid w:val="00A52904"/>
    <w:rsid w:val="00A52A7F"/>
    <w:rsid w:val="00A52A91"/>
    <w:rsid w:val="00A52BB1"/>
    <w:rsid w:val="00A52F92"/>
    <w:rsid w:val="00A532D6"/>
    <w:rsid w:val="00A535F0"/>
    <w:rsid w:val="00A536A8"/>
    <w:rsid w:val="00A5390E"/>
    <w:rsid w:val="00A54322"/>
    <w:rsid w:val="00A54912"/>
    <w:rsid w:val="00A54DAB"/>
    <w:rsid w:val="00A5585C"/>
    <w:rsid w:val="00A55D9C"/>
    <w:rsid w:val="00A55F55"/>
    <w:rsid w:val="00A569EE"/>
    <w:rsid w:val="00A56AD3"/>
    <w:rsid w:val="00A56C80"/>
    <w:rsid w:val="00A56E5A"/>
    <w:rsid w:val="00A600FE"/>
    <w:rsid w:val="00A60388"/>
    <w:rsid w:val="00A60CA8"/>
    <w:rsid w:val="00A611EE"/>
    <w:rsid w:val="00A61572"/>
    <w:rsid w:val="00A62929"/>
    <w:rsid w:val="00A62F9C"/>
    <w:rsid w:val="00A63884"/>
    <w:rsid w:val="00A640EA"/>
    <w:rsid w:val="00A64146"/>
    <w:rsid w:val="00A64D0E"/>
    <w:rsid w:val="00A65029"/>
    <w:rsid w:val="00A65065"/>
    <w:rsid w:val="00A6586D"/>
    <w:rsid w:val="00A66D4D"/>
    <w:rsid w:val="00A6718C"/>
    <w:rsid w:val="00A6792C"/>
    <w:rsid w:val="00A67BFA"/>
    <w:rsid w:val="00A67DAA"/>
    <w:rsid w:val="00A7044C"/>
    <w:rsid w:val="00A71AED"/>
    <w:rsid w:val="00A7259B"/>
    <w:rsid w:val="00A72F21"/>
    <w:rsid w:val="00A72F52"/>
    <w:rsid w:val="00A730E4"/>
    <w:rsid w:val="00A74ABF"/>
    <w:rsid w:val="00A75CDA"/>
    <w:rsid w:val="00A75DF0"/>
    <w:rsid w:val="00A76625"/>
    <w:rsid w:val="00A76757"/>
    <w:rsid w:val="00A76789"/>
    <w:rsid w:val="00A8001B"/>
    <w:rsid w:val="00A801D7"/>
    <w:rsid w:val="00A80FD0"/>
    <w:rsid w:val="00A811F5"/>
    <w:rsid w:val="00A8148C"/>
    <w:rsid w:val="00A82474"/>
    <w:rsid w:val="00A82696"/>
    <w:rsid w:val="00A826B6"/>
    <w:rsid w:val="00A82804"/>
    <w:rsid w:val="00A82F64"/>
    <w:rsid w:val="00A837A3"/>
    <w:rsid w:val="00A83829"/>
    <w:rsid w:val="00A83914"/>
    <w:rsid w:val="00A83CE0"/>
    <w:rsid w:val="00A844BF"/>
    <w:rsid w:val="00A84CB9"/>
    <w:rsid w:val="00A84D59"/>
    <w:rsid w:val="00A85A01"/>
    <w:rsid w:val="00A8608D"/>
    <w:rsid w:val="00A86298"/>
    <w:rsid w:val="00A862E6"/>
    <w:rsid w:val="00A86597"/>
    <w:rsid w:val="00A8670C"/>
    <w:rsid w:val="00A869A3"/>
    <w:rsid w:val="00A871D9"/>
    <w:rsid w:val="00A87621"/>
    <w:rsid w:val="00A87FED"/>
    <w:rsid w:val="00A913FB"/>
    <w:rsid w:val="00A9152F"/>
    <w:rsid w:val="00A927AE"/>
    <w:rsid w:val="00A929D4"/>
    <w:rsid w:val="00A92B02"/>
    <w:rsid w:val="00A92E0C"/>
    <w:rsid w:val="00A92E88"/>
    <w:rsid w:val="00A93066"/>
    <w:rsid w:val="00A93410"/>
    <w:rsid w:val="00A937AC"/>
    <w:rsid w:val="00A93FE4"/>
    <w:rsid w:val="00A9418E"/>
    <w:rsid w:val="00A94958"/>
    <w:rsid w:val="00A94AFE"/>
    <w:rsid w:val="00A9518E"/>
    <w:rsid w:val="00A951B8"/>
    <w:rsid w:val="00A95898"/>
    <w:rsid w:val="00A95C3D"/>
    <w:rsid w:val="00A96B2D"/>
    <w:rsid w:val="00A97129"/>
    <w:rsid w:val="00A9740A"/>
    <w:rsid w:val="00A97631"/>
    <w:rsid w:val="00A977CF"/>
    <w:rsid w:val="00A97AFB"/>
    <w:rsid w:val="00AA072C"/>
    <w:rsid w:val="00AA0946"/>
    <w:rsid w:val="00AA0C94"/>
    <w:rsid w:val="00AA1AB1"/>
    <w:rsid w:val="00AA2556"/>
    <w:rsid w:val="00AA26EE"/>
    <w:rsid w:val="00AA339E"/>
    <w:rsid w:val="00AA3804"/>
    <w:rsid w:val="00AA3F2F"/>
    <w:rsid w:val="00AA4584"/>
    <w:rsid w:val="00AA4F22"/>
    <w:rsid w:val="00AA63A7"/>
    <w:rsid w:val="00AA7579"/>
    <w:rsid w:val="00AA7AD8"/>
    <w:rsid w:val="00AA7AFA"/>
    <w:rsid w:val="00AB0109"/>
    <w:rsid w:val="00AB0598"/>
    <w:rsid w:val="00AB0B88"/>
    <w:rsid w:val="00AB122D"/>
    <w:rsid w:val="00AB17AF"/>
    <w:rsid w:val="00AB1FEF"/>
    <w:rsid w:val="00AB24F5"/>
    <w:rsid w:val="00AB3BAA"/>
    <w:rsid w:val="00AB3F2B"/>
    <w:rsid w:val="00AB3FDB"/>
    <w:rsid w:val="00AB46B2"/>
    <w:rsid w:val="00AB4B72"/>
    <w:rsid w:val="00AB4E32"/>
    <w:rsid w:val="00AB5596"/>
    <w:rsid w:val="00AB5BA8"/>
    <w:rsid w:val="00AB6666"/>
    <w:rsid w:val="00AB6A22"/>
    <w:rsid w:val="00AB7178"/>
    <w:rsid w:val="00AB78EE"/>
    <w:rsid w:val="00AB7EA7"/>
    <w:rsid w:val="00AC0FE3"/>
    <w:rsid w:val="00AC12A7"/>
    <w:rsid w:val="00AC1646"/>
    <w:rsid w:val="00AC1C3F"/>
    <w:rsid w:val="00AC2A87"/>
    <w:rsid w:val="00AC5232"/>
    <w:rsid w:val="00AC6EA0"/>
    <w:rsid w:val="00AC7188"/>
    <w:rsid w:val="00AC77B3"/>
    <w:rsid w:val="00AC7D4F"/>
    <w:rsid w:val="00AD033E"/>
    <w:rsid w:val="00AD0BC2"/>
    <w:rsid w:val="00AD145D"/>
    <w:rsid w:val="00AD1A16"/>
    <w:rsid w:val="00AD1F69"/>
    <w:rsid w:val="00AD2501"/>
    <w:rsid w:val="00AD2651"/>
    <w:rsid w:val="00AD3372"/>
    <w:rsid w:val="00AD42BF"/>
    <w:rsid w:val="00AD43BC"/>
    <w:rsid w:val="00AD43D5"/>
    <w:rsid w:val="00AD4776"/>
    <w:rsid w:val="00AD4D2C"/>
    <w:rsid w:val="00AD4D9B"/>
    <w:rsid w:val="00AD4F55"/>
    <w:rsid w:val="00AD5724"/>
    <w:rsid w:val="00AD65FF"/>
    <w:rsid w:val="00AD6894"/>
    <w:rsid w:val="00AD79EF"/>
    <w:rsid w:val="00AD7D68"/>
    <w:rsid w:val="00AD7E1F"/>
    <w:rsid w:val="00AE0277"/>
    <w:rsid w:val="00AE06B7"/>
    <w:rsid w:val="00AE0945"/>
    <w:rsid w:val="00AE0AAF"/>
    <w:rsid w:val="00AE0F79"/>
    <w:rsid w:val="00AE1228"/>
    <w:rsid w:val="00AE1293"/>
    <w:rsid w:val="00AE15B4"/>
    <w:rsid w:val="00AE218B"/>
    <w:rsid w:val="00AE21BC"/>
    <w:rsid w:val="00AE22AE"/>
    <w:rsid w:val="00AE28E6"/>
    <w:rsid w:val="00AE2ABF"/>
    <w:rsid w:val="00AE2E7F"/>
    <w:rsid w:val="00AE30E4"/>
    <w:rsid w:val="00AE3429"/>
    <w:rsid w:val="00AE348F"/>
    <w:rsid w:val="00AE355A"/>
    <w:rsid w:val="00AE365B"/>
    <w:rsid w:val="00AE3C1E"/>
    <w:rsid w:val="00AE3CB3"/>
    <w:rsid w:val="00AE4502"/>
    <w:rsid w:val="00AE4A50"/>
    <w:rsid w:val="00AE4EEB"/>
    <w:rsid w:val="00AE4FB1"/>
    <w:rsid w:val="00AE51A8"/>
    <w:rsid w:val="00AE5273"/>
    <w:rsid w:val="00AE53A6"/>
    <w:rsid w:val="00AE54E7"/>
    <w:rsid w:val="00AE58B7"/>
    <w:rsid w:val="00AE5C3D"/>
    <w:rsid w:val="00AE628F"/>
    <w:rsid w:val="00AE62A0"/>
    <w:rsid w:val="00AE65D3"/>
    <w:rsid w:val="00AE6DD4"/>
    <w:rsid w:val="00AE6DF2"/>
    <w:rsid w:val="00AE6EC1"/>
    <w:rsid w:val="00AE778B"/>
    <w:rsid w:val="00AE7D3C"/>
    <w:rsid w:val="00AE7D85"/>
    <w:rsid w:val="00AE7D8E"/>
    <w:rsid w:val="00AF032E"/>
    <w:rsid w:val="00AF04D6"/>
    <w:rsid w:val="00AF05B4"/>
    <w:rsid w:val="00AF0A46"/>
    <w:rsid w:val="00AF1369"/>
    <w:rsid w:val="00AF17E6"/>
    <w:rsid w:val="00AF1EE3"/>
    <w:rsid w:val="00AF24F8"/>
    <w:rsid w:val="00AF4D8E"/>
    <w:rsid w:val="00AF52CA"/>
    <w:rsid w:val="00AF5469"/>
    <w:rsid w:val="00AF66C7"/>
    <w:rsid w:val="00AF6A0C"/>
    <w:rsid w:val="00AF6AFF"/>
    <w:rsid w:val="00AF7544"/>
    <w:rsid w:val="00B00600"/>
    <w:rsid w:val="00B00F84"/>
    <w:rsid w:val="00B0116D"/>
    <w:rsid w:val="00B0183F"/>
    <w:rsid w:val="00B01D9F"/>
    <w:rsid w:val="00B01EB3"/>
    <w:rsid w:val="00B0224C"/>
    <w:rsid w:val="00B0262E"/>
    <w:rsid w:val="00B027C2"/>
    <w:rsid w:val="00B02A0F"/>
    <w:rsid w:val="00B02C75"/>
    <w:rsid w:val="00B03351"/>
    <w:rsid w:val="00B0391E"/>
    <w:rsid w:val="00B03C78"/>
    <w:rsid w:val="00B04019"/>
    <w:rsid w:val="00B04321"/>
    <w:rsid w:val="00B0471D"/>
    <w:rsid w:val="00B04A00"/>
    <w:rsid w:val="00B04E6C"/>
    <w:rsid w:val="00B04E9C"/>
    <w:rsid w:val="00B05079"/>
    <w:rsid w:val="00B050FD"/>
    <w:rsid w:val="00B05792"/>
    <w:rsid w:val="00B057CF"/>
    <w:rsid w:val="00B05A39"/>
    <w:rsid w:val="00B05F1B"/>
    <w:rsid w:val="00B0640A"/>
    <w:rsid w:val="00B06647"/>
    <w:rsid w:val="00B0675C"/>
    <w:rsid w:val="00B06C9B"/>
    <w:rsid w:val="00B06F0B"/>
    <w:rsid w:val="00B10233"/>
    <w:rsid w:val="00B103E6"/>
    <w:rsid w:val="00B10D30"/>
    <w:rsid w:val="00B11423"/>
    <w:rsid w:val="00B12DA6"/>
    <w:rsid w:val="00B14509"/>
    <w:rsid w:val="00B14574"/>
    <w:rsid w:val="00B14FA5"/>
    <w:rsid w:val="00B15B07"/>
    <w:rsid w:val="00B15D48"/>
    <w:rsid w:val="00B16A39"/>
    <w:rsid w:val="00B16B3F"/>
    <w:rsid w:val="00B170D0"/>
    <w:rsid w:val="00B171A6"/>
    <w:rsid w:val="00B1730E"/>
    <w:rsid w:val="00B17407"/>
    <w:rsid w:val="00B178AE"/>
    <w:rsid w:val="00B20DFB"/>
    <w:rsid w:val="00B21FB2"/>
    <w:rsid w:val="00B220AC"/>
    <w:rsid w:val="00B22214"/>
    <w:rsid w:val="00B224FF"/>
    <w:rsid w:val="00B231FB"/>
    <w:rsid w:val="00B24025"/>
    <w:rsid w:val="00B24243"/>
    <w:rsid w:val="00B25676"/>
    <w:rsid w:val="00B256E0"/>
    <w:rsid w:val="00B25742"/>
    <w:rsid w:val="00B25B61"/>
    <w:rsid w:val="00B26073"/>
    <w:rsid w:val="00B26E82"/>
    <w:rsid w:val="00B26EF8"/>
    <w:rsid w:val="00B30154"/>
    <w:rsid w:val="00B3084E"/>
    <w:rsid w:val="00B30B8D"/>
    <w:rsid w:val="00B314C4"/>
    <w:rsid w:val="00B3197F"/>
    <w:rsid w:val="00B31AC3"/>
    <w:rsid w:val="00B325C6"/>
    <w:rsid w:val="00B327E3"/>
    <w:rsid w:val="00B32D2A"/>
    <w:rsid w:val="00B32E1F"/>
    <w:rsid w:val="00B3362F"/>
    <w:rsid w:val="00B34298"/>
    <w:rsid w:val="00B34AF8"/>
    <w:rsid w:val="00B34C01"/>
    <w:rsid w:val="00B357B6"/>
    <w:rsid w:val="00B3580B"/>
    <w:rsid w:val="00B35F2C"/>
    <w:rsid w:val="00B360F1"/>
    <w:rsid w:val="00B3755B"/>
    <w:rsid w:val="00B379BC"/>
    <w:rsid w:val="00B40C11"/>
    <w:rsid w:val="00B40D89"/>
    <w:rsid w:val="00B40DFD"/>
    <w:rsid w:val="00B420CB"/>
    <w:rsid w:val="00B42B55"/>
    <w:rsid w:val="00B4386A"/>
    <w:rsid w:val="00B43A3E"/>
    <w:rsid w:val="00B43D25"/>
    <w:rsid w:val="00B4425F"/>
    <w:rsid w:val="00B4464B"/>
    <w:rsid w:val="00B45070"/>
    <w:rsid w:val="00B451E0"/>
    <w:rsid w:val="00B46423"/>
    <w:rsid w:val="00B46B6A"/>
    <w:rsid w:val="00B46F89"/>
    <w:rsid w:val="00B47795"/>
    <w:rsid w:val="00B5021D"/>
    <w:rsid w:val="00B5033F"/>
    <w:rsid w:val="00B505FA"/>
    <w:rsid w:val="00B50602"/>
    <w:rsid w:val="00B509C3"/>
    <w:rsid w:val="00B50B7D"/>
    <w:rsid w:val="00B5104F"/>
    <w:rsid w:val="00B514CC"/>
    <w:rsid w:val="00B51F36"/>
    <w:rsid w:val="00B529AC"/>
    <w:rsid w:val="00B54739"/>
    <w:rsid w:val="00B549AA"/>
    <w:rsid w:val="00B54D0E"/>
    <w:rsid w:val="00B559F3"/>
    <w:rsid w:val="00B55B84"/>
    <w:rsid w:val="00B55E2E"/>
    <w:rsid w:val="00B55F70"/>
    <w:rsid w:val="00B562D1"/>
    <w:rsid w:val="00B5631F"/>
    <w:rsid w:val="00B56B64"/>
    <w:rsid w:val="00B57147"/>
    <w:rsid w:val="00B57A4B"/>
    <w:rsid w:val="00B609F4"/>
    <w:rsid w:val="00B60C0C"/>
    <w:rsid w:val="00B614CE"/>
    <w:rsid w:val="00B614FB"/>
    <w:rsid w:val="00B6193E"/>
    <w:rsid w:val="00B61AE1"/>
    <w:rsid w:val="00B61F84"/>
    <w:rsid w:val="00B62335"/>
    <w:rsid w:val="00B63424"/>
    <w:rsid w:val="00B64058"/>
    <w:rsid w:val="00B64666"/>
    <w:rsid w:val="00B64E41"/>
    <w:rsid w:val="00B64EE1"/>
    <w:rsid w:val="00B64FC7"/>
    <w:rsid w:val="00B65152"/>
    <w:rsid w:val="00B65407"/>
    <w:rsid w:val="00B6613C"/>
    <w:rsid w:val="00B662A8"/>
    <w:rsid w:val="00B667FC"/>
    <w:rsid w:val="00B668ED"/>
    <w:rsid w:val="00B70097"/>
    <w:rsid w:val="00B70111"/>
    <w:rsid w:val="00B704F0"/>
    <w:rsid w:val="00B7079A"/>
    <w:rsid w:val="00B70E4F"/>
    <w:rsid w:val="00B70FB5"/>
    <w:rsid w:val="00B711B2"/>
    <w:rsid w:val="00B714E1"/>
    <w:rsid w:val="00B71B69"/>
    <w:rsid w:val="00B7227D"/>
    <w:rsid w:val="00B72F3E"/>
    <w:rsid w:val="00B73950"/>
    <w:rsid w:val="00B7438E"/>
    <w:rsid w:val="00B743FB"/>
    <w:rsid w:val="00B745AA"/>
    <w:rsid w:val="00B759F3"/>
    <w:rsid w:val="00B76A7C"/>
    <w:rsid w:val="00B76CEB"/>
    <w:rsid w:val="00B80628"/>
    <w:rsid w:val="00B80AFC"/>
    <w:rsid w:val="00B80F4D"/>
    <w:rsid w:val="00B81533"/>
    <w:rsid w:val="00B82379"/>
    <w:rsid w:val="00B8241E"/>
    <w:rsid w:val="00B82451"/>
    <w:rsid w:val="00B82D4C"/>
    <w:rsid w:val="00B82DA8"/>
    <w:rsid w:val="00B82DD9"/>
    <w:rsid w:val="00B82F68"/>
    <w:rsid w:val="00B83258"/>
    <w:rsid w:val="00B833F3"/>
    <w:rsid w:val="00B839E1"/>
    <w:rsid w:val="00B83B2C"/>
    <w:rsid w:val="00B844BE"/>
    <w:rsid w:val="00B84A5E"/>
    <w:rsid w:val="00B8530E"/>
    <w:rsid w:val="00B855ED"/>
    <w:rsid w:val="00B861B5"/>
    <w:rsid w:val="00B9112E"/>
    <w:rsid w:val="00B9175C"/>
    <w:rsid w:val="00B923AB"/>
    <w:rsid w:val="00B92608"/>
    <w:rsid w:val="00B92705"/>
    <w:rsid w:val="00B92E66"/>
    <w:rsid w:val="00B932BC"/>
    <w:rsid w:val="00B93EC1"/>
    <w:rsid w:val="00B94199"/>
    <w:rsid w:val="00B944B0"/>
    <w:rsid w:val="00B94B92"/>
    <w:rsid w:val="00B94DAA"/>
    <w:rsid w:val="00B95055"/>
    <w:rsid w:val="00B952DE"/>
    <w:rsid w:val="00B95921"/>
    <w:rsid w:val="00B95DFD"/>
    <w:rsid w:val="00B967D8"/>
    <w:rsid w:val="00B97351"/>
    <w:rsid w:val="00B973C1"/>
    <w:rsid w:val="00B9791F"/>
    <w:rsid w:val="00B97BD9"/>
    <w:rsid w:val="00BA0247"/>
    <w:rsid w:val="00BA1385"/>
    <w:rsid w:val="00BA1432"/>
    <w:rsid w:val="00BA14EA"/>
    <w:rsid w:val="00BA15BB"/>
    <w:rsid w:val="00BA1CAD"/>
    <w:rsid w:val="00BA230D"/>
    <w:rsid w:val="00BA2328"/>
    <w:rsid w:val="00BA4032"/>
    <w:rsid w:val="00BA4583"/>
    <w:rsid w:val="00BA693A"/>
    <w:rsid w:val="00BA6C80"/>
    <w:rsid w:val="00BA7A3B"/>
    <w:rsid w:val="00BB052F"/>
    <w:rsid w:val="00BB1036"/>
    <w:rsid w:val="00BB1777"/>
    <w:rsid w:val="00BB2E0C"/>
    <w:rsid w:val="00BB3798"/>
    <w:rsid w:val="00BB3F03"/>
    <w:rsid w:val="00BB3F14"/>
    <w:rsid w:val="00BB4687"/>
    <w:rsid w:val="00BB4903"/>
    <w:rsid w:val="00BB4D0E"/>
    <w:rsid w:val="00BB55BB"/>
    <w:rsid w:val="00BB596D"/>
    <w:rsid w:val="00BB6CBC"/>
    <w:rsid w:val="00BB7268"/>
    <w:rsid w:val="00BB7FE7"/>
    <w:rsid w:val="00BB7FEB"/>
    <w:rsid w:val="00BC0F83"/>
    <w:rsid w:val="00BC1355"/>
    <w:rsid w:val="00BC2054"/>
    <w:rsid w:val="00BC242A"/>
    <w:rsid w:val="00BC2CE0"/>
    <w:rsid w:val="00BC30FE"/>
    <w:rsid w:val="00BC40FC"/>
    <w:rsid w:val="00BC5180"/>
    <w:rsid w:val="00BC5A6A"/>
    <w:rsid w:val="00BC7063"/>
    <w:rsid w:val="00BC7235"/>
    <w:rsid w:val="00BC7276"/>
    <w:rsid w:val="00BC7795"/>
    <w:rsid w:val="00BC7C2B"/>
    <w:rsid w:val="00BD0799"/>
    <w:rsid w:val="00BD0B8F"/>
    <w:rsid w:val="00BD0C47"/>
    <w:rsid w:val="00BD187F"/>
    <w:rsid w:val="00BD25E4"/>
    <w:rsid w:val="00BD2761"/>
    <w:rsid w:val="00BD2CD6"/>
    <w:rsid w:val="00BD2E26"/>
    <w:rsid w:val="00BD2FC8"/>
    <w:rsid w:val="00BD360F"/>
    <w:rsid w:val="00BD41F6"/>
    <w:rsid w:val="00BD4E3E"/>
    <w:rsid w:val="00BD65B4"/>
    <w:rsid w:val="00BD694E"/>
    <w:rsid w:val="00BD6CBF"/>
    <w:rsid w:val="00BE01E9"/>
    <w:rsid w:val="00BE0B26"/>
    <w:rsid w:val="00BE0CD1"/>
    <w:rsid w:val="00BE1104"/>
    <w:rsid w:val="00BE1BF2"/>
    <w:rsid w:val="00BE20AB"/>
    <w:rsid w:val="00BE22E5"/>
    <w:rsid w:val="00BE23BC"/>
    <w:rsid w:val="00BE28D9"/>
    <w:rsid w:val="00BE3536"/>
    <w:rsid w:val="00BE3746"/>
    <w:rsid w:val="00BE3E03"/>
    <w:rsid w:val="00BE43B6"/>
    <w:rsid w:val="00BE4450"/>
    <w:rsid w:val="00BE48DA"/>
    <w:rsid w:val="00BE4C75"/>
    <w:rsid w:val="00BE532A"/>
    <w:rsid w:val="00BE6515"/>
    <w:rsid w:val="00BE6F0A"/>
    <w:rsid w:val="00BE7718"/>
    <w:rsid w:val="00BF03B6"/>
    <w:rsid w:val="00BF08E1"/>
    <w:rsid w:val="00BF0B7D"/>
    <w:rsid w:val="00BF1373"/>
    <w:rsid w:val="00BF1B2D"/>
    <w:rsid w:val="00BF22A1"/>
    <w:rsid w:val="00BF22DA"/>
    <w:rsid w:val="00BF2AE1"/>
    <w:rsid w:val="00BF2E61"/>
    <w:rsid w:val="00BF3B63"/>
    <w:rsid w:val="00BF3CEE"/>
    <w:rsid w:val="00BF4574"/>
    <w:rsid w:val="00BF4A7B"/>
    <w:rsid w:val="00BF4FF5"/>
    <w:rsid w:val="00BF5891"/>
    <w:rsid w:val="00BF5D98"/>
    <w:rsid w:val="00BF5DA8"/>
    <w:rsid w:val="00BF5FDE"/>
    <w:rsid w:val="00BF6717"/>
    <w:rsid w:val="00BF6784"/>
    <w:rsid w:val="00BF6989"/>
    <w:rsid w:val="00BF6C4B"/>
    <w:rsid w:val="00BF731A"/>
    <w:rsid w:val="00BF7360"/>
    <w:rsid w:val="00BF7789"/>
    <w:rsid w:val="00C004DA"/>
    <w:rsid w:val="00C006A2"/>
    <w:rsid w:val="00C007C4"/>
    <w:rsid w:val="00C00A00"/>
    <w:rsid w:val="00C01133"/>
    <w:rsid w:val="00C0125E"/>
    <w:rsid w:val="00C01658"/>
    <w:rsid w:val="00C017A5"/>
    <w:rsid w:val="00C0206F"/>
    <w:rsid w:val="00C028F4"/>
    <w:rsid w:val="00C02BB9"/>
    <w:rsid w:val="00C02FB8"/>
    <w:rsid w:val="00C02FC0"/>
    <w:rsid w:val="00C02FE8"/>
    <w:rsid w:val="00C032BC"/>
    <w:rsid w:val="00C0381D"/>
    <w:rsid w:val="00C047F8"/>
    <w:rsid w:val="00C04A05"/>
    <w:rsid w:val="00C056ED"/>
    <w:rsid w:val="00C05A8B"/>
    <w:rsid w:val="00C05E05"/>
    <w:rsid w:val="00C062AD"/>
    <w:rsid w:val="00C06A95"/>
    <w:rsid w:val="00C06D95"/>
    <w:rsid w:val="00C075EC"/>
    <w:rsid w:val="00C07E3A"/>
    <w:rsid w:val="00C10134"/>
    <w:rsid w:val="00C10322"/>
    <w:rsid w:val="00C1096A"/>
    <w:rsid w:val="00C10C24"/>
    <w:rsid w:val="00C10D3E"/>
    <w:rsid w:val="00C10D6A"/>
    <w:rsid w:val="00C1171C"/>
    <w:rsid w:val="00C134E3"/>
    <w:rsid w:val="00C13978"/>
    <w:rsid w:val="00C14650"/>
    <w:rsid w:val="00C14893"/>
    <w:rsid w:val="00C14A8C"/>
    <w:rsid w:val="00C14B24"/>
    <w:rsid w:val="00C159AC"/>
    <w:rsid w:val="00C15BB3"/>
    <w:rsid w:val="00C1615D"/>
    <w:rsid w:val="00C1672A"/>
    <w:rsid w:val="00C172EB"/>
    <w:rsid w:val="00C17C31"/>
    <w:rsid w:val="00C202AF"/>
    <w:rsid w:val="00C20964"/>
    <w:rsid w:val="00C21018"/>
    <w:rsid w:val="00C21023"/>
    <w:rsid w:val="00C215EE"/>
    <w:rsid w:val="00C225D7"/>
    <w:rsid w:val="00C237C6"/>
    <w:rsid w:val="00C23878"/>
    <w:rsid w:val="00C24564"/>
    <w:rsid w:val="00C245CF"/>
    <w:rsid w:val="00C246DE"/>
    <w:rsid w:val="00C2489D"/>
    <w:rsid w:val="00C24CFF"/>
    <w:rsid w:val="00C24D26"/>
    <w:rsid w:val="00C24EC7"/>
    <w:rsid w:val="00C25CFA"/>
    <w:rsid w:val="00C25FEE"/>
    <w:rsid w:val="00C26416"/>
    <w:rsid w:val="00C26A46"/>
    <w:rsid w:val="00C26B75"/>
    <w:rsid w:val="00C3163A"/>
    <w:rsid w:val="00C31786"/>
    <w:rsid w:val="00C317A3"/>
    <w:rsid w:val="00C31CD8"/>
    <w:rsid w:val="00C32430"/>
    <w:rsid w:val="00C32727"/>
    <w:rsid w:val="00C32EE1"/>
    <w:rsid w:val="00C3367B"/>
    <w:rsid w:val="00C3427D"/>
    <w:rsid w:val="00C346C9"/>
    <w:rsid w:val="00C3625C"/>
    <w:rsid w:val="00C36BB6"/>
    <w:rsid w:val="00C36EE6"/>
    <w:rsid w:val="00C370BC"/>
    <w:rsid w:val="00C3747A"/>
    <w:rsid w:val="00C37897"/>
    <w:rsid w:val="00C37E10"/>
    <w:rsid w:val="00C40CC8"/>
    <w:rsid w:val="00C412C0"/>
    <w:rsid w:val="00C4157F"/>
    <w:rsid w:val="00C41594"/>
    <w:rsid w:val="00C418A5"/>
    <w:rsid w:val="00C418B3"/>
    <w:rsid w:val="00C41AA3"/>
    <w:rsid w:val="00C42866"/>
    <w:rsid w:val="00C42E99"/>
    <w:rsid w:val="00C44833"/>
    <w:rsid w:val="00C44984"/>
    <w:rsid w:val="00C44C41"/>
    <w:rsid w:val="00C451AE"/>
    <w:rsid w:val="00C45423"/>
    <w:rsid w:val="00C4544F"/>
    <w:rsid w:val="00C45DF0"/>
    <w:rsid w:val="00C463FA"/>
    <w:rsid w:val="00C46572"/>
    <w:rsid w:val="00C46699"/>
    <w:rsid w:val="00C46F71"/>
    <w:rsid w:val="00C473B4"/>
    <w:rsid w:val="00C47545"/>
    <w:rsid w:val="00C47742"/>
    <w:rsid w:val="00C47802"/>
    <w:rsid w:val="00C503AB"/>
    <w:rsid w:val="00C50761"/>
    <w:rsid w:val="00C507A1"/>
    <w:rsid w:val="00C51E8F"/>
    <w:rsid w:val="00C522B3"/>
    <w:rsid w:val="00C5245F"/>
    <w:rsid w:val="00C5324F"/>
    <w:rsid w:val="00C53B55"/>
    <w:rsid w:val="00C54284"/>
    <w:rsid w:val="00C54E6B"/>
    <w:rsid w:val="00C5574E"/>
    <w:rsid w:val="00C55E4C"/>
    <w:rsid w:val="00C55E58"/>
    <w:rsid w:val="00C57C95"/>
    <w:rsid w:val="00C60123"/>
    <w:rsid w:val="00C60386"/>
    <w:rsid w:val="00C6085F"/>
    <w:rsid w:val="00C60C09"/>
    <w:rsid w:val="00C623F1"/>
    <w:rsid w:val="00C62BF2"/>
    <w:rsid w:val="00C62CD4"/>
    <w:rsid w:val="00C62E4C"/>
    <w:rsid w:val="00C63229"/>
    <w:rsid w:val="00C63426"/>
    <w:rsid w:val="00C63A30"/>
    <w:rsid w:val="00C64037"/>
    <w:rsid w:val="00C641AF"/>
    <w:rsid w:val="00C64FBE"/>
    <w:rsid w:val="00C65BA7"/>
    <w:rsid w:val="00C66231"/>
    <w:rsid w:val="00C66A99"/>
    <w:rsid w:val="00C66F05"/>
    <w:rsid w:val="00C671E4"/>
    <w:rsid w:val="00C67204"/>
    <w:rsid w:val="00C67323"/>
    <w:rsid w:val="00C7099F"/>
    <w:rsid w:val="00C70AAB"/>
    <w:rsid w:val="00C71FFB"/>
    <w:rsid w:val="00C72DB0"/>
    <w:rsid w:val="00C737CE"/>
    <w:rsid w:val="00C73ECB"/>
    <w:rsid w:val="00C73F08"/>
    <w:rsid w:val="00C7408C"/>
    <w:rsid w:val="00C74526"/>
    <w:rsid w:val="00C7508E"/>
    <w:rsid w:val="00C753D4"/>
    <w:rsid w:val="00C75519"/>
    <w:rsid w:val="00C7555F"/>
    <w:rsid w:val="00C7569F"/>
    <w:rsid w:val="00C7626D"/>
    <w:rsid w:val="00C764D3"/>
    <w:rsid w:val="00C765AA"/>
    <w:rsid w:val="00C765FA"/>
    <w:rsid w:val="00C7680D"/>
    <w:rsid w:val="00C774B8"/>
    <w:rsid w:val="00C779A8"/>
    <w:rsid w:val="00C77FC8"/>
    <w:rsid w:val="00C806CA"/>
    <w:rsid w:val="00C80ED9"/>
    <w:rsid w:val="00C8119F"/>
    <w:rsid w:val="00C81394"/>
    <w:rsid w:val="00C813B1"/>
    <w:rsid w:val="00C816DE"/>
    <w:rsid w:val="00C822CE"/>
    <w:rsid w:val="00C82796"/>
    <w:rsid w:val="00C828A8"/>
    <w:rsid w:val="00C8306E"/>
    <w:rsid w:val="00C83187"/>
    <w:rsid w:val="00C8367F"/>
    <w:rsid w:val="00C836B6"/>
    <w:rsid w:val="00C839A3"/>
    <w:rsid w:val="00C83B43"/>
    <w:rsid w:val="00C83BA7"/>
    <w:rsid w:val="00C83F35"/>
    <w:rsid w:val="00C840C9"/>
    <w:rsid w:val="00C849EE"/>
    <w:rsid w:val="00C84A78"/>
    <w:rsid w:val="00C84B7D"/>
    <w:rsid w:val="00C852EF"/>
    <w:rsid w:val="00C85658"/>
    <w:rsid w:val="00C85EF4"/>
    <w:rsid w:val="00C8684F"/>
    <w:rsid w:val="00C86870"/>
    <w:rsid w:val="00C86F79"/>
    <w:rsid w:val="00C86FED"/>
    <w:rsid w:val="00C87771"/>
    <w:rsid w:val="00C87928"/>
    <w:rsid w:val="00C90622"/>
    <w:rsid w:val="00C91BC3"/>
    <w:rsid w:val="00C91C0D"/>
    <w:rsid w:val="00C920EE"/>
    <w:rsid w:val="00C92892"/>
    <w:rsid w:val="00C92F69"/>
    <w:rsid w:val="00C93115"/>
    <w:rsid w:val="00C94299"/>
    <w:rsid w:val="00C94B8F"/>
    <w:rsid w:val="00C94DC1"/>
    <w:rsid w:val="00C963AB"/>
    <w:rsid w:val="00C966BA"/>
    <w:rsid w:val="00C97B07"/>
    <w:rsid w:val="00C97F3B"/>
    <w:rsid w:val="00C97FD9"/>
    <w:rsid w:val="00CA07EE"/>
    <w:rsid w:val="00CA0D8B"/>
    <w:rsid w:val="00CA0F99"/>
    <w:rsid w:val="00CA1DF4"/>
    <w:rsid w:val="00CA1E3C"/>
    <w:rsid w:val="00CA267F"/>
    <w:rsid w:val="00CA2BE0"/>
    <w:rsid w:val="00CA3488"/>
    <w:rsid w:val="00CA4849"/>
    <w:rsid w:val="00CA4A95"/>
    <w:rsid w:val="00CA4B4D"/>
    <w:rsid w:val="00CA4F69"/>
    <w:rsid w:val="00CA5153"/>
    <w:rsid w:val="00CA596A"/>
    <w:rsid w:val="00CA69B3"/>
    <w:rsid w:val="00CA6F96"/>
    <w:rsid w:val="00CA79E5"/>
    <w:rsid w:val="00CA7A01"/>
    <w:rsid w:val="00CA7B5F"/>
    <w:rsid w:val="00CB03E5"/>
    <w:rsid w:val="00CB05A9"/>
    <w:rsid w:val="00CB0769"/>
    <w:rsid w:val="00CB0B5B"/>
    <w:rsid w:val="00CB192A"/>
    <w:rsid w:val="00CB1C66"/>
    <w:rsid w:val="00CB2B6D"/>
    <w:rsid w:val="00CB36EC"/>
    <w:rsid w:val="00CB3BFF"/>
    <w:rsid w:val="00CB3D47"/>
    <w:rsid w:val="00CB429D"/>
    <w:rsid w:val="00CB4F79"/>
    <w:rsid w:val="00CB5585"/>
    <w:rsid w:val="00CB5A88"/>
    <w:rsid w:val="00CB5B4F"/>
    <w:rsid w:val="00CB5BFA"/>
    <w:rsid w:val="00CB64DC"/>
    <w:rsid w:val="00CB68AF"/>
    <w:rsid w:val="00CB6C24"/>
    <w:rsid w:val="00CB73D4"/>
    <w:rsid w:val="00CB770D"/>
    <w:rsid w:val="00CB77F9"/>
    <w:rsid w:val="00CC0231"/>
    <w:rsid w:val="00CC0508"/>
    <w:rsid w:val="00CC0833"/>
    <w:rsid w:val="00CC0B8F"/>
    <w:rsid w:val="00CC1C74"/>
    <w:rsid w:val="00CC2E1D"/>
    <w:rsid w:val="00CC3934"/>
    <w:rsid w:val="00CC4CE9"/>
    <w:rsid w:val="00CC4D28"/>
    <w:rsid w:val="00CC4D80"/>
    <w:rsid w:val="00CC4DF0"/>
    <w:rsid w:val="00CC5393"/>
    <w:rsid w:val="00CC59B1"/>
    <w:rsid w:val="00CC5E17"/>
    <w:rsid w:val="00CC633F"/>
    <w:rsid w:val="00CC638A"/>
    <w:rsid w:val="00CC67C5"/>
    <w:rsid w:val="00CC687B"/>
    <w:rsid w:val="00CC68DB"/>
    <w:rsid w:val="00CC6B73"/>
    <w:rsid w:val="00CC729A"/>
    <w:rsid w:val="00CC79E8"/>
    <w:rsid w:val="00CC7E6F"/>
    <w:rsid w:val="00CC7EB7"/>
    <w:rsid w:val="00CC7EC2"/>
    <w:rsid w:val="00CD0610"/>
    <w:rsid w:val="00CD0AAF"/>
    <w:rsid w:val="00CD1A83"/>
    <w:rsid w:val="00CD1ADF"/>
    <w:rsid w:val="00CD2106"/>
    <w:rsid w:val="00CD3726"/>
    <w:rsid w:val="00CD390A"/>
    <w:rsid w:val="00CD3ECE"/>
    <w:rsid w:val="00CD3FCF"/>
    <w:rsid w:val="00CD400F"/>
    <w:rsid w:val="00CD4049"/>
    <w:rsid w:val="00CD4377"/>
    <w:rsid w:val="00CD43FE"/>
    <w:rsid w:val="00CD4517"/>
    <w:rsid w:val="00CD4C8E"/>
    <w:rsid w:val="00CD4F0C"/>
    <w:rsid w:val="00CD53D9"/>
    <w:rsid w:val="00CD5E2E"/>
    <w:rsid w:val="00CD6331"/>
    <w:rsid w:val="00CD6F12"/>
    <w:rsid w:val="00CD72BE"/>
    <w:rsid w:val="00CD7656"/>
    <w:rsid w:val="00CD7CA3"/>
    <w:rsid w:val="00CE058A"/>
    <w:rsid w:val="00CE0BC3"/>
    <w:rsid w:val="00CE0D2D"/>
    <w:rsid w:val="00CE1770"/>
    <w:rsid w:val="00CE1A80"/>
    <w:rsid w:val="00CE327D"/>
    <w:rsid w:val="00CE377D"/>
    <w:rsid w:val="00CE4356"/>
    <w:rsid w:val="00CE4D74"/>
    <w:rsid w:val="00CE4FB9"/>
    <w:rsid w:val="00CE532C"/>
    <w:rsid w:val="00CE5B48"/>
    <w:rsid w:val="00CE603C"/>
    <w:rsid w:val="00CE721A"/>
    <w:rsid w:val="00CE737D"/>
    <w:rsid w:val="00CE7398"/>
    <w:rsid w:val="00CE7504"/>
    <w:rsid w:val="00CE7722"/>
    <w:rsid w:val="00CE7789"/>
    <w:rsid w:val="00CE7B10"/>
    <w:rsid w:val="00CF0459"/>
    <w:rsid w:val="00CF204E"/>
    <w:rsid w:val="00CF241E"/>
    <w:rsid w:val="00CF27D7"/>
    <w:rsid w:val="00CF2822"/>
    <w:rsid w:val="00CF2E18"/>
    <w:rsid w:val="00CF3021"/>
    <w:rsid w:val="00CF326F"/>
    <w:rsid w:val="00CF42FD"/>
    <w:rsid w:val="00CF480C"/>
    <w:rsid w:val="00CF4FCC"/>
    <w:rsid w:val="00CF58E3"/>
    <w:rsid w:val="00CF5CBC"/>
    <w:rsid w:val="00CF5F68"/>
    <w:rsid w:val="00CF6139"/>
    <w:rsid w:val="00CF61C0"/>
    <w:rsid w:val="00CF6542"/>
    <w:rsid w:val="00CF6F95"/>
    <w:rsid w:val="00CF74BC"/>
    <w:rsid w:val="00CF7603"/>
    <w:rsid w:val="00D00926"/>
    <w:rsid w:val="00D00CDD"/>
    <w:rsid w:val="00D01220"/>
    <w:rsid w:val="00D01325"/>
    <w:rsid w:val="00D030BD"/>
    <w:rsid w:val="00D0349D"/>
    <w:rsid w:val="00D036A2"/>
    <w:rsid w:val="00D0398F"/>
    <w:rsid w:val="00D03C7E"/>
    <w:rsid w:val="00D03FC7"/>
    <w:rsid w:val="00D048F9"/>
    <w:rsid w:val="00D04D32"/>
    <w:rsid w:val="00D04DE6"/>
    <w:rsid w:val="00D058AB"/>
    <w:rsid w:val="00D05E97"/>
    <w:rsid w:val="00D06C86"/>
    <w:rsid w:val="00D078E2"/>
    <w:rsid w:val="00D07BE3"/>
    <w:rsid w:val="00D07FAC"/>
    <w:rsid w:val="00D109D7"/>
    <w:rsid w:val="00D10D44"/>
    <w:rsid w:val="00D110BF"/>
    <w:rsid w:val="00D11980"/>
    <w:rsid w:val="00D11AB4"/>
    <w:rsid w:val="00D11CA0"/>
    <w:rsid w:val="00D11D87"/>
    <w:rsid w:val="00D11F0A"/>
    <w:rsid w:val="00D1336C"/>
    <w:rsid w:val="00D13B91"/>
    <w:rsid w:val="00D13D69"/>
    <w:rsid w:val="00D13DAB"/>
    <w:rsid w:val="00D14F13"/>
    <w:rsid w:val="00D1516C"/>
    <w:rsid w:val="00D157B5"/>
    <w:rsid w:val="00D15BEC"/>
    <w:rsid w:val="00D15F90"/>
    <w:rsid w:val="00D16373"/>
    <w:rsid w:val="00D20FF0"/>
    <w:rsid w:val="00D2122F"/>
    <w:rsid w:val="00D212FE"/>
    <w:rsid w:val="00D21A06"/>
    <w:rsid w:val="00D21D2C"/>
    <w:rsid w:val="00D2234D"/>
    <w:rsid w:val="00D22642"/>
    <w:rsid w:val="00D22A62"/>
    <w:rsid w:val="00D22D67"/>
    <w:rsid w:val="00D2383C"/>
    <w:rsid w:val="00D24176"/>
    <w:rsid w:val="00D2488D"/>
    <w:rsid w:val="00D249FB"/>
    <w:rsid w:val="00D24EB8"/>
    <w:rsid w:val="00D253C4"/>
    <w:rsid w:val="00D25552"/>
    <w:rsid w:val="00D26029"/>
    <w:rsid w:val="00D266B8"/>
    <w:rsid w:val="00D26826"/>
    <w:rsid w:val="00D26FBF"/>
    <w:rsid w:val="00D308D9"/>
    <w:rsid w:val="00D3130D"/>
    <w:rsid w:val="00D32233"/>
    <w:rsid w:val="00D3278B"/>
    <w:rsid w:val="00D32BFB"/>
    <w:rsid w:val="00D35B8E"/>
    <w:rsid w:val="00D35D4F"/>
    <w:rsid w:val="00D367E4"/>
    <w:rsid w:val="00D3683A"/>
    <w:rsid w:val="00D37E09"/>
    <w:rsid w:val="00D37EE6"/>
    <w:rsid w:val="00D40132"/>
    <w:rsid w:val="00D40592"/>
    <w:rsid w:val="00D40B74"/>
    <w:rsid w:val="00D40CF0"/>
    <w:rsid w:val="00D413DE"/>
    <w:rsid w:val="00D41619"/>
    <w:rsid w:val="00D423FA"/>
    <w:rsid w:val="00D42A42"/>
    <w:rsid w:val="00D42EAF"/>
    <w:rsid w:val="00D43782"/>
    <w:rsid w:val="00D43FF7"/>
    <w:rsid w:val="00D4471F"/>
    <w:rsid w:val="00D44A5E"/>
    <w:rsid w:val="00D4597C"/>
    <w:rsid w:val="00D45986"/>
    <w:rsid w:val="00D45AEB"/>
    <w:rsid w:val="00D4612B"/>
    <w:rsid w:val="00D46F02"/>
    <w:rsid w:val="00D474BB"/>
    <w:rsid w:val="00D47883"/>
    <w:rsid w:val="00D4798E"/>
    <w:rsid w:val="00D47CB5"/>
    <w:rsid w:val="00D500F7"/>
    <w:rsid w:val="00D50638"/>
    <w:rsid w:val="00D5164B"/>
    <w:rsid w:val="00D517DD"/>
    <w:rsid w:val="00D51A46"/>
    <w:rsid w:val="00D51E3E"/>
    <w:rsid w:val="00D51FFA"/>
    <w:rsid w:val="00D5230E"/>
    <w:rsid w:val="00D525CE"/>
    <w:rsid w:val="00D527E0"/>
    <w:rsid w:val="00D529B5"/>
    <w:rsid w:val="00D52B29"/>
    <w:rsid w:val="00D52EC4"/>
    <w:rsid w:val="00D53197"/>
    <w:rsid w:val="00D531A2"/>
    <w:rsid w:val="00D53425"/>
    <w:rsid w:val="00D537C1"/>
    <w:rsid w:val="00D53E48"/>
    <w:rsid w:val="00D5423F"/>
    <w:rsid w:val="00D55300"/>
    <w:rsid w:val="00D55663"/>
    <w:rsid w:val="00D55CDE"/>
    <w:rsid w:val="00D562EF"/>
    <w:rsid w:val="00D56451"/>
    <w:rsid w:val="00D56B78"/>
    <w:rsid w:val="00D56BA0"/>
    <w:rsid w:val="00D56FAE"/>
    <w:rsid w:val="00D5741D"/>
    <w:rsid w:val="00D574CD"/>
    <w:rsid w:val="00D57A21"/>
    <w:rsid w:val="00D57FD4"/>
    <w:rsid w:val="00D60408"/>
    <w:rsid w:val="00D60B5B"/>
    <w:rsid w:val="00D61292"/>
    <w:rsid w:val="00D61400"/>
    <w:rsid w:val="00D614D9"/>
    <w:rsid w:val="00D61D86"/>
    <w:rsid w:val="00D621B7"/>
    <w:rsid w:val="00D6285B"/>
    <w:rsid w:val="00D62951"/>
    <w:rsid w:val="00D63158"/>
    <w:rsid w:val="00D6354C"/>
    <w:rsid w:val="00D640BA"/>
    <w:rsid w:val="00D64F1D"/>
    <w:rsid w:val="00D65C30"/>
    <w:rsid w:val="00D65C4E"/>
    <w:rsid w:val="00D65EDD"/>
    <w:rsid w:val="00D665BD"/>
    <w:rsid w:val="00D6712A"/>
    <w:rsid w:val="00D67321"/>
    <w:rsid w:val="00D67A10"/>
    <w:rsid w:val="00D70233"/>
    <w:rsid w:val="00D7119D"/>
    <w:rsid w:val="00D7186C"/>
    <w:rsid w:val="00D71A56"/>
    <w:rsid w:val="00D721B4"/>
    <w:rsid w:val="00D72229"/>
    <w:rsid w:val="00D72F20"/>
    <w:rsid w:val="00D73056"/>
    <w:rsid w:val="00D7393D"/>
    <w:rsid w:val="00D73C2C"/>
    <w:rsid w:val="00D74374"/>
    <w:rsid w:val="00D74A32"/>
    <w:rsid w:val="00D75139"/>
    <w:rsid w:val="00D76ACB"/>
    <w:rsid w:val="00D777E9"/>
    <w:rsid w:val="00D77F36"/>
    <w:rsid w:val="00D80703"/>
    <w:rsid w:val="00D80A3B"/>
    <w:rsid w:val="00D814B1"/>
    <w:rsid w:val="00D81843"/>
    <w:rsid w:val="00D82219"/>
    <w:rsid w:val="00D82478"/>
    <w:rsid w:val="00D82DC9"/>
    <w:rsid w:val="00D83130"/>
    <w:rsid w:val="00D831D8"/>
    <w:rsid w:val="00D8331C"/>
    <w:rsid w:val="00D8419B"/>
    <w:rsid w:val="00D842E7"/>
    <w:rsid w:val="00D84779"/>
    <w:rsid w:val="00D84935"/>
    <w:rsid w:val="00D851AC"/>
    <w:rsid w:val="00D859FE"/>
    <w:rsid w:val="00D85FE4"/>
    <w:rsid w:val="00D8660C"/>
    <w:rsid w:val="00D876AE"/>
    <w:rsid w:val="00D87E94"/>
    <w:rsid w:val="00D90CAE"/>
    <w:rsid w:val="00D90D10"/>
    <w:rsid w:val="00D90FBC"/>
    <w:rsid w:val="00D91583"/>
    <w:rsid w:val="00D91897"/>
    <w:rsid w:val="00D91D27"/>
    <w:rsid w:val="00D91F07"/>
    <w:rsid w:val="00D92423"/>
    <w:rsid w:val="00D924C3"/>
    <w:rsid w:val="00D92610"/>
    <w:rsid w:val="00D92AFD"/>
    <w:rsid w:val="00D92F6A"/>
    <w:rsid w:val="00D9313E"/>
    <w:rsid w:val="00D9421E"/>
    <w:rsid w:val="00D945AA"/>
    <w:rsid w:val="00D94841"/>
    <w:rsid w:val="00D9488A"/>
    <w:rsid w:val="00D948D4"/>
    <w:rsid w:val="00D94A01"/>
    <w:rsid w:val="00D9513E"/>
    <w:rsid w:val="00D957C3"/>
    <w:rsid w:val="00D957F6"/>
    <w:rsid w:val="00D96D3C"/>
    <w:rsid w:val="00D96EEB"/>
    <w:rsid w:val="00D974A6"/>
    <w:rsid w:val="00D97D0C"/>
    <w:rsid w:val="00D97E4E"/>
    <w:rsid w:val="00DA0527"/>
    <w:rsid w:val="00DA0B91"/>
    <w:rsid w:val="00DA1072"/>
    <w:rsid w:val="00DA1769"/>
    <w:rsid w:val="00DA205C"/>
    <w:rsid w:val="00DA2811"/>
    <w:rsid w:val="00DA3340"/>
    <w:rsid w:val="00DA33FB"/>
    <w:rsid w:val="00DA35E0"/>
    <w:rsid w:val="00DA36BE"/>
    <w:rsid w:val="00DA4563"/>
    <w:rsid w:val="00DA45F9"/>
    <w:rsid w:val="00DA474B"/>
    <w:rsid w:val="00DA4B2E"/>
    <w:rsid w:val="00DA4CF7"/>
    <w:rsid w:val="00DA556E"/>
    <w:rsid w:val="00DA5F0D"/>
    <w:rsid w:val="00DA5F41"/>
    <w:rsid w:val="00DA668B"/>
    <w:rsid w:val="00DA7749"/>
    <w:rsid w:val="00DA78DA"/>
    <w:rsid w:val="00DB062E"/>
    <w:rsid w:val="00DB07FB"/>
    <w:rsid w:val="00DB0D27"/>
    <w:rsid w:val="00DB0FFB"/>
    <w:rsid w:val="00DB1712"/>
    <w:rsid w:val="00DB1794"/>
    <w:rsid w:val="00DB1799"/>
    <w:rsid w:val="00DB1A80"/>
    <w:rsid w:val="00DB220C"/>
    <w:rsid w:val="00DB244D"/>
    <w:rsid w:val="00DB2705"/>
    <w:rsid w:val="00DB279F"/>
    <w:rsid w:val="00DB3400"/>
    <w:rsid w:val="00DB3896"/>
    <w:rsid w:val="00DB396C"/>
    <w:rsid w:val="00DB3ED2"/>
    <w:rsid w:val="00DB4123"/>
    <w:rsid w:val="00DB46E3"/>
    <w:rsid w:val="00DB4844"/>
    <w:rsid w:val="00DB5201"/>
    <w:rsid w:val="00DB5EBD"/>
    <w:rsid w:val="00DB6834"/>
    <w:rsid w:val="00DB7CF3"/>
    <w:rsid w:val="00DC0268"/>
    <w:rsid w:val="00DC0567"/>
    <w:rsid w:val="00DC0E13"/>
    <w:rsid w:val="00DC1140"/>
    <w:rsid w:val="00DC14E8"/>
    <w:rsid w:val="00DC156B"/>
    <w:rsid w:val="00DC184E"/>
    <w:rsid w:val="00DC1FC9"/>
    <w:rsid w:val="00DC213E"/>
    <w:rsid w:val="00DC2276"/>
    <w:rsid w:val="00DC26C4"/>
    <w:rsid w:val="00DC28C5"/>
    <w:rsid w:val="00DC33B5"/>
    <w:rsid w:val="00DC42D1"/>
    <w:rsid w:val="00DC6583"/>
    <w:rsid w:val="00DC666C"/>
    <w:rsid w:val="00DC6FD9"/>
    <w:rsid w:val="00DC710F"/>
    <w:rsid w:val="00DC7913"/>
    <w:rsid w:val="00DC7B1B"/>
    <w:rsid w:val="00DD0495"/>
    <w:rsid w:val="00DD0D57"/>
    <w:rsid w:val="00DD0DD7"/>
    <w:rsid w:val="00DD0F98"/>
    <w:rsid w:val="00DD1B01"/>
    <w:rsid w:val="00DD2381"/>
    <w:rsid w:val="00DD2552"/>
    <w:rsid w:val="00DD2A90"/>
    <w:rsid w:val="00DD2EEF"/>
    <w:rsid w:val="00DD3D23"/>
    <w:rsid w:val="00DD4231"/>
    <w:rsid w:val="00DD4A44"/>
    <w:rsid w:val="00DD4CF5"/>
    <w:rsid w:val="00DD4EAF"/>
    <w:rsid w:val="00DD5343"/>
    <w:rsid w:val="00DD5AF4"/>
    <w:rsid w:val="00DD6229"/>
    <w:rsid w:val="00DD6813"/>
    <w:rsid w:val="00DD6860"/>
    <w:rsid w:val="00DD6ACC"/>
    <w:rsid w:val="00DD79B0"/>
    <w:rsid w:val="00DD7EBC"/>
    <w:rsid w:val="00DE0370"/>
    <w:rsid w:val="00DE1243"/>
    <w:rsid w:val="00DE1AB2"/>
    <w:rsid w:val="00DE1D5B"/>
    <w:rsid w:val="00DE1E29"/>
    <w:rsid w:val="00DE22E4"/>
    <w:rsid w:val="00DE277B"/>
    <w:rsid w:val="00DE2D49"/>
    <w:rsid w:val="00DE2E76"/>
    <w:rsid w:val="00DE2EB3"/>
    <w:rsid w:val="00DE327D"/>
    <w:rsid w:val="00DE3685"/>
    <w:rsid w:val="00DE431E"/>
    <w:rsid w:val="00DE49E9"/>
    <w:rsid w:val="00DE4B01"/>
    <w:rsid w:val="00DE5CD3"/>
    <w:rsid w:val="00DE5F79"/>
    <w:rsid w:val="00DE692D"/>
    <w:rsid w:val="00DE6970"/>
    <w:rsid w:val="00DE69C9"/>
    <w:rsid w:val="00DE72E3"/>
    <w:rsid w:val="00DE7518"/>
    <w:rsid w:val="00DE7993"/>
    <w:rsid w:val="00DE79AA"/>
    <w:rsid w:val="00DE7C0D"/>
    <w:rsid w:val="00DF0B3A"/>
    <w:rsid w:val="00DF10DD"/>
    <w:rsid w:val="00DF162C"/>
    <w:rsid w:val="00DF16BD"/>
    <w:rsid w:val="00DF1CD5"/>
    <w:rsid w:val="00DF2016"/>
    <w:rsid w:val="00DF2780"/>
    <w:rsid w:val="00DF295C"/>
    <w:rsid w:val="00DF30F8"/>
    <w:rsid w:val="00DF36EB"/>
    <w:rsid w:val="00DF3E81"/>
    <w:rsid w:val="00DF43E1"/>
    <w:rsid w:val="00DF52BA"/>
    <w:rsid w:val="00DF6052"/>
    <w:rsid w:val="00DF617C"/>
    <w:rsid w:val="00DF6F49"/>
    <w:rsid w:val="00DF7014"/>
    <w:rsid w:val="00DF7633"/>
    <w:rsid w:val="00DF78D2"/>
    <w:rsid w:val="00E0034F"/>
    <w:rsid w:val="00E00575"/>
    <w:rsid w:val="00E014B4"/>
    <w:rsid w:val="00E0186C"/>
    <w:rsid w:val="00E01A6F"/>
    <w:rsid w:val="00E01BC1"/>
    <w:rsid w:val="00E020A8"/>
    <w:rsid w:val="00E025AC"/>
    <w:rsid w:val="00E02DEF"/>
    <w:rsid w:val="00E02E96"/>
    <w:rsid w:val="00E02F3D"/>
    <w:rsid w:val="00E032AD"/>
    <w:rsid w:val="00E03463"/>
    <w:rsid w:val="00E03A81"/>
    <w:rsid w:val="00E03ED1"/>
    <w:rsid w:val="00E04083"/>
    <w:rsid w:val="00E0417C"/>
    <w:rsid w:val="00E042BA"/>
    <w:rsid w:val="00E059DE"/>
    <w:rsid w:val="00E06359"/>
    <w:rsid w:val="00E06DD0"/>
    <w:rsid w:val="00E07020"/>
    <w:rsid w:val="00E070D4"/>
    <w:rsid w:val="00E07375"/>
    <w:rsid w:val="00E0743C"/>
    <w:rsid w:val="00E07D53"/>
    <w:rsid w:val="00E108B5"/>
    <w:rsid w:val="00E10FC6"/>
    <w:rsid w:val="00E117AF"/>
    <w:rsid w:val="00E117F8"/>
    <w:rsid w:val="00E11B7B"/>
    <w:rsid w:val="00E11D88"/>
    <w:rsid w:val="00E121A5"/>
    <w:rsid w:val="00E122DF"/>
    <w:rsid w:val="00E12833"/>
    <w:rsid w:val="00E13117"/>
    <w:rsid w:val="00E137CE"/>
    <w:rsid w:val="00E1383B"/>
    <w:rsid w:val="00E13B64"/>
    <w:rsid w:val="00E13CF7"/>
    <w:rsid w:val="00E14609"/>
    <w:rsid w:val="00E14FC4"/>
    <w:rsid w:val="00E15A98"/>
    <w:rsid w:val="00E16046"/>
    <w:rsid w:val="00E169CC"/>
    <w:rsid w:val="00E16B5D"/>
    <w:rsid w:val="00E170AC"/>
    <w:rsid w:val="00E17657"/>
    <w:rsid w:val="00E207A9"/>
    <w:rsid w:val="00E20C3E"/>
    <w:rsid w:val="00E2117C"/>
    <w:rsid w:val="00E212CC"/>
    <w:rsid w:val="00E218A5"/>
    <w:rsid w:val="00E2193A"/>
    <w:rsid w:val="00E21ADD"/>
    <w:rsid w:val="00E21BD2"/>
    <w:rsid w:val="00E21C88"/>
    <w:rsid w:val="00E22738"/>
    <w:rsid w:val="00E22F49"/>
    <w:rsid w:val="00E232C1"/>
    <w:rsid w:val="00E23590"/>
    <w:rsid w:val="00E23E1D"/>
    <w:rsid w:val="00E2473D"/>
    <w:rsid w:val="00E24C6E"/>
    <w:rsid w:val="00E24D62"/>
    <w:rsid w:val="00E256C6"/>
    <w:rsid w:val="00E256D3"/>
    <w:rsid w:val="00E260A8"/>
    <w:rsid w:val="00E260C8"/>
    <w:rsid w:val="00E26B0F"/>
    <w:rsid w:val="00E26E16"/>
    <w:rsid w:val="00E2716B"/>
    <w:rsid w:val="00E27380"/>
    <w:rsid w:val="00E27A61"/>
    <w:rsid w:val="00E3057B"/>
    <w:rsid w:val="00E30A55"/>
    <w:rsid w:val="00E30D81"/>
    <w:rsid w:val="00E331CB"/>
    <w:rsid w:val="00E33490"/>
    <w:rsid w:val="00E34025"/>
    <w:rsid w:val="00E34272"/>
    <w:rsid w:val="00E344FA"/>
    <w:rsid w:val="00E3453A"/>
    <w:rsid w:val="00E34BD9"/>
    <w:rsid w:val="00E34F5B"/>
    <w:rsid w:val="00E356B4"/>
    <w:rsid w:val="00E37692"/>
    <w:rsid w:val="00E404BA"/>
    <w:rsid w:val="00E40512"/>
    <w:rsid w:val="00E408CC"/>
    <w:rsid w:val="00E40B1B"/>
    <w:rsid w:val="00E40E7E"/>
    <w:rsid w:val="00E417A5"/>
    <w:rsid w:val="00E417E8"/>
    <w:rsid w:val="00E418DC"/>
    <w:rsid w:val="00E41BB4"/>
    <w:rsid w:val="00E42032"/>
    <w:rsid w:val="00E42396"/>
    <w:rsid w:val="00E425EB"/>
    <w:rsid w:val="00E4271E"/>
    <w:rsid w:val="00E429E8"/>
    <w:rsid w:val="00E43407"/>
    <w:rsid w:val="00E43437"/>
    <w:rsid w:val="00E442DC"/>
    <w:rsid w:val="00E4494A"/>
    <w:rsid w:val="00E449AD"/>
    <w:rsid w:val="00E452C3"/>
    <w:rsid w:val="00E46695"/>
    <w:rsid w:val="00E46B1E"/>
    <w:rsid w:val="00E46BA9"/>
    <w:rsid w:val="00E46C67"/>
    <w:rsid w:val="00E47251"/>
    <w:rsid w:val="00E47E99"/>
    <w:rsid w:val="00E50273"/>
    <w:rsid w:val="00E502BE"/>
    <w:rsid w:val="00E50C94"/>
    <w:rsid w:val="00E51397"/>
    <w:rsid w:val="00E513AC"/>
    <w:rsid w:val="00E51FB8"/>
    <w:rsid w:val="00E52D17"/>
    <w:rsid w:val="00E5312D"/>
    <w:rsid w:val="00E53CFF"/>
    <w:rsid w:val="00E552DA"/>
    <w:rsid w:val="00E556AF"/>
    <w:rsid w:val="00E5576B"/>
    <w:rsid w:val="00E56F96"/>
    <w:rsid w:val="00E57083"/>
    <w:rsid w:val="00E570E5"/>
    <w:rsid w:val="00E571B7"/>
    <w:rsid w:val="00E571F8"/>
    <w:rsid w:val="00E57322"/>
    <w:rsid w:val="00E57470"/>
    <w:rsid w:val="00E57555"/>
    <w:rsid w:val="00E600F9"/>
    <w:rsid w:val="00E612A2"/>
    <w:rsid w:val="00E6167A"/>
    <w:rsid w:val="00E618E7"/>
    <w:rsid w:val="00E620EE"/>
    <w:rsid w:val="00E625E4"/>
    <w:rsid w:val="00E62821"/>
    <w:rsid w:val="00E6365D"/>
    <w:rsid w:val="00E64B80"/>
    <w:rsid w:val="00E64E01"/>
    <w:rsid w:val="00E65052"/>
    <w:rsid w:val="00E651C9"/>
    <w:rsid w:val="00E652FC"/>
    <w:rsid w:val="00E658C6"/>
    <w:rsid w:val="00E658DF"/>
    <w:rsid w:val="00E65F16"/>
    <w:rsid w:val="00E65FC9"/>
    <w:rsid w:val="00E6699F"/>
    <w:rsid w:val="00E66E68"/>
    <w:rsid w:val="00E67083"/>
    <w:rsid w:val="00E67134"/>
    <w:rsid w:val="00E6767E"/>
    <w:rsid w:val="00E6791C"/>
    <w:rsid w:val="00E70650"/>
    <w:rsid w:val="00E709C3"/>
    <w:rsid w:val="00E70DEA"/>
    <w:rsid w:val="00E70F64"/>
    <w:rsid w:val="00E71388"/>
    <w:rsid w:val="00E7153D"/>
    <w:rsid w:val="00E72018"/>
    <w:rsid w:val="00E72098"/>
    <w:rsid w:val="00E722C5"/>
    <w:rsid w:val="00E724F5"/>
    <w:rsid w:val="00E72513"/>
    <w:rsid w:val="00E72A3E"/>
    <w:rsid w:val="00E732AC"/>
    <w:rsid w:val="00E732D3"/>
    <w:rsid w:val="00E734D6"/>
    <w:rsid w:val="00E738DF"/>
    <w:rsid w:val="00E73A88"/>
    <w:rsid w:val="00E74457"/>
    <w:rsid w:val="00E74763"/>
    <w:rsid w:val="00E74958"/>
    <w:rsid w:val="00E74C26"/>
    <w:rsid w:val="00E75043"/>
    <w:rsid w:val="00E75B8B"/>
    <w:rsid w:val="00E7732C"/>
    <w:rsid w:val="00E77BB6"/>
    <w:rsid w:val="00E77F6C"/>
    <w:rsid w:val="00E801C7"/>
    <w:rsid w:val="00E811C7"/>
    <w:rsid w:val="00E81595"/>
    <w:rsid w:val="00E81641"/>
    <w:rsid w:val="00E81CA5"/>
    <w:rsid w:val="00E81F0F"/>
    <w:rsid w:val="00E82392"/>
    <w:rsid w:val="00E827FB"/>
    <w:rsid w:val="00E83AC5"/>
    <w:rsid w:val="00E83DAA"/>
    <w:rsid w:val="00E83FDF"/>
    <w:rsid w:val="00E84AA5"/>
    <w:rsid w:val="00E84FBC"/>
    <w:rsid w:val="00E85735"/>
    <w:rsid w:val="00E857FE"/>
    <w:rsid w:val="00E85D1C"/>
    <w:rsid w:val="00E85EA9"/>
    <w:rsid w:val="00E8653A"/>
    <w:rsid w:val="00E8695B"/>
    <w:rsid w:val="00E875A1"/>
    <w:rsid w:val="00E87B14"/>
    <w:rsid w:val="00E87DC9"/>
    <w:rsid w:val="00E90A64"/>
    <w:rsid w:val="00E90E89"/>
    <w:rsid w:val="00E9203B"/>
    <w:rsid w:val="00E921D1"/>
    <w:rsid w:val="00E926FD"/>
    <w:rsid w:val="00E9372D"/>
    <w:rsid w:val="00E94768"/>
    <w:rsid w:val="00E94833"/>
    <w:rsid w:val="00E94C56"/>
    <w:rsid w:val="00E957F5"/>
    <w:rsid w:val="00E96661"/>
    <w:rsid w:val="00E96AFE"/>
    <w:rsid w:val="00E96F6D"/>
    <w:rsid w:val="00E97751"/>
    <w:rsid w:val="00E979A3"/>
    <w:rsid w:val="00E97AE6"/>
    <w:rsid w:val="00EA0180"/>
    <w:rsid w:val="00EA0B26"/>
    <w:rsid w:val="00EA113B"/>
    <w:rsid w:val="00EA1D9E"/>
    <w:rsid w:val="00EA1DA1"/>
    <w:rsid w:val="00EA351B"/>
    <w:rsid w:val="00EA476D"/>
    <w:rsid w:val="00EA5761"/>
    <w:rsid w:val="00EA619F"/>
    <w:rsid w:val="00EA69EB"/>
    <w:rsid w:val="00EA7164"/>
    <w:rsid w:val="00EA720C"/>
    <w:rsid w:val="00EA72D3"/>
    <w:rsid w:val="00EA74FC"/>
    <w:rsid w:val="00EA7695"/>
    <w:rsid w:val="00EA7EF6"/>
    <w:rsid w:val="00EB03D4"/>
    <w:rsid w:val="00EB0581"/>
    <w:rsid w:val="00EB0A8F"/>
    <w:rsid w:val="00EB1159"/>
    <w:rsid w:val="00EB2260"/>
    <w:rsid w:val="00EB3240"/>
    <w:rsid w:val="00EB3CB3"/>
    <w:rsid w:val="00EB427C"/>
    <w:rsid w:val="00EB4BFD"/>
    <w:rsid w:val="00EB4F16"/>
    <w:rsid w:val="00EB5194"/>
    <w:rsid w:val="00EB5913"/>
    <w:rsid w:val="00EB592B"/>
    <w:rsid w:val="00EB6955"/>
    <w:rsid w:val="00EB73A2"/>
    <w:rsid w:val="00EB7A2E"/>
    <w:rsid w:val="00EB7D48"/>
    <w:rsid w:val="00EB7E35"/>
    <w:rsid w:val="00EB7E62"/>
    <w:rsid w:val="00EC016F"/>
    <w:rsid w:val="00EC05F3"/>
    <w:rsid w:val="00EC0A81"/>
    <w:rsid w:val="00EC15EE"/>
    <w:rsid w:val="00EC2015"/>
    <w:rsid w:val="00EC21D3"/>
    <w:rsid w:val="00EC2647"/>
    <w:rsid w:val="00EC2A21"/>
    <w:rsid w:val="00EC2A22"/>
    <w:rsid w:val="00EC2B45"/>
    <w:rsid w:val="00EC2ED1"/>
    <w:rsid w:val="00EC3657"/>
    <w:rsid w:val="00EC36F3"/>
    <w:rsid w:val="00EC4DD9"/>
    <w:rsid w:val="00EC5452"/>
    <w:rsid w:val="00EC5952"/>
    <w:rsid w:val="00EC5A80"/>
    <w:rsid w:val="00EC5DB5"/>
    <w:rsid w:val="00EC76AF"/>
    <w:rsid w:val="00EC77E3"/>
    <w:rsid w:val="00ED0101"/>
    <w:rsid w:val="00ED04D8"/>
    <w:rsid w:val="00ED0965"/>
    <w:rsid w:val="00ED16C7"/>
    <w:rsid w:val="00ED16FF"/>
    <w:rsid w:val="00ED1D2B"/>
    <w:rsid w:val="00ED203D"/>
    <w:rsid w:val="00ED20A5"/>
    <w:rsid w:val="00ED2840"/>
    <w:rsid w:val="00ED2C29"/>
    <w:rsid w:val="00ED2C7A"/>
    <w:rsid w:val="00ED2E0B"/>
    <w:rsid w:val="00ED377B"/>
    <w:rsid w:val="00ED3DB9"/>
    <w:rsid w:val="00ED43DD"/>
    <w:rsid w:val="00ED537D"/>
    <w:rsid w:val="00ED5ABE"/>
    <w:rsid w:val="00ED6DFA"/>
    <w:rsid w:val="00ED77BF"/>
    <w:rsid w:val="00ED780E"/>
    <w:rsid w:val="00ED78AB"/>
    <w:rsid w:val="00EE021A"/>
    <w:rsid w:val="00EE104C"/>
    <w:rsid w:val="00EE1233"/>
    <w:rsid w:val="00EE13D9"/>
    <w:rsid w:val="00EE14BA"/>
    <w:rsid w:val="00EE14D5"/>
    <w:rsid w:val="00EE218D"/>
    <w:rsid w:val="00EE27D6"/>
    <w:rsid w:val="00EE2816"/>
    <w:rsid w:val="00EE2C95"/>
    <w:rsid w:val="00EE3EC5"/>
    <w:rsid w:val="00EE4121"/>
    <w:rsid w:val="00EE4267"/>
    <w:rsid w:val="00EE51BA"/>
    <w:rsid w:val="00EE67AA"/>
    <w:rsid w:val="00EE6A93"/>
    <w:rsid w:val="00EE6B49"/>
    <w:rsid w:val="00EE6C78"/>
    <w:rsid w:val="00EE7DC2"/>
    <w:rsid w:val="00EF0530"/>
    <w:rsid w:val="00EF096E"/>
    <w:rsid w:val="00EF0CF3"/>
    <w:rsid w:val="00EF157D"/>
    <w:rsid w:val="00EF163C"/>
    <w:rsid w:val="00EF18F4"/>
    <w:rsid w:val="00EF1D7E"/>
    <w:rsid w:val="00EF2387"/>
    <w:rsid w:val="00EF23CD"/>
    <w:rsid w:val="00EF26A8"/>
    <w:rsid w:val="00EF2CA7"/>
    <w:rsid w:val="00EF351D"/>
    <w:rsid w:val="00EF36A9"/>
    <w:rsid w:val="00EF3CBE"/>
    <w:rsid w:val="00EF4631"/>
    <w:rsid w:val="00EF47D2"/>
    <w:rsid w:val="00EF4B85"/>
    <w:rsid w:val="00EF508C"/>
    <w:rsid w:val="00EF5507"/>
    <w:rsid w:val="00EF5580"/>
    <w:rsid w:val="00EF5746"/>
    <w:rsid w:val="00EF6A5B"/>
    <w:rsid w:val="00F0048F"/>
    <w:rsid w:val="00F0095F"/>
    <w:rsid w:val="00F00BCA"/>
    <w:rsid w:val="00F011C9"/>
    <w:rsid w:val="00F018EA"/>
    <w:rsid w:val="00F01B0E"/>
    <w:rsid w:val="00F0231B"/>
    <w:rsid w:val="00F0248B"/>
    <w:rsid w:val="00F026D9"/>
    <w:rsid w:val="00F02F73"/>
    <w:rsid w:val="00F0307A"/>
    <w:rsid w:val="00F03252"/>
    <w:rsid w:val="00F0335B"/>
    <w:rsid w:val="00F0337C"/>
    <w:rsid w:val="00F03578"/>
    <w:rsid w:val="00F037CB"/>
    <w:rsid w:val="00F05F6B"/>
    <w:rsid w:val="00F06765"/>
    <w:rsid w:val="00F06F77"/>
    <w:rsid w:val="00F0701B"/>
    <w:rsid w:val="00F07094"/>
    <w:rsid w:val="00F07337"/>
    <w:rsid w:val="00F07BA6"/>
    <w:rsid w:val="00F107B0"/>
    <w:rsid w:val="00F10D56"/>
    <w:rsid w:val="00F10DE4"/>
    <w:rsid w:val="00F11156"/>
    <w:rsid w:val="00F12C15"/>
    <w:rsid w:val="00F13A7F"/>
    <w:rsid w:val="00F1466F"/>
    <w:rsid w:val="00F1492F"/>
    <w:rsid w:val="00F14A39"/>
    <w:rsid w:val="00F158C2"/>
    <w:rsid w:val="00F160B6"/>
    <w:rsid w:val="00F17FEB"/>
    <w:rsid w:val="00F208E4"/>
    <w:rsid w:val="00F20BF5"/>
    <w:rsid w:val="00F20D74"/>
    <w:rsid w:val="00F20FF6"/>
    <w:rsid w:val="00F213FA"/>
    <w:rsid w:val="00F216BC"/>
    <w:rsid w:val="00F22BF8"/>
    <w:rsid w:val="00F23983"/>
    <w:rsid w:val="00F2425D"/>
    <w:rsid w:val="00F2484E"/>
    <w:rsid w:val="00F24930"/>
    <w:rsid w:val="00F249A1"/>
    <w:rsid w:val="00F24BD6"/>
    <w:rsid w:val="00F24F3F"/>
    <w:rsid w:val="00F2630B"/>
    <w:rsid w:val="00F26726"/>
    <w:rsid w:val="00F268D1"/>
    <w:rsid w:val="00F26A22"/>
    <w:rsid w:val="00F26E47"/>
    <w:rsid w:val="00F2725B"/>
    <w:rsid w:val="00F275F0"/>
    <w:rsid w:val="00F27998"/>
    <w:rsid w:val="00F3124E"/>
    <w:rsid w:val="00F31380"/>
    <w:rsid w:val="00F31724"/>
    <w:rsid w:val="00F31861"/>
    <w:rsid w:val="00F31BFA"/>
    <w:rsid w:val="00F31D70"/>
    <w:rsid w:val="00F32682"/>
    <w:rsid w:val="00F32982"/>
    <w:rsid w:val="00F32B21"/>
    <w:rsid w:val="00F32DFD"/>
    <w:rsid w:val="00F3350E"/>
    <w:rsid w:val="00F3383C"/>
    <w:rsid w:val="00F3398E"/>
    <w:rsid w:val="00F33ABA"/>
    <w:rsid w:val="00F33C25"/>
    <w:rsid w:val="00F33DE2"/>
    <w:rsid w:val="00F33FD1"/>
    <w:rsid w:val="00F34C93"/>
    <w:rsid w:val="00F3503F"/>
    <w:rsid w:val="00F35220"/>
    <w:rsid w:val="00F36044"/>
    <w:rsid w:val="00F36CD6"/>
    <w:rsid w:val="00F36D26"/>
    <w:rsid w:val="00F372DB"/>
    <w:rsid w:val="00F3734C"/>
    <w:rsid w:val="00F3758C"/>
    <w:rsid w:val="00F3772B"/>
    <w:rsid w:val="00F37AF2"/>
    <w:rsid w:val="00F40495"/>
    <w:rsid w:val="00F40748"/>
    <w:rsid w:val="00F40B36"/>
    <w:rsid w:val="00F40F56"/>
    <w:rsid w:val="00F41825"/>
    <w:rsid w:val="00F42545"/>
    <w:rsid w:val="00F42F2E"/>
    <w:rsid w:val="00F432D8"/>
    <w:rsid w:val="00F43907"/>
    <w:rsid w:val="00F44938"/>
    <w:rsid w:val="00F44DCB"/>
    <w:rsid w:val="00F44FD4"/>
    <w:rsid w:val="00F455E5"/>
    <w:rsid w:val="00F45DB0"/>
    <w:rsid w:val="00F465E6"/>
    <w:rsid w:val="00F46BBB"/>
    <w:rsid w:val="00F46E49"/>
    <w:rsid w:val="00F4736E"/>
    <w:rsid w:val="00F5029F"/>
    <w:rsid w:val="00F503C3"/>
    <w:rsid w:val="00F50421"/>
    <w:rsid w:val="00F5050C"/>
    <w:rsid w:val="00F50CF1"/>
    <w:rsid w:val="00F50D0C"/>
    <w:rsid w:val="00F51BAF"/>
    <w:rsid w:val="00F5243D"/>
    <w:rsid w:val="00F52AE7"/>
    <w:rsid w:val="00F52BC6"/>
    <w:rsid w:val="00F53555"/>
    <w:rsid w:val="00F53AEE"/>
    <w:rsid w:val="00F53CB1"/>
    <w:rsid w:val="00F53ECE"/>
    <w:rsid w:val="00F545E7"/>
    <w:rsid w:val="00F54AB6"/>
    <w:rsid w:val="00F5501F"/>
    <w:rsid w:val="00F55BAF"/>
    <w:rsid w:val="00F56141"/>
    <w:rsid w:val="00F566D3"/>
    <w:rsid w:val="00F56B9F"/>
    <w:rsid w:val="00F56E10"/>
    <w:rsid w:val="00F574FF"/>
    <w:rsid w:val="00F575C7"/>
    <w:rsid w:val="00F57C1F"/>
    <w:rsid w:val="00F6036E"/>
    <w:rsid w:val="00F60482"/>
    <w:rsid w:val="00F6050E"/>
    <w:rsid w:val="00F60675"/>
    <w:rsid w:val="00F60678"/>
    <w:rsid w:val="00F60F16"/>
    <w:rsid w:val="00F613AE"/>
    <w:rsid w:val="00F616B2"/>
    <w:rsid w:val="00F61A15"/>
    <w:rsid w:val="00F61B0A"/>
    <w:rsid w:val="00F61CC8"/>
    <w:rsid w:val="00F61F94"/>
    <w:rsid w:val="00F6328E"/>
    <w:rsid w:val="00F6377D"/>
    <w:rsid w:val="00F63E3F"/>
    <w:rsid w:val="00F64032"/>
    <w:rsid w:val="00F66F79"/>
    <w:rsid w:val="00F67466"/>
    <w:rsid w:val="00F701C4"/>
    <w:rsid w:val="00F70B27"/>
    <w:rsid w:val="00F70C0A"/>
    <w:rsid w:val="00F72728"/>
    <w:rsid w:val="00F72A75"/>
    <w:rsid w:val="00F7351F"/>
    <w:rsid w:val="00F73D12"/>
    <w:rsid w:val="00F73F41"/>
    <w:rsid w:val="00F7400A"/>
    <w:rsid w:val="00F74684"/>
    <w:rsid w:val="00F75112"/>
    <w:rsid w:val="00F75A3A"/>
    <w:rsid w:val="00F75DBE"/>
    <w:rsid w:val="00F7636C"/>
    <w:rsid w:val="00F77C44"/>
    <w:rsid w:val="00F77F62"/>
    <w:rsid w:val="00F80094"/>
    <w:rsid w:val="00F8077F"/>
    <w:rsid w:val="00F80784"/>
    <w:rsid w:val="00F81269"/>
    <w:rsid w:val="00F81685"/>
    <w:rsid w:val="00F82CE8"/>
    <w:rsid w:val="00F83282"/>
    <w:rsid w:val="00F840E1"/>
    <w:rsid w:val="00F842D9"/>
    <w:rsid w:val="00F84481"/>
    <w:rsid w:val="00F84D7B"/>
    <w:rsid w:val="00F84EC3"/>
    <w:rsid w:val="00F857F9"/>
    <w:rsid w:val="00F85A42"/>
    <w:rsid w:val="00F86344"/>
    <w:rsid w:val="00F86704"/>
    <w:rsid w:val="00F86807"/>
    <w:rsid w:val="00F86CDB"/>
    <w:rsid w:val="00F87713"/>
    <w:rsid w:val="00F90240"/>
    <w:rsid w:val="00F903C3"/>
    <w:rsid w:val="00F9044D"/>
    <w:rsid w:val="00F906C9"/>
    <w:rsid w:val="00F90E07"/>
    <w:rsid w:val="00F91739"/>
    <w:rsid w:val="00F91B85"/>
    <w:rsid w:val="00F91FB6"/>
    <w:rsid w:val="00F91FDA"/>
    <w:rsid w:val="00F920AF"/>
    <w:rsid w:val="00F94412"/>
    <w:rsid w:val="00F94A2B"/>
    <w:rsid w:val="00F950D7"/>
    <w:rsid w:val="00F9528B"/>
    <w:rsid w:val="00F9549D"/>
    <w:rsid w:val="00F95777"/>
    <w:rsid w:val="00F95F08"/>
    <w:rsid w:val="00F95FB8"/>
    <w:rsid w:val="00F967C8"/>
    <w:rsid w:val="00F97049"/>
    <w:rsid w:val="00F9711E"/>
    <w:rsid w:val="00F978EA"/>
    <w:rsid w:val="00F97B17"/>
    <w:rsid w:val="00F97B59"/>
    <w:rsid w:val="00F97F8E"/>
    <w:rsid w:val="00F97FF1"/>
    <w:rsid w:val="00FA0A63"/>
    <w:rsid w:val="00FA0AA4"/>
    <w:rsid w:val="00FA1595"/>
    <w:rsid w:val="00FA202F"/>
    <w:rsid w:val="00FA20A7"/>
    <w:rsid w:val="00FA22B0"/>
    <w:rsid w:val="00FA275E"/>
    <w:rsid w:val="00FA2EDC"/>
    <w:rsid w:val="00FA3AA0"/>
    <w:rsid w:val="00FA3C1B"/>
    <w:rsid w:val="00FA467E"/>
    <w:rsid w:val="00FA499A"/>
    <w:rsid w:val="00FA524E"/>
    <w:rsid w:val="00FA5278"/>
    <w:rsid w:val="00FA56EA"/>
    <w:rsid w:val="00FA58CE"/>
    <w:rsid w:val="00FA61FC"/>
    <w:rsid w:val="00FA629E"/>
    <w:rsid w:val="00FA635A"/>
    <w:rsid w:val="00FA6B64"/>
    <w:rsid w:val="00FA6CB9"/>
    <w:rsid w:val="00FA70F6"/>
    <w:rsid w:val="00FA7123"/>
    <w:rsid w:val="00FA783C"/>
    <w:rsid w:val="00FB0041"/>
    <w:rsid w:val="00FB049C"/>
    <w:rsid w:val="00FB1528"/>
    <w:rsid w:val="00FB1573"/>
    <w:rsid w:val="00FB16DB"/>
    <w:rsid w:val="00FB1AB3"/>
    <w:rsid w:val="00FB20B2"/>
    <w:rsid w:val="00FB3545"/>
    <w:rsid w:val="00FB354D"/>
    <w:rsid w:val="00FB415F"/>
    <w:rsid w:val="00FB41F7"/>
    <w:rsid w:val="00FB42D5"/>
    <w:rsid w:val="00FB43DD"/>
    <w:rsid w:val="00FB4CAB"/>
    <w:rsid w:val="00FB5497"/>
    <w:rsid w:val="00FB5FC8"/>
    <w:rsid w:val="00FB6B2D"/>
    <w:rsid w:val="00FB6EC6"/>
    <w:rsid w:val="00FB6F0E"/>
    <w:rsid w:val="00FB7D0B"/>
    <w:rsid w:val="00FC0A4F"/>
    <w:rsid w:val="00FC26A1"/>
    <w:rsid w:val="00FC2790"/>
    <w:rsid w:val="00FC2F1D"/>
    <w:rsid w:val="00FC2F26"/>
    <w:rsid w:val="00FC2F7D"/>
    <w:rsid w:val="00FC36C7"/>
    <w:rsid w:val="00FC3A5F"/>
    <w:rsid w:val="00FC62E1"/>
    <w:rsid w:val="00FC6A78"/>
    <w:rsid w:val="00FC7002"/>
    <w:rsid w:val="00FC799B"/>
    <w:rsid w:val="00FC7D78"/>
    <w:rsid w:val="00FD009C"/>
    <w:rsid w:val="00FD00AC"/>
    <w:rsid w:val="00FD0244"/>
    <w:rsid w:val="00FD0677"/>
    <w:rsid w:val="00FD0679"/>
    <w:rsid w:val="00FD0924"/>
    <w:rsid w:val="00FD0F12"/>
    <w:rsid w:val="00FD1DD0"/>
    <w:rsid w:val="00FD1FBC"/>
    <w:rsid w:val="00FD2099"/>
    <w:rsid w:val="00FD2674"/>
    <w:rsid w:val="00FD296D"/>
    <w:rsid w:val="00FD2BB0"/>
    <w:rsid w:val="00FD30F9"/>
    <w:rsid w:val="00FD34A4"/>
    <w:rsid w:val="00FD35CC"/>
    <w:rsid w:val="00FD3BE1"/>
    <w:rsid w:val="00FD5105"/>
    <w:rsid w:val="00FD55D8"/>
    <w:rsid w:val="00FD5B9C"/>
    <w:rsid w:val="00FD5C71"/>
    <w:rsid w:val="00FD6991"/>
    <w:rsid w:val="00FD717C"/>
    <w:rsid w:val="00FD7324"/>
    <w:rsid w:val="00FD7830"/>
    <w:rsid w:val="00FD7BA3"/>
    <w:rsid w:val="00FD7CEF"/>
    <w:rsid w:val="00FD7FB7"/>
    <w:rsid w:val="00FE0024"/>
    <w:rsid w:val="00FE04DF"/>
    <w:rsid w:val="00FE10C9"/>
    <w:rsid w:val="00FE1895"/>
    <w:rsid w:val="00FE28F6"/>
    <w:rsid w:val="00FE2B4B"/>
    <w:rsid w:val="00FE2C0A"/>
    <w:rsid w:val="00FE2D2D"/>
    <w:rsid w:val="00FE32DB"/>
    <w:rsid w:val="00FE396F"/>
    <w:rsid w:val="00FE3ABF"/>
    <w:rsid w:val="00FE3FC1"/>
    <w:rsid w:val="00FE403B"/>
    <w:rsid w:val="00FE408E"/>
    <w:rsid w:val="00FE5C2D"/>
    <w:rsid w:val="00FE5FD3"/>
    <w:rsid w:val="00FE6021"/>
    <w:rsid w:val="00FE6368"/>
    <w:rsid w:val="00FF0937"/>
    <w:rsid w:val="00FF09EE"/>
    <w:rsid w:val="00FF19F6"/>
    <w:rsid w:val="00FF26F6"/>
    <w:rsid w:val="00FF39B1"/>
    <w:rsid w:val="00FF3B95"/>
    <w:rsid w:val="00FF3BBE"/>
    <w:rsid w:val="00FF3C6E"/>
    <w:rsid w:val="00FF3E48"/>
    <w:rsid w:val="00FF3F1B"/>
    <w:rsid w:val="00FF44A6"/>
    <w:rsid w:val="00FF44B7"/>
    <w:rsid w:val="00FF4D4D"/>
    <w:rsid w:val="00FF5191"/>
    <w:rsid w:val="00FF57B6"/>
    <w:rsid w:val="00FF5DC3"/>
    <w:rsid w:val="00FF5EF0"/>
    <w:rsid w:val="00FF61D3"/>
    <w:rsid w:val="00FF64B9"/>
    <w:rsid w:val="00FF6C1D"/>
    <w:rsid w:val="00FF7574"/>
    <w:rsid w:val="00FF794B"/>
    <w:rsid w:val="00FF79F2"/>
    <w:rsid w:val="00FF7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09816"/>
  <w15:chartTrackingRefBased/>
  <w15:docId w15:val="{332F398D-CEEF-45D8-9D2D-C6E070B4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4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75A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915EB"/>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A0CA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345A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844E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8844E4"/>
    <w:rPr>
      <w:rFonts w:asciiTheme="minorHAnsi" w:hAnsiTheme="minorHAnsi"/>
      <w:sz w:val="20"/>
      <w:szCs w:val="20"/>
    </w:rPr>
  </w:style>
  <w:style w:type="character" w:styleId="FootnoteReference">
    <w:name w:val="footnote reference"/>
    <w:basedOn w:val="DefaultParagraphFont"/>
    <w:uiPriority w:val="99"/>
    <w:semiHidden/>
    <w:unhideWhenUsed/>
    <w:rsid w:val="008844E4"/>
    <w:rPr>
      <w:vertAlign w:val="superscript"/>
    </w:rPr>
  </w:style>
  <w:style w:type="paragraph" w:styleId="ListParagraph">
    <w:name w:val="List Paragraph"/>
    <w:basedOn w:val="Normal"/>
    <w:uiPriority w:val="34"/>
    <w:qFormat/>
    <w:rsid w:val="008844E4"/>
    <w:pPr>
      <w:ind w:left="720"/>
      <w:contextualSpacing/>
    </w:pPr>
    <w:rPr>
      <w:rFonts w:asciiTheme="minorHAnsi" w:hAnsiTheme="minorHAnsi"/>
      <w:sz w:val="22"/>
    </w:rPr>
  </w:style>
  <w:style w:type="character" w:styleId="CommentReference">
    <w:name w:val="annotation reference"/>
    <w:basedOn w:val="DefaultParagraphFont"/>
    <w:uiPriority w:val="99"/>
    <w:semiHidden/>
    <w:unhideWhenUsed/>
    <w:rsid w:val="008844E4"/>
    <w:rPr>
      <w:sz w:val="16"/>
      <w:szCs w:val="16"/>
    </w:rPr>
  </w:style>
  <w:style w:type="paragraph" w:styleId="CommentText">
    <w:name w:val="annotation text"/>
    <w:basedOn w:val="Normal"/>
    <w:link w:val="CommentTextChar"/>
    <w:uiPriority w:val="99"/>
    <w:semiHidden/>
    <w:unhideWhenUsed/>
    <w:rsid w:val="008844E4"/>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8844E4"/>
    <w:rPr>
      <w:rFonts w:asciiTheme="minorHAnsi" w:hAnsiTheme="minorHAnsi"/>
      <w:sz w:val="20"/>
      <w:szCs w:val="20"/>
    </w:rPr>
  </w:style>
  <w:style w:type="paragraph" w:styleId="BalloonText">
    <w:name w:val="Balloon Text"/>
    <w:basedOn w:val="Normal"/>
    <w:link w:val="BalloonTextChar"/>
    <w:uiPriority w:val="99"/>
    <w:semiHidden/>
    <w:unhideWhenUsed/>
    <w:rsid w:val="008844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4E4"/>
    <w:rPr>
      <w:rFonts w:ascii="Segoe UI" w:hAnsi="Segoe UI" w:cs="Segoe UI"/>
      <w:sz w:val="18"/>
      <w:szCs w:val="18"/>
    </w:rPr>
  </w:style>
  <w:style w:type="paragraph" w:styleId="Header">
    <w:name w:val="header"/>
    <w:basedOn w:val="Normal"/>
    <w:link w:val="HeaderChar"/>
    <w:uiPriority w:val="99"/>
    <w:unhideWhenUsed/>
    <w:rsid w:val="008844E4"/>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8844E4"/>
    <w:rPr>
      <w:rFonts w:asciiTheme="minorHAnsi" w:hAnsiTheme="minorHAnsi"/>
      <w:sz w:val="22"/>
    </w:rPr>
  </w:style>
  <w:style w:type="paragraph" w:styleId="Footer">
    <w:name w:val="footer"/>
    <w:basedOn w:val="Normal"/>
    <w:link w:val="FooterChar"/>
    <w:uiPriority w:val="99"/>
    <w:unhideWhenUsed/>
    <w:rsid w:val="008844E4"/>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8844E4"/>
    <w:rPr>
      <w:rFonts w:asciiTheme="minorHAnsi" w:hAnsiTheme="minorHAnsi"/>
      <w:sz w:val="22"/>
    </w:rPr>
  </w:style>
  <w:style w:type="paragraph" w:styleId="Revision">
    <w:name w:val="Revision"/>
    <w:hidden/>
    <w:uiPriority w:val="99"/>
    <w:semiHidden/>
    <w:rsid w:val="008844E4"/>
    <w:pPr>
      <w:spacing w:after="0" w:line="240" w:lineRule="auto"/>
    </w:pPr>
    <w:rPr>
      <w:rFonts w:asciiTheme="minorHAnsi" w:hAnsiTheme="minorHAnsi"/>
      <w:sz w:val="22"/>
    </w:rPr>
  </w:style>
  <w:style w:type="character" w:styleId="Hyperlink">
    <w:name w:val="Hyperlink"/>
    <w:basedOn w:val="DefaultParagraphFont"/>
    <w:uiPriority w:val="99"/>
    <w:unhideWhenUsed/>
    <w:rsid w:val="008844E4"/>
    <w:rPr>
      <w:color w:val="0563C1" w:themeColor="hyperlink"/>
      <w:u w:val="single"/>
    </w:rPr>
  </w:style>
  <w:style w:type="character" w:styleId="UnresolvedMention">
    <w:name w:val="Unresolved Mention"/>
    <w:basedOn w:val="DefaultParagraphFont"/>
    <w:uiPriority w:val="99"/>
    <w:semiHidden/>
    <w:unhideWhenUsed/>
    <w:rsid w:val="008844E4"/>
    <w:rPr>
      <w:color w:val="605E5C"/>
      <w:shd w:val="clear" w:color="auto" w:fill="E1DFDD"/>
    </w:rPr>
  </w:style>
  <w:style w:type="character" w:styleId="EndnoteReference">
    <w:name w:val="endnote reference"/>
    <w:basedOn w:val="DefaultParagraphFont"/>
    <w:uiPriority w:val="99"/>
    <w:semiHidden/>
    <w:unhideWhenUsed/>
    <w:rsid w:val="008844E4"/>
    <w:rPr>
      <w:vertAlign w:val="superscript"/>
    </w:rPr>
  </w:style>
  <w:style w:type="table" w:styleId="TableGrid">
    <w:name w:val="Table Grid"/>
    <w:basedOn w:val="TableNormal"/>
    <w:uiPriority w:val="39"/>
    <w:rsid w:val="008844E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844E4"/>
    <w:rPr>
      <w:color w:val="954F72"/>
      <w:u w:val="single"/>
    </w:rPr>
  </w:style>
  <w:style w:type="paragraph" w:customStyle="1" w:styleId="msonormal0">
    <w:name w:val="msonormal"/>
    <w:basedOn w:val="Normal"/>
    <w:rsid w:val="008844E4"/>
    <w:pPr>
      <w:spacing w:before="100" w:beforeAutospacing="1" w:after="100" w:afterAutospacing="1" w:line="240" w:lineRule="auto"/>
    </w:pPr>
    <w:rPr>
      <w:rFonts w:ascii="Times New Roman" w:eastAsia="Times New Roman" w:hAnsi="Times New Roman" w:cs="Times New Roman"/>
      <w:szCs w:val="24"/>
    </w:rPr>
  </w:style>
  <w:style w:type="paragraph" w:customStyle="1" w:styleId="xl65">
    <w:name w:val="xl65"/>
    <w:basedOn w:val="Normal"/>
    <w:rsid w:val="00884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66">
    <w:name w:val="xl66"/>
    <w:basedOn w:val="Normal"/>
    <w:rsid w:val="00884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Cs w:val="24"/>
    </w:rPr>
  </w:style>
  <w:style w:type="paragraph" w:customStyle="1" w:styleId="xl67">
    <w:name w:val="xl67"/>
    <w:basedOn w:val="Normal"/>
    <w:rsid w:val="008844E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68">
    <w:name w:val="xl68"/>
    <w:basedOn w:val="Normal"/>
    <w:rsid w:val="008844E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69">
    <w:name w:val="xl69"/>
    <w:basedOn w:val="Normal"/>
    <w:rsid w:val="008844E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0">
    <w:name w:val="xl70"/>
    <w:basedOn w:val="Normal"/>
    <w:rsid w:val="008844E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1">
    <w:name w:val="xl71"/>
    <w:basedOn w:val="Normal"/>
    <w:rsid w:val="008844E4"/>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2">
    <w:name w:val="xl72"/>
    <w:basedOn w:val="Normal"/>
    <w:rsid w:val="008844E4"/>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3">
    <w:name w:val="xl73"/>
    <w:basedOn w:val="Normal"/>
    <w:rsid w:val="008844E4"/>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4">
    <w:name w:val="xl74"/>
    <w:basedOn w:val="Normal"/>
    <w:rsid w:val="008844E4"/>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5">
    <w:name w:val="xl75"/>
    <w:basedOn w:val="Normal"/>
    <w:rsid w:val="008844E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6">
    <w:name w:val="xl76"/>
    <w:basedOn w:val="Normal"/>
    <w:rsid w:val="008844E4"/>
    <w:pPr>
      <w:pBdr>
        <w:top w:val="single" w:sz="4" w:space="0" w:color="auto"/>
        <w:left w:val="single" w:sz="4" w:space="0" w:color="auto"/>
        <w:bottom w:val="single" w:sz="4" w:space="0" w:color="auto"/>
        <w:right w:val="single" w:sz="4" w:space="0" w:color="auto"/>
      </w:pBdr>
      <w:shd w:val="clear" w:color="000000" w:fill="DDDDDD"/>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7">
    <w:name w:val="xl77"/>
    <w:basedOn w:val="Normal"/>
    <w:rsid w:val="008844E4"/>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line="240" w:lineRule="auto"/>
      <w:textAlignment w:val="top"/>
    </w:pPr>
    <w:rPr>
      <w:rFonts w:ascii="Times New Roman" w:eastAsia="Times New Roman" w:hAnsi="Times New Roman" w:cs="Times New Roman"/>
      <w:szCs w:val="24"/>
    </w:rPr>
  </w:style>
  <w:style w:type="paragraph" w:customStyle="1" w:styleId="xl78">
    <w:name w:val="xl78"/>
    <w:basedOn w:val="Normal"/>
    <w:rsid w:val="008844E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Cs w:val="24"/>
    </w:rPr>
  </w:style>
  <w:style w:type="paragraph" w:styleId="NoSpacing">
    <w:name w:val="No Spacing"/>
    <w:link w:val="NoSpacingChar"/>
    <w:uiPriority w:val="1"/>
    <w:qFormat/>
    <w:rsid w:val="008844E4"/>
    <w:pPr>
      <w:spacing w:after="0"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8844E4"/>
    <w:rPr>
      <w:rFonts w:asciiTheme="minorHAnsi" w:eastAsiaTheme="minorEastAsia" w:hAnsiTheme="minorHAnsi"/>
      <w:sz w:val="22"/>
    </w:rPr>
  </w:style>
  <w:style w:type="character" w:customStyle="1" w:styleId="Heading1Char">
    <w:name w:val="Heading 1 Char"/>
    <w:basedOn w:val="DefaultParagraphFont"/>
    <w:link w:val="Heading1"/>
    <w:uiPriority w:val="9"/>
    <w:rsid w:val="008844E4"/>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rsid w:val="009955E6"/>
    <w:pPr>
      <w:tabs>
        <w:tab w:val="right" w:leader="dot" w:pos="9350"/>
      </w:tabs>
      <w:spacing w:after="0" w:line="240" w:lineRule="auto"/>
    </w:pPr>
    <w:rPr>
      <w:rFonts w:eastAsia="Times New Roman" w:cs="Arial"/>
      <w:szCs w:val="24"/>
    </w:rPr>
  </w:style>
  <w:style w:type="paragraph" w:styleId="TOC2">
    <w:name w:val="toc 2"/>
    <w:basedOn w:val="Normal"/>
    <w:next w:val="Normal"/>
    <w:autoRedefine/>
    <w:uiPriority w:val="39"/>
    <w:rsid w:val="006534A1"/>
    <w:pPr>
      <w:spacing w:after="0" w:line="240" w:lineRule="auto"/>
      <w:ind w:left="240"/>
    </w:pPr>
    <w:rPr>
      <w:rFonts w:eastAsia="Times New Roman" w:cs="Arial"/>
      <w:szCs w:val="24"/>
    </w:rPr>
  </w:style>
  <w:style w:type="paragraph" w:styleId="TOC3">
    <w:name w:val="toc 3"/>
    <w:basedOn w:val="Normal"/>
    <w:next w:val="Normal"/>
    <w:autoRedefine/>
    <w:uiPriority w:val="39"/>
    <w:rsid w:val="006534A1"/>
    <w:pPr>
      <w:spacing w:after="0" w:line="240" w:lineRule="auto"/>
      <w:ind w:left="480"/>
    </w:pPr>
    <w:rPr>
      <w:rFonts w:eastAsia="Times New Roman" w:cs="Arial"/>
      <w:szCs w:val="24"/>
    </w:rPr>
  </w:style>
  <w:style w:type="paragraph" w:styleId="TOCHeading">
    <w:name w:val="TOC Heading"/>
    <w:basedOn w:val="Heading1"/>
    <w:next w:val="Normal"/>
    <w:autoRedefine/>
    <w:uiPriority w:val="39"/>
    <w:unhideWhenUsed/>
    <w:qFormat/>
    <w:rsid w:val="006534A1"/>
    <w:pPr>
      <w:spacing w:after="120"/>
      <w:jc w:val="center"/>
      <w:outlineLvl w:val="9"/>
    </w:pPr>
    <w:rPr>
      <w:rFonts w:ascii="Arial" w:eastAsia="Times New Roman" w:hAnsi="Arial" w:cs="Arial"/>
      <w:b/>
      <w:caps/>
      <w:color w:val="auto"/>
      <w:sz w:val="28"/>
      <w:szCs w:val="24"/>
    </w:rPr>
  </w:style>
  <w:style w:type="paragraph" w:styleId="TableofFigures">
    <w:name w:val="table of figures"/>
    <w:basedOn w:val="Normal"/>
    <w:next w:val="Normal"/>
    <w:uiPriority w:val="99"/>
    <w:rsid w:val="00B43A3E"/>
    <w:pPr>
      <w:spacing w:after="0" w:line="240" w:lineRule="auto"/>
      <w:ind w:left="480" w:hanging="480"/>
    </w:pPr>
    <w:rPr>
      <w:rFonts w:eastAsia="Times New Roman" w:cs="Arial"/>
      <w:szCs w:val="24"/>
    </w:rPr>
  </w:style>
  <w:style w:type="paragraph" w:customStyle="1" w:styleId="AltHeading1">
    <w:name w:val="AltHeading1"/>
    <w:basedOn w:val="Heading1"/>
    <w:autoRedefine/>
    <w:qFormat/>
    <w:rsid w:val="00332B47"/>
    <w:pPr>
      <w:keepNext w:val="0"/>
      <w:keepLines w:val="0"/>
      <w:numPr>
        <w:ilvl w:val="12"/>
      </w:numPr>
      <w:autoSpaceDE w:val="0"/>
      <w:autoSpaceDN w:val="0"/>
      <w:adjustRightInd w:val="0"/>
      <w:spacing w:before="120" w:after="120" w:line="360" w:lineRule="auto"/>
      <w:jc w:val="center"/>
    </w:pPr>
    <w:rPr>
      <w:rFonts w:ascii="Arial" w:eastAsia="Times New Roman" w:hAnsi="Arial" w:cs="Arial"/>
      <w:b/>
      <w:caps/>
      <w:color w:val="000000" w:themeColor="text1"/>
      <w:sz w:val="24"/>
      <w:szCs w:val="24"/>
    </w:rPr>
  </w:style>
  <w:style w:type="paragraph" w:styleId="Bibliography">
    <w:name w:val="Bibliography"/>
    <w:basedOn w:val="Normal"/>
    <w:next w:val="Normal"/>
    <w:uiPriority w:val="37"/>
    <w:unhideWhenUsed/>
    <w:rsid w:val="00C25FEE"/>
  </w:style>
  <w:style w:type="table" w:customStyle="1" w:styleId="TableGrid1">
    <w:name w:val="Table Grid1"/>
    <w:basedOn w:val="TableNormal"/>
    <w:next w:val="TableGrid"/>
    <w:uiPriority w:val="39"/>
    <w:rsid w:val="004225C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UTK">
    <w:name w:val="Heading 2 UTK"/>
    <w:basedOn w:val="Normal"/>
    <w:link w:val="Heading2UTKChar"/>
    <w:qFormat/>
    <w:rsid w:val="008E29FB"/>
    <w:pPr>
      <w:jc w:val="center"/>
    </w:pPr>
    <w:rPr>
      <w:rFonts w:cs="Arial"/>
      <w:b/>
      <w:bCs/>
      <w:iCs/>
      <w:szCs w:val="24"/>
    </w:rPr>
  </w:style>
  <w:style w:type="paragraph" w:customStyle="1" w:styleId="Heading3UTK">
    <w:name w:val="Heading 3 UTK"/>
    <w:basedOn w:val="Normal"/>
    <w:link w:val="Heading3UTKChar"/>
    <w:qFormat/>
    <w:rsid w:val="008E29FB"/>
    <w:pPr>
      <w:spacing w:after="0" w:line="480" w:lineRule="auto"/>
    </w:pPr>
    <w:rPr>
      <w:rFonts w:cs="Arial"/>
      <w:b/>
      <w:i/>
      <w:szCs w:val="24"/>
    </w:rPr>
  </w:style>
  <w:style w:type="character" w:customStyle="1" w:styleId="Heading2UTKChar">
    <w:name w:val="Heading 2 UTK Char"/>
    <w:basedOn w:val="DefaultParagraphFont"/>
    <w:link w:val="Heading2UTK"/>
    <w:rsid w:val="008E29FB"/>
    <w:rPr>
      <w:rFonts w:cs="Arial"/>
      <w:b/>
      <w:bCs/>
      <w:iCs/>
      <w:szCs w:val="24"/>
    </w:rPr>
  </w:style>
  <w:style w:type="paragraph" w:customStyle="1" w:styleId="Heading4UTK">
    <w:name w:val="Heading 4 UTK"/>
    <w:basedOn w:val="Normal"/>
    <w:link w:val="Heading4UTKChar"/>
    <w:qFormat/>
    <w:rsid w:val="00C77FC8"/>
    <w:pPr>
      <w:spacing w:line="480" w:lineRule="auto"/>
    </w:pPr>
    <w:rPr>
      <w:rFonts w:cs="Arial"/>
      <w:i/>
      <w:iCs/>
      <w:szCs w:val="24"/>
    </w:rPr>
  </w:style>
  <w:style w:type="character" w:customStyle="1" w:styleId="Heading3UTKChar">
    <w:name w:val="Heading 3 UTK Char"/>
    <w:basedOn w:val="DefaultParagraphFont"/>
    <w:link w:val="Heading3UTK"/>
    <w:rsid w:val="008E29FB"/>
    <w:rPr>
      <w:rFonts w:cs="Arial"/>
      <w:b/>
      <w:i/>
      <w:szCs w:val="24"/>
    </w:rPr>
  </w:style>
  <w:style w:type="paragraph" w:customStyle="1" w:styleId="Heading1UTK">
    <w:name w:val="Heading 1 UTK"/>
    <w:basedOn w:val="Normal"/>
    <w:link w:val="Heading1UTKChar"/>
    <w:qFormat/>
    <w:rsid w:val="00483388"/>
    <w:pPr>
      <w:jc w:val="center"/>
    </w:pPr>
    <w:rPr>
      <w:rFonts w:cs="Arial"/>
      <w:b/>
      <w:bCs/>
      <w:szCs w:val="24"/>
    </w:rPr>
  </w:style>
  <w:style w:type="character" w:customStyle="1" w:styleId="Heading4UTKChar">
    <w:name w:val="Heading 4 UTK Char"/>
    <w:basedOn w:val="DefaultParagraphFont"/>
    <w:link w:val="Heading4UTK"/>
    <w:rsid w:val="00C77FC8"/>
    <w:rPr>
      <w:rFonts w:cs="Arial"/>
      <w:i/>
      <w:iCs/>
      <w:szCs w:val="24"/>
    </w:rPr>
  </w:style>
  <w:style w:type="character" w:customStyle="1" w:styleId="Heading2Char">
    <w:name w:val="Heading 2 Char"/>
    <w:basedOn w:val="DefaultParagraphFont"/>
    <w:link w:val="Heading2"/>
    <w:uiPriority w:val="9"/>
    <w:rsid w:val="00075A3B"/>
    <w:rPr>
      <w:rFonts w:asciiTheme="majorHAnsi" w:eastAsiaTheme="majorEastAsia" w:hAnsiTheme="majorHAnsi" w:cstheme="majorBidi"/>
      <w:color w:val="2F5496" w:themeColor="accent1" w:themeShade="BF"/>
      <w:sz w:val="26"/>
      <w:szCs w:val="26"/>
    </w:rPr>
  </w:style>
  <w:style w:type="character" w:customStyle="1" w:styleId="Heading1UTKChar">
    <w:name w:val="Heading 1 UTK Char"/>
    <w:basedOn w:val="DefaultParagraphFont"/>
    <w:link w:val="Heading1UTK"/>
    <w:rsid w:val="00483388"/>
    <w:rPr>
      <w:rFonts w:cs="Arial"/>
      <w:b/>
      <w:bCs/>
      <w:szCs w:val="24"/>
    </w:rPr>
  </w:style>
  <w:style w:type="character" w:customStyle="1" w:styleId="Heading3Char">
    <w:name w:val="Heading 3 Char"/>
    <w:basedOn w:val="DefaultParagraphFont"/>
    <w:link w:val="Heading3"/>
    <w:uiPriority w:val="9"/>
    <w:rsid w:val="002915EB"/>
    <w:rPr>
      <w:rFonts w:asciiTheme="majorHAnsi" w:eastAsiaTheme="majorEastAsia" w:hAnsiTheme="majorHAnsi" w:cstheme="majorBidi"/>
      <w:color w:val="1F3763" w:themeColor="accent1" w:themeShade="7F"/>
      <w:szCs w:val="24"/>
    </w:rPr>
  </w:style>
  <w:style w:type="character" w:customStyle="1" w:styleId="Heading4Char">
    <w:name w:val="Heading 4 Char"/>
    <w:basedOn w:val="DefaultParagraphFont"/>
    <w:link w:val="Heading4"/>
    <w:uiPriority w:val="9"/>
    <w:rsid w:val="008A0CA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3345A6"/>
    <w:rPr>
      <w:rFonts w:asciiTheme="majorHAnsi" w:eastAsiaTheme="majorEastAsia" w:hAnsiTheme="majorHAnsi" w:cstheme="majorBidi"/>
      <w:color w:val="2F5496" w:themeColor="accent1" w:themeShade="BF"/>
    </w:rPr>
  </w:style>
  <w:style w:type="paragraph" w:styleId="Caption">
    <w:name w:val="caption"/>
    <w:basedOn w:val="Normal"/>
    <w:next w:val="Normal"/>
    <w:uiPriority w:val="35"/>
    <w:unhideWhenUsed/>
    <w:qFormat/>
    <w:rsid w:val="006C3E4E"/>
    <w:pPr>
      <w:spacing w:after="200" w:line="240" w:lineRule="auto"/>
    </w:pPr>
    <w:rPr>
      <w:i/>
      <w:iCs/>
      <w:color w:val="44546A" w:themeColor="text2"/>
      <w:sz w:val="18"/>
      <w:szCs w:val="18"/>
    </w:rPr>
  </w:style>
  <w:style w:type="table" w:customStyle="1" w:styleId="TableGrid2">
    <w:name w:val="Table Grid2"/>
    <w:basedOn w:val="TableNormal"/>
    <w:next w:val="TableGrid"/>
    <w:uiPriority w:val="39"/>
    <w:rsid w:val="003B5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B5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05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97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06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06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83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4BCD"/>
    <w:pPr>
      <w:spacing w:before="100" w:beforeAutospacing="1" w:after="100" w:afterAutospacing="1" w:line="240" w:lineRule="auto"/>
    </w:pPr>
    <w:rPr>
      <w:rFonts w:ascii="Times New Roman" w:eastAsia="Times New Roman" w:hAnsi="Times New Roman" w:cs="Times New Roman"/>
      <w:szCs w:val="24"/>
    </w:rPr>
  </w:style>
  <w:style w:type="paragraph" w:styleId="TOC4">
    <w:name w:val="toc 4"/>
    <w:basedOn w:val="Normal"/>
    <w:next w:val="Normal"/>
    <w:autoRedefine/>
    <w:uiPriority w:val="39"/>
    <w:unhideWhenUsed/>
    <w:rsid w:val="00823C7B"/>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823C7B"/>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823C7B"/>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823C7B"/>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823C7B"/>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823C7B"/>
    <w:pPr>
      <w:spacing w:after="100"/>
      <w:ind w:left="1760"/>
    </w:pPr>
    <w:rPr>
      <w:rFonts w:asciiTheme="minorHAnsi" w:eastAsiaTheme="minorEastAsia" w:hAnsiTheme="minorHAnsi"/>
      <w:sz w:val="22"/>
    </w:rPr>
  </w:style>
  <w:style w:type="paragraph" w:styleId="CommentSubject">
    <w:name w:val="annotation subject"/>
    <w:basedOn w:val="CommentText"/>
    <w:next w:val="CommentText"/>
    <w:link w:val="CommentSubjectChar"/>
    <w:uiPriority w:val="99"/>
    <w:semiHidden/>
    <w:unhideWhenUsed/>
    <w:rsid w:val="00E738DF"/>
    <w:rPr>
      <w:rFonts w:ascii="Arial" w:hAnsi="Arial"/>
      <w:b/>
      <w:bCs/>
    </w:rPr>
  </w:style>
  <w:style w:type="character" w:customStyle="1" w:styleId="CommentSubjectChar">
    <w:name w:val="Comment Subject Char"/>
    <w:basedOn w:val="CommentTextChar"/>
    <w:link w:val="CommentSubject"/>
    <w:uiPriority w:val="99"/>
    <w:semiHidden/>
    <w:rsid w:val="00E738DF"/>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6225">
      <w:bodyDiv w:val="1"/>
      <w:marLeft w:val="0"/>
      <w:marRight w:val="0"/>
      <w:marTop w:val="0"/>
      <w:marBottom w:val="0"/>
      <w:divBdr>
        <w:top w:val="none" w:sz="0" w:space="0" w:color="auto"/>
        <w:left w:val="none" w:sz="0" w:space="0" w:color="auto"/>
        <w:bottom w:val="none" w:sz="0" w:space="0" w:color="auto"/>
        <w:right w:val="none" w:sz="0" w:space="0" w:color="auto"/>
      </w:divBdr>
      <w:divsChild>
        <w:div w:id="2092965906">
          <w:marLeft w:val="0"/>
          <w:marRight w:val="0"/>
          <w:marTop w:val="0"/>
          <w:marBottom w:val="0"/>
          <w:divBdr>
            <w:top w:val="none" w:sz="0" w:space="0" w:color="auto"/>
            <w:left w:val="none" w:sz="0" w:space="0" w:color="auto"/>
            <w:bottom w:val="none" w:sz="0" w:space="0" w:color="auto"/>
            <w:right w:val="none" w:sz="0" w:space="0" w:color="auto"/>
          </w:divBdr>
        </w:div>
        <w:div w:id="1452237380">
          <w:marLeft w:val="0"/>
          <w:marRight w:val="0"/>
          <w:marTop w:val="0"/>
          <w:marBottom w:val="0"/>
          <w:divBdr>
            <w:top w:val="none" w:sz="0" w:space="0" w:color="auto"/>
            <w:left w:val="none" w:sz="0" w:space="0" w:color="auto"/>
            <w:bottom w:val="none" w:sz="0" w:space="0" w:color="auto"/>
            <w:right w:val="none" w:sz="0" w:space="0" w:color="auto"/>
          </w:divBdr>
        </w:div>
        <w:div w:id="1774393828">
          <w:marLeft w:val="0"/>
          <w:marRight w:val="0"/>
          <w:marTop w:val="0"/>
          <w:marBottom w:val="0"/>
          <w:divBdr>
            <w:top w:val="none" w:sz="0" w:space="0" w:color="auto"/>
            <w:left w:val="none" w:sz="0" w:space="0" w:color="auto"/>
            <w:bottom w:val="none" w:sz="0" w:space="0" w:color="auto"/>
            <w:right w:val="none" w:sz="0" w:space="0" w:color="auto"/>
          </w:divBdr>
        </w:div>
        <w:div w:id="1046492735">
          <w:marLeft w:val="0"/>
          <w:marRight w:val="0"/>
          <w:marTop w:val="0"/>
          <w:marBottom w:val="0"/>
          <w:divBdr>
            <w:top w:val="none" w:sz="0" w:space="0" w:color="auto"/>
            <w:left w:val="none" w:sz="0" w:space="0" w:color="auto"/>
            <w:bottom w:val="none" w:sz="0" w:space="0" w:color="auto"/>
            <w:right w:val="none" w:sz="0" w:space="0" w:color="auto"/>
          </w:divBdr>
        </w:div>
        <w:div w:id="502008739">
          <w:marLeft w:val="0"/>
          <w:marRight w:val="0"/>
          <w:marTop w:val="0"/>
          <w:marBottom w:val="0"/>
          <w:divBdr>
            <w:top w:val="none" w:sz="0" w:space="0" w:color="auto"/>
            <w:left w:val="none" w:sz="0" w:space="0" w:color="auto"/>
            <w:bottom w:val="none" w:sz="0" w:space="0" w:color="auto"/>
            <w:right w:val="none" w:sz="0" w:space="0" w:color="auto"/>
          </w:divBdr>
        </w:div>
      </w:divsChild>
    </w:div>
    <w:div w:id="51200866">
      <w:bodyDiv w:val="1"/>
      <w:marLeft w:val="0"/>
      <w:marRight w:val="0"/>
      <w:marTop w:val="0"/>
      <w:marBottom w:val="0"/>
      <w:divBdr>
        <w:top w:val="none" w:sz="0" w:space="0" w:color="auto"/>
        <w:left w:val="none" w:sz="0" w:space="0" w:color="auto"/>
        <w:bottom w:val="none" w:sz="0" w:space="0" w:color="auto"/>
        <w:right w:val="none" w:sz="0" w:space="0" w:color="auto"/>
      </w:divBdr>
    </w:div>
    <w:div w:id="85000999">
      <w:bodyDiv w:val="1"/>
      <w:marLeft w:val="0"/>
      <w:marRight w:val="0"/>
      <w:marTop w:val="0"/>
      <w:marBottom w:val="0"/>
      <w:divBdr>
        <w:top w:val="none" w:sz="0" w:space="0" w:color="auto"/>
        <w:left w:val="none" w:sz="0" w:space="0" w:color="auto"/>
        <w:bottom w:val="none" w:sz="0" w:space="0" w:color="auto"/>
        <w:right w:val="none" w:sz="0" w:space="0" w:color="auto"/>
      </w:divBdr>
    </w:div>
    <w:div w:id="583271578">
      <w:bodyDiv w:val="1"/>
      <w:marLeft w:val="0"/>
      <w:marRight w:val="0"/>
      <w:marTop w:val="0"/>
      <w:marBottom w:val="0"/>
      <w:divBdr>
        <w:top w:val="none" w:sz="0" w:space="0" w:color="auto"/>
        <w:left w:val="none" w:sz="0" w:space="0" w:color="auto"/>
        <w:bottom w:val="none" w:sz="0" w:space="0" w:color="auto"/>
        <w:right w:val="none" w:sz="0" w:space="0" w:color="auto"/>
      </w:divBdr>
    </w:div>
    <w:div w:id="902524440">
      <w:bodyDiv w:val="1"/>
      <w:marLeft w:val="0"/>
      <w:marRight w:val="0"/>
      <w:marTop w:val="0"/>
      <w:marBottom w:val="0"/>
      <w:divBdr>
        <w:top w:val="none" w:sz="0" w:space="0" w:color="auto"/>
        <w:left w:val="none" w:sz="0" w:space="0" w:color="auto"/>
        <w:bottom w:val="none" w:sz="0" w:space="0" w:color="auto"/>
        <w:right w:val="none" w:sz="0" w:space="0" w:color="auto"/>
      </w:divBdr>
    </w:div>
    <w:div w:id="1051153617">
      <w:bodyDiv w:val="1"/>
      <w:marLeft w:val="0"/>
      <w:marRight w:val="0"/>
      <w:marTop w:val="0"/>
      <w:marBottom w:val="0"/>
      <w:divBdr>
        <w:top w:val="none" w:sz="0" w:space="0" w:color="auto"/>
        <w:left w:val="none" w:sz="0" w:space="0" w:color="auto"/>
        <w:bottom w:val="none" w:sz="0" w:space="0" w:color="auto"/>
        <w:right w:val="none" w:sz="0" w:space="0" w:color="auto"/>
      </w:divBdr>
    </w:div>
    <w:div w:id="1466581183">
      <w:bodyDiv w:val="1"/>
      <w:marLeft w:val="0"/>
      <w:marRight w:val="0"/>
      <w:marTop w:val="0"/>
      <w:marBottom w:val="0"/>
      <w:divBdr>
        <w:top w:val="none" w:sz="0" w:space="0" w:color="auto"/>
        <w:left w:val="none" w:sz="0" w:space="0" w:color="auto"/>
        <w:bottom w:val="none" w:sz="0" w:space="0" w:color="auto"/>
        <w:right w:val="none" w:sz="0" w:space="0" w:color="auto"/>
      </w:divBdr>
    </w:div>
    <w:div w:id="1539665954">
      <w:bodyDiv w:val="1"/>
      <w:marLeft w:val="0"/>
      <w:marRight w:val="0"/>
      <w:marTop w:val="0"/>
      <w:marBottom w:val="0"/>
      <w:divBdr>
        <w:top w:val="none" w:sz="0" w:space="0" w:color="auto"/>
        <w:left w:val="none" w:sz="0" w:space="0" w:color="auto"/>
        <w:bottom w:val="none" w:sz="0" w:space="0" w:color="auto"/>
        <w:right w:val="none" w:sz="0" w:space="0" w:color="auto"/>
      </w:divBdr>
    </w:div>
    <w:div w:id="1546214610">
      <w:bodyDiv w:val="1"/>
      <w:marLeft w:val="0"/>
      <w:marRight w:val="0"/>
      <w:marTop w:val="0"/>
      <w:marBottom w:val="0"/>
      <w:divBdr>
        <w:top w:val="none" w:sz="0" w:space="0" w:color="auto"/>
        <w:left w:val="none" w:sz="0" w:space="0" w:color="auto"/>
        <w:bottom w:val="none" w:sz="0" w:space="0" w:color="auto"/>
        <w:right w:val="none" w:sz="0" w:space="0" w:color="auto"/>
      </w:divBdr>
    </w:div>
    <w:div w:id="1574463625">
      <w:bodyDiv w:val="1"/>
      <w:marLeft w:val="0"/>
      <w:marRight w:val="0"/>
      <w:marTop w:val="0"/>
      <w:marBottom w:val="0"/>
      <w:divBdr>
        <w:top w:val="none" w:sz="0" w:space="0" w:color="auto"/>
        <w:left w:val="none" w:sz="0" w:space="0" w:color="auto"/>
        <w:bottom w:val="none" w:sz="0" w:space="0" w:color="auto"/>
        <w:right w:val="none" w:sz="0" w:space="0" w:color="auto"/>
      </w:divBdr>
    </w:div>
    <w:div w:id="1602571908">
      <w:bodyDiv w:val="1"/>
      <w:marLeft w:val="0"/>
      <w:marRight w:val="0"/>
      <w:marTop w:val="0"/>
      <w:marBottom w:val="0"/>
      <w:divBdr>
        <w:top w:val="none" w:sz="0" w:space="0" w:color="auto"/>
        <w:left w:val="none" w:sz="0" w:space="0" w:color="auto"/>
        <w:bottom w:val="none" w:sz="0" w:space="0" w:color="auto"/>
        <w:right w:val="none" w:sz="0" w:space="0" w:color="auto"/>
      </w:divBdr>
    </w:div>
    <w:div w:id="1671522002">
      <w:bodyDiv w:val="1"/>
      <w:marLeft w:val="0"/>
      <w:marRight w:val="0"/>
      <w:marTop w:val="0"/>
      <w:marBottom w:val="0"/>
      <w:divBdr>
        <w:top w:val="none" w:sz="0" w:space="0" w:color="auto"/>
        <w:left w:val="none" w:sz="0" w:space="0" w:color="auto"/>
        <w:bottom w:val="none" w:sz="0" w:space="0" w:color="auto"/>
        <w:right w:val="none" w:sz="0" w:space="0" w:color="auto"/>
      </w:divBdr>
    </w:div>
    <w:div w:id="1767653313">
      <w:bodyDiv w:val="1"/>
      <w:marLeft w:val="0"/>
      <w:marRight w:val="0"/>
      <w:marTop w:val="0"/>
      <w:marBottom w:val="0"/>
      <w:divBdr>
        <w:top w:val="none" w:sz="0" w:space="0" w:color="auto"/>
        <w:left w:val="none" w:sz="0" w:space="0" w:color="auto"/>
        <w:bottom w:val="none" w:sz="0" w:space="0" w:color="auto"/>
        <w:right w:val="none" w:sz="0" w:space="0" w:color="auto"/>
      </w:divBdr>
    </w:div>
    <w:div w:id="1812671218">
      <w:bodyDiv w:val="1"/>
      <w:marLeft w:val="0"/>
      <w:marRight w:val="0"/>
      <w:marTop w:val="0"/>
      <w:marBottom w:val="0"/>
      <w:divBdr>
        <w:top w:val="none" w:sz="0" w:space="0" w:color="auto"/>
        <w:left w:val="none" w:sz="0" w:space="0" w:color="auto"/>
        <w:bottom w:val="none" w:sz="0" w:space="0" w:color="auto"/>
        <w:right w:val="none" w:sz="0" w:space="0" w:color="auto"/>
      </w:divBdr>
    </w:div>
    <w:div w:id="1980527643">
      <w:bodyDiv w:val="1"/>
      <w:marLeft w:val="0"/>
      <w:marRight w:val="0"/>
      <w:marTop w:val="0"/>
      <w:marBottom w:val="0"/>
      <w:divBdr>
        <w:top w:val="none" w:sz="0" w:space="0" w:color="auto"/>
        <w:left w:val="none" w:sz="0" w:space="0" w:color="auto"/>
        <w:bottom w:val="none" w:sz="0" w:space="0" w:color="auto"/>
        <w:right w:val="none" w:sz="0" w:space="0" w:color="auto"/>
      </w:divBdr>
    </w:div>
    <w:div w:id="20322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comptroller.tn.gov/office-functions/research-and-education-accountability/publications/other-topics/content/senior-long-term-care-in-tennessee--trends-and-options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DCBDE421679DA4AB011CAACF379F936" ma:contentTypeVersion="14" ma:contentTypeDescription="Create a new document." ma:contentTypeScope="" ma:versionID="2d35ee2186c0e66c12a54568e9deefd7">
  <xsd:schema xmlns:xsd="http://www.w3.org/2001/XMLSchema" xmlns:xs="http://www.w3.org/2001/XMLSchema" xmlns:p="http://schemas.microsoft.com/office/2006/metadata/properties" xmlns:ns3="7941d391-6ae1-4f1f-af45-3a741c756ae9" xmlns:ns4="a9b8765f-e23d-496d-a697-24e003fd5ab8" targetNamespace="http://schemas.microsoft.com/office/2006/metadata/properties" ma:root="true" ma:fieldsID="5de12e69fdba94302c5ffbf96a01abb8" ns3:_="" ns4:_="">
    <xsd:import namespace="7941d391-6ae1-4f1f-af45-3a741c756ae9"/>
    <xsd:import namespace="a9b8765f-e23d-496d-a697-24e003fd5ab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1d391-6ae1-4f1f-af45-3a741c756ae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b8765f-e23d-496d-a697-24e003fd5ab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B46CC0-9439-4D35-AD6D-CB440AE8BB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EB9F0B-FFD5-4356-923C-F141DA9BD1F5}">
  <ds:schemaRefs>
    <ds:schemaRef ds:uri="http://schemas.openxmlformats.org/officeDocument/2006/bibliography"/>
  </ds:schemaRefs>
</ds:datastoreItem>
</file>

<file path=customXml/itemProps3.xml><?xml version="1.0" encoding="utf-8"?>
<ds:datastoreItem xmlns:ds="http://schemas.openxmlformats.org/officeDocument/2006/customXml" ds:itemID="{682B96C3-A80F-4B79-8D6D-A5F978B0F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1d391-6ae1-4f1f-af45-3a741c756ae9"/>
    <ds:schemaRef ds:uri="a9b8765f-e23d-496d-a697-24e003fd5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9326A1-8B15-4F03-9566-81CDC97A0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258</Pages>
  <Words>214656</Words>
  <Characters>1223541</Characters>
  <Application>Microsoft Office Word</Application>
  <DocSecurity>0</DocSecurity>
  <Lines>10196</Lines>
  <Paragraphs>2870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hdavis26</dc:creator>
  <cp:keywords/>
  <dc:description/>
  <cp:lastModifiedBy>Heather Davis</cp:lastModifiedBy>
  <cp:revision>275</cp:revision>
  <cp:lastPrinted>2022-09-25T21:38:00Z</cp:lastPrinted>
  <dcterms:created xsi:type="dcterms:W3CDTF">2022-10-29T17:30:00Z</dcterms:created>
  <dcterms:modified xsi:type="dcterms:W3CDTF">2022-11-02T02:01:00Z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0x0101003DCBDE421679DA4AB011CAACF379F936</vt:lpwstr>
  </property>
  <property fmtid="{D5CDD505-2E9C-101B-9397-08002B2CF9AE}" pid="3" name="ZOTERO_PREF_1">
    <vt:lpwstr>&lt;data data-version="3" zotero-version="6.0.15"&gt;&lt;session id="giaU6Iqh"/&gt;&lt;style id="http://www.zotero.org/styles/apa" locale="en-US" hasBibliography="1" bibliographyStyleHasBeenSet="1"/&gt;&lt;prefs&gt;&lt;pref name="fieldType" value="Field"/&gt;&lt;/prefs&gt;&lt;/data&gt;</vt:lpwstr>
  </property>
</Properties>
</file>