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94E" w:rsidRDefault="000C294E">
      <w:pPr>
        <w:jc w:val="center"/>
        <w:rPr>
          <w:rFonts w:ascii="Arial" w:hAnsi="Arial" w:cs="Arial"/>
        </w:rPr>
      </w:pPr>
    </w:p>
    <w:p w:rsidR="000C294E" w:rsidRDefault="000C294E" w:rsidP="00405D04">
      <w:pPr>
        <w:rPr>
          <w:rFonts w:ascii="Arial" w:hAnsi="Arial" w:cs="Arial"/>
        </w:rPr>
      </w:pPr>
    </w:p>
    <w:p w:rsidR="00E87ECB" w:rsidRDefault="00E87ECB" w:rsidP="00405D04">
      <w:pPr>
        <w:rPr>
          <w:rFonts w:ascii="Arial" w:hAnsi="Arial" w:cs="Arial"/>
        </w:rPr>
      </w:pPr>
    </w:p>
    <w:p w:rsidR="00E87ECB" w:rsidRDefault="00E87ECB" w:rsidP="00E87ECB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A Tale of Two Protein Switches:  Engineering, Characterizing and Understanding a Novel and a Natural Switch</w:t>
      </w:r>
    </w:p>
    <w:p w:rsidR="00E87ECB" w:rsidRDefault="00E87ECB" w:rsidP="00E87ECB">
      <w:pPr>
        <w:jc w:val="center"/>
        <w:rPr>
          <w:rFonts w:ascii="Arial" w:hAnsi="Arial" w:cs="Arial"/>
          <w:b/>
          <w:sz w:val="28"/>
        </w:rPr>
      </w:pPr>
    </w:p>
    <w:p w:rsidR="00E87ECB" w:rsidRDefault="00E87ECB" w:rsidP="00E87ECB">
      <w:pPr>
        <w:jc w:val="center"/>
        <w:rPr>
          <w:rFonts w:ascii="Arial" w:hAnsi="Arial" w:cs="Arial"/>
        </w:rPr>
      </w:pPr>
    </w:p>
    <w:p w:rsidR="00E87ECB" w:rsidRDefault="00E87ECB" w:rsidP="00E87ECB">
      <w:pPr>
        <w:jc w:val="center"/>
        <w:rPr>
          <w:rFonts w:ascii="Arial" w:hAnsi="Arial" w:cs="Arial"/>
        </w:rPr>
      </w:pPr>
    </w:p>
    <w:p w:rsidR="00E87ECB" w:rsidRDefault="00E87ECB" w:rsidP="00E87ECB">
      <w:pPr>
        <w:jc w:val="center"/>
        <w:rPr>
          <w:rFonts w:ascii="Arial" w:hAnsi="Arial" w:cs="Arial"/>
        </w:rPr>
      </w:pPr>
    </w:p>
    <w:p w:rsidR="00E87ECB" w:rsidRDefault="00E87ECB" w:rsidP="00E87ECB">
      <w:pPr>
        <w:jc w:val="center"/>
        <w:rPr>
          <w:rFonts w:ascii="Arial" w:hAnsi="Arial" w:cs="Arial"/>
        </w:rPr>
      </w:pPr>
    </w:p>
    <w:p w:rsidR="00E87ECB" w:rsidRDefault="00E87ECB" w:rsidP="00E87ECB">
      <w:pPr>
        <w:jc w:val="center"/>
        <w:rPr>
          <w:rFonts w:ascii="Arial" w:hAnsi="Arial" w:cs="Arial"/>
        </w:rPr>
      </w:pPr>
    </w:p>
    <w:p w:rsidR="00E87ECB" w:rsidRDefault="00E87ECB" w:rsidP="00E87ECB">
      <w:pPr>
        <w:jc w:val="center"/>
        <w:rPr>
          <w:rFonts w:ascii="Arial" w:hAnsi="Arial" w:cs="Arial"/>
        </w:rPr>
      </w:pPr>
    </w:p>
    <w:p w:rsidR="00E87ECB" w:rsidRDefault="00E87ECB" w:rsidP="00E87ECB">
      <w:pPr>
        <w:jc w:val="center"/>
        <w:rPr>
          <w:rFonts w:ascii="Arial" w:hAnsi="Arial" w:cs="Arial"/>
        </w:rPr>
      </w:pPr>
    </w:p>
    <w:p w:rsidR="00E87ECB" w:rsidRDefault="00E87ECB" w:rsidP="00E87ECB">
      <w:pPr>
        <w:jc w:val="center"/>
        <w:rPr>
          <w:rFonts w:ascii="Arial" w:hAnsi="Arial" w:cs="Arial"/>
        </w:rPr>
      </w:pPr>
    </w:p>
    <w:p w:rsidR="00E87ECB" w:rsidRDefault="00E87ECB" w:rsidP="00E87ECB">
      <w:pPr>
        <w:jc w:val="center"/>
        <w:rPr>
          <w:rFonts w:ascii="Arial" w:hAnsi="Arial" w:cs="Arial"/>
        </w:rPr>
      </w:pPr>
    </w:p>
    <w:p w:rsidR="00E87ECB" w:rsidRDefault="00E87ECB" w:rsidP="00E87E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 Dissertation Presented for </w:t>
      </w:r>
    </w:p>
    <w:p w:rsidR="00E87ECB" w:rsidRDefault="00E87ECB" w:rsidP="00E87ECB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the</w:t>
      </w:r>
      <w:proofErr w:type="gramEnd"/>
      <w:r>
        <w:rPr>
          <w:rFonts w:ascii="Arial" w:hAnsi="Arial" w:cs="Arial"/>
        </w:rPr>
        <w:t xml:space="preserve"> Doctor of Philosophy </w:t>
      </w:r>
    </w:p>
    <w:p w:rsidR="00E87ECB" w:rsidRDefault="00E87ECB" w:rsidP="00E87E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Degree</w:t>
      </w:r>
    </w:p>
    <w:p w:rsidR="00E87ECB" w:rsidRDefault="00E87ECB" w:rsidP="00E87E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The University of Tennessee, Knoxville</w:t>
      </w:r>
    </w:p>
    <w:p w:rsidR="00E87ECB" w:rsidRDefault="00E87ECB" w:rsidP="00E87ECB">
      <w:pPr>
        <w:jc w:val="center"/>
        <w:rPr>
          <w:rFonts w:ascii="Arial" w:hAnsi="Arial" w:cs="Arial"/>
        </w:rPr>
      </w:pPr>
    </w:p>
    <w:p w:rsidR="00E87ECB" w:rsidRDefault="00E87ECB" w:rsidP="00E87ECB">
      <w:pPr>
        <w:jc w:val="center"/>
        <w:rPr>
          <w:rFonts w:ascii="Arial" w:hAnsi="Arial" w:cs="Arial"/>
        </w:rPr>
      </w:pPr>
    </w:p>
    <w:p w:rsidR="00E87ECB" w:rsidRDefault="00E87ECB" w:rsidP="00E87ECB">
      <w:pPr>
        <w:jc w:val="center"/>
        <w:rPr>
          <w:rFonts w:ascii="Arial" w:hAnsi="Arial" w:cs="Arial"/>
        </w:rPr>
      </w:pPr>
    </w:p>
    <w:p w:rsidR="00E87ECB" w:rsidRDefault="00E87ECB" w:rsidP="00E87ECB">
      <w:pPr>
        <w:jc w:val="center"/>
        <w:rPr>
          <w:rFonts w:ascii="Arial" w:hAnsi="Arial" w:cs="Arial"/>
        </w:rPr>
      </w:pPr>
    </w:p>
    <w:p w:rsidR="00E87ECB" w:rsidRDefault="00E87ECB" w:rsidP="00E87ECB">
      <w:pPr>
        <w:jc w:val="center"/>
        <w:rPr>
          <w:rFonts w:ascii="Arial" w:hAnsi="Arial" w:cs="Arial"/>
        </w:rPr>
      </w:pPr>
    </w:p>
    <w:p w:rsidR="00E87ECB" w:rsidRDefault="00E87ECB" w:rsidP="00E87ECB">
      <w:pPr>
        <w:jc w:val="center"/>
        <w:rPr>
          <w:rFonts w:ascii="Arial" w:hAnsi="Arial" w:cs="Arial"/>
        </w:rPr>
      </w:pPr>
    </w:p>
    <w:p w:rsidR="00E87ECB" w:rsidRDefault="00E87ECB" w:rsidP="00E87ECB">
      <w:pPr>
        <w:jc w:val="center"/>
        <w:rPr>
          <w:rFonts w:ascii="Arial" w:hAnsi="Arial" w:cs="Arial"/>
        </w:rPr>
      </w:pPr>
    </w:p>
    <w:p w:rsidR="00E87ECB" w:rsidRDefault="00E87ECB" w:rsidP="00E87ECB">
      <w:pPr>
        <w:jc w:val="center"/>
        <w:rPr>
          <w:rFonts w:ascii="Arial" w:hAnsi="Arial" w:cs="Arial"/>
        </w:rPr>
      </w:pPr>
    </w:p>
    <w:p w:rsidR="00E87ECB" w:rsidRDefault="00E87ECB" w:rsidP="00E87ECB">
      <w:pPr>
        <w:jc w:val="center"/>
        <w:rPr>
          <w:rFonts w:ascii="Arial" w:hAnsi="Arial" w:cs="Arial"/>
        </w:rPr>
      </w:pPr>
    </w:p>
    <w:p w:rsidR="00E87ECB" w:rsidRDefault="00E87ECB" w:rsidP="00E87ECB">
      <w:pPr>
        <w:jc w:val="center"/>
        <w:rPr>
          <w:rFonts w:ascii="Arial" w:hAnsi="Arial" w:cs="Arial"/>
        </w:rPr>
      </w:pPr>
    </w:p>
    <w:p w:rsidR="00E87ECB" w:rsidRDefault="00E87ECB" w:rsidP="00E87ECB">
      <w:pPr>
        <w:jc w:val="center"/>
        <w:rPr>
          <w:rFonts w:ascii="Arial" w:hAnsi="Arial" w:cs="Arial"/>
        </w:rPr>
      </w:pPr>
    </w:p>
    <w:p w:rsidR="00E87ECB" w:rsidRDefault="00E87ECB" w:rsidP="00E87ECB">
      <w:pPr>
        <w:jc w:val="center"/>
        <w:rPr>
          <w:rFonts w:ascii="Arial" w:hAnsi="Arial" w:cs="Arial"/>
        </w:rPr>
      </w:pPr>
    </w:p>
    <w:p w:rsidR="00E87ECB" w:rsidRDefault="00E87ECB" w:rsidP="00E87ECB">
      <w:pPr>
        <w:jc w:val="center"/>
        <w:rPr>
          <w:rFonts w:ascii="Arial" w:hAnsi="Arial" w:cs="Arial"/>
        </w:rPr>
      </w:pPr>
    </w:p>
    <w:p w:rsidR="00E87ECB" w:rsidRDefault="00E87ECB" w:rsidP="00E87ECB">
      <w:pPr>
        <w:jc w:val="center"/>
        <w:rPr>
          <w:rFonts w:ascii="Arial" w:hAnsi="Arial" w:cs="Arial"/>
        </w:rPr>
      </w:pPr>
    </w:p>
    <w:p w:rsidR="00E87ECB" w:rsidRDefault="00E87ECB" w:rsidP="00E87ECB">
      <w:pPr>
        <w:jc w:val="center"/>
        <w:rPr>
          <w:rFonts w:ascii="Arial" w:hAnsi="Arial" w:cs="Arial"/>
        </w:rPr>
      </w:pPr>
    </w:p>
    <w:p w:rsidR="00E87ECB" w:rsidRDefault="00E87ECB" w:rsidP="00E87ECB">
      <w:pPr>
        <w:jc w:val="center"/>
        <w:rPr>
          <w:rFonts w:ascii="Arial" w:hAnsi="Arial" w:cs="Arial"/>
        </w:rPr>
      </w:pPr>
    </w:p>
    <w:p w:rsidR="00E87ECB" w:rsidRDefault="00E87ECB" w:rsidP="00E87ECB">
      <w:pPr>
        <w:jc w:val="center"/>
        <w:rPr>
          <w:rFonts w:ascii="Arial" w:hAnsi="Arial" w:cs="Arial"/>
        </w:rPr>
      </w:pPr>
    </w:p>
    <w:p w:rsidR="00E87ECB" w:rsidRDefault="00E87ECB" w:rsidP="00E87ECB">
      <w:pPr>
        <w:jc w:val="center"/>
        <w:rPr>
          <w:rFonts w:ascii="Arial" w:hAnsi="Arial" w:cs="Arial"/>
        </w:rPr>
      </w:pPr>
    </w:p>
    <w:p w:rsidR="00E87ECB" w:rsidRDefault="00E87ECB" w:rsidP="00E87ECB">
      <w:pPr>
        <w:jc w:val="center"/>
        <w:rPr>
          <w:rFonts w:ascii="Arial" w:hAnsi="Arial" w:cs="Arial"/>
        </w:rPr>
      </w:pPr>
    </w:p>
    <w:p w:rsidR="00E87ECB" w:rsidRDefault="00E87ECB" w:rsidP="00E87E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J. Vincent Price</w:t>
      </w:r>
    </w:p>
    <w:p w:rsidR="00E87ECB" w:rsidRDefault="00E87ECB" w:rsidP="00E87E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December 2013</w:t>
      </w:r>
    </w:p>
    <w:p w:rsidR="00F52733" w:rsidRDefault="00F5273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F52733" w:rsidRDefault="00F52733" w:rsidP="00E87ECB">
      <w:pPr>
        <w:jc w:val="center"/>
        <w:rPr>
          <w:rFonts w:ascii="Arial" w:hAnsi="Arial" w:cs="Arial"/>
        </w:rPr>
      </w:pPr>
    </w:p>
    <w:p w:rsidR="00F52733" w:rsidRDefault="00F52733" w:rsidP="00E87ECB">
      <w:pPr>
        <w:jc w:val="center"/>
        <w:rPr>
          <w:rFonts w:ascii="Arial" w:hAnsi="Arial" w:cs="Arial"/>
        </w:rPr>
      </w:pPr>
    </w:p>
    <w:p w:rsidR="00F52733" w:rsidRDefault="00F52733" w:rsidP="00F52733">
      <w:pPr>
        <w:rPr>
          <w:rFonts w:ascii="Arial" w:hAnsi="Arial" w:cs="Arial"/>
          <w:sz w:val="28"/>
        </w:rPr>
      </w:pPr>
      <w:r>
        <w:rPr>
          <w:rFonts w:ascii="Arial" w:hAnsi="Arial" w:cs="Arial"/>
          <w:b/>
          <w:sz w:val="28"/>
        </w:rPr>
        <w:t>Abstract</w:t>
      </w:r>
    </w:p>
    <w:p w:rsidR="00F52733" w:rsidRDefault="00F52733" w:rsidP="00F52733">
      <w:pPr>
        <w:rPr>
          <w:rFonts w:ascii="Arial" w:hAnsi="Arial" w:cs="Arial"/>
          <w:sz w:val="28"/>
        </w:rPr>
      </w:pPr>
    </w:p>
    <w:p w:rsidR="00F52733" w:rsidRPr="000F381A" w:rsidRDefault="00F52733" w:rsidP="00F52733">
      <w:r>
        <w:t xml:space="preserve">Throughout nature, many proteins provide a specific function in response to some input signal (e.g., </w:t>
      </w:r>
      <w:proofErr w:type="spellStart"/>
      <w:r>
        <w:t>phosyphorylation</w:t>
      </w:r>
      <w:proofErr w:type="spellEnd"/>
      <w:r>
        <w:t xml:space="preserve">, pH, etc.); a process that is often times described as switching a protein “on” or “off.”   The advent of protein engineering has allowed for the creation and understanding of chimeric proteins for uses in a number of applications such as therapeutics, biosensors and energy production.  Two proteins have been investigated in this dissertation both of which have </w:t>
      </w:r>
      <w:proofErr w:type="gramStart"/>
      <w:r>
        <w:t>undergo</w:t>
      </w:r>
      <w:proofErr w:type="gramEnd"/>
      <w:r>
        <w:t xml:space="preserve"> structural rearrangements in response to an input signal.  We have created a chimeric protein switch using the integrin LFA-1 I domain and the EF3 and EF4 hands of calmodulin; the protein has a 2.4-fold increase for </w:t>
      </w:r>
      <w:proofErr w:type="gramStart"/>
      <w:r>
        <w:t>the I</w:t>
      </w:r>
      <w:proofErr w:type="gramEnd"/>
      <w:r>
        <w:t xml:space="preserve"> domain ligand, ICAM-1, in the presence of a calmodulin target peptide. Directed evolution has revealed a mutant switch with an additional near </w:t>
      </w:r>
      <w:r w:rsidR="00C80026">
        <w:t>twenty</w:t>
      </w:r>
      <w:r>
        <w:t>-fold increase</w:t>
      </w:r>
      <w:r w:rsidRPr="00DA7841">
        <w:t xml:space="preserve"> </w:t>
      </w:r>
      <w:r>
        <w:t>in ICAM-1 binding, over the wild-type switch, in the presence of peptide.</w:t>
      </w:r>
      <w:r w:rsidR="00C80026">
        <w:t xml:space="preserve">  Additionally, the specificity of the chimeric protein for the original peptide sequence has been changed to respond to a different peptide sequence, rendering the original peptide nonfunctional, demonstrating the ability to expand this technology to a number of different targets.  Secondly, h</w:t>
      </w:r>
      <w:r w:rsidRPr="000F381A">
        <w:t xml:space="preserve">emagglutinin (HA) is a viral fusion protein that undergoes an irreversible conformational change upon acidification to catalyze the fusion of </w:t>
      </w:r>
      <w:proofErr w:type="spellStart"/>
      <w:r w:rsidRPr="000F381A">
        <w:t>endosomal</w:t>
      </w:r>
      <w:proofErr w:type="spellEnd"/>
      <w:r w:rsidRPr="000F381A">
        <w:t xml:space="preserve"> and viral membranes.  Given the ubiquity of membrane fusion processes in nature, engineering a fusion protein for use in a drug or gene delivery vesicle, possibly promoting liposome fusion, would be a worthwhile endeavor.  </w:t>
      </w:r>
      <w:r>
        <w:t>We</w:t>
      </w:r>
      <w:r w:rsidRPr="000F381A">
        <w:t xml:space="preserve"> have employed directed evolution to </w:t>
      </w:r>
      <w:r>
        <w:t>identify</w:t>
      </w:r>
      <w:r w:rsidRPr="000F381A">
        <w:t xml:space="preserve"> </w:t>
      </w:r>
      <w:r>
        <w:t>novel mutants</w:t>
      </w:r>
      <w:r w:rsidRPr="000F381A">
        <w:t xml:space="preserve"> </w:t>
      </w:r>
      <w:r>
        <w:t>with</w:t>
      </w:r>
      <w:r w:rsidRPr="000F381A">
        <w:t xml:space="preserve"> </w:t>
      </w:r>
      <w:r>
        <w:t>activation pH across a range of 4.8 – 6.0; wild-type HA activates around pH 5.2</w:t>
      </w:r>
      <w:r w:rsidRPr="000F381A">
        <w:t xml:space="preserve">. </w:t>
      </w:r>
      <w:r>
        <w:t xml:space="preserve">On the surface of </w:t>
      </w:r>
      <w:proofErr w:type="spellStart"/>
      <w:r>
        <w:t>transduced</w:t>
      </w:r>
      <w:proofErr w:type="spellEnd"/>
      <w:r>
        <w:t xml:space="preserve"> cells, a small number of engineered HA with altered pH sensing phenotypes can trigger activation of an excess of wild-type HA (or vice versa) by an autocatalytic mechanism, suggesting the ability to develop modular protein-based materials with separately tuned sensing and </w:t>
      </w:r>
      <w:proofErr w:type="spellStart"/>
      <w:r>
        <w:t>effector</w:t>
      </w:r>
      <w:proofErr w:type="spellEnd"/>
      <w:r>
        <w:t xml:space="preserve"> modules. Examination</w:t>
      </w:r>
      <w:r w:rsidRPr="000F381A">
        <w:t xml:space="preserve"> of library mutants has enabled us to identify individual amino acids responsible for phenotypic change</w:t>
      </w:r>
      <w:r>
        <w:t>s</w:t>
      </w:r>
      <w:r w:rsidRPr="000F381A">
        <w:t xml:space="preserve"> and thus provides additional structure-function insight</w:t>
      </w:r>
      <w:bookmarkStart w:id="0" w:name="_GoBack"/>
      <w:bookmarkEnd w:id="0"/>
      <w:r w:rsidRPr="000F381A">
        <w:t>.</w:t>
      </w:r>
    </w:p>
    <w:p w:rsidR="00F52733" w:rsidRPr="00F52733" w:rsidRDefault="00F52733" w:rsidP="00F52733">
      <w:pPr>
        <w:rPr>
          <w:rFonts w:ascii="Arial" w:hAnsi="Arial" w:cs="Arial"/>
          <w:sz w:val="22"/>
        </w:rPr>
      </w:pPr>
    </w:p>
    <w:sectPr w:rsidR="00F52733" w:rsidRPr="00F52733" w:rsidSect="00C80026">
      <w:footerReference w:type="default" r:id="rId6"/>
      <w:footerReference w:type="first" r:id="rId7"/>
      <w:pgSz w:w="12240" w:h="15840"/>
      <w:pgMar w:top="1440" w:right="1440" w:bottom="1440" w:left="1440" w:header="720" w:footer="720" w:gutter="0"/>
      <w:pgNumType w:fmt="lowerRoman"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642" w:rsidRDefault="002B6642" w:rsidP="00C80026">
      <w:r>
        <w:separator/>
      </w:r>
    </w:p>
  </w:endnote>
  <w:endnote w:type="continuationSeparator" w:id="0">
    <w:p w:rsidR="002B6642" w:rsidRDefault="002B6642" w:rsidP="00C80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29749"/>
      <w:docPartObj>
        <w:docPartGallery w:val="Page Numbers (Bottom of Page)"/>
        <w:docPartUnique/>
      </w:docPartObj>
    </w:sdtPr>
    <w:sdtContent>
      <w:p w:rsidR="00C80026" w:rsidRDefault="00C80026">
        <w:pPr>
          <w:pStyle w:val="Footer"/>
          <w:jc w:val="center"/>
        </w:pPr>
        <w:fldSimple w:instr=" PAGE   \* MERGEFORMAT ">
          <w:r>
            <w:rPr>
              <w:noProof/>
            </w:rPr>
            <w:t>i</w:t>
          </w:r>
        </w:fldSimple>
      </w:p>
    </w:sdtContent>
  </w:sdt>
  <w:p w:rsidR="00C80026" w:rsidRPr="00C80026" w:rsidRDefault="00C80026" w:rsidP="00C80026">
    <w:pPr>
      <w:pStyle w:val="Footer"/>
      <w:jc w:val="center"/>
      <w:rPr>
        <w:rFonts w:ascii="Arial" w:hAnsi="Arial" w:cs="Arial"/>
        <w:sz w:val="2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29747"/>
      <w:docPartObj>
        <w:docPartGallery w:val="Page Numbers (Bottom of Page)"/>
        <w:docPartUnique/>
      </w:docPartObj>
    </w:sdtPr>
    <w:sdtContent>
      <w:p w:rsidR="00C80026" w:rsidRDefault="00C80026">
        <w:pPr>
          <w:pStyle w:val="Footer"/>
          <w:jc w:val="center"/>
        </w:pPr>
        <w:fldSimple w:instr=" PAGE   \* MERGEFORMAT ">
          <w:r>
            <w:rPr>
              <w:noProof/>
            </w:rPr>
            <w:t>ii</w:t>
          </w:r>
        </w:fldSimple>
      </w:p>
    </w:sdtContent>
  </w:sdt>
  <w:p w:rsidR="00C80026" w:rsidRDefault="00C800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642" w:rsidRDefault="002B6642" w:rsidP="00C80026">
      <w:r>
        <w:separator/>
      </w:r>
    </w:p>
  </w:footnote>
  <w:footnote w:type="continuationSeparator" w:id="0">
    <w:p w:rsidR="002B6642" w:rsidRDefault="002B6642" w:rsidP="00C800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5D04"/>
    <w:rsid w:val="000C294E"/>
    <w:rsid w:val="002B6642"/>
    <w:rsid w:val="003B7DF5"/>
    <w:rsid w:val="00405D04"/>
    <w:rsid w:val="00753BA6"/>
    <w:rsid w:val="0093338F"/>
    <w:rsid w:val="00C80026"/>
    <w:rsid w:val="00E87ECB"/>
    <w:rsid w:val="00F25543"/>
    <w:rsid w:val="00F52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D04"/>
    <w:pPr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800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002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800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002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Price</dc:creator>
  <cp:keywords/>
  <dc:description/>
  <cp:lastModifiedBy>Vince Price</cp:lastModifiedBy>
  <cp:revision>1</cp:revision>
  <dcterms:created xsi:type="dcterms:W3CDTF">2013-10-07T22:03:00Z</dcterms:created>
  <dcterms:modified xsi:type="dcterms:W3CDTF">2013-10-07T22:54:00Z</dcterms:modified>
</cp:coreProperties>
</file>