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B97A5" w14:textId="2627378C" w:rsidR="00236E6D" w:rsidRPr="00387656" w:rsidRDefault="003250A1" w:rsidP="00F978F2">
      <w:pPr>
        <w:pStyle w:val="Title"/>
      </w:pPr>
      <w:r>
        <w:t xml:space="preserve">Natural, Experimental, and Educational Explorations of the </w:t>
      </w:r>
      <w:r w:rsidR="00C60AA7">
        <w:t xml:space="preserve">Interiors of </w:t>
      </w:r>
      <w:r>
        <w:t xml:space="preserve">Terrestrial </w:t>
      </w:r>
      <w:r w:rsidR="00C60AA7">
        <w:t>Planetary Bodies</w:t>
      </w:r>
    </w:p>
    <w:p w14:paraId="44E55681" w14:textId="77777777" w:rsidR="00236E6D" w:rsidRPr="00387656" w:rsidRDefault="00236E6D" w:rsidP="008E0089">
      <w:pPr>
        <w:pStyle w:val="Title"/>
      </w:pPr>
    </w:p>
    <w:p w14:paraId="2D346A3B" w14:textId="77777777" w:rsidR="00236E6D" w:rsidRDefault="00236E6D" w:rsidP="008E0089">
      <w:pPr>
        <w:pStyle w:val="Title"/>
      </w:pPr>
    </w:p>
    <w:p w14:paraId="4EDC2B54" w14:textId="77777777" w:rsidR="00387656" w:rsidRDefault="00387656" w:rsidP="008E0089">
      <w:pPr>
        <w:pStyle w:val="Title"/>
      </w:pPr>
    </w:p>
    <w:p w14:paraId="6F7723CF" w14:textId="77777777" w:rsidR="00387656" w:rsidRDefault="00387656" w:rsidP="008E0089">
      <w:pPr>
        <w:pStyle w:val="Title"/>
      </w:pPr>
    </w:p>
    <w:p w14:paraId="48A5A46D" w14:textId="77777777" w:rsidR="00387656" w:rsidRDefault="00387656" w:rsidP="008E0089">
      <w:pPr>
        <w:pStyle w:val="Title"/>
      </w:pPr>
    </w:p>
    <w:p w14:paraId="15A1B68D" w14:textId="77777777" w:rsidR="00387656" w:rsidRDefault="00387656" w:rsidP="008E0089">
      <w:pPr>
        <w:pStyle w:val="Title"/>
      </w:pPr>
    </w:p>
    <w:p w14:paraId="77E5079A" w14:textId="77777777" w:rsidR="00387656" w:rsidRDefault="00387656" w:rsidP="008E0089">
      <w:pPr>
        <w:pStyle w:val="Title"/>
      </w:pPr>
    </w:p>
    <w:p w14:paraId="28618A9E" w14:textId="77777777" w:rsidR="00387656" w:rsidRPr="00387656" w:rsidRDefault="00387656" w:rsidP="008E0089">
      <w:pPr>
        <w:pStyle w:val="Title"/>
      </w:pPr>
    </w:p>
    <w:p w14:paraId="410FA9FD" w14:textId="77777777" w:rsidR="00236E6D" w:rsidRPr="00387656" w:rsidRDefault="00236E6D" w:rsidP="008E0089">
      <w:pPr>
        <w:pStyle w:val="Title"/>
      </w:pPr>
    </w:p>
    <w:p w14:paraId="10F9198B" w14:textId="77777777" w:rsidR="00236E6D" w:rsidRPr="00387656" w:rsidRDefault="00236E6D" w:rsidP="008E0089">
      <w:pPr>
        <w:pStyle w:val="Title"/>
      </w:pPr>
    </w:p>
    <w:p w14:paraId="3F5599AD" w14:textId="77777777" w:rsidR="00236E6D" w:rsidRPr="00387656" w:rsidRDefault="00236E6D" w:rsidP="008E0089">
      <w:pPr>
        <w:pStyle w:val="Title"/>
      </w:pPr>
    </w:p>
    <w:p w14:paraId="51F553D2" w14:textId="39FF3381" w:rsidR="00236E6D" w:rsidRPr="00387656" w:rsidRDefault="009C755C" w:rsidP="008E0089">
      <w:pPr>
        <w:pStyle w:val="Title"/>
      </w:pPr>
      <w:r w:rsidRPr="00387656">
        <w:t xml:space="preserve">A </w:t>
      </w:r>
      <w:r w:rsidR="00FE618C">
        <w:t>Dissertation</w:t>
      </w:r>
      <w:r w:rsidRPr="00387656">
        <w:t xml:space="preserve"> Presented for</w:t>
      </w:r>
      <w:r w:rsidR="008865B6" w:rsidRPr="00387656">
        <w:t xml:space="preserve"> the</w:t>
      </w:r>
    </w:p>
    <w:p w14:paraId="4B9D6E30" w14:textId="7EF9A61D" w:rsidR="009C755C" w:rsidRPr="00387656" w:rsidRDefault="00FE618C" w:rsidP="008E0089">
      <w:pPr>
        <w:pStyle w:val="Title"/>
      </w:pPr>
      <w:r>
        <w:t>Doctor of Philosophy</w:t>
      </w:r>
    </w:p>
    <w:p w14:paraId="71990B8A" w14:textId="77777777" w:rsidR="009C755C" w:rsidRPr="00387656" w:rsidRDefault="009C755C" w:rsidP="008E0089">
      <w:pPr>
        <w:pStyle w:val="Title"/>
      </w:pPr>
      <w:r w:rsidRPr="00387656">
        <w:t>Degree</w:t>
      </w:r>
    </w:p>
    <w:p w14:paraId="175CA0C0" w14:textId="77777777" w:rsidR="009C755C" w:rsidRPr="00387656" w:rsidRDefault="009C755C" w:rsidP="008E0089">
      <w:pPr>
        <w:pStyle w:val="Title"/>
      </w:pPr>
      <w:r w:rsidRPr="00387656">
        <w:t>The University of Tennessee, Knoxville</w:t>
      </w:r>
    </w:p>
    <w:p w14:paraId="2C31F990" w14:textId="0307E9D6" w:rsidR="00C60AA7" w:rsidRPr="00387656" w:rsidRDefault="00C60AA7" w:rsidP="00C60AA7">
      <w:pPr>
        <w:pStyle w:val="Title"/>
      </w:pPr>
    </w:p>
    <w:p w14:paraId="578FA3B7" w14:textId="77777777" w:rsidR="00387656" w:rsidRDefault="00387656" w:rsidP="008E0089">
      <w:pPr>
        <w:pStyle w:val="Title"/>
      </w:pPr>
    </w:p>
    <w:p w14:paraId="3C8885A3" w14:textId="77777777" w:rsidR="00387656" w:rsidRDefault="00387656" w:rsidP="008E0089">
      <w:pPr>
        <w:pStyle w:val="Title"/>
      </w:pPr>
    </w:p>
    <w:p w14:paraId="5C7B961B" w14:textId="77777777" w:rsidR="00387656" w:rsidRPr="00387656" w:rsidRDefault="00387656" w:rsidP="008E0089">
      <w:pPr>
        <w:pStyle w:val="Title"/>
      </w:pPr>
    </w:p>
    <w:p w14:paraId="0C3A6620" w14:textId="77777777" w:rsidR="00236E6D" w:rsidRPr="00387656" w:rsidRDefault="00236E6D" w:rsidP="008E0089">
      <w:pPr>
        <w:pStyle w:val="Title"/>
      </w:pPr>
    </w:p>
    <w:p w14:paraId="376C84B6" w14:textId="77777777" w:rsidR="00236E6D" w:rsidRPr="00387656" w:rsidRDefault="00236E6D" w:rsidP="008E0089">
      <w:pPr>
        <w:pStyle w:val="Title"/>
      </w:pPr>
    </w:p>
    <w:p w14:paraId="592BFE9A" w14:textId="77777777" w:rsidR="00236E6D" w:rsidRPr="00387656" w:rsidRDefault="00236E6D" w:rsidP="008E0089">
      <w:pPr>
        <w:pStyle w:val="Title"/>
      </w:pPr>
    </w:p>
    <w:p w14:paraId="07D3348A" w14:textId="77777777" w:rsidR="00236E6D" w:rsidRPr="00387656" w:rsidRDefault="00236E6D" w:rsidP="008E0089">
      <w:pPr>
        <w:pStyle w:val="Title"/>
      </w:pPr>
    </w:p>
    <w:p w14:paraId="4C933666" w14:textId="77777777" w:rsidR="00236E6D" w:rsidRPr="00387656" w:rsidRDefault="00236E6D" w:rsidP="008E0089">
      <w:pPr>
        <w:pStyle w:val="Title"/>
      </w:pPr>
    </w:p>
    <w:p w14:paraId="469ABD99" w14:textId="77777777" w:rsidR="00236E6D" w:rsidRPr="00387656" w:rsidRDefault="00236E6D" w:rsidP="008E0089">
      <w:pPr>
        <w:pStyle w:val="Title"/>
      </w:pPr>
    </w:p>
    <w:p w14:paraId="3968688E" w14:textId="77777777" w:rsidR="00236E6D" w:rsidRPr="00387656" w:rsidRDefault="00236E6D" w:rsidP="008E0089">
      <w:pPr>
        <w:pStyle w:val="Title"/>
      </w:pPr>
    </w:p>
    <w:p w14:paraId="757FDE7C" w14:textId="77777777" w:rsidR="00236E6D" w:rsidRPr="00387656" w:rsidRDefault="00236E6D" w:rsidP="008E0089">
      <w:pPr>
        <w:pStyle w:val="Title"/>
      </w:pPr>
    </w:p>
    <w:p w14:paraId="45871F27" w14:textId="77777777" w:rsidR="00236E6D" w:rsidRPr="00387656" w:rsidRDefault="00236E6D" w:rsidP="008E0089">
      <w:pPr>
        <w:pStyle w:val="Title"/>
      </w:pPr>
    </w:p>
    <w:p w14:paraId="6BC2E86B" w14:textId="77777777" w:rsidR="00236E6D" w:rsidRPr="00387656" w:rsidRDefault="00236E6D" w:rsidP="008E0089">
      <w:pPr>
        <w:pStyle w:val="Title"/>
      </w:pPr>
    </w:p>
    <w:p w14:paraId="2F5B3520" w14:textId="498AB7DF" w:rsidR="00236E6D" w:rsidRDefault="00C34F44" w:rsidP="008E0089">
      <w:pPr>
        <w:pStyle w:val="Title"/>
      </w:pPr>
      <w:r>
        <w:t>Nadine Lynne</w:t>
      </w:r>
      <w:r w:rsidR="00FE618C">
        <w:t xml:space="preserve"> Grambling</w:t>
      </w:r>
    </w:p>
    <w:p w14:paraId="1EFCB251" w14:textId="61A25742" w:rsidR="00526151" w:rsidRDefault="00CD5044" w:rsidP="008E0089">
      <w:pPr>
        <w:pStyle w:val="Title"/>
      </w:pPr>
      <w:r>
        <w:t>August 2022</w:t>
      </w:r>
    </w:p>
    <w:p w14:paraId="5F51A11E" w14:textId="77777777" w:rsidR="00526151" w:rsidRDefault="00526151" w:rsidP="008E0089">
      <w:pPr>
        <w:pStyle w:val="Title"/>
      </w:pPr>
    </w:p>
    <w:p w14:paraId="429C2A3B" w14:textId="579D4235" w:rsidR="00526151" w:rsidRDefault="00387656" w:rsidP="008E0089">
      <w:pPr>
        <w:pStyle w:val="Title"/>
      </w:pPr>
      <w:r>
        <w:br w:type="page"/>
      </w:r>
    </w:p>
    <w:p w14:paraId="7C0CEF4C" w14:textId="703FBF50" w:rsidR="00236E6D" w:rsidRDefault="00DD00DE" w:rsidP="008E0089">
      <w:pPr>
        <w:pStyle w:val="Title"/>
      </w:pPr>
      <w:r>
        <w:lastRenderedPageBreak/>
        <w:t>Copyright © 20</w:t>
      </w:r>
      <w:r w:rsidR="00FE618C">
        <w:t>22</w:t>
      </w:r>
      <w:r w:rsidR="00236E6D">
        <w:t xml:space="preserve"> by </w:t>
      </w:r>
      <w:r w:rsidR="00C34F44">
        <w:t>Nadine Lynne</w:t>
      </w:r>
      <w:r w:rsidR="00FE618C">
        <w:t xml:space="preserve"> Grambling</w:t>
      </w:r>
    </w:p>
    <w:p w14:paraId="17453CF5" w14:textId="77777777" w:rsidR="00236E6D" w:rsidRDefault="00236E6D" w:rsidP="008E0089">
      <w:pPr>
        <w:pStyle w:val="Title"/>
      </w:pPr>
      <w:r>
        <w:t>All rights reserved.</w:t>
      </w:r>
    </w:p>
    <w:p w14:paraId="7FDBAE09" w14:textId="77777777" w:rsidR="00236E6D" w:rsidRDefault="00236E6D" w:rsidP="008E0089">
      <w:pPr>
        <w:pStyle w:val="Title"/>
      </w:pPr>
    </w:p>
    <w:p w14:paraId="29B07BC4" w14:textId="77777777" w:rsidR="006F5AA4" w:rsidRPr="00526151" w:rsidRDefault="00236E6D" w:rsidP="008E0089">
      <w:pPr>
        <w:pStyle w:val="Title"/>
      </w:pPr>
      <w:r w:rsidRPr="005E54E2">
        <w:br w:type="page"/>
      </w:r>
      <w:r w:rsidR="006F5AA4" w:rsidRPr="00526151">
        <w:lastRenderedPageBreak/>
        <w:t>DEDICATION</w:t>
      </w:r>
    </w:p>
    <w:p w14:paraId="7288E8A4" w14:textId="77777777" w:rsidR="006F5AA4" w:rsidRPr="006F5AA4" w:rsidRDefault="006F5AA4" w:rsidP="00F24389">
      <w:pPr>
        <w:spacing w:line="360" w:lineRule="auto"/>
      </w:pPr>
    </w:p>
    <w:p w14:paraId="206C7043" w14:textId="0DC87AF8" w:rsidR="002E6137" w:rsidRDefault="00C34F44" w:rsidP="00F24389">
      <w:pPr>
        <w:spacing w:line="360" w:lineRule="auto"/>
      </w:pPr>
      <w:r>
        <w:t>This is dedicated to</w:t>
      </w:r>
      <w:r w:rsidR="003250A1">
        <w:t xml:space="preserve"> </w:t>
      </w:r>
      <w:r w:rsidR="00E329E7">
        <w:t xml:space="preserve">my feline army, </w:t>
      </w:r>
      <w:r w:rsidR="003250A1">
        <w:t xml:space="preserve">Rock, Boston, Mickey, Marshmallow, </w:t>
      </w:r>
      <w:r w:rsidR="00571F30">
        <w:t xml:space="preserve">Linus, Albert, Voltaire and Watson, </w:t>
      </w:r>
      <w:r w:rsidR="00E329E7">
        <w:t xml:space="preserve">my brother, Max, </w:t>
      </w:r>
      <w:r w:rsidR="003250A1">
        <w:t xml:space="preserve">my husband, </w:t>
      </w:r>
      <w:r w:rsidR="00E329E7">
        <w:t>Tyler, and my</w:t>
      </w:r>
      <w:r w:rsidR="003250A1">
        <w:t xml:space="preserve"> parents</w:t>
      </w:r>
      <w:r w:rsidR="00E329E7">
        <w:t xml:space="preserve">, </w:t>
      </w:r>
      <w:proofErr w:type="gramStart"/>
      <w:r w:rsidR="00E329E7">
        <w:t>Jim</w:t>
      </w:r>
      <w:proofErr w:type="gramEnd"/>
      <w:r w:rsidR="00E329E7">
        <w:t xml:space="preserve"> and Lisa</w:t>
      </w:r>
      <w:r>
        <w:t>.</w:t>
      </w:r>
      <w:r w:rsidR="00E329E7">
        <w:t xml:space="preserve"> Thank you all for your love and support. </w:t>
      </w:r>
    </w:p>
    <w:p w14:paraId="4F59514B" w14:textId="77777777" w:rsidR="00904969" w:rsidRDefault="00904969" w:rsidP="008E0089">
      <w:pPr>
        <w:pStyle w:val="Title"/>
      </w:pPr>
    </w:p>
    <w:p w14:paraId="30908882" w14:textId="77777777" w:rsidR="00CD73A9" w:rsidRDefault="006F5AA4" w:rsidP="008E0089">
      <w:pPr>
        <w:pStyle w:val="Title"/>
      </w:pPr>
      <w:r w:rsidRPr="005E54E2">
        <w:br w:type="page"/>
      </w:r>
      <w:r w:rsidR="00CD73A9">
        <w:lastRenderedPageBreak/>
        <w:t>ACKNOWLEDGEMENTS</w:t>
      </w:r>
    </w:p>
    <w:p w14:paraId="33D1AA09" w14:textId="77777777" w:rsidR="00CD73A9" w:rsidRPr="002E7B21" w:rsidRDefault="00CD73A9" w:rsidP="008E0089">
      <w:pPr>
        <w:pStyle w:val="Title"/>
        <w:rPr>
          <w:b w:val="0"/>
          <w:sz w:val="24"/>
          <w:lang w:val="en-US"/>
        </w:rPr>
      </w:pPr>
    </w:p>
    <w:p w14:paraId="4B449D33" w14:textId="1646ED57" w:rsidR="008C1BB7" w:rsidRDefault="007274D9" w:rsidP="001E0B34">
      <w:pPr>
        <w:pStyle w:val="Title"/>
        <w:spacing w:line="360" w:lineRule="auto"/>
        <w:ind w:firstLine="360"/>
        <w:jc w:val="left"/>
        <w:rPr>
          <w:b w:val="0"/>
          <w:sz w:val="24"/>
          <w:lang w:val="en-US"/>
        </w:rPr>
      </w:pPr>
      <w:r>
        <w:rPr>
          <w:b w:val="0"/>
          <w:sz w:val="24"/>
          <w:lang w:val="en-US"/>
        </w:rPr>
        <w:t xml:space="preserve">I owe a great deal of gratitude to </w:t>
      </w:r>
      <w:r w:rsidR="00571F30">
        <w:rPr>
          <w:b w:val="0"/>
          <w:sz w:val="24"/>
          <w:lang w:val="en-US"/>
        </w:rPr>
        <w:t xml:space="preserve">many members of the geology community outside of my home institution, including </w:t>
      </w:r>
      <w:r>
        <w:rPr>
          <w:b w:val="0"/>
          <w:sz w:val="24"/>
          <w:lang w:val="en-US"/>
        </w:rPr>
        <w:t xml:space="preserve">Greg </w:t>
      </w:r>
      <w:proofErr w:type="spellStart"/>
      <w:r>
        <w:rPr>
          <w:b w:val="0"/>
          <w:sz w:val="24"/>
          <w:lang w:val="en-US"/>
        </w:rPr>
        <w:t>Hirth</w:t>
      </w:r>
      <w:proofErr w:type="spellEnd"/>
      <w:r>
        <w:rPr>
          <w:b w:val="0"/>
          <w:sz w:val="24"/>
          <w:lang w:val="en-US"/>
        </w:rPr>
        <w:t>,</w:t>
      </w:r>
      <w:r w:rsidR="00E329E7">
        <w:rPr>
          <w:b w:val="0"/>
          <w:sz w:val="24"/>
          <w:lang w:val="en-US"/>
        </w:rPr>
        <w:t xml:space="preserve"> Yan Liang,</w:t>
      </w:r>
      <w:r>
        <w:rPr>
          <w:b w:val="0"/>
          <w:sz w:val="24"/>
          <w:lang w:val="en-US"/>
        </w:rPr>
        <w:t xml:space="preserve"> Cameron M</w:t>
      </w:r>
      <w:r w:rsidR="00990804">
        <w:rPr>
          <w:b w:val="0"/>
          <w:sz w:val="24"/>
          <w:lang w:val="en-US"/>
        </w:rPr>
        <w:t>e</w:t>
      </w:r>
      <w:r>
        <w:rPr>
          <w:b w:val="0"/>
          <w:sz w:val="24"/>
          <w:lang w:val="en-US"/>
        </w:rPr>
        <w:t xml:space="preserve">yers, Leif </w:t>
      </w:r>
      <w:proofErr w:type="spellStart"/>
      <w:r>
        <w:rPr>
          <w:b w:val="0"/>
          <w:sz w:val="24"/>
          <w:lang w:val="en-US"/>
        </w:rPr>
        <w:t>Tokle</w:t>
      </w:r>
      <w:proofErr w:type="spellEnd"/>
      <w:r>
        <w:rPr>
          <w:b w:val="0"/>
          <w:sz w:val="24"/>
          <w:lang w:val="en-US"/>
        </w:rPr>
        <w:t>, Eric</w:t>
      </w:r>
      <w:r w:rsidR="00E329E7">
        <w:rPr>
          <w:b w:val="0"/>
          <w:sz w:val="24"/>
          <w:lang w:val="en-US"/>
        </w:rPr>
        <w:t xml:space="preserve"> Burdette</w:t>
      </w:r>
      <w:r>
        <w:rPr>
          <w:b w:val="0"/>
          <w:sz w:val="24"/>
          <w:lang w:val="en-US"/>
        </w:rPr>
        <w:t xml:space="preserve">, and </w:t>
      </w:r>
      <w:r w:rsidR="00E329E7">
        <w:rPr>
          <w:b w:val="0"/>
          <w:sz w:val="24"/>
          <w:lang w:val="en-US"/>
        </w:rPr>
        <w:t xml:space="preserve">Ningli Zhao </w:t>
      </w:r>
      <w:r>
        <w:rPr>
          <w:b w:val="0"/>
          <w:sz w:val="24"/>
          <w:lang w:val="en-US"/>
        </w:rPr>
        <w:t>at the Brown University Rock Deformation Lab for assistance with Griggs Apparatus experiments and endless encouragement, good spirits, and conversations on rock mechanics</w:t>
      </w:r>
      <w:r w:rsidR="00571F30">
        <w:rPr>
          <w:b w:val="0"/>
          <w:sz w:val="24"/>
          <w:lang w:val="en-US"/>
        </w:rPr>
        <w:t>,</w:t>
      </w:r>
      <w:r>
        <w:rPr>
          <w:b w:val="0"/>
          <w:sz w:val="24"/>
          <w:lang w:val="en-US"/>
        </w:rPr>
        <w:t xml:space="preserve"> </w:t>
      </w:r>
      <w:r w:rsidR="008C1BB7">
        <w:rPr>
          <w:b w:val="0"/>
          <w:sz w:val="24"/>
          <w:lang w:val="en-US"/>
        </w:rPr>
        <w:t>John Wakabayashi</w:t>
      </w:r>
      <w:r w:rsidR="00571F30">
        <w:rPr>
          <w:b w:val="0"/>
          <w:sz w:val="24"/>
          <w:lang w:val="en-US"/>
        </w:rPr>
        <w:t>, who</w:t>
      </w:r>
      <w:r w:rsidR="008C1BB7">
        <w:rPr>
          <w:b w:val="0"/>
          <w:sz w:val="24"/>
          <w:lang w:val="en-US"/>
        </w:rPr>
        <w:t xml:space="preserve"> provided </w:t>
      </w:r>
      <w:r w:rsidR="00E329E7">
        <w:rPr>
          <w:b w:val="0"/>
          <w:sz w:val="24"/>
          <w:lang w:val="en-US"/>
        </w:rPr>
        <w:t>a wealth of knowledge on</w:t>
      </w:r>
      <w:r w:rsidR="008C1BB7">
        <w:rPr>
          <w:b w:val="0"/>
          <w:sz w:val="24"/>
          <w:lang w:val="en-US"/>
        </w:rPr>
        <w:t xml:space="preserve"> ophiolite formation and </w:t>
      </w:r>
      <w:r w:rsidR="00571F30">
        <w:rPr>
          <w:b w:val="0"/>
          <w:sz w:val="24"/>
          <w:lang w:val="en-US"/>
        </w:rPr>
        <w:t>brewing processes,</w:t>
      </w:r>
      <w:r w:rsidR="008C1BB7">
        <w:rPr>
          <w:b w:val="0"/>
          <w:sz w:val="24"/>
          <w:lang w:val="en-US"/>
        </w:rPr>
        <w:t xml:space="preserve"> my </w:t>
      </w:r>
      <w:r w:rsidR="00E329E7">
        <w:rPr>
          <w:b w:val="0"/>
          <w:sz w:val="24"/>
          <w:lang w:val="en-US"/>
        </w:rPr>
        <w:t xml:space="preserve">science </w:t>
      </w:r>
      <w:r w:rsidR="00571F30">
        <w:rPr>
          <w:b w:val="0"/>
          <w:sz w:val="24"/>
          <w:lang w:val="en-US"/>
        </w:rPr>
        <w:t>party</w:t>
      </w:r>
      <w:r w:rsidR="00E329E7">
        <w:rPr>
          <w:b w:val="0"/>
          <w:sz w:val="24"/>
          <w:lang w:val="en-US"/>
        </w:rPr>
        <w:t xml:space="preserve"> </w:t>
      </w:r>
      <w:r w:rsidR="008C1BB7">
        <w:rPr>
          <w:b w:val="0"/>
          <w:sz w:val="24"/>
          <w:lang w:val="en-US"/>
        </w:rPr>
        <w:t xml:space="preserve">cohort on the Chikyu </w:t>
      </w:r>
      <w:r w:rsidR="00571F30">
        <w:rPr>
          <w:b w:val="0"/>
          <w:sz w:val="24"/>
          <w:lang w:val="en-US"/>
        </w:rPr>
        <w:t xml:space="preserve">D/V </w:t>
      </w:r>
      <w:r w:rsidR="008C1BB7">
        <w:rPr>
          <w:b w:val="0"/>
          <w:sz w:val="24"/>
          <w:lang w:val="en-US"/>
        </w:rPr>
        <w:t xml:space="preserve">during core description and sampling for </w:t>
      </w:r>
      <w:r w:rsidR="00990804">
        <w:rPr>
          <w:b w:val="0"/>
          <w:sz w:val="24"/>
          <w:lang w:val="en-US"/>
        </w:rPr>
        <w:t>C</w:t>
      </w:r>
      <w:r w:rsidR="008C1BB7">
        <w:rPr>
          <w:b w:val="0"/>
          <w:sz w:val="24"/>
          <w:lang w:val="en-US"/>
        </w:rPr>
        <w:t>hapter 1</w:t>
      </w:r>
      <w:r w:rsidR="00571F30">
        <w:rPr>
          <w:b w:val="0"/>
          <w:sz w:val="24"/>
          <w:lang w:val="en-US"/>
        </w:rPr>
        <w:t>,</w:t>
      </w:r>
      <w:r w:rsidR="00E329E7">
        <w:rPr>
          <w:b w:val="0"/>
          <w:sz w:val="24"/>
          <w:lang w:val="en-US"/>
        </w:rPr>
        <w:t xml:space="preserve"> Peter Kelemen</w:t>
      </w:r>
      <w:r w:rsidR="00571F30">
        <w:rPr>
          <w:b w:val="0"/>
          <w:sz w:val="24"/>
          <w:lang w:val="en-US"/>
        </w:rPr>
        <w:t>, who</w:t>
      </w:r>
      <w:r w:rsidR="00E329E7">
        <w:rPr>
          <w:b w:val="0"/>
          <w:sz w:val="24"/>
          <w:lang w:val="en-US"/>
        </w:rPr>
        <w:t xml:space="preserve"> has been instrumental in my work on fast-spreading ridges</w:t>
      </w:r>
      <w:r w:rsidR="00571F30">
        <w:rPr>
          <w:b w:val="0"/>
          <w:sz w:val="24"/>
          <w:lang w:val="en-US"/>
        </w:rPr>
        <w:t xml:space="preserve">, Ruth </w:t>
      </w:r>
      <w:proofErr w:type="spellStart"/>
      <w:r w:rsidR="00571F30">
        <w:rPr>
          <w:b w:val="0"/>
          <w:sz w:val="24"/>
          <w:lang w:val="en-US"/>
        </w:rPr>
        <w:t>Aronoff</w:t>
      </w:r>
      <w:proofErr w:type="spellEnd"/>
      <w:r w:rsidR="00571F30">
        <w:rPr>
          <w:b w:val="0"/>
          <w:sz w:val="24"/>
          <w:lang w:val="en-US"/>
        </w:rPr>
        <w:t>, for inspiration and guidance in surviving the process, Karl Karlstrom, my thesis advisor at UNM, for teaching me how to disagree in the sciences through the great battle over the Grand Canyon, and Julio Betancourt, for his support and encouragement of my early scientific research potential</w:t>
      </w:r>
      <w:r w:rsidR="00E329E7">
        <w:rPr>
          <w:b w:val="0"/>
          <w:sz w:val="24"/>
          <w:lang w:val="en-US"/>
        </w:rPr>
        <w:t>.</w:t>
      </w:r>
    </w:p>
    <w:p w14:paraId="436C99A6" w14:textId="0FC9A83C" w:rsidR="00E329E7" w:rsidRDefault="00571F30" w:rsidP="001E0B34">
      <w:pPr>
        <w:pStyle w:val="Title"/>
        <w:spacing w:line="360" w:lineRule="auto"/>
        <w:ind w:firstLine="360"/>
        <w:jc w:val="left"/>
        <w:rPr>
          <w:b w:val="0"/>
          <w:sz w:val="24"/>
          <w:lang w:val="en-US"/>
        </w:rPr>
      </w:pPr>
      <w:r>
        <w:rPr>
          <w:b w:val="0"/>
          <w:sz w:val="24"/>
          <w:lang w:val="en-US"/>
        </w:rPr>
        <w:t>On the home front I would like to t</w:t>
      </w:r>
      <w:r w:rsidR="008C1BB7">
        <w:rPr>
          <w:b w:val="0"/>
          <w:sz w:val="24"/>
          <w:lang w:val="en-US"/>
        </w:rPr>
        <w:t>hank my</w:t>
      </w:r>
      <w:r w:rsidR="008C0E08">
        <w:rPr>
          <w:b w:val="0"/>
          <w:sz w:val="24"/>
          <w:lang w:val="en-US"/>
        </w:rPr>
        <w:t xml:space="preserve"> advisor,</w:t>
      </w:r>
      <w:r w:rsidR="008C1BB7">
        <w:rPr>
          <w:b w:val="0"/>
          <w:sz w:val="24"/>
          <w:lang w:val="en-US"/>
        </w:rPr>
        <w:t xml:space="preserve"> </w:t>
      </w:r>
      <w:r>
        <w:rPr>
          <w:b w:val="0"/>
          <w:sz w:val="24"/>
          <w:lang w:val="en-US"/>
        </w:rPr>
        <w:t>Nick Dygert</w:t>
      </w:r>
      <w:r w:rsidR="008C1BB7">
        <w:rPr>
          <w:b w:val="0"/>
          <w:sz w:val="24"/>
          <w:lang w:val="en-US"/>
        </w:rPr>
        <w:t xml:space="preserve"> for facilitating this work</w:t>
      </w:r>
      <w:r w:rsidR="00E329E7">
        <w:rPr>
          <w:b w:val="0"/>
          <w:sz w:val="24"/>
          <w:lang w:val="en-US"/>
        </w:rPr>
        <w:t xml:space="preserve"> through external funding and grants</w:t>
      </w:r>
      <w:r>
        <w:rPr>
          <w:b w:val="0"/>
          <w:sz w:val="24"/>
          <w:lang w:val="en-US"/>
        </w:rPr>
        <w:t xml:space="preserve">, </w:t>
      </w:r>
      <w:r w:rsidR="007274D9">
        <w:rPr>
          <w:b w:val="0"/>
          <w:sz w:val="24"/>
          <w:lang w:val="en-US"/>
        </w:rPr>
        <w:t>my committee members for their insight and guidance,</w:t>
      </w:r>
      <w:r>
        <w:rPr>
          <w:b w:val="0"/>
          <w:sz w:val="24"/>
          <w:lang w:val="en-US"/>
        </w:rPr>
        <w:t xml:space="preserve"> </w:t>
      </w:r>
      <w:r w:rsidR="007274D9">
        <w:rPr>
          <w:b w:val="0"/>
          <w:sz w:val="24"/>
          <w:lang w:val="en-US"/>
        </w:rPr>
        <w:t>especially Emily Chin for hosting me during my visit to Sc</w:t>
      </w:r>
      <w:r w:rsidR="00E329E7">
        <w:rPr>
          <w:b w:val="0"/>
          <w:sz w:val="24"/>
          <w:lang w:val="en-US"/>
        </w:rPr>
        <w:t>r</w:t>
      </w:r>
      <w:r w:rsidR="007274D9">
        <w:rPr>
          <w:b w:val="0"/>
          <w:sz w:val="24"/>
          <w:lang w:val="en-US"/>
        </w:rPr>
        <w:t>ipps and assistance collecting EBSD data</w:t>
      </w:r>
      <w:r>
        <w:rPr>
          <w:b w:val="0"/>
          <w:sz w:val="24"/>
          <w:lang w:val="en-US"/>
        </w:rPr>
        <w:t xml:space="preserve"> and Bill Dunne for his flexibility as a late-stage addition to my committee, Micah Jessup, for allowing me to tag along on international field campaigns in the high Andes, and his contributions to my growth as a structural geologist. </w:t>
      </w:r>
      <w:r w:rsidR="008E097B">
        <w:rPr>
          <w:b w:val="0"/>
          <w:sz w:val="24"/>
          <w:lang w:val="en-US"/>
        </w:rPr>
        <w:t xml:space="preserve">I have benefited a great deal from the mentorship of two fantastic </w:t>
      </w:r>
      <w:r>
        <w:rPr>
          <w:b w:val="0"/>
          <w:sz w:val="24"/>
          <w:lang w:val="en-US"/>
        </w:rPr>
        <w:t>educators within</w:t>
      </w:r>
      <w:r w:rsidR="008E097B">
        <w:rPr>
          <w:b w:val="0"/>
          <w:sz w:val="24"/>
          <w:lang w:val="en-US"/>
        </w:rPr>
        <w:t xml:space="preserve"> </w:t>
      </w:r>
      <w:r>
        <w:rPr>
          <w:b w:val="0"/>
          <w:sz w:val="24"/>
          <w:lang w:val="en-US"/>
        </w:rPr>
        <w:t>my</w:t>
      </w:r>
      <w:r w:rsidR="008E097B">
        <w:rPr>
          <w:b w:val="0"/>
          <w:sz w:val="24"/>
          <w:lang w:val="en-US"/>
        </w:rPr>
        <w:t xml:space="preserve"> department, Stephanie Drumheller and Robert Jacobsen, who have encouraged my development as </w:t>
      </w:r>
      <w:r>
        <w:rPr>
          <w:b w:val="0"/>
          <w:sz w:val="24"/>
          <w:lang w:val="en-US"/>
        </w:rPr>
        <w:t>teacher and human</w:t>
      </w:r>
      <w:r w:rsidR="008E097B">
        <w:rPr>
          <w:b w:val="0"/>
          <w:sz w:val="24"/>
          <w:lang w:val="en-US"/>
        </w:rPr>
        <w:t xml:space="preserve">. </w:t>
      </w:r>
      <w:r>
        <w:rPr>
          <w:b w:val="0"/>
          <w:sz w:val="24"/>
          <w:lang w:val="en-US"/>
        </w:rPr>
        <w:t>To the administrative staff of EPS, Diane</w:t>
      </w:r>
      <w:r w:rsidR="00945362">
        <w:rPr>
          <w:b w:val="0"/>
          <w:sz w:val="24"/>
          <w:lang w:val="en-US"/>
        </w:rPr>
        <w:t xml:space="preserve"> </w:t>
      </w:r>
      <w:proofErr w:type="spellStart"/>
      <w:r w:rsidR="00945362">
        <w:rPr>
          <w:b w:val="0"/>
          <w:sz w:val="24"/>
          <w:lang w:val="en-US"/>
        </w:rPr>
        <w:t>Pealor</w:t>
      </w:r>
      <w:proofErr w:type="spellEnd"/>
      <w:r w:rsidR="00945362">
        <w:rPr>
          <w:b w:val="0"/>
          <w:sz w:val="24"/>
          <w:lang w:val="en-US"/>
        </w:rPr>
        <w:t xml:space="preserve">, Melody Branch, Teresa Parrott, Marie </w:t>
      </w:r>
      <w:proofErr w:type="gramStart"/>
      <w:r w:rsidR="00945362">
        <w:rPr>
          <w:b w:val="0"/>
          <w:sz w:val="24"/>
          <w:lang w:val="en-US"/>
        </w:rPr>
        <w:t>Ballard</w:t>
      </w:r>
      <w:proofErr w:type="gramEnd"/>
      <w:r w:rsidR="00945362">
        <w:rPr>
          <w:b w:val="0"/>
          <w:sz w:val="24"/>
          <w:lang w:val="en-US"/>
        </w:rPr>
        <w:t xml:space="preserve"> and Angie Staley for all of their support and assistance.</w:t>
      </w:r>
    </w:p>
    <w:p w14:paraId="78C4FAC7" w14:textId="437A8DC7" w:rsidR="007E337F" w:rsidRDefault="00E329E7" w:rsidP="001E0B34">
      <w:pPr>
        <w:pStyle w:val="Title"/>
        <w:spacing w:line="360" w:lineRule="auto"/>
        <w:ind w:firstLine="360"/>
        <w:jc w:val="left"/>
        <w:rPr>
          <w:b w:val="0"/>
          <w:sz w:val="24"/>
          <w:lang w:val="en-US"/>
        </w:rPr>
      </w:pPr>
      <w:r>
        <w:rPr>
          <w:b w:val="0"/>
          <w:sz w:val="24"/>
          <w:lang w:val="en-US"/>
        </w:rPr>
        <w:t xml:space="preserve">And where would I be without my </w:t>
      </w:r>
      <w:r w:rsidR="008E097B">
        <w:rPr>
          <w:b w:val="0"/>
          <w:sz w:val="24"/>
          <w:lang w:val="en-US"/>
        </w:rPr>
        <w:t>peers</w:t>
      </w:r>
      <w:r>
        <w:rPr>
          <w:b w:val="0"/>
          <w:sz w:val="24"/>
          <w:lang w:val="en-US"/>
        </w:rPr>
        <w:t xml:space="preserve"> during this process? </w:t>
      </w:r>
      <w:r w:rsidR="00945362">
        <w:rPr>
          <w:b w:val="0"/>
          <w:sz w:val="24"/>
          <w:lang w:val="en-US"/>
        </w:rPr>
        <w:t xml:space="preserve">I want to thank Beau Boring for her assistance in collecting microprobe data and helping maintain my sanity throughout my time in Tennessee (and Providence). </w:t>
      </w:r>
      <w:r>
        <w:rPr>
          <w:b w:val="0"/>
          <w:sz w:val="24"/>
          <w:lang w:val="en-US"/>
        </w:rPr>
        <w:t xml:space="preserve">I would especially like to acknowledge Claire </w:t>
      </w:r>
      <w:proofErr w:type="spellStart"/>
      <w:r>
        <w:rPr>
          <w:b w:val="0"/>
          <w:sz w:val="24"/>
          <w:lang w:val="en-US"/>
        </w:rPr>
        <w:t>Mondro</w:t>
      </w:r>
      <w:proofErr w:type="spellEnd"/>
      <w:r>
        <w:rPr>
          <w:b w:val="0"/>
          <w:sz w:val="24"/>
          <w:lang w:val="en-US"/>
        </w:rPr>
        <w:t xml:space="preserve">, Sam </w:t>
      </w:r>
      <w:proofErr w:type="spellStart"/>
      <w:r>
        <w:rPr>
          <w:b w:val="0"/>
          <w:sz w:val="24"/>
          <w:lang w:val="en-US"/>
        </w:rPr>
        <w:t>Gwizd</w:t>
      </w:r>
      <w:proofErr w:type="spellEnd"/>
      <w:r>
        <w:rPr>
          <w:b w:val="0"/>
          <w:sz w:val="24"/>
          <w:lang w:val="en-US"/>
        </w:rPr>
        <w:t xml:space="preserve">, </w:t>
      </w:r>
      <w:proofErr w:type="spellStart"/>
      <w:r w:rsidR="008E097B">
        <w:rPr>
          <w:b w:val="0"/>
          <w:sz w:val="24"/>
          <w:lang w:val="en-US"/>
        </w:rPr>
        <w:t>Helle</w:t>
      </w:r>
      <w:proofErr w:type="spellEnd"/>
      <w:r w:rsidR="008E097B">
        <w:rPr>
          <w:b w:val="0"/>
          <w:sz w:val="24"/>
          <w:lang w:val="en-US"/>
        </w:rPr>
        <w:t xml:space="preserve"> </w:t>
      </w:r>
      <w:proofErr w:type="spellStart"/>
      <w:r w:rsidR="008E097B">
        <w:rPr>
          <w:b w:val="0"/>
          <w:sz w:val="24"/>
          <w:lang w:val="en-US"/>
        </w:rPr>
        <w:t>Skjetne</w:t>
      </w:r>
      <w:proofErr w:type="spellEnd"/>
      <w:r w:rsidR="008E097B">
        <w:rPr>
          <w:b w:val="0"/>
          <w:sz w:val="24"/>
          <w:lang w:val="en-US"/>
        </w:rPr>
        <w:t xml:space="preserve">, </w:t>
      </w:r>
      <w:r>
        <w:rPr>
          <w:b w:val="0"/>
          <w:sz w:val="24"/>
          <w:lang w:val="en-US"/>
        </w:rPr>
        <w:t xml:space="preserve">Kaitlyn </w:t>
      </w:r>
      <w:proofErr w:type="spellStart"/>
      <w:r w:rsidR="008E097B">
        <w:rPr>
          <w:b w:val="0"/>
          <w:sz w:val="24"/>
          <w:lang w:val="en-US"/>
        </w:rPr>
        <w:t>Gauvey</w:t>
      </w:r>
      <w:proofErr w:type="spellEnd"/>
      <w:r w:rsidR="008E097B">
        <w:rPr>
          <w:b w:val="0"/>
          <w:sz w:val="24"/>
          <w:lang w:val="en-US"/>
        </w:rPr>
        <w:t xml:space="preserve"> and </w:t>
      </w:r>
      <w:proofErr w:type="spellStart"/>
      <w:r w:rsidR="008E097B">
        <w:rPr>
          <w:b w:val="0"/>
          <w:sz w:val="24"/>
          <w:lang w:val="en-US"/>
        </w:rPr>
        <w:t>Kristan</w:t>
      </w:r>
      <w:proofErr w:type="spellEnd"/>
      <w:r w:rsidR="008E097B">
        <w:rPr>
          <w:b w:val="0"/>
          <w:sz w:val="24"/>
          <w:lang w:val="en-US"/>
        </w:rPr>
        <w:t xml:space="preserve"> Watkins for their friendships over the past 4+ years. To Allison Rogers and Rhianna </w:t>
      </w:r>
      <w:r w:rsidR="008E097B">
        <w:rPr>
          <w:b w:val="0"/>
          <w:sz w:val="24"/>
          <w:lang w:val="en-US"/>
        </w:rPr>
        <w:lastRenderedPageBreak/>
        <w:t xml:space="preserve">Moore, thank you for 2 great years of GeoClub e-board. </w:t>
      </w:r>
      <w:r w:rsidR="007E337F">
        <w:rPr>
          <w:b w:val="0"/>
          <w:sz w:val="24"/>
          <w:lang w:val="en-US"/>
        </w:rPr>
        <w:t xml:space="preserve">Jesse Scholpp, </w:t>
      </w:r>
      <w:r w:rsidR="008E097B">
        <w:rPr>
          <w:b w:val="0"/>
          <w:sz w:val="24"/>
          <w:lang w:val="en-US"/>
        </w:rPr>
        <w:t xml:space="preserve">Megan Mouser, Dian </w:t>
      </w:r>
      <w:proofErr w:type="gramStart"/>
      <w:r w:rsidR="008E097B">
        <w:rPr>
          <w:b w:val="0"/>
          <w:sz w:val="24"/>
          <w:lang w:val="en-US"/>
        </w:rPr>
        <w:t>Ji</w:t>
      </w:r>
      <w:proofErr w:type="gramEnd"/>
      <w:r w:rsidR="008E097B">
        <w:rPr>
          <w:b w:val="0"/>
          <w:sz w:val="24"/>
          <w:lang w:val="en-US"/>
        </w:rPr>
        <w:t xml:space="preserve"> and Mike </w:t>
      </w:r>
      <w:r w:rsidR="007E337F">
        <w:rPr>
          <w:b w:val="0"/>
          <w:sz w:val="24"/>
          <w:lang w:val="en-US"/>
        </w:rPr>
        <w:t>Lucas have provided great insight as group members of the EMPG.</w:t>
      </w:r>
    </w:p>
    <w:p w14:paraId="0B71B2F4" w14:textId="2209B192" w:rsidR="00990804" w:rsidRDefault="007E337F" w:rsidP="001E0B34">
      <w:pPr>
        <w:pStyle w:val="Title"/>
        <w:spacing w:line="360" w:lineRule="auto"/>
        <w:ind w:firstLine="360"/>
        <w:jc w:val="left"/>
        <w:rPr>
          <w:b w:val="0"/>
          <w:sz w:val="24"/>
          <w:lang w:val="en-US"/>
        </w:rPr>
      </w:pPr>
      <w:r>
        <w:rPr>
          <w:b w:val="0"/>
          <w:sz w:val="24"/>
          <w:lang w:val="en-US"/>
        </w:rPr>
        <w:t xml:space="preserve">To the coaches, SAs, and fellow 7:10AM-ers of </w:t>
      </w:r>
      <w:proofErr w:type="spellStart"/>
      <w:r>
        <w:rPr>
          <w:b w:val="0"/>
          <w:sz w:val="24"/>
          <w:lang w:val="en-US"/>
        </w:rPr>
        <w:t>OTFBearden</w:t>
      </w:r>
      <w:proofErr w:type="spellEnd"/>
      <w:r>
        <w:rPr>
          <w:b w:val="0"/>
          <w:sz w:val="24"/>
          <w:lang w:val="en-US"/>
        </w:rPr>
        <w:t xml:space="preserve">, I may not have kept my sanity without the orange lights, </w:t>
      </w:r>
      <w:r w:rsidR="00945362">
        <w:rPr>
          <w:b w:val="0"/>
          <w:sz w:val="24"/>
          <w:lang w:val="en-US"/>
        </w:rPr>
        <w:t>Satan’s Skateboard</w:t>
      </w:r>
      <w:r>
        <w:rPr>
          <w:b w:val="0"/>
          <w:sz w:val="24"/>
          <w:lang w:val="en-US"/>
        </w:rPr>
        <w:t xml:space="preserve">, and sprints to the finish. </w:t>
      </w:r>
    </w:p>
    <w:p w14:paraId="04E93BA8" w14:textId="4F2819D6" w:rsidR="001E0B34" w:rsidRDefault="008C0E08" w:rsidP="00F24389">
      <w:pPr>
        <w:pStyle w:val="Title"/>
        <w:spacing w:line="360" w:lineRule="auto"/>
        <w:ind w:firstLine="360"/>
        <w:jc w:val="left"/>
      </w:pPr>
      <w:r>
        <w:rPr>
          <w:b w:val="0"/>
          <w:sz w:val="24"/>
          <w:lang w:val="en-US"/>
        </w:rPr>
        <w:t>A warm shout out t</w:t>
      </w:r>
      <w:r w:rsidR="00945362">
        <w:rPr>
          <w:b w:val="0"/>
          <w:sz w:val="24"/>
          <w:lang w:val="en-US"/>
        </w:rPr>
        <w:t xml:space="preserve">o the </w:t>
      </w:r>
      <w:proofErr w:type="spellStart"/>
      <w:r w:rsidR="00945362">
        <w:rPr>
          <w:b w:val="0"/>
          <w:sz w:val="24"/>
          <w:lang w:val="en-US"/>
        </w:rPr>
        <w:t>Warnekes</w:t>
      </w:r>
      <w:proofErr w:type="spellEnd"/>
      <w:r w:rsidR="00945362">
        <w:rPr>
          <w:b w:val="0"/>
          <w:sz w:val="24"/>
          <w:lang w:val="en-US"/>
        </w:rPr>
        <w:t xml:space="preserve">, </w:t>
      </w:r>
      <w:r w:rsidRPr="008C0E08">
        <w:rPr>
          <w:b w:val="0"/>
          <w:sz w:val="24"/>
          <w:lang w:val="en-US"/>
        </w:rPr>
        <w:t>née</w:t>
      </w:r>
      <w:r w:rsidR="00945362">
        <w:rPr>
          <w:b w:val="0"/>
          <w:sz w:val="24"/>
          <w:lang w:val="en-US"/>
        </w:rPr>
        <w:t xml:space="preserve"> </w:t>
      </w:r>
      <w:proofErr w:type="spellStart"/>
      <w:r w:rsidR="00945362">
        <w:rPr>
          <w:b w:val="0"/>
          <w:sz w:val="24"/>
          <w:lang w:val="en-US"/>
        </w:rPr>
        <w:t>Warnekes</w:t>
      </w:r>
      <w:proofErr w:type="spellEnd"/>
      <w:r w:rsidR="00945362">
        <w:rPr>
          <w:b w:val="0"/>
          <w:sz w:val="24"/>
          <w:lang w:val="en-US"/>
        </w:rPr>
        <w:t xml:space="preserve">, </w:t>
      </w:r>
      <w:proofErr w:type="spellStart"/>
      <w:r w:rsidR="00945362">
        <w:rPr>
          <w:b w:val="0"/>
          <w:sz w:val="24"/>
          <w:lang w:val="en-US"/>
        </w:rPr>
        <w:t>Parras</w:t>
      </w:r>
      <w:proofErr w:type="spellEnd"/>
      <w:r w:rsidR="00945362">
        <w:rPr>
          <w:b w:val="0"/>
          <w:sz w:val="24"/>
          <w:lang w:val="en-US"/>
        </w:rPr>
        <w:t xml:space="preserve"> and </w:t>
      </w:r>
      <w:proofErr w:type="spellStart"/>
      <w:r w:rsidR="00945362">
        <w:rPr>
          <w:b w:val="0"/>
          <w:sz w:val="24"/>
          <w:lang w:val="en-US"/>
        </w:rPr>
        <w:t>Gramblings</w:t>
      </w:r>
      <w:proofErr w:type="spellEnd"/>
      <w:r w:rsidR="00945362">
        <w:rPr>
          <w:b w:val="0"/>
          <w:sz w:val="24"/>
          <w:lang w:val="en-US"/>
        </w:rPr>
        <w:t xml:space="preserve"> near and far, especially Steven, and Madeline, for providing distraction and a place to stay during multiple deployments to New England. </w:t>
      </w:r>
      <w:r>
        <w:rPr>
          <w:b w:val="0"/>
          <w:sz w:val="24"/>
          <w:lang w:val="en-US"/>
        </w:rPr>
        <w:t xml:space="preserve">I cannot thank </w:t>
      </w:r>
      <w:r w:rsidR="00990804">
        <w:rPr>
          <w:b w:val="0"/>
          <w:sz w:val="24"/>
          <w:lang w:val="en-US"/>
        </w:rPr>
        <w:t xml:space="preserve">my parents </w:t>
      </w:r>
      <w:r>
        <w:rPr>
          <w:b w:val="0"/>
          <w:sz w:val="24"/>
          <w:lang w:val="en-US"/>
        </w:rPr>
        <w:t xml:space="preserve">enough </w:t>
      </w:r>
      <w:r w:rsidR="00990804">
        <w:rPr>
          <w:b w:val="0"/>
          <w:sz w:val="24"/>
          <w:lang w:val="en-US"/>
        </w:rPr>
        <w:t>for their endless support</w:t>
      </w:r>
      <w:r w:rsidR="008E097B">
        <w:rPr>
          <w:b w:val="0"/>
          <w:sz w:val="24"/>
          <w:lang w:val="en-US"/>
        </w:rPr>
        <w:t>, even though they had to visit the South,</w:t>
      </w:r>
      <w:r w:rsidR="00990804">
        <w:rPr>
          <w:b w:val="0"/>
          <w:sz w:val="24"/>
          <w:lang w:val="en-US"/>
        </w:rPr>
        <w:t xml:space="preserve"> and my brother Max for serving as our ward during the COVID-19 pandemic.</w:t>
      </w:r>
      <w:r w:rsidR="00945362" w:rsidRPr="005E54E2">
        <w:t xml:space="preserve"> </w:t>
      </w:r>
    </w:p>
    <w:p w14:paraId="47A36461" w14:textId="0C4FAFD5" w:rsidR="008C0E08" w:rsidRDefault="008C0E08" w:rsidP="00F24389">
      <w:pPr>
        <w:pStyle w:val="Title"/>
        <w:spacing w:line="360" w:lineRule="auto"/>
        <w:ind w:firstLine="360"/>
        <w:jc w:val="left"/>
      </w:pPr>
      <w:r>
        <w:rPr>
          <w:b w:val="0"/>
          <w:sz w:val="24"/>
          <w:lang w:val="en-US"/>
        </w:rPr>
        <w:t xml:space="preserve">Finally, I would like to thank my husband, Tyler, for his over-confidence in my ability to survive this ordeal, for watching the cats as I spent months traveling domestically and internationally for research, for his acceptance of my “quirks” both diagnosed and otherwise and for dragging me to the home of the </w:t>
      </w:r>
      <w:proofErr w:type="spellStart"/>
      <w:r w:rsidR="00272A1E">
        <w:rPr>
          <w:b w:val="0"/>
          <w:sz w:val="24"/>
          <w:lang w:val="en-US"/>
        </w:rPr>
        <w:t>Wigsphere</w:t>
      </w:r>
      <w:proofErr w:type="spellEnd"/>
      <w:r w:rsidR="00272A1E">
        <w:rPr>
          <w:b w:val="0"/>
          <w:sz w:val="24"/>
          <w:lang w:val="en-US"/>
        </w:rPr>
        <w:t xml:space="preserve"> to experience 5 years of humidity beyond our wildest imagination. </w:t>
      </w:r>
    </w:p>
    <w:p w14:paraId="42283B77" w14:textId="03CAA97E" w:rsidR="00945362" w:rsidRPr="001E0B34" w:rsidRDefault="001E0B34" w:rsidP="001E0B34">
      <w:pPr>
        <w:rPr>
          <w:b/>
          <w:sz w:val="28"/>
          <w:lang w:val="en-CA"/>
        </w:rPr>
      </w:pPr>
      <w:r>
        <w:br w:type="page"/>
      </w:r>
    </w:p>
    <w:p w14:paraId="1BEDCFAF" w14:textId="7B1069D0" w:rsidR="009D794C" w:rsidRPr="005E54E2" w:rsidRDefault="00236E6D" w:rsidP="008E0089">
      <w:pPr>
        <w:pStyle w:val="Title"/>
      </w:pPr>
      <w:r w:rsidRPr="005E54E2">
        <w:lastRenderedPageBreak/>
        <w:t>ABSTRACT</w:t>
      </w:r>
    </w:p>
    <w:p w14:paraId="0D45267F" w14:textId="77777777" w:rsidR="009D794C" w:rsidRPr="005E54E2" w:rsidRDefault="009D794C" w:rsidP="008E0089">
      <w:pPr>
        <w:pStyle w:val="Title"/>
      </w:pPr>
    </w:p>
    <w:p w14:paraId="79853E4B" w14:textId="3D0A1B1E" w:rsidR="0085757D" w:rsidRDefault="00134554" w:rsidP="00F24389">
      <w:pPr>
        <w:spacing w:line="360" w:lineRule="auto"/>
      </w:pPr>
      <w:r>
        <w:t xml:space="preserve">Planetary interiors are enigmatic, inaccessible, and vital to the processes that have formed the rocks we see on the surface of bodies in the inner Solar System today. Based on geophysical explorations of the Moon and Earth, along with information gleaned from rocks at the surface today, </w:t>
      </w:r>
      <w:r w:rsidR="00C36D14">
        <w:t>there is understanding of the</w:t>
      </w:r>
      <w:r>
        <w:t xml:space="preserve"> basic structure and processes at depth. Using a combination of natural samples and experimental studies, we attempt to learn more about the physical conditions beneath the surface, </w:t>
      </w:r>
      <w:r w:rsidR="00C36D14">
        <w:t>and</w:t>
      </w:r>
      <w:r>
        <w:t xml:space="preserve"> their effect on material properties and tectonics processes in the mantle. </w:t>
      </w:r>
    </w:p>
    <w:p w14:paraId="5AC43F60" w14:textId="47BF1CB9" w:rsidR="00134554" w:rsidRDefault="00134554" w:rsidP="00F24389">
      <w:pPr>
        <w:spacing w:line="360" w:lineRule="auto"/>
      </w:pPr>
      <w:r>
        <w:t xml:space="preserve">On Earth, mid-ocean ridge processes have long been debated, and there has been little consensus on the magmatic plumbing and extent of ocean-water circulation at depth, leaving a debate between two end-member models of crustal accretion. Using geothermometry and geospedometry of lower-crustal and upper-mantle rocks from a paleo-ridge in the </w:t>
      </w:r>
      <w:proofErr w:type="spellStart"/>
      <w:r>
        <w:t>Samail</w:t>
      </w:r>
      <w:proofErr w:type="spellEnd"/>
      <w:r>
        <w:t xml:space="preserve"> </w:t>
      </w:r>
      <w:proofErr w:type="spellStart"/>
      <w:r>
        <w:t>Ophiolte</w:t>
      </w:r>
      <w:proofErr w:type="spellEnd"/>
      <w:r>
        <w:t xml:space="preserve">, alongside a similar suite of rocks from the actively spreading East Pacific Rise at Hess Deep, we compare the thermal structure of the crust-mantle transition zone and implications for the on-axis processes that form much of the Earth’s crust. </w:t>
      </w:r>
    </w:p>
    <w:p w14:paraId="07B3AA80" w14:textId="35918E1F" w:rsidR="0085757D" w:rsidRDefault="00134554" w:rsidP="00F24389">
      <w:pPr>
        <w:spacing w:line="360" w:lineRule="auto"/>
      </w:pPr>
      <w:r>
        <w:t xml:space="preserve">Past work has constrained the crystallization sequence of the moon </w:t>
      </w:r>
      <w:r w:rsidR="00C36D14">
        <w:t>through</w:t>
      </w:r>
      <w:r>
        <w:t xml:space="preserve"> time and determined one of the last layers to crystallize was highly dense, containing a significant fraction of the mineral ilmenite, and initially formed above the less-dense mantle cumulate pile, composed mainly of mafic minerals. </w:t>
      </w:r>
      <w:r w:rsidR="00C36D14">
        <w:t>To</w:t>
      </w:r>
      <w:r>
        <w:t xml:space="preserve"> study the possible interactions of these two layers due to the density instability, I completed shear deformation experiments on ilmenite and olivine aggregates, in equilibrium, to compare to aggregate flow laws proposed for phase mixing and determine the system rheology. </w:t>
      </w:r>
    </w:p>
    <w:p w14:paraId="397FEB51" w14:textId="7B8C94FB" w:rsidR="00236E6D" w:rsidRDefault="00C36D14" w:rsidP="00C36D14">
      <w:pPr>
        <w:spacing w:line="360" w:lineRule="auto"/>
      </w:pPr>
      <w:r>
        <w:t>To</w:t>
      </w:r>
      <w:r w:rsidR="00134554">
        <w:t xml:space="preserve"> introduce high school students in East Tennessee to the concept of mantle materials and conditions versus crustal materials and their formation conditions, I have created an activity and corresponding lesson plan for use in secondary school Chemistry classrooms. This activity combines phase diagrams, physical models of chemical bonds, and a comparison of two native minerals with the same chemical formula to help students think about the effects of pressure and temperature on Earth materials. </w:t>
      </w:r>
      <w:r w:rsidR="00236E6D" w:rsidRPr="005E54E2">
        <w:br w:type="page"/>
      </w:r>
    </w:p>
    <w:p w14:paraId="7B73651A" w14:textId="77777777" w:rsidR="00387656" w:rsidRDefault="00387656" w:rsidP="008E0089">
      <w:pPr>
        <w:pStyle w:val="Title"/>
      </w:pPr>
      <w:r>
        <w:lastRenderedPageBreak/>
        <w:t>TABLE OF CONTENTS</w:t>
      </w:r>
    </w:p>
    <w:p w14:paraId="14FA9F1E" w14:textId="77777777" w:rsidR="00387656" w:rsidRDefault="00387656" w:rsidP="00387656"/>
    <w:p w14:paraId="3DC78F04" w14:textId="6B1FA357" w:rsidR="00DF56B1" w:rsidRDefault="00387656" w:rsidP="00EB54E6">
      <w:pPr>
        <w:pStyle w:val="TOC1"/>
        <w:tabs>
          <w:tab w:val="right" w:leader="dot" w:pos="9350"/>
        </w:tabs>
        <w:spacing w:line="360" w:lineRule="auto"/>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9036105" w:history="1">
        <w:r w:rsidR="00DF56B1" w:rsidRPr="003F3663">
          <w:rPr>
            <w:rStyle w:val="Hyperlink"/>
            <w:noProof/>
          </w:rPr>
          <w:t>Introduction</w:t>
        </w:r>
        <w:r w:rsidR="00DF56B1">
          <w:rPr>
            <w:noProof/>
            <w:webHidden/>
          </w:rPr>
          <w:tab/>
        </w:r>
        <w:r w:rsidR="00DF56B1">
          <w:rPr>
            <w:noProof/>
            <w:webHidden/>
          </w:rPr>
          <w:fldChar w:fldCharType="begin"/>
        </w:r>
        <w:r w:rsidR="00DF56B1">
          <w:rPr>
            <w:noProof/>
            <w:webHidden/>
          </w:rPr>
          <w:instrText xml:space="preserve"> PAGEREF _Toc109036105 \h </w:instrText>
        </w:r>
        <w:r w:rsidR="00DF56B1">
          <w:rPr>
            <w:noProof/>
            <w:webHidden/>
          </w:rPr>
        </w:r>
        <w:r w:rsidR="00DF56B1">
          <w:rPr>
            <w:noProof/>
            <w:webHidden/>
          </w:rPr>
          <w:fldChar w:fldCharType="separate"/>
        </w:r>
        <w:r w:rsidR="00DF56B1">
          <w:rPr>
            <w:noProof/>
            <w:webHidden/>
          </w:rPr>
          <w:t>1</w:t>
        </w:r>
        <w:r w:rsidR="00DF56B1">
          <w:rPr>
            <w:noProof/>
            <w:webHidden/>
          </w:rPr>
          <w:fldChar w:fldCharType="end"/>
        </w:r>
      </w:hyperlink>
    </w:p>
    <w:p w14:paraId="2BC66937" w14:textId="1BF63E55" w:rsidR="00DF56B1" w:rsidRDefault="00D223CC" w:rsidP="00EB54E6">
      <w:pPr>
        <w:pStyle w:val="TOC1"/>
        <w:tabs>
          <w:tab w:val="right" w:leader="dot" w:pos="9350"/>
        </w:tabs>
        <w:spacing w:line="360" w:lineRule="auto"/>
        <w:rPr>
          <w:rFonts w:asciiTheme="minorHAnsi" w:eastAsiaTheme="minorEastAsia" w:hAnsiTheme="minorHAnsi" w:cstheme="minorBidi"/>
          <w:noProof/>
          <w:sz w:val="22"/>
          <w:szCs w:val="22"/>
        </w:rPr>
      </w:pPr>
      <w:hyperlink w:anchor="_Toc109036106" w:history="1">
        <w:r w:rsidR="00DF56B1" w:rsidRPr="003F3663">
          <w:rPr>
            <w:rStyle w:val="Hyperlink"/>
            <w:noProof/>
          </w:rPr>
          <w:t>Chapter 1: Thermal history of lithosphere formed beneath fast spreading ridges: Constraints from the Mantle Transition Zone of the East Pacific Rise at Hess Deep and Oman Drilling Project, Wadi Zeeb, Samail ophiolite</w:t>
        </w:r>
        <w:r w:rsidR="00DF56B1">
          <w:rPr>
            <w:noProof/>
            <w:webHidden/>
          </w:rPr>
          <w:tab/>
        </w:r>
        <w:r w:rsidR="00DF56B1">
          <w:rPr>
            <w:noProof/>
            <w:webHidden/>
          </w:rPr>
          <w:fldChar w:fldCharType="begin"/>
        </w:r>
        <w:r w:rsidR="00DF56B1">
          <w:rPr>
            <w:noProof/>
            <w:webHidden/>
          </w:rPr>
          <w:instrText xml:space="preserve"> PAGEREF _Toc109036106 \h </w:instrText>
        </w:r>
        <w:r w:rsidR="00DF56B1">
          <w:rPr>
            <w:noProof/>
            <w:webHidden/>
          </w:rPr>
        </w:r>
        <w:r w:rsidR="00DF56B1">
          <w:rPr>
            <w:noProof/>
            <w:webHidden/>
          </w:rPr>
          <w:fldChar w:fldCharType="separate"/>
        </w:r>
        <w:r w:rsidR="00DF56B1">
          <w:rPr>
            <w:noProof/>
            <w:webHidden/>
          </w:rPr>
          <w:t>3</w:t>
        </w:r>
        <w:r w:rsidR="00DF56B1">
          <w:rPr>
            <w:noProof/>
            <w:webHidden/>
          </w:rPr>
          <w:fldChar w:fldCharType="end"/>
        </w:r>
      </w:hyperlink>
    </w:p>
    <w:p w14:paraId="75BF37DF" w14:textId="000B4553"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07" w:history="1">
        <w:r w:rsidR="00DF56B1" w:rsidRPr="003F3663">
          <w:rPr>
            <w:rStyle w:val="Hyperlink"/>
            <w:noProof/>
          </w:rPr>
          <w:t>Abstract</w:t>
        </w:r>
        <w:r w:rsidR="00DF56B1">
          <w:rPr>
            <w:noProof/>
            <w:webHidden/>
          </w:rPr>
          <w:tab/>
        </w:r>
        <w:r w:rsidR="00DF56B1">
          <w:rPr>
            <w:noProof/>
            <w:webHidden/>
          </w:rPr>
          <w:fldChar w:fldCharType="begin"/>
        </w:r>
        <w:r w:rsidR="00DF56B1">
          <w:rPr>
            <w:noProof/>
            <w:webHidden/>
          </w:rPr>
          <w:instrText xml:space="preserve"> PAGEREF _Toc109036107 \h </w:instrText>
        </w:r>
        <w:r w:rsidR="00DF56B1">
          <w:rPr>
            <w:noProof/>
            <w:webHidden/>
          </w:rPr>
        </w:r>
        <w:r w:rsidR="00DF56B1">
          <w:rPr>
            <w:noProof/>
            <w:webHidden/>
          </w:rPr>
          <w:fldChar w:fldCharType="separate"/>
        </w:r>
        <w:r w:rsidR="00DF56B1">
          <w:rPr>
            <w:noProof/>
            <w:webHidden/>
          </w:rPr>
          <w:t>4</w:t>
        </w:r>
        <w:r w:rsidR="00DF56B1">
          <w:rPr>
            <w:noProof/>
            <w:webHidden/>
          </w:rPr>
          <w:fldChar w:fldCharType="end"/>
        </w:r>
      </w:hyperlink>
    </w:p>
    <w:p w14:paraId="43CF5E7F" w14:textId="7A7B7011"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08" w:history="1">
        <w:r w:rsidR="00DF56B1" w:rsidRPr="003F3663">
          <w:rPr>
            <w:rStyle w:val="Hyperlink"/>
            <w:noProof/>
          </w:rPr>
          <w:t>1. Introduction</w:t>
        </w:r>
        <w:r w:rsidR="00DF56B1">
          <w:rPr>
            <w:noProof/>
            <w:webHidden/>
          </w:rPr>
          <w:tab/>
        </w:r>
        <w:r w:rsidR="00DF56B1">
          <w:rPr>
            <w:noProof/>
            <w:webHidden/>
          </w:rPr>
          <w:fldChar w:fldCharType="begin"/>
        </w:r>
        <w:r w:rsidR="00DF56B1">
          <w:rPr>
            <w:noProof/>
            <w:webHidden/>
          </w:rPr>
          <w:instrText xml:space="preserve"> PAGEREF _Toc109036108 \h </w:instrText>
        </w:r>
        <w:r w:rsidR="00DF56B1">
          <w:rPr>
            <w:noProof/>
            <w:webHidden/>
          </w:rPr>
        </w:r>
        <w:r w:rsidR="00DF56B1">
          <w:rPr>
            <w:noProof/>
            <w:webHidden/>
          </w:rPr>
          <w:fldChar w:fldCharType="separate"/>
        </w:r>
        <w:r w:rsidR="00DF56B1">
          <w:rPr>
            <w:noProof/>
            <w:webHidden/>
          </w:rPr>
          <w:t>5</w:t>
        </w:r>
        <w:r w:rsidR="00DF56B1">
          <w:rPr>
            <w:noProof/>
            <w:webHidden/>
          </w:rPr>
          <w:fldChar w:fldCharType="end"/>
        </w:r>
      </w:hyperlink>
    </w:p>
    <w:p w14:paraId="05690AFA" w14:textId="28BD721B"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09" w:history="1">
        <w:r w:rsidR="00DF56B1" w:rsidRPr="003F3663">
          <w:rPr>
            <w:rStyle w:val="Hyperlink"/>
            <w:noProof/>
          </w:rPr>
          <w:t>1.0.1 Crustal Accretion models</w:t>
        </w:r>
        <w:r w:rsidR="00DF56B1">
          <w:rPr>
            <w:noProof/>
            <w:webHidden/>
          </w:rPr>
          <w:tab/>
        </w:r>
        <w:r w:rsidR="00DF56B1">
          <w:rPr>
            <w:noProof/>
            <w:webHidden/>
          </w:rPr>
          <w:fldChar w:fldCharType="begin"/>
        </w:r>
        <w:r w:rsidR="00DF56B1">
          <w:rPr>
            <w:noProof/>
            <w:webHidden/>
          </w:rPr>
          <w:instrText xml:space="preserve"> PAGEREF _Toc109036109 \h </w:instrText>
        </w:r>
        <w:r w:rsidR="00DF56B1">
          <w:rPr>
            <w:noProof/>
            <w:webHidden/>
          </w:rPr>
        </w:r>
        <w:r w:rsidR="00DF56B1">
          <w:rPr>
            <w:noProof/>
            <w:webHidden/>
          </w:rPr>
          <w:fldChar w:fldCharType="separate"/>
        </w:r>
        <w:r w:rsidR="00DF56B1">
          <w:rPr>
            <w:noProof/>
            <w:webHidden/>
          </w:rPr>
          <w:t>7</w:t>
        </w:r>
        <w:r w:rsidR="00DF56B1">
          <w:rPr>
            <w:noProof/>
            <w:webHidden/>
          </w:rPr>
          <w:fldChar w:fldCharType="end"/>
        </w:r>
      </w:hyperlink>
    </w:p>
    <w:p w14:paraId="29D6CE52" w14:textId="10A2BD44"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10" w:history="1">
        <w:r w:rsidR="00DF56B1" w:rsidRPr="003F3663">
          <w:rPr>
            <w:rStyle w:val="Hyperlink"/>
            <w:noProof/>
          </w:rPr>
          <w:t>1.0.2 Results from previous investigations that constrained cooling rate variations in oceanic lithosphere</w:t>
        </w:r>
        <w:r w:rsidR="00DF56B1">
          <w:rPr>
            <w:noProof/>
            <w:webHidden/>
          </w:rPr>
          <w:tab/>
        </w:r>
        <w:r w:rsidR="00DF56B1">
          <w:rPr>
            <w:noProof/>
            <w:webHidden/>
          </w:rPr>
          <w:fldChar w:fldCharType="begin"/>
        </w:r>
        <w:r w:rsidR="00DF56B1">
          <w:rPr>
            <w:noProof/>
            <w:webHidden/>
          </w:rPr>
          <w:instrText xml:space="preserve"> PAGEREF _Toc109036110 \h </w:instrText>
        </w:r>
        <w:r w:rsidR="00DF56B1">
          <w:rPr>
            <w:noProof/>
            <w:webHidden/>
          </w:rPr>
        </w:r>
        <w:r w:rsidR="00DF56B1">
          <w:rPr>
            <w:noProof/>
            <w:webHidden/>
          </w:rPr>
          <w:fldChar w:fldCharType="separate"/>
        </w:r>
        <w:r w:rsidR="00DF56B1">
          <w:rPr>
            <w:noProof/>
            <w:webHidden/>
          </w:rPr>
          <w:t>9</w:t>
        </w:r>
        <w:r w:rsidR="00DF56B1">
          <w:rPr>
            <w:noProof/>
            <w:webHidden/>
          </w:rPr>
          <w:fldChar w:fldCharType="end"/>
        </w:r>
      </w:hyperlink>
    </w:p>
    <w:p w14:paraId="30B5EDCA" w14:textId="2AF71FF6"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11" w:history="1">
        <w:r w:rsidR="00DF56B1" w:rsidRPr="003F3663">
          <w:rPr>
            <w:rStyle w:val="Hyperlink"/>
            <w:noProof/>
          </w:rPr>
          <w:t>1.1 Study Areas</w:t>
        </w:r>
        <w:r w:rsidR="00DF56B1">
          <w:rPr>
            <w:noProof/>
            <w:webHidden/>
          </w:rPr>
          <w:tab/>
        </w:r>
        <w:r w:rsidR="00DF56B1">
          <w:rPr>
            <w:noProof/>
            <w:webHidden/>
          </w:rPr>
          <w:fldChar w:fldCharType="begin"/>
        </w:r>
        <w:r w:rsidR="00DF56B1">
          <w:rPr>
            <w:noProof/>
            <w:webHidden/>
          </w:rPr>
          <w:instrText xml:space="preserve"> PAGEREF _Toc109036111 \h </w:instrText>
        </w:r>
        <w:r w:rsidR="00DF56B1">
          <w:rPr>
            <w:noProof/>
            <w:webHidden/>
          </w:rPr>
        </w:r>
        <w:r w:rsidR="00DF56B1">
          <w:rPr>
            <w:noProof/>
            <w:webHidden/>
          </w:rPr>
          <w:fldChar w:fldCharType="separate"/>
        </w:r>
        <w:r w:rsidR="00DF56B1">
          <w:rPr>
            <w:noProof/>
            <w:webHidden/>
          </w:rPr>
          <w:t>11</w:t>
        </w:r>
        <w:r w:rsidR="00DF56B1">
          <w:rPr>
            <w:noProof/>
            <w:webHidden/>
          </w:rPr>
          <w:fldChar w:fldCharType="end"/>
        </w:r>
      </w:hyperlink>
    </w:p>
    <w:p w14:paraId="4E703B98" w14:textId="2FBD02E4"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12" w:history="1">
        <w:r w:rsidR="00DF56B1" w:rsidRPr="003F3663">
          <w:rPr>
            <w:rStyle w:val="Hyperlink"/>
            <w:noProof/>
          </w:rPr>
          <w:t>1.1.1 Wadi Zeeb, Oman ophiolite, as sampled by the Oman Drilling Project</w:t>
        </w:r>
        <w:r w:rsidR="00DF56B1">
          <w:rPr>
            <w:noProof/>
            <w:webHidden/>
          </w:rPr>
          <w:tab/>
        </w:r>
        <w:r w:rsidR="00DF56B1">
          <w:rPr>
            <w:noProof/>
            <w:webHidden/>
          </w:rPr>
          <w:fldChar w:fldCharType="begin"/>
        </w:r>
        <w:r w:rsidR="00DF56B1">
          <w:rPr>
            <w:noProof/>
            <w:webHidden/>
          </w:rPr>
          <w:instrText xml:space="preserve"> PAGEREF _Toc109036112 \h </w:instrText>
        </w:r>
        <w:r w:rsidR="00DF56B1">
          <w:rPr>
            <w:noProof/>
            <w:webHidden/>
          </w:rPr>
        </w:r>
        <w:r w:rsidR="00DF56B1">
          <w:rPr>
            <w:noProof/>
            <w:webHidden/>
          </w:rPr>
          <w:fldChar w:fldCharType="separate"/>
        </w:r>
        <w:r w:rsidR="00DF56B1">
          <w:rPr>
            <w:noProof/>
            <w:webHidden/>
          </w:rPr>
          <w:t>11</w:t>
        </w:r>
        <w:r w:rsidR="00DF56B1">
          <w:rPr>
            <w:noProof/>
            <w:webHidden/>
          </w:rPr>
          <w:fldChar w:fldCharType="end"/>
        </w:r>
      </w:hyperlink>
    </w:p>
    <w:p w14:paraId="42AB0E8F" w14:textId="08884949"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13" w:history="1">
        <w:r w:rsidR="00DF56B1" w:rsidRPr="003F3663">
          <w:rPr>
            <w:rStyle w:val="Hyperlink"/>
            <w:noProof/>
          </w:rPr>
          <w:t>1.1.2 Hess Deep</w:t>
        </w:r>
        <w:r w:rsidR="00DF56B1">
          <w:rPr>
            <w:noProof/>
            <w:webHidden/>
          </w:rPr>
          <w:tab/>
        </w:r>
        <w:r w:rsidR="00DF56B1">
          <w:rPr>
            <w:noProof/>
            <w:webHidden/>
          </w:rPr>
          <w:fldChar w:fldCharType="begin"/>
        </w:r>
        <w:r w:rsidR="00DF56B1">
          <w:rPr>
            <w:noProof/>
            <w:webHidden/>
          </w:rPr>
          <w:instrText xml:space="preserve"> PAGEREF _Toc109036113 \h </w:instrText>
        </w:r>
        <w:r w:rsidR="00DF56B1">
          <w:rPr>
            <w:noProof/>
            <w:webHidden/>
          </w:rPr>
        </w:r>
        <w:r w:rsidR="00DF56B1">
          <w:rPr>
            <w:noProof/>
            <w:webHidden/>
          </w:rPr>
          <w:fldChar w:fldCharType="separate"/>
        </w:r>
        <w:r w:rsidR="00DF56B1">
          <w:rPr>
            <w:noProof/>
            <w:webHidden/>
          </w:rPr>
          <w:t>12</w:t>
        </w:r>
        <w:r w:rsidR="00DF56B1">
          <w:rPr>
            <w:noProof/>
            <w:webHidden/>
          </w:rPr>
          <w:fldChar w:fldCharType="end"/>
        </w:r>
      </w:hyperlink>
    </w:p>
    <w:p w14:paraId="375A63B5" w14:textId="079B7BF7"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14" w:history="1">
        <w:r w:rsidR="00DF56B1" w:rsidRPr="003F3663">
          <w:rPr>
            <w:rStyle w:val="Hyperlink"/>
            <w:noProof/>
          </w:rPr>
          <w:t>2. Sample Description</w:t>
        </w:r>
        <w:r w:rsidR="00DF56B1">
          <w:rPr>
            <w:noProof/>
            <w:webHidden/>
          </w:rPr>
          <w:tab/>
        </w:r>
        <w:r w:rsidR="00DF56B1">
          <w:rPr>
            <w:noProof/>
            <w:webHidden/>
          </w:rPr>
          <w:fldChar w:fldCharType="begin"/>
        </w:r>
        <w:r w:rsidR="00DF56B1">
          <w:rPr>
            <w:noProof/>
            <w:webHidden/>
          </w:rPr>
          <w:instrText xml:space="preserve"> PAGEREF _Toc109036114 \h </w:instrText>
        </w:r>
        <w:r w:rsidR="00DF56B1">
          <w:rPr>
            <w:noProof/>
            <w:webHidden/>
          </w:rPr>
        </w:r>
        <w:r w:rsidR="00DF56B1">
          <w:rPr>
            <w:noProof/>
            <w:webHidden/>
          </w:rPr>
          <w:fldChar w:fldCharType="separate"/>
        </w:r>
        <w:r w:rsidR="00DF56B1">
          <w:rPr>
            <w:noProof/>
            <w:webHidden/>
          </w:rPr>
          <w:t>13</w:t>
        </w:r>
        <w:r w:rsidR="00DF56B1">
          <w:rPr>
            <w:noProof/>
            <w:webHidden/>
          </w:rPr>
          <w:fldChar w:fldCharType="end"/>
        </w:r>
      </w:hyperlink>
    </w:p>
    <w:p w14:paraId="21AFF5D7" w14:textId="3C5FFE3C"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15" w:history="1">
        <w:r w:rsidR="00DF56B1" w:rsidRPr="003F3663">
          <w:rPr>
            <w:rStyle w:val="Hyperlink"/>
            <w:noProof/>
          </w:rPr>
          <w:t>2.1 Samples</w:t>
        </w:r>
        <w:r w:rsidR="00DF56B1">
          <w:rPr>
            <w:noProof/>
            <w:webHidden/>
          </w:rPr>
          <w:tab/>
        </w:r>
        <w:r w:rsidR="00DF56B1">
          <w:rPr>
            <w:noProof/>
            <w:webHidden/>
          </w:rPr>
          <w:fldChar w:fldCharType="begin"/>
        </w:r>
        <w:r w:rsidR="00DF56B1">
          <w:rPr>
            <w:noProof/>
            <w:webHidden/>
          </w:rPr>
          <w:instrText xml:space="preserve"> PAGEREF _Toc109036115 \h </w:instrText>
        </w:r>
        <w:r w:rsidR="00DF56B1">
          <w:rPr>
            <w:noProof/>
            <w:webHidden/>
          </w:rPr>
        </w:r>
        <w:r w:rsidR="00DF56B1">
          <w:rPr>
            <w:noProof/>
            <w:webHidden/>
          </w:rPr>
          <w:fldChar w:fldCharType="separate"/>
        </w:r>
        <w:r w:rsidR="00DF56B1">
          <w:rPr>
            <w:noProof/>
            <w:webHidden/>
          </w:rPr>
          <w:t>13</w:t>
        </w:r>
        <w:r w:rsidR="00DF56B1">
          <w:rPr>
            <w:noProof/>
            <w:webHidden/>
          </w:rPr>
          <w:fldChar w:fldCharType="end"/>
        </w:r>
      </w:hyperlink>
    </w:p>
    <w:p w14:paraId="7676FFD6" w14:textId="316CBDD4"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16" w:history="1">
        <w:r w:rsidR="00DF56B1" w:rsidRPr="003F3663">
          <w:rPr>
            <w:rStyle w:val="Hyperlink"/>
            <w:noProof/>
          </w:rPr>
          <w:t>3. Analytical Methods</w:t>
        </w:r>
        <w:r w:rsidR="00DF56B1">
          <w:rPr>
            <w:noProof/>
            <w:webHidden/>
          </w:rPr>
          <w:tab/>
        </w:r>
        <w:r w:rsidR="00DF56B1">
          <w:rPr>
            <w:noProof/>
            <w:webHidden/>
          </w:rPr>
          <w:fldChar w:fldCharType="begin"/>
        </w:r>
        <w:r w:rsidR="00DF56B1">
          <w:rPr>
            <w:noProof/>
            <w:webHidden/>
          </w:rPr>
          <w:instrText xml:space="preserve"> PAGEREF _Toc109036116 \h </w:instrText>
        </w:r>
        <w:r w:rsidR="00DF56B1">
          <w:rPr>
            <w:noProof/>
            <w:webHidden/>
          </w:rPr>
        </w:r>
        <w:r w:rsidR="00DF56B1">
          <w:rPr>
            <w:noProof/>
            <w:webHidden/>
          </w:rPr>
          <w:fldChar w:fldCharType="separate"/>
        </w:r>
        <w:r w:rsidR="00DF56B1">
          <w:rPr>
            <w:noProof/>
            <w:webHidden/>
          </w:rPr>
          <w:t>14</w:t>
        </w:r>
        <w:r w:rsidR="00DF56B1">
          <w:rPr>
            <w:noProof/>
            <w:webHidden/>
          </w:rPr>
          <w:fldChar w:fldCharType="end"/>
        </w:r>
      </w:hyperlink>
    </w:p>
    <w:p w14:paraId="4E41A090" w14:textId="1BAD75E0"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17" w:history="1">
        <w:r w:rsidR="00DF56B1" w:rsidRPr="003F3663">
          <w:rPr>
            <w:rStyle w:val="Hyperlink"/>
            <w:noProof/>
          </w:rPr>
          <w:t>3.1 Major Element Analysis</w:t>
        </w:r>
        <w:r w:rsidR="00DF56B1">
          <w:rPr>
            <w:noProof/>
            <w:webHidden/>
          </w:rPr>
          <w:tab/>
        </w:r>
        <w:r w:rsidR="00DF56B1">
          <w:rPr>
            <w:noProof/>
            <w:webHidden/>
          </w:rPr>
          <w:fldChar w:fldCharType="begin"/>
        </w:r>
        <w:r w:rsidR="00DF56B1">
          <w:rPr>
            <w:noProof/>
            <w:webHidden/>
          </w:rPr>
          <w:instrText xml:space="preserve"> PAGEREF _Toc109036117 \h </w:instrText>
        </w:r>
        <w:r w:rsidR="00DF56B1">
          <w:rPr>
            <w:noProof/>
            <w:webHidden/>
          </w:rPr>
        </w:r>
        <w:r w:rsidR="00DF56B1">
          <w:rPr>
            <w:noProof/>
            <w:webHidden/>
          </w:rPr>
          <w:fldChar w:fldCharType="separate"/>
        </w:r>
        <w:r w:rsidR="00DF56B1">
          <w:rPr>
            <w:noProof/>
            <w:webHidden/>
          </w:rPr>
          <w:t>14</w:t>
        </w:r>
        <w:r w:rsidR="00DF56B1">
          <w:rPr>
            <w:noProof/>
            <w:webHidden/>
          </w:rPr>
          <w:fldChar w:fldCharType="end"/>
        </w:r>
      </w:hyperlink>
    </w:p>
    <w:p w14:paraId="46B99CD6" w14:textId="385A638A"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18" w:history="1">
        <w:r w:rsidR="00DF56B1" w:rsidRPr="003F3663">
          <w:rPr>
            <w:rStyle w:val="Hyperlink"/>
            <w:noProof/>
          </w:rPr>
          <w:t>3.2 Trace Element Analysis</w:t>
        </w:r>
        <w:r w:rsidR="00DF56B1">
          <w:rPr>
            <w:noProof/>
            <w:webHidden/>
          </w:rPr>
          <w:tab/>
        </w:r>
        <w:r w:rsidR="00DF56B1">
          <w:rPr>
            <w:noProof/>
            <w:webHidden/>
          </w:rPr>
          <w:fldChar w:fldCharType="begin"/>
        </w:r>
        <w:r w:rsidR="00DF56B1">
          <w:rPr>
            <w:noProof/>
            <w:webHidden/>
          </w:rPr>
          <w:instrText xml:space="preserve"> PAGEREF _Toc109036118 \h </w:instrText>
        </w:r>
        <w:r w:rsidR="00DF56B1">
          <w:rPr>
            <w:noProof/>
            <w:webHidden/>
          </w:rPr>
        </w:r>
        <w:r w:rsidR="00DF56B1">
          <w:rPr>
            <w:noProof/>
            <w:webHidden/>
          </w:rPr>
          <w:fldChar w:fldCharType="separate"/>
        </w:r>
        <w:r w:rsidR="00DF56B1">
          <w:rPr>
            <w:noProof/>
            <w:webHidden/>
          </w:rPr>
          <w:t>17</w:t>
        </w:r>
        <w:r w:rsidR="00DF56B1">
          <w:rPr>
            <w:noProof/>
            <w:webHidden/>
          </w:rPr>
          <w:fldChar w:fldCharType="end"/>
        </w:r>
      </w:hyperlink>
    </w:p>
    <w:p w14:paraId="59C2A67E" w14:textId="51B3D07F"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19" w:history="1">
        <w:r w:rsidR="00DF56B1" w:rsidRPr="003F3663">
          <w:rPr>
            <w:rStyle w:val="Hyperlink"/>
            <w:noProof/>
          </w:rPr>
          <w:t>4. Analytical and Thermometric Results</w:t>
        </w:r>
        <w:r w:rsidR="00DF56B1">
          <w:rPr>
            <w:noProof/>
            <w:webHidden/>
          </w:rPr>
          <w:tab/>
        </w:r>
        <w:r w:rsidR="00DF56B1">
          <w:rPr>
            <w:noProof/>
            <w:webHidden/>
          </w:rPr>
          <w:fldChar w:fldCharType="begin"/>
        </w:r>
        <w:r w:rsidR="00DF56B1">
          <w:rPr>
            <w:noProof/>
            <w:webHidden/>
          </w:rPr>
          <w:instrText xml:space="preserve"> PAGEREF _Toc109036119 \h </w:instrText>
        </w:r>
        <w:r w:rsidR="00DF56B1">
          <w:rPr>
            <w:noProof/>
            <w:webHidden/>
          </w:rPr>
        </w:r>
        <w:r w:rsidR="00DF56B1">
          <w:rPr>
            <w:noProof/>
            <w:webHidden/>
          </w:rPr>
          <w:fldChar w:fldCharType="separate"/>
        </w:r>
        <w:r w:rsidR="00DF56B1">
          <w:rPr>
            <w:noProof/>
            <w:webHidden/>
          </w:rPr>
          <w:t>18</w:t>
        </w:r>
        <w:r w:rsidR="00DF56B1">
          <w:rPr>
            <w:noProof/>
            <w:webHidden/>
          </w:rPr>
          <w:fldChar w:fldCharType="end"/>
        </w:r>
      </w:hyperlink>
    </w:p>
    <w:p w14:paraId="1B7A0711" w14:textId="0A91C262"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20" w:history="1">
        <w:r w:rsidR="00DF56B1" w:rsidRPr="003F3663">
          <w:rPr>
            <w:rStyle w:val="Hyperlink"/>
            <w:noProof/>
          </w:rPr>
          <w:t>4.1 Major elements</w:t>
        </w:r>
        <w:r w:rsidR="00DF56B1">
          <w:rPr>
            <w:noProof/>
            <w:webHidden/>
          </w:rPr>
          <w:tab/>
        </w:r>
        <w:r w:rsidR="00DF56B1">
          <w:rPr>
            <w:noProof/>
            <w:webHidden/>
          </w:rPr>
          <w:fldChar w:fldCharType="begin"/>
        </w:r>
        <w:r w:rsidR="00DF56B1">
          <w:rPr>
            <w:noProof/>
            <w:webHidden/>
          </w:rPr>
          <w:instrText xml:space="preserve"> PAGEREF _Toc109036120 \h </w:instrText>
        </w:r>
        <w:r w:rsidR="00DF56B1">
          <w:rPr>
            <w:noProof/>
            <w:webHidden/>
          </w:rPr>
        </w:r>
        <w:r w:rsidR="00DF56B1">
          <w:rPr>
            <w:noProof/>
            <w:webHidden/>
          </w:rPr>
          <w:fldChar w:fldCharType="separate"/>
        </w:r>
        <w:r w:rsidR="00DF56B1">
          <w:rPr>
            <w:noProof/>
            <w:webHidden/>
          </w:rPr>
          <w:t>18</w:t>
        </w:r>
        <w:r w:rsidR="00DF56B1">
          <w:rPr>
            <w:noProof/>
            <w:webHidden/>
          </w:rPr>
          <w:fldChar w:fldCharType="end"/>
        </w:r>
      </w:hyperlink>
    </w:p>
    <w:p w14:paraId="336DE21B" w14:textId="0E9D8A43"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21" w:history="1">
        <w:r w:rsidR="00DF56B1" w:rsidRPr="003F3663">
          <w:rPr>
            <w:rStyle w:val="Hyperlink"/>
            <w:noProof/>
          </w:rPr>
          <w:t>4.1.1 Major element zonation</w:t>
        </w:r>
        <w:r w:rsidR="00DF56B1">
          <w:rPr>
            <w:noProof/>
            <w:webHidden/>
          </w:rPr>
          <w:tab/>
        </w:r>
        <w:r w:rsidR="00DF56B1">
          <w:rPr>
            <w:noProof/>
            <w:webHidden/>
          </w:rPr>
          <w:fldChar w:fldCharType="begin"/>
        </w:r>
        <w:r w:rsidR="00DF56B1">
          <w:rPr>
            <w:noProof/>
            <w:webHidden/>
          </w:rPr>
          <w:instrText xml:space="preserve"> PAGEREF _Toc109036121 \h </w:instrText>
        </w:r>
        <w:r w:rsidR="00DF56B1">
          <w:rPr>
            <w:noProof/>
            <w:webHidden/>
          </w:rPr>
        </w:r>
        <w:r w:rsidR="00DF56B1">
          <w:rPr>
            <w:noProof/>
            <w:webHidden/>
          </w:rPr>
          <w:fldChar w:fldCharType="separate"/>
        </w:r>
        <w:r w:rsidR="00DF56B1">
          <w:rPr>
            <w:noProof/>
            <w:webHidden/>
          </w:rPr>
          <w:t>20</w:t>
        </w:r>
        <w:r w:rsidR="00DF56B1">
          <w:rPr>
            <w:noProof/>
            <w:webHidden/>
          </w:rPr>
          <w:fldChar w:fldCharType="end"/>
        </w:r>
      </w:hyperlink>
    </w:p>
    <w:p w14:paraId="1987F1DD" w14:textId="0B54EF76"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22" w:history="1">
        <w:r w:rsidR="00DF56B1" w:rsidRPr="003F3663">
          <w:rPr>
            <w:rStyle w:val="Hyperlink"/>
            <w:noProof/>
          </w:rPr>
          <w:t>4.2 Trace elements</w:t>
        </w:r>
        <w:r w:rsidR="00DF56B1">
          <w:rPr>
            <w:noProof/>
            <w:webHidden/>
          </w:rPr>
          <w:tab/>
        </w:r>
        <w:r w:rsidR="00DF56B1">
          <w:rPr>
            <w:noProof/>
            <w:webHidden/>
          </w:rPr>
          <w:fldChar w:fldCharType="begin"/>
        </w:r>
        <w:r w:rsidR="00DF56B1">
          <w:rPr>
            <w:noProof/>
            <w:webHidden/>
          </w:rPr>
          <w:instrText xml:space="preserve"> PAGEREF _Toc109036122 \h </w:instrText>
        </w:r>
        <w:r w:rsidR="00DF56B1">
          <w:rPr>
            <w:noProof/>
            <w:webHidden/>
          </w:rPr>
        </w:r>
        <w:r w:rsidR="00DF56B1">
          <w:rPr>
            <w:noProof/>
            <w:webHidden/>
          </w:rPr>
          <w:fldChar w:fldCharType="separate"/>
        </w:r>
        <w:r w:rsidR="00DF56B1">
          <w:rPr>
            <w:noProof/>
            <w:webHidden/>
          </w:rPr>
          <w:t>22</w:t>
        </w:r>
        <w:r w:rsidR="00DF56B1">
          <w:rPr>
            <w:noProof/>
            <w:webHidden/>
          </w:rPr>
          <w:fldChar w:fldCharType="end"/>
        </w:r>
      </w:hyperlink>
    </w:p>
    <w:p w14:paraId="0F566CC7" w14:textId="5F05D21E"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23" w:history="1">
        <w:r w:rsidR="00DF56B1" w:rsidRPr="003F3663">
          <w:rPr>
            <w:rStyle w:val="Hyperlink"/>
            <w:noProof/>
          </w:rPr>
          <w:t>4.2.2 Trace element zoning</w:t>
        </w:r>
        <w:r w:rsidR="00DF56B1">
          <w:rPr>
            <w:noProof/>
            <w:webHidden/>
          </w:rPr>
          <w:tab/>
        </w:r>
        <w:r w:rsidR="00DF56B1">
          <w:rPr>
            <w:noProof/>
            <w:webHidden/>
          </w:rPr>
          <w:fldChar w:fldCharType="begin"/>
        </w:r>
        <w:r w:rsidR="00DF56B1">
          <w:rPr>
            <w:noProof/>
            <w:webHidden/>
          </w:rPr>
          <w:instrText xml:space="preserve"> PAGEREF _Toc109036123 \h </w:instrText>
        </w:r>
        <w:r w:rsidR="00DF56B1">
          <w:rPr>
            <w:noProof/>
            <w:webHidden/>
          </w:rPr>
        </w:r>
        <w:r w:rsidR="00DF56B1">
          <w:rPr>
            <w:noProof/>
            <w:webHidden/>
          </w:rPr>
          <w:fldChar w:fldCharType="separate"/>
        </w:r>
        <w:r w:rsidR="00DF56B1">
          <w:rPr>
            <w:noProof/>
            <w:webHidden/>
          </w:rPr>
          <w:t>25</w:t>
        </w:r>
        <w:r w:rsidR="00DF56B1">
          <w:rPr>
            <w:noProof/>
            <w:webHidden/>
          </w:rPr>
          <w:fldChar w:fldCharType="end"/>
        </w:r>
      </w:hyperlink>
    </w:p>
    <w:p w14:paraId="0197B855" w14:textId="75F54FE7"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24" w:history="1">
        <w:r w:rsidR="00DF56B1" w:rsidRPr="003F3663">
          <w:rPr>
            <w:rStyle w:val="Hyperlink"/>
            <w:noProof/>
          </w:rPr>
          <w:t>4.3 Temperatures</w:t>
        </w:r>
        <w:r w:rsidR="00DF56B1">
          <w:rPr>
            <w:noProof/>
            <w:webHidden/>
          </w:rPr>
          <w:tab/>
        </w:r>
        <w:r w:rsidR="00DF56B1">
          <w:rPr>
            <w:noProof/>
            <w:webHidden/>
          </w:rPr>
          <w:fldChar w:fldCharType="begin"/>
        </w:r>
        <w:r w:rsidR="00DF56B1">
          <w:rPr>
            <w:noProof/>
            <w:webHidden/>
          </w:rPr>
          <w:instrText xml:space="preserve"> PAGEREF _Toc109036124 \h </w:instrText>
        </w:r>
        <w:r w:rsidR="00DF56B1">
          <w:rPr>
            <w:noProof/>
            <w:webHidden/>
          </w:rPr>
        </w:r>
        <w:r w:rsidR="00DF56B1">
          <w:rPr>
            <w:noProof/>
            <w:webHidden/>
          </w:rPr>
          <w:fldChar w:fldCharType="separate"/>
        </w:r>
        <w:r w:rsidR="00DF56B1">
          <w:rPr>
            <w:noProof/>
            <w:webHidden/>
          </w:rPr>
          <w:t>25</w:t>
        </w:r>
        <w:r w:rsidR="00DF56B1">
          <w:rPr>
            <w:noProof/>
            <w:webHidden/>
          </w:rPr>
          <w:fldChar w:fldCharType="end"/>
        </w:r>
      </w:hyperlink>
    </w:p>
    <w:p w14:paraId="34874489" w14:textId="75B8845E"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25" w:history="1">
        <w:r w:rsidR="00DF56B1" w:rsidRPr="003F3663">
          <w:rPr>
            <w:rStyle w:val="Hyperlink"/>
            <w:noProof/>
          </w:rPr>
          <w:t>5. Discussion</w:t>
        </w:r>
        <w:r w:rsidR="00DF56B1">
          <w:rPr>
            <w:noProof/>
            <w:webHidden/>
          </w:rPr>
          <w:tab/>
        </w:r>
        <w:r w:rsidR="00DF56B1">
          <w:rPr>
            <w:noProof/>
            <w:webHidden/>
          </w:rPr>
          <w:fldChar w:fldCharType="begin"/>
        </w:r>
        <w:r w:rsidR="00DF56B1">
          <w:rPr>
            <w:noProof/>
            <w:webHidden/>
          </w:rPr>
          <w:instrText xml:space="preserve"> PAGEREF _Toc109036125 \h </w:instrText>
        </w:r>
        <w:r w:rsidR="00DF56B1">
          <w:rPr>
            <w:noProof/>
            <w:webHidden/>
          </w:rPr>
        </w:r>
        <w:r w:rsidR="00DF56B1">
          <w:rPr>
            <w:noProof/>
            <w:webHidden/>
          </w:rPr>
          <w:fldChar w:fldCharType="separate"/>
        </w:r>
        <w:r w:rsidR="00DF56B1">
          <w:rPr>
            <w:noProof/>
            <w:webHidden/>
          </w:rPr>
          <w:t>29</w:t>
        </w:r>
        <w:r w:rsidR="00DF56B1">
          <w:rPr>
            <w:noProof/>
            <w:webHidden/>
          </w:rPr>
          <w:fldChar w:fldCharType="end"/>
        </w:r>
      </w:hyperlink>
    </w:p>
    <w:p w14:paraId="445D0354" w14:textId="12B78D6E"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26" w:history="1">
        <w:r w:rsidR="00DF56B1" w:rsidRPr="003F3663">
          <w:rPr>
            <w:rStyle w:val="Hyperlink"/>
            <w:noProof/>
            <w:bdr w:val="none" w:sz="0" w:space="0" w:color="auto" w:frame="1"/>
          </w:rPr>
          <w:t>5.1 Significance of temperatures</w:t>
        </w:r>
        <w:r w:rsidR="00DF56B1">
          <w:rPr>
            <w:noProof/>
            <w:webHidden/>
          </w:rPr>
          <w:tab/>
        </w:r>
        <w:r w:rsidR="00DF56B1">
          <w:rPr>
            <w:noProof/>
            <w:webHidden/>
          </w:rPr>
          <w:fldChar w:fldCharType="begin"/>
        </w:r>
        <w:r w:rsidR="00DF56B1">
          <w:rPr>
            <w:noProof/>
            <w:webHidden/>
          </w:rPr>
          <w:instrText xml:space="preserve"> PAGEREF _Toc109036126 \h </w:instrText>
        </w:r>
        <w:r w:rsidR="00DF56B1">
          <w:rPr>
            <w:noProof/>
            <w:webHidden/>
          </w:rPr>
        </w:r>
        <w:r w:rsidR="00DF56B1">
          <w:rPr>
            <w:noProof/>
            <w:webHidden/>
          </w:rPr>
          <w:fldChar w:fldCharType="separate"/>
        </w:r>
        <w:r w:rsidR="00DF56B1">
          <w:rPr>
            <w:noProof/>
            <w:webHidden/>
          </w:rPr>
          <w:t>29</w:t>
        </w:r>
        <w:r w:rsidR="00DF56B1">
          <w:rPr>
            <w:noProof/>
            <w:webHidden/>
          </w:rPr>
          <w:fldChar w:fldCharType="end"/>
        </w:r>
      </w:hyperlink>
    </w:p>
    <w:p w14:paraId="3F557E67" w14:textId="0A74549F"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27" w:history="1">
        <w:r w:rsidR="00DF56B1" w:rsidRPr="003F3663">
          <w:rPr>
            <w:rStyle w:val="Hyperlink"/>
            <w:noProof/>
          </w:rPr>
          <w:t>5.1.1 Hess Deep gabbros may not record meaningful cooling rates</w:t>
        </w:r>
        <w:r w:rsidR="00DF56B1">
          <w:rPr>
            <w:noProof/>
            <w:webHidden/>
          </w:rPr>
          <w:tab/>
        </w:r>
        <w:r w:rsidR="00DF56B1">
          <w:rPr>
            <w:noProof/>
            <w:webHidden/>
          </w:rPr>
          <w:fldChar w:fldCharType="begin"/>
        </w:r>
        <w:r w:rsidR="00DF56B1">
          <w:rPr>
            <w:noProof/>
            <w:webHidden/>
          </w:rPr>
          <w:instrText xml:space="preserve"> PAGEREF _Toc109036127 \h </w:instrText>
        </w:r>
        <w:r w:rsidR="00DF56B1">
          <w:rPr>
            <w:noProof/>
            <w:webHidden/>
          </w:rPr>
        </w:r>
        <w:r w:rsidR="00DF56B1">
          <w:rPr>
            <w:noProof/>
            <w:webHidden/>
          </w:rPr>
          <w:fldChar w:fldCharType="separate"/>
        </w:r>
        <w:r w:rsidR="00DF56B1">
          <w:rPr>
            <w:noProof/>
            <w:webHidden/>
          </w:rPr>
          <w:t>35</w:t>
        </w:r>
        <w:r w:rsidR="00DF56B1">
          <w:rPr>
            <w:noProof/>
            <w:webHidden/>
          </w:rPr>
          <w:fldChar w:fldCharType="end"/>
        </w:r>
      </w:hyperlink>
    </w:p>
    <w:p w14:paraId="4DDEFF26" w14:textId="38C8ED68"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28" w:history="1">
        <w:r w:rsidR="00DF56B1" w:rsidRPr="003F3663">
          <w:rPr>
            <w:rStyle w:val="Hyperlink"/>
            <w:noProof/>
          </w:rPr>
          <w:t>5.1.2 Some peridotites may not provide a record of cooling from peak temperatures</w:t>
        </w:r>
        <w:r w:rsidR="00DF56B1">
          <w:rPr>
            <w:noProof/>
            <w:webHidden/>
          </w:rPr>
          <w:tab/>
        </w:r>
        <w:r w:rsidR="00DF56B1">
          <w:rPr>
            <w:noProof/>
            <w:webHidden/>
          </w:rPr>
          <w:fldChar w:fldCharType="begin"/>
        </w:r>
        <w:r w:rsidR="00DF56B1">
          <w:rPr>
            <w:noProof/>
            <w:webHidden/>
          </w:rPr>
          <w:instrText xml:space="preserve"> PAGEREF _Toc109036128 \h </w:instrText>
        </w:r>
        <w:r w:rsidR="00DF56B1">
          <w:rPr>
            <w:noProof/>
            <w:webHidden/>
          </w:rPr>
        </w:r>
        <w:r w:rsidR="00DF56B1">
          <w:rPr>
            <w:noProof/>
            <w:webHidden/>
          </w:rPr>
          <w:fldChar w:fldCharType="separate"/>
        </w:r>
        <w:r w:rsidR="00DF56B1">
          <w:rPr>
            <w:noProof/>
            <w:webHidden/>
          </w:rPr>
          <w:t>36</w:t>
        </w:r>
        <w:r w:rsidR="00DF56B1">
          <w:rPr>
            <w:noProof/>
            <w:webHidden/>
          </w:rPr>
          <w:fldChar w:fldCharType="end"/>
        </w:r>
      </w:hyperlink>
    </w:p>
    <w:p w14:paraId="7EEF2473" w14:textId="2E88780D"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29" w:history="1">
        <w:r w:rsidR="00DF56B1" w:rsidRPr="003F3663">
          <w:rPr>
            <w:rStyle w:val="Hyperlink"/>
            <w:i/>
            <w:noProof/>
            <w:bdr w:val="none" w:sz="0" w:space="0" w:color="auto" w:frame="1"/>
          </w:rPr>
          <w:t>5.2 Cooling Rates</w:t>
        </w:r>
        <w:r w:rsidR="00DF56B1">
          <w:rPr>
            <w:noProof/>
            <w:webHidden/>
          </w:rPr>
          <w:tab/>
        </w:r>
        <w:r w:rsidR="00DF56B1">
          <w:rPr>
            <w:noProof/>
            <w:webHidden/>
          </w:rPr>
          <w:fldChar w:fldCharType="begin"/>
        </w:r>
        <w:r w:rsidR="00DF56B1">
          <w:rPr>
            <w:noProof/>
            <w:webHidden/>
          </w:rPr>
          <w:instrText xml:space="preserve"> PAGEREF _Toc109036129 \h </w:instrText>
        </w:r>
        <w:r w:rsidR="00DF56B1">
          <w:rPr>
            <w:noProof/>
            <w:webHidden/>
          </w:rPr>
        </w:r>
        <w:r w:rsidR="00DF56B1">
          <w:rPr>
            <w:noProof/>
            <w:webHidden/>
          </w:rPr>
          <w:fldChar w:fldCharType="separate"/>
        </w:r>
        <w:r w:rsidR="00DF56B1">
          <w:rPr>
            <w:noProof/>
            <w:webHidden/>
          </w:rPr>
          <w:t>39</w:t>
        </w:r>
        <w:r w:rsidR="00DF56B1">
          <w:rPr>
            <w:noProof/>
            <w:webHidden/>
          </w:rPr>
          <w:fldChar w:fldCharType="end"/>
        </w:r>
      </w:hyperlink>
    </w:p>
    <w:p w14:paraId="37565334" w14:textId="3DAA9D2B"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30" w:history="1">
        <w:r w:rsidR="00DF56B1" w:rsidRPr="003F3663">
          <w:rPr>
            <w:rStyle w:val="Hyperlink"/>
            <w:noProof/>
          </w:rPr>
          <w:t>5.2.1 Rates from Ca-in-olivine temperatures</w:t>
        </w:r>
        <w:r w:rsidR="00DF56B1">
          <w:rPr>
            <w:noProof/>
            <w:webHidden/>
          </w:rPr>
          <w:tab/>
        </w:r>
        <w:r w:rsidR="00DF56B1">
          <w:rPr>
            <w:noProof/>
            <w:webHidden/>
          </w:rPr>
          <w:fldChar w:fldCharType="begin"/>
        </w:r>
        <w:r w:rsidR="00DF56B1">
          <w:rPr>
            <w:noProof/>
            <w:webHidden/>
          </w:rPr>
          <w:instrText xml:space="preserve"> PAGEREF _Toc109036130 \h </w:instrText>
        </w:r>
        <w:r w:rsidR="00DF56B1">
          <w:rPr>
            <w:noProof/>
            <w:webHidden/>
          </w:rPr>
        </w:r>
        <w:r w:rsidR="00DF56B1">
          <w:rPr>
            <w:noProof/>
            <w:webHidden/>
          </w:rPr>
          <w:fldChar w:fldCharType="separate"/>
        </w:r>
        <w:r w:rsidR="00DF56B1">
          <w:rPr>
            <w:noProof/>
            <w:webHidden/>
          </w:rPr>
          <w:t>40</w:t>
        </w:r>
        <w:r w:rsidR="00DF56B1">
          <w:rPr>
            <w:noProof/>
            <w:webHidden/>
          </w:rPr>
          <w:fldChar w:fldCharType="end"/>
        </w:r>
      </w:hyperlink>
    </w:p>
    <w:p w14:paraId="05C2BC73" w14:textId="2DFA25FC"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31" w:history="1">
        <w:r w:rsidR="00DF56B1" w:rsidRPr="003F3663">
          <w:rPr>
            <w:rStyle w:val="Hyperlink"/>
            <w:noProof/>
          </w:rPr>
          <w:t>5.2.2 Rates from REE-in-two-pyroxene temperatures and pyroxene solvus temperatures</w:t>
        </w:r>
        <w:r w:rsidR="00DF56B1">
          <w:rPr>
            <w:noProof/>
            <w:webHidden/>
          </w:rPr>
          <w:tab/>
        </w:r>
        <w:r w:rsidR="00DF56B1">
          <w:rPr>
            <w:noProof/>
            <w:webHidden/>
          </w:rPr>
          <w:fldChar w:fldCharType="begin"/>
        </w:r>
        <w:r w:rsidR="00DF56B1">
          <w:rPr>
            <w:noProof/>
            <w:webHidden/>
          </w:rPr>
          <w:instrText xml:space="preserve"> PAGEREF _Toc109036131 \h </w:instrText>
        </w:r>
        <w:r w:rsidR="00DF56B1">
          <w:rPr>
            <w:noProof/>
            <w:webHidden/>
          </w:rPr>
        </w:r>
        <w:r w:rsidR="00DF56B1">
          <w:rPr>
            <w:noProof/>
            <w:webHidden/>
          </w:rPr>
          <w:fldChar w:fldCharType="separate"/>
        </w:r>
        <w:r w:rsidR="00DF56B1">
          <w:rPr>
            <w:noProof/>
            <w:webHidden/>
          </w:rPr>
          <w:t>40</w:t>
        </w:r>
        <w:r w:rsidR="00DF56B1">
          <w:rPr>
            <w:noProof/>
            <w:webHidden/>
          </w:rPr>
          <w:fldChar w:fldCharType="end"/>
        </w:r>
      </w:hyperlink>
    </w:p>
    <w:p w14:paraId="1AC430FE" w14:textId="37C87D20"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32" w:history="1">
        <w:r w:rsidR="00DF56B1" w:rsidRPr="003F3663">
          <w:rPr>
            <w:rStyle w:val="Hyperlink"/>
            <w:noProof/>
          </w:rPr>
          <w:t>5.2.3 Rates from REE-in-clinopyroxene-plagioclase temperatures and Mg-in-plagioclase temperatures</w:t>
        </w:r>
        <w:r w:rsidR="00DF56B1">
          <w:rPr>
            <w:noProof/>
            <w:webHidden/>
          </w:rPr>
          <w:tab/>
        </w:r>
        <w:r w:rsidR="00DF56B1">
          <w:rPr>
            <w:noProof/>
            <w:webHidden/>
          </w:rPr>
          <w:fldChar w:fldCharType="begin"/>
        </w:r>
        <w:r w:rsidR="00DF56B1">
          <w:rPr>
            <w:noProof/>
            <w:webHidden/>
          </w:rPr>
          <w:instrText xml:space="preserve"> PAGEREF _Toc109036132 \h </w:instrText>
        </w:r>
        <w:r w:rsidR="00DF56B1">
          <w:rPr>
            <w:noProof/>
            <w:webHidden/>
          </w:rPr>
        </w:r>
        <w:r w:rsidR="00DF56B1">
          <w:rPr>
            <w:noProof/>
            <w:webHidden/>
          </w:rPr>
          <w:fldChar w:fldCharType="separate"/>
        </w:r>
        <w:r w:rsidR="00DF56B1">
          <w:rPr>
            <w:noProof/>
            <w:webHidden/>
          </w:rPr>
          <w:t>41</w:t>
        </w:r>
        <w:r w:rsidR="00DF56B1">
          <w:rPr>
            <w:noProof/>
            <w:webHidden/>
          </w:rPr>
          <w:fldChar w:fldCharType="end"/>
        </w:r>
      </w:hyperlink>
    </w:p>
    <w:p w14:paraId="73983000" w14:textId="17438D6E"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33" w:history="1">
        <w:r w:rsidR="00DF56B1" w:rsidRPr="003F3663">
          <w:rPr>
            <w:rStyle w:val="Hyperlink"/>
            <w:noProof/>
          </w:rPr>
          <w:t>5.3 Implications for cooling and crustal accretion mechanisms</w:t>
        </w:r>
        <w:r w:rsidR="00DF56B1">
          <w:rPr>
            <w:noProof/>
            <w:webHidden/>
          </w:rPr>
          <w:tab/>
        </w:r>
        <w:r w:rsidR="00DF56B1">
          <w:rPr>
            <w:noProof/>
            <w:webHidden/>
          </w:rPr>
          <w:fldChar w:fldCharType="begin"/>
        </w:r>
        <w:r w:rsidR="00DF56B1">
          <w:rPr>
            <w:noProof/>
            <w:webHidden/>
          </w:rPr>
          <w:instrText xml:space="preserve"> PAGEREF _Toc109036133 \h </w:instrText>
        </w:r>
        <w:r w:rsidR="00DF56B1">
          <w:rPr>
            <w:noProof/>
            <w:webHidden/>
          </w:rPr>
        </w:r>
        <w:r w:rsidR="00DF56B1">
          <w:rPr>
            <w:noProof/>
            <w:webHidden/>
          </w:rPr>
          <w:fldChar w:fldCharType="separate"/>
        </w:r>
        <w:r w:rsidR="00DF56B1">
          <w:rPr>
            <w:noProof/>
            <w:webHidden/>
          </w:rPr>
          <w:t>42</w:t>
        </w:r>
        <w:r w:rsidR="00DF56B1">
          <w:rPr>
            <w:noProof/>
            <w:webHidden/>
          </w:rPr>
          <w:fldChar w:fldCharType="end"/>
        </w:r>
      </w:hyperlink>
    </w:p>
    <w:p w14:paraId="307664E4" w14:textId="3B5BBC0B"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34" w:history="1">
        <w:r w:rsidR="00DF56B1" w:rsidRPr="003F3663">
          <w:rPr>
            <w:rStyle w:val="Hyperlink"/>
            <w:noProof/>
          </w:rPr>
          <w:t>5.4 Comparison with previous thermometric investigations</w:t>
        </w:r>
        <w:r w:rsidR="00DF56B1">
          <w:rPr>
            <w:noProof/>
            <w:webHidden/>
          </w:rPr>
          <w:tab/>
        </w:r>
        <w:r w:rsidR="00DF56B1">
          <w:rPr>
            <w:noProof/>
            <w:webHidden/>
          </w:rPr>
          <w:fldChar w:fldCharType="begin"/>
        </w:r>
        <w:r w:rsidR="00DF56B1">
          <w:rPr>
            <w:noProof/>
            <w:webHidden/>
          </w:rPr>
          <w:instrText xml:space="preserve"> PAGEREF _Toc109036134 \h </w:instrText>
        </w:r>
        <w:r w:rsidR="00DF56B1">
          <w:rPr>
            <w:noProof/>
            <w:webHidden/>
          </w:rPr>
        </w:r>
        <w:r w:rsidR="00DF56B1">
          <w:rPr>
            <w:noProof/>
            <w:webHidden/>
          </w:rPr>
          <w:fldChar w:fldCharType="separate"/>
        </w:r>
        <w:r w:rsidR="00DF56B1">
          <w:rPr>
            <w:noProof/>
            <w:webHidden/>
          </w:rPr>
          <w:t>44</w:t>
        </w:r>
        <w:r w:rsidR="00DF56B1">
          <w:rPr>
            <w:noProof/>
            <w:webHidden/>
          </w:rPr>
          <w:fldChar w:fldCharType="end"/>
        </w:r>
      </w:hyperlink>
    </w:p>
    <w:p w14:paraId="49094017" w14:textId="4FBE54C6"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35" w:history="1">
        <w:r w:rsidR="00DF56B1" w:rsidRPr="003F3663">
          <w:rPr>
            <w:rStyle w:val="Hyperlink"/>
            <w:noProof/>
          </w:rPr>
          <w:t>6. Summary and Conclusions</w:t>
        </w:r>
        <w:r w:rsidR="00DF56B1">
          <w:rPr>
            <w:noProof/>
            <w:webHidden/>
          </w:rPr>
          <w:tab/>
        </w:r>
        <w:r w:rsidR="00DF56B1">
          <w:rPr>
            <w:noProof/>
            <w:webHidden/>
          </w:rPr>
          <w:fldChar w:fldCharType="begin"/>
        </w:r>
        <w:r w:rsidR="00DF56B1">
          <w:rPr>
            <w:noProof/>
            <w:webHidden/>
          </w:rPr>
          <w:instrText xml:space="preserve"> PAGEREF _Toc109036135 \h </w:instrText>
        </w:r>
        <w:r w:rsidR="00DF56B1">
          <w:rPr>
            <w:noProof/>
            <w:webHidden/>
          </w:rPr>
        </w:r>
        <w:r w:rsidR="00DF56B1">
          <w:rPr>
            <w:noProof/>
            <w:webHidden/>
          </w:rPr>
          <w:fldChar w:fldCharType="separate"/>
        </w:r>
        <w:r w:rsidR="00DF56B1">
          <w:rPr>
            <w:noProof/>
            <w:webHidden/>
          </w:rPr>
          <w:t>47</w:t>
        </w:r>
        <w:r w:rsidR="00DF56B1">
          <w:rPr>
            <w:noProof/>
            <w:webHidden/>
          </w:rPr>
          <w:fldChar w:fldCharType="end"/>
        </w:r>
      </w:hyperlink>
    </w:p>
    <w:p w14:paraId="02EC9437" w14:textId="78DAD093"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36" w:history="1">
        <w:r w:rsidR="00DF56B1" w:rsidRPr="003F3663">
          <w:rPr>
            <w:rStyle w:val="Hyperlink"/>
            <w:noProof/>
          </w:rPr>
          <w:t>7. Acknowledgments, Samples, and Data</w:t>
        </w:r>
        <w:r w:rsidR="00DF56B1">
          <w:rPr>
            <w:noProof/>
            <w:webHidden/>
          </w:rPr>
          <w:tab/>
        </w:r>
        <w:r w:rsidR="00DF56B1">
          <w:rPr>
            <w:noProof/>
            <w:webHidden/>
          </w:rPr>
          <w:fldChar w:fldCharType="begin"/>
        </w:r>
        <w:r w:rsidR="00DF56B1">
          <w:rPr>
            <w:noProof/>
            <w:webHidden/>
          </w:rPr>
          <w:instrText xml:space="preserve"> PAGEREF _Toc109036136 \h </w:instrText>
        </w:r>
        <w:r w:rsidR="00DF56B1">
          <w:rPr>
            <w:noProof/>
            <w:webHidden/>
          </w:rPr>
        </w:r>
        <w:r w:rsidR="00DF56B1">
          <w:rPr>
            <w:noProof/>
            <w:webHidden/>
          </w:rPr>
          <w:fldChar w:fldCharType="separate"/>
        </w:r>
        <w:r w:rsidR="00DF56B1">
          <w:rPr>
            <w:noProof/>
            <w:webHidden/>
          </w:rPr>
          <w:t>49</w:t>
        </w:r>
        <w:r w:rsidR="00DF56B1">
          <w:rPr>
            <w:noProof/>
            <w:webHidden/>
          </w:rPr>
          <w:fldChar w:fldCharType="end"/>
        </w:r>
      </w:hyperlink>
    </w:p>
    <w:p w14:paraId="48FEBDFF" w14:textId="3652B85C"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37" w:history="1">
        <w:r w:rsidR="00DF56B1" w:rsidRPr="003F3663">
          <w:rPr>
            <w:rStyle w:val="Hyperlink"/>
            <w:noProof/>
          </w:rPr>
          <w:t>References</w:t>
        </w:r>
        <w:r w:rsidR="00DF56B1">
          <w:rPr>
            <w:noProof/>
            <w:webHidden/>
          </w:rPr>
          <w:tab/>
        </w:r>
        <w:r w:rsidR="00DF56B1">
          <w:rPr>
            <w:noProof/>
            <w:webHidden/>
          </w:rPr>
          <w:fldChar w:fldCharType="begin"/>
        </w:r>
        <w:r w:rsidR="00DF56B1">
          <w:rPr>
            <w:noProof/>
            <w:webHidden/>
          </w:rPr>
          <w:instrText xml:space="preserve"> PAGEREF _Toc109036137 \h </w:instrText>
        </w:r>
        <w:r w:rsidR="00DF56B1">
          <w:rPr>
            <w:noProof/>
            <w:webHidden/>
          </w:rPr>
        </w:r>
        <w:r w:rsidR="00DF56B1">
          <w:rPr>
            <w:noProof/>
            <w:webHidden/>
          </w:rPr>
          <w:fldChar w:fldCharType="separate"/>
        </w:r>
        <w:r w:rsidR="00DF56B1">
          <w:rPr>
            <w:noProof/>
            <w:webHidden/>
          </w:rPr>
          <w:t>50</w:t>
        </w:r>
        <w:r w:rsidR="00DF56B1">
          <w:rPr>
            <w:noProof/>
            <w:webHidden/>
          </w:rPr>
          <w:fldChar w:fldCharType="end"/>
        </w:r>
      </w:hyperlink>
    </w:p>
    <w:p w14:paraId="6FCBCC6F" w14:textId="67498030"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38" w:history="1">
        <w:r w:rsidR="00DF56B1" w:rsidRPr="003F3663">
          <w:rPr>
            <w:rStyle w:val="Hyperlink"/>
            <w:noProof/>
          </w:rPr>
          <w:t>Appendix</w:t>
        </w:r>
        <w:r w:rsidR="00DF56B1">
          <w:rPr>
            <w:noProof/>
            <w:webHidden/>
          </w:rPr>
          <w:tab/>
        </w:r>
        <w:r w:rsidR="00DF56B1">
          <w:rPr>
            <w:noProof/>
            <w:webHidden/>
          </w:rPr>
          <w:fldChar w:fldCharType="begin"/>
        </w:r>
        <w:r w:rsidR="00DF56B1">
          <w:rPr>
            <w:noProof/>
            <w:webHidden/>
          </w:rPr>
          <w:instrText xml:space="preserve"> PAGEREF _Toc109036138 \h </w:instrText>
        </w:r>
        <w:r w:rsidR="00DF56B1">
          <w:rPr>
            <w:noProof/>
            <w:webHidden/>
          </w:rPr>
        </w:r>
        <w:r w:rsidR="00DF56B1">
          <w:rPr>
            <w:noProof/>
            <w:webHidden/>
          </w:rPr>
          <w:fldChar w:fldCharType="separate"/>
        </w:r>
        <w:r w:rsidR="00DF56B1">
          <w:rPr>
            <w:noProof/>
            <w:webHidden/>
          </w:rPr>
          <w:t>59</w:t>
        </w:r>
        <w:r w:rsidR="00DF56B1">
          <w:rPr>
            <w:noProof/>
            <w:webHidden/>
          </w:rPr>
          <w:fldChar w:fldCharType="end"/>
        </w:r>
      </w:hyperlink>
    </w:p>
    <w:p w14:paraId="786EA546" w14:textId="3F0EC681"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39" w:history="1">
        <w:r w:rsidR="00DF56B1" w:rsidRPr="003F3663">
          <w:rPr>
            <w:rStyle w:val="Hyperlink"/>
            <w:i/>
            <w:noProof/>
          </w:rPr>
          <w:t>Appendix 1. Supplemental Figures</w:t>
        </w:r>
        <w:r w:rsidR="00DF56B1">
          <w:rPr>
            <w:noProof/>
            <w:webHidden/>
          </w:rPr>
          <w:tab/>
        </w:r>
        <w:r w:rsidR="00DF56B1">
          <w:rPr>
            <w:noProof/>
            <w:webHidden/>
          </w:rPr>
          <w:fldChar w:fldCharType="begin"/>
        </w:r>
        <w:r w:rsidR="00DF56B1">
          <w:rPr>
            <w:noProof/>
            <w:webHidden/>
          </w:rPr>
          <w:instrText xml:space="preserve"> PAGEREF _Toc109036139 \h </w:instrText>
        </w:r>
        <w:r w:rsidR="00DF56B1">
          <w:rPr>
            <w:noProof/>
            <w:webHidden/>
          </w:rPr>
        </w:r>
        <w:r w:rsidR="00DF56B1">
          <w:rPr>
            <w:noProof/>
            <w:webHidden/>
          </w:rPr>
          <w:fldChar w:fldCharType="separate"/>
        </w:r>
        <w:r w:rsidR="00DF56B1">
          <w:rPr>
            <w:noProof/>
            <w:webHidden/>
          </w:rPr>
          <w:t>59</w:t>
        </w:r>
        <w:r w:rsidR="00DF56B1">
          <w:rPr>
            <w:noProof/>
            <w:webHidden/>
          </w:rPr>
          <w:fldChar w:fldCharType="end"/>
        </w:r>
      </w:hyperlink>
    </w:p>
    <w:p w14:paraId="47C75E73" w14:textId="5884F18E"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40" w:history="1">
        <w:r w:rsidR="00DF56B1" w:rsidRPr="003F3663">
          <w:rPr>
            <w:rStyle w:val="Hyperlink"/>
            <w:noProof/>
          </w:rPr>
          <w:t>Appendix 1 References</w:t>
        </w:r>
        <w:r w:rsidR="00DF56B1">
          <w:rPr>
            <w:noProof/>
            <w:webHidden/>
          </w:rPr>
          <w:tab/>
        </w:r>
        <w:r w:rsidR="00DF56B1">
          <w:rPr>
            <w:noProof/>
            <w:webHidden/>
          </w:rPr>
          <w:fldChar w:fldCharType="begin"/>
        </w:r>
        <w:r w:rsidR="00DF56B1">
          <w:rPr>
            <w:noProof/>
            <w:webHidden/>
          </w:rPr>
          <w:instrText xml:space="preserve"> PAGEREF _Toc109036140 \h </w:instrText>
        </w:r>
        <w:r w:rsidR="00DF56B1">
          <w:rPr>
            <w:noProof/>
            <w:webHidden/>
          </w:rPr>
        </w:r>
        <w:r w:rsidR="00DF56B1">
          <w:rPr>
            <w:noProof/>
            <w:webHidden/>
          </w:rPr>
          <w:fldChar w:fldCharType="separate"/>
        </w:r>
        <w:r w:rsidR="00DF56B1">
          <w:rPr>
            <w:noProof/>
            <w:webHidden/>
          </w:rPr>
          <w:t>62</w:t>
        </w:r>
        <w:r w:rsidR="00DF56B1">
          <w:rPr>
            <w:noProof/>
            <w:webHidden/>
          </w:rPr>
          <w:fldChar w:fldCharType="end"/>
        </w:r>
      </w:hyperlink>
    </w:p>
    <w:p w14:paraId="467F2A88" w14:textId="07986B77" w:rsidR="00DF56B1" w:rsidRDefault="00D223CC" w:rsidP="00EB54E6">
      <w:pPr>
        <w:pStyle w:val="TOC1"/>
        <w:tabs>
          <w:tab w:val="right" w:leader="dot" w:pos="9350"/>
        </w:tabs>
        <w:spacing w:line="360" w:lineRule="auto"/>
        <w:rPr>
          <w:rFonts w:asciiTheme="minorHAnsi" w:eastAsiaTheme="minorEastAsia" w:hAnsiTheme="minorHAnsi" w:cstheme="minorBidi"/>
          <w:noProof/>
          <w:sz w:val="22"/>
          <w:szCs w:val="22"/>
        </w:rPr>
      </w:pPr>
      <w:hyperlink w:anchor="_Toc109036141" w:history="1">
        <w:r w:rsidR="00DF56B1" w:rsidRPr="003F3663">
          <w:rPr>
            <w:rStyle w:val="Hyperlink"/>
            <w:noProof/>
          </w:rPr>
          <w:t>Chapter 2: Microstructural Investigation of Ilmenite-Olivine Aggregates Deformed in Shear</w:t>
        </w:r>
        <w:r w:rsidR="00DF56B1">
          <w:rPr>
            <w:noProof/>
            <w:webHidden/>
          </w:rPr>
          <w:tab/>
        </w:r>
        <w:r w:rsidR="00DF56B1">
          <w:rPr>
            <w:noProof/>
            <w:webHidden/>
          </w:rPr>
          <w:fldChar w:fldCharType="begin"/>
        </w:r>
        <w:r w:rsidR="00DF56B1">
          <w:rPr>
            <w:noProof/>
            <w:webHidden/>
          </w:rPr>
          <w:instrText xml:space="preserve"> PAGEREF _Toc109036141 \h </w:instrText>
        </w:r>
        <w:r w:rsidR="00DF56B1">
          <w:rPr>
            <w:noProof/>
            <w:webHidden/>
          </w:rPr>
        </w:r>
        <w:r w:rsidR="00DF56B1">
          <w:rPr>
            <w:noProof/>
            <w:webHidden/>
          </w:rPr>
          <w:fldChar w:fldCharType="separate"/>
        </w:r>
        <w:r w:rsidR="00DF56B1">
          <w:rPr>
            <w:noProof/>
            <w:webHidden/>
          </w:rPr>
          <w:t>63</w:t>
        </w:r>
        <w:r w:rsidR="00DF56B1">
          <w:rPr>
            <w:noProof/>
            <w:webHidden/>
          </w:rPr>
          <w:fldChar w:fldCharType="end"/>
        </w:r>
      </w:hyperlink>
    </w:p>
    <w:p w14:paraId="178F8B8F" w14:textId="367C6B34"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42" w:history="1">
        <w:r w:rsidR="00DF56B1" w:rsidRPr="003F3663">
          <w:rPr>
            <w:rStyle w:val="Hyperlink"/>
            <w:noProof/>
          </w:rPr>
          <w:t>Abstract</w:t>
        </w:r>
        <w:r w:rsidR="00DF56B1">
          <w:rPr>
            <w:noProof/>
            <w:webHidden/>
          </w:rPr>
          <w:tab/>
        </w:r>
        <w:r w:rsidR="00DF56B1">
          <w:rPr>
            <w:noProof/>
            <w:webHidden/>
          </w:rPr>
          <w:fldChar w:fldCharType="begin"/>
        </w:r>
        <w:r w:rsidR="00DF56B1">
          <w:rPr>
            <w:noProof/>
            <w:webHidden/>
          </w:rPr>
          <w:instrText xml:space="preserve"> PAGEREF _Toc109036142 \h </w:instrText>
        </w:r>
        <w:r w:rsidR="00DF56B1">
          <w:rPr>
            <w:noProof/>
            <w:webHidden/>
          </w:rPr>
        </w:r>
        <w:r w:rsidR="00DF56B1">
          <w:rPr>
            <w:noProof/>
            <w:webHidden/>
          </w:rPr>
          <w:fldChar w:fldCharType="separate"/>
        </w:r>
        <w:r w:rsidR="00DF56B1">
          <w:rPr>
            <w:noProof/>
            <w:webHidden/>
          </w:rPr>
          <w:t>64</w:t>
        </w:r>
        <w:r w:rsidR="00DF56B1">
          <w:rPr>
            <w:noProof/>
            <w:webHidden/>
          </w:rPr>
          <w:fldChar w:fldCharType="end"/>
        </w:r>
      </w:hyperlink>
    </w:p>
    <w:p w14:paraId="78E9B2DB" w14:textId="132EDB19"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43" w:history="1">
        <w:r w:rsidR="00DF56B1" w:rsidRPr="003F3663">
          <w:rPr>
            <w:rStyle w:val="Hyperlink"/>
            <w:noProof/>
          </w:rPr>
          <w:t>1. Introduction</w:t>
        </w:r>
        <w:r w:rsidR="00DF56B1">
          <w:rPr>
            <w:noProof/>
            <w:webHidden/>
          </w:rPr>
          <w:tab/>
        </w:r>
        <w:r w:rsidR="00DF56B1">
          <w:rPr>
            <w:noProof/>
            <w:webHidden/>
          </w:rPr>
          <w:fldChar w:fldCharType="begin"/>
        </w:r>
        <w:r w:rsidR="00DF56B1">
          <w:rPr>
            <w:noProof/>
            <w:webHidden/>
          </w:rPr>
          <w:instrText xml:space="preserve"> PAGEREF _Toc109036143 \h </w:instrText>
        </w:r>
        <w:r w:rsidR="00DF56B1">
          <w:rPr>
            <w:noProof/>
            <w:webHidden/>
          </w:rPr>
        </w:r>
        <w:r w:rsidR="00DF56B1">
          <w:rPr>
            <w:noProof/>
            <w:webHidden/>
          </w:rPr>
          <w:fldChar w:fldCharType="separate"/>
        </w:r>
        <w:r w:rsidR="00DF56B1">
          <w:rPr>
            <w:noProof/>
            <w:webHidden/>
          </w:rPr>
          <w:t>64</w:t>
        </w:r>
        <w:r w:rsidR="00DF56B1">
          <w:rPr>
            <w:noProof/>
            <w:webHidden/>
          </w:rPr>
          <w:fldChar w:fldCharType="end"/>
        </w:r>
      </w:hyperlink>
    </w:p>
    <w:p w14:paraId="387F6775" w14:textId="33BFE222"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44" w:history="1">
        <w:r w:rsidR="00DF56B1" w:rsidRPr="003F3663">
          <w:rPr>
            <w:rStyle w:val="Hyperlink"/>
            <w:noProof/>
          </w:rPr>
          <w:t>1.1 Flow Laws</w:t>
        </w:r>
        <w:r w:rsidR="00DF56B1">
          <w:rPr>
            <w:noProof/>
            <w:webHidden/>
          </w:rPr>
          <w:tab/>
        </w:r>
        <w:r w:rsidR="00DF56B1">
          <w:rPr>
            <w:noProof/>
            <w:webHidden/>
          </w:rPr>
          <w:fldChar w:fldCharType="begin"/>
        </w:r>
        <w:r w:rsidR="00DF56B1">
          <w:rPr>
            <w:noProof/>
            <w:webHidden/>
          </w:rPr>
          <w:instrText xml:space="preserve"> PAGEREF _Toc109036144 \h </w:instrText>
        </w:r>
        <w:r w:rsidR="00DF56B1">
          <w:rPr>
            <w:noProof/>
            <w:webHidden/>
          </w:rPr>
        </w:r>
        <w:r w:rsidR="00DF56B1">
          <w:rPr>
            <w:noProof/>
            <w:webHidden/>
          </w:rPr>
          <w:fldChar w:fldCharType="separate"/>
        </w:r>
        <w:r w:rsidR="00DF56B1">
          <w:rPr>
            <w:noProof/>
            <w:webHidden/>
          </w:rPr>
          <w:t>65</w:t>
        </w:r>
        <w:r w:rsidR="00DF56B1">
          <w:rPr>
            <w:noProof/>
            <w:webHidden/>
          </w:rPr>
          <w:fldChar w:fldCharType="end"/>
        </w:r>
      </w:hyperlink>
    </w:p>
    <w:p w14:paraId="0AB0BC90" w14:textId="4D34FC3C"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45" w:history="1">
        <w:r w:rsidR="00DF56B1" w:rsidRPr="003F3663">
          <w:rPr>
            <w:rStyle w:val="Hyperlink"/>
            <w:noProof/>
          </w:rPr>
          <w:t>1.1.1 Olivine Flow Laws</w:t>
        </w:r>
        <w:r w:rsidR="00DF56B1">
          <w:rPr>
            <w:noProof/>
            <w:webHidden/>
          </w:rPr>
          <w:tab/>
        </w:r>
        <w:r w:rsidR="00DF56B1">
          <w:rPr>
            <w:noProof/>
            <w:webHidden/>
          </w:rPr>
          <w:fldChar w:fldCharType="begin"/>
        </w:r>
        <w:r w:rsidR="00DF56B1">
          <w:rPr>
            <w:noProof/>
            <w:webHidden/>
          </w:rPr>
          <w:instrText xml:space="preserve"> PAGEREF _Toc109036145 \h </w:instrText>
        </w:r>
        <w:r w:rsidR="00DF56B1">
          <w:rPr>
            <w:noProof/>
            <w:webHidden/>
          </w:rPr>
        </w:r>
        <w:r w:rsidR="00DF56B1">
          <w:rPr>
            <w:noProof/>
            <w:webHidden/>
          </w:rPr>
          <w:fldChar w:fldCharType="separate"/>
        </w:r>
        <w:r w:rsidR="00DF56B1">
          <w:rPr>
            <w:noProof/>
            <w:webHidden/>
          </w:rPr>
          <w:t>65</w:t>
        </w:r>
        <w:r w:rsidR="00DF56B1">
          <w:rPr>
            <w:noProof/>
            <w:webHidden/>
          </w:rPr>
          <w:fldChar w:fldCharType="end"/>
        </w:r>
      </w:hyperlink>
    </w:p>
    <w:p w14:paraId="393E979C" w14:textId="10C89647"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46" w:history="1">
        <w:r w:rsidR="00DF56B1" w:rsidRPr="003F3663">
          <w:rPr>
            <w:rStyle w:val="Hyperlink"/>
            <w:noProof/>
          </w:rPr>
          <w:t>1.1.2 Ilmenite Flow Laws</w:t>
        </w:r>
        <w:r w:rsidR="00DF56B1">
          <w:rPr>
            <w:noProof/>
            <w:webHidden/>
          </w:rPr>
          <w:tab/>
        </w:r>
        <w:r w:rsidR="00DF56B1">
          <w:rPr>
            <w:noProof/>
            <w:webHidden/>
          </w:rPr>
          <w:fldChar w:fldCharType="begin"/>
        </w:r>
        <w:r w:rsidR="00DF56B1">
          <w:rPr>
            <w:noProof/>
            <w:webHidden/>
          </w:rPr>
          <w:instrText xml:space="preserve"> PAGEREF _Toc109036146 \h </w:instrText>
        </w:r>
        <w:r w:rsidR="00DF56B1">
          <w:rPr>
            <w:noProof/>
            <w:webHidden/>
          </w:rPr>
        </w:r>
        <w:r w:rsidR="00DF56B1">
          <w:rPr>
            <w:noProof/>
            <w:webHidden/>
          </w:rPr>
          <w:fldChar w:fldCharType="separate"/>
        </w:r>
        <w:r w:rsidR="00DF56B1">
          <w:rPr>
            <w:noProof/>
            <w:webHidden/>
          </w:rPr>
          <w:t>66</w:t>
        </w:r>
        <w:r w:rsidR="00DF56B1">
          <w:rPr>
            <w:noProof/>
            <w:webHidden/>
          </w:rPr>
          <w:fldChar w:fldCharType="end"/>
        </w:r>
      </w:hyperlink>
    </w:p>
    <w:p w14:paraId="314B1776" w14:textId="47C913D9"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47" w:history="1">
        <w:r w:rsidR="00DF56B1" w:rsidRPr="003F3663">
          <w:rPr>
            <w:rStyle w:val="Hyperlink"/>
            <w:noProof/>
          </w:rPr>
          <w:t>2. Experimental Design and Methods</w:t>
        </w:r>
        <w:r w:rsidR="00DF56B1">
          <w:rPr>
            <w:noProof/>
            <w:webHidden/>
          </w:rPr>
          <w:tab/>
        </w:r>
        <w:r w:rsidR="00DF56B1">
          <w:rPr>
            <w:noProof/>
            <w:webHidden/>
          </w:rPr>
          <w:fldChar w:fldCharType="begin"/>
        </w:r>
        <w:r w:rsidR="00DF56B1">
          <w:rPr>
            <w:noProof/>
            <w:webHidden/>
          </w:rPr>
          <w:instrText xml:space="preserve"> PAGEREF _Toc109036147 \h </w:instrText>
        </w:r>
        <w:r w:rsidR="00DF56B1">
          <w:rPr>
            <w:noProof/>
            <w:webHidden/>
          </w:rPr>
        </w:r>
        <w:r w:rsidR="00DF56B1">
          <w:rPr>
            <w:noProof/>
            <w:webHidden/>
          </w:rPr>
          <w:fldChar w:fldCharType="separate"/>
        </w:r>
        <w:r w:rsidR="00DF56B1">
          <w:rPr>
            <w:noProof/>
            <w:webHidden/>
          </w:rPr>
          <w:t>66</w:t>
        </w:r>
        <w:r w:rsidR="00DF56B1">
          <w:rPr>
            <w:noProof/>
            <w:webHidden/>
          </w:rPr>
          <w:fldChar w:fldCharType="end"/>
        </w:r>
      </w:hyperlink>
    </w:p>
    <w:p w14:paraId="28CFD0E7" w14:textId="482AA073"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48" w:history="1">
        <w:r w:rsidR="00DF56B1" w:rsidRPr="003F3663">
          <w:rPr>
            <w:rStyle w:val="Hyperlink"/>
            <w:noProof/>
          </w:rPr>
          <w:t>2.1 Starting Materials</w:t>
        </w:r>
        <w:r w:rsidR="00DF56B1">
          <w:rPr>
            <w:noProof/>
            <w:webHidden/>
          </w:rPr>
          <w:tab/>
        </w:r>
        <w:r w:rsidR="00DF56B1">
          <w:rPr>
            <w:noProof/>
            <w:webHidden/>
          </w:rPr>
          <w:fldChar w:fldCharType="begin"/>
        </w:r>
        <w:r w:rsidR="00DF56B1">
          <w:rPr>
            <w:noProof/>
            <w:webHidden/>
          </w:rPr>
          <w:instrText xml:space="preserve"> PAGEREF _Toc109036148 \h </w:instrText>
        </w:r>
        <w:r w:rsidR="00DF56B1">
          <w:rPr>
            <w:noProof/>
            <w:webHidden/>
          </w:rPr>
        </w:r>
        <w:r w:rsidR="00DF56B1">
          <w:rPr>
            <w:noProof/>
            <w:webHidden/>
          </w:rPr>
          <w:fldChar w:fldCharType="separate"/>
        </w:r>
        <w:r w:rsidR="00DF56B1">
          <w:rPr>
            <w:noProof/>
            <w:webHidden/>
          </w:rPr>
          <w:t>66</w:t>
        </w:r>
        <w:r w:rsidR="00DF56B1">
          <w:rPr>
            <w:noProof/>
            <w:webHidden/>
          </w:rPr>
          <w:fldChar w:fldCharType="end"/>
        </w:r>
      </w:hyperlink>
    </w:p>
    <w:p w14:paraId="478DE8E3" w14:textId="12E059F2"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49" w:history="1">
        <w:r w:rsidR="00DF56B1" w:rsidRPr="003F3663">
          <w:rPr>
            <w:rStyle w:val="Hyperlink"/>
            <w:noProof/>
          </w:rPr>
          <w:t>2.2 Experimental Conditions</w:t>
        </w:r>
        <w:r w:rsidR="00DF56B1">
          <w:rPr>
            <w:noProof/>
            <w:webHidden/>
          </w:rPr>
          <w:tab/>
        </w:r>
        <w:r w:rsidR="00DF56B1">
          <w:rPr>
            <w:noProof/>
            <w:webHidden/>
          </w:rPr>
          <w:fldChar w:fldCharType="begin"/>
        </w:r>
        <w:r w:rsidR="00DF56B1">
          <w:rPr>
            <w:noProof/>
            <w:webHidden/>
          </w:rPr>
          <w:instrText xml:space="preserve"> PAGEREF _Toc109036149 \h </w:instrText>
        </w:r>
        <w:r w:rsidR="00DF56B1">
          <w:rPr>
            <w:noProof/>
            <w:webHidden/>
          </w:rPr>
        </w:r>
        <w:r w:rsidR="00DF56B1">
          <w:rPr>
            <w:noProof/>
            <w:webHidden/>
          </w:rPr>
          <w:fldChar w:fldCharType="separate"/>
        </w:r>
        <w:r w:rsidR="00DF56B1">
          <w:rPr>
            <w:noProof/>
            <w:webHidden/>
          </w:rPr>
          <w:t>68</w:t>
        </w:r>
        <w:r w:rsidR="00DF56B1">
          <w:rPr>
            <w:noProof/>
            <w:webHidden/>
          </w:rPr>
          <w:fldChar w:fldCharType="end"/>
        </w:r>
      </w:hyperlink>
    </w:p>
    <w:p w14:paraId="2A2C246F" w14:textId="728B0C7C"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50" w:history="1">
        <w:r w:rsidR="00DF56B1" w:rsidRPr="003F3663">
          <w:rPr>
            <w:rStyle w:val="Hyperlink"/>
            <w:noProof/>
          </w:rPr>
          <w:t>3. Analytical Methods</w:t>
        </w:r>
        <w:r w:rsidR="00DF56B1">
          <w:rPr>
            <w:noProof/>
            <w:webHidden/>
          </w:rPr>
          <w:tab/>
        </w:r>
        <w:r w:rsidR="00DF56B1">
          <w:rPr>
            <w:noProof/>
            <w:webHidden/>
          </w:rPr>
          <w:fldChar w:fldCharType="begin"/>
        </w:r>
        <w:r w:rsidR="00DF56B1">
          <w:rPr>
            <w:noProof/>
            <w:webHidden/>
          </w:rPr>
          <w:instrText xml:space="preserve"> PAGEREF _Toc109036150 \h </w:instrText>
        </w:r>
        <w:r w:rsidR="00DF56B1">
          <w:rPr>
            <w:noProof/>
            <w:webHidden/>
          </w:rPr>
        </w:r>
        <w:r w:rsidR="00DF56B1">
          <w:rPr>
            <w:noProof/>
            <w:webHidden/>
          </w:rPr>
          <w:fldChar w:fldCharType="separate"/>
        </w:r>
        <w:r w:rsidR="00DF56B1">
          <w:rPr>
            <w:noProof/>
            <w:webHidden/>
          </w:rPr>
          <w:t>69</w:t>
        </w:r>
        <w:r w:rsidR="00DF56B1">
          <w:rPr>
            <w:noProof/>
            <w:webHidden/>
          </w:rPr>
          <w:fldChar w:fldCharType="end"/>
        </w:r>
      </w:hyperlink>
    </w:p>
    <w:p w14:paraId="7A7E733D" w14:textId="68945E90"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51" w:history="1">
        <w:r w:rsidR="00DF56B1" w:rsidRPr="003F3663">
          <w:rPr>
            <w:rStyle w:val="Hyperlink"/>
            <w:noProof/>
          </w:rPr>
          <w:t>3.1 Electron Backscatter Diffraction</w:t>
        </w:r>
        <w:r w:rsidR="00DF56B1">
          <w:rPr>
            <w:noProof/>
            <w:webHidden/>
          </w:rPr>
          <w:tab/>
        </w:r>
        <w:r w:rsidR="00DF56B1">
          <w:rPr>
            <w:noProof/>
            <w:webHidden/>
          </w:rPr>
          <w:fldChar w:fldCharType="begin"/>
        </w:r>
        <w:r w:rsidR="00DF56B1">
          <w:rPr>
            <w:noProof/>
            <w:webHidden/>
          </w:rPr>
          <w:instrText xml:space="preserve"> PAGEREF _Toc109036151 \h </w:instrText>
        </w:r>
        <w:r w:rsidR="00DF56B1">
          <w:rPr>
            <w:noProof/>
            <w:webHidden/>
          </w:rPr>
        </w:r>
        <w:r w:rsidR="00DF56B1">
          <w:rPr>
            <w:noProof/>
            <w:webHidden/>
          </w:rPr>
          <w:fldChar w:fldCharType="separate"/>
        </w:r>
        <w:r w:rsidR="00DF56B1">
          <w:rPr>
            <w:noProof/>
            <w:webHidden/>
          </w:rPr>
          <w:t>69</w:t>
        </w:r>
        <w:r w:rsidR="00DF56B1">
          <w:rPr>
            <w:noProof/>
            <w:webHidden/>
          </w:rPr>
          <w:fldChar w:fldCharType="end"/>
        </w:r>
      </w:hyperlink>
    </w:p>
    <w:p w14:paraId="6017DED9" w14:textId="34A65A79"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52" w:history="1">
        <w:r w:rsidR="00DF56B1" w:rsidRPr="003F3663">
          <w:rPr>
            <w:rStyle w:val="Hyperlink"/>
            <w:noProof/>
          </w:rPr>
          <w:t>4. Mechanical Data and Analytical Results</w:t>
        </w:r>
        <w:r w:rsidR="00DF56B1">
          <w:rPr>
            <w:noProof/>
            <w:webHidden/>
          </w:rPr>
          <w:tab/>
        </w:r>
        <w:r w:rsidR="00DF56B1">
          <w:rPr>
            <w:noProof/>
            <w:webHidden/>
          </w:rPr>
          <w:fldChar w:fldCharType="begin"/>
        </w:r>
        <w:r w:rsidR="00DF56B1">
          <w:rPr>
            <w:noProof/>
            <w:webHidden/>
          </w:rPr>
          <w:instrText xml:space="preserve"> PAGEREF _Toc109036152 \h </w:instrText>
        </w:r>
        <w:r w:rsidR="00DF56B1">
          <w:rPr>
            <w:noProof/>
            <w:webHidden/>
          </w:rPr>
        </w:r>
        <w:r w:rsidR="00DF56B1">
          <w:rPr>
            <w:noProof/>
            <w:webHidden/>
          </w:rPr>
          <w:fldChar w:fldCharType="separate"/>
        </w:r>
        <w:r w:rsidR="00DF56B1">
          <w:rPr>
            <w:noProof/>
            <w:webHidden/>
          </w:rPr>
          <w:t>72</w:t>
        </w:r>
        <w:r w:rsidR="00DF56B1">
          <w:rPr>
            <w:noProof/>
            <w:webHidden/>
          </w:rPr>
          <w:fldChar w:fldCharType="end"/>
        </w:r>
      </w:hyperlink>
    </w:p>
    <w:p w14:paraId="0ECD160F" w14:textId="0EF80127"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53" w:history="1">
        <w:r w:rsidR="00DF56B1" w:rsidRPr="003F3663">
          <w:rPr>
            <w:rStyle w:val="Hyperlink"/>
            <w:noProof/>
          </w:rPr>
          <w:t>4.1 Mechanical Data</w:t>
        </w:r>
        <w:r w:rsidR="00DF56B1">
          <w:rPr>
            <w:noProof/>
            <w:webHidden/>
          </w:rPr>
          <w:tab/>
        </w:r>
        <w:r w:rsidR="00DF56B1">
          <w:rPr>
            <w:noProof/>
            <w:webHidden/>
          </w:rPr>
          <w:fldChar w:fldCharType="begin"/>
        </w:r>
        <w:r w:rsidR="00DF56B1">
          <w:rPr>
            <w:noProof/>
            <w:webHidden/>
          </w:rPr>
          <w:instrText xml:space="preserve"> PAGEREF _Toc109036153 \h </w:instrText>
        </w:r>
        <w:r w:rsidR="00DF56B1">
          <w:rPr>
            <w:noProof/>
            <w:webHidden/>
          </w:rPr>
        </w:r>
        <w:r w:rsidR="00DF56B1">
          <w:rPr>
            <w:noProof/>
            <w:webHidden/>
          </w:rPr>
          <w:fldChar w:fldCharType="separate"/>
        </w:r>
        <w:r w:rsidR="00DF56B1">
          <w:rPr>
            <w:noProof/>
            <w:webHidden/>
          </w:rPr>
          <w:t>72</w:t>
        </w:r>
        <w:r w:rsidR="00DF56B1">
          <w:rPr>
            <w:noProof/>
            <w:webHidden/>
          </w:rPr>
          <w:fldChar w:fldCharType="end"/>
        </w:r>
      </w:hyperlink>
    </w:p>
    <w:p w14:paraId="6CD3EE26" w14:textId="0F0EEAAE"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54" w:history="1">
        <w:r w:rsidR="00DF56B1" w:rsidRPr="003F3663">
          <w:rPr>
            <w:rStyle w:val="Hyperlink"/>
            <w:noProof/>
          </w:rPr>
          <w:t>4.1.1 Dormant Rig complications in runs from July 2021 and January 2022</w:t>
        </w:r>
        <w:r w:rsidR="00DF56B1">
          <w:rPr>
            <w:noProof/>
            <w:webHidden/>
          </w:rPr>
          <w:tab/>
        </w:r>
        <w:r w:rsidR="00DF56B1">
          <w:rPr>
            <w:noProof/>
            <w:webHidden/>
          </w:rPr>
          <w:fldChar w:fldCharType="begin"/>
        </w:r>
        <w:r w:rsidR="00DF56B1">
          <w:rPr>
            <w:noProof/>
            <w:webHidden/>
          </w:rPr>
          <w:instrText xml:space="preserve"> PAGEREF _Toc109036154 \h </w:instrText>
        </w:r>
        <w:r w:rsidR="00DF56B1">
          <w:rPr>
            <w:noProof/>
            <w:webHidden/>
          </w:rPr>
        </w:r>
        <w:r w:rsidR="00DF56B1">
          <w:rPr>
            <w:noProof/>
            <w:webHidden/>
          </w:rPr>
          <w:fldChar w:fldCharType="separate"/>
        </w:r>
        <w:r w:rsidR="00DF56B1">
          <w:rPr>
            <w:noProof/>
            <w:webHidden/>
          </w:rPr>
          <w:t>72</w:t>
        </w:r>
        <w:r w:rsidR="00DF56B1">
          <w:rPr>
            <w:noProof/>
            <w:webHidden/>
          </w:rPr>
          <w:fldChar w:fldCharType="end"/>
        </w:r>
      </w:hyperlink>
    </w:p>
    <w:p w14:paraId="19642A8F" w14:textId="5DDEEE29"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55" w:history="1">
        <w:r w:rsidR="00DF56B1" w:rsidRPr="003F3663">
          <w:rPr>
            <w:rStyle w:val="Hyperlink"/>
            <w:noProof/>
          </w:rPr>
          <w:t>4.1.2 Correcting for fast run-ins</w:t>
        </w:r>
        <w:r w:rsidR="00DF56B1">
          <w:rPr>
            <w:noProof/>
            <w:webHidden/>
          </w:rPr>
          <w:tab/>
        </w:r>
        <w:r w:rsidR="00DF56B1">
          <w:rPr>
            <w:noProof/>
            <w:webHidden/>
          </w:rPr>
          <w:fldChar w:fldCharType="begin"/>
        </w:r>
        <w:r w:rsidR="00DF56B1">
          <w:rPr>
            <w:noProof/>
            <w:webHidden/>
          </w:rPr>
          <w:instrText xml:space="preserve"> PAGEREF _Toc109036155 \h </w:instrText>
        </w:r>
        <w:r w:rsidR="00DF56B1">
          <w:rPr>
            <w:noProof/>
            <w:webHidden/>
          </w:rPr>
        </w:r>
        <w:r w:rsidR="00DF56B1">
          <w:rPr>
            <w:noProof/>
            <w:webHidden/>
          </w:rPr>
          <w:fldChar w:fldCharType="separate"/>
        </w:r>
        <w:r w:rsidR="00DF56B1">
          <w:rPr>
            <w:noProof/>
            <w:webHidden/>
          </w:rPr>
          <w:t>72</w:t>
        </w:r>
        <w:r w:rsidR="00DF56B1">
          <w:rPr>
            <w:noProof/>
            <w:webHidden/>
          </w:rPr>
          <w:fldChar w:fldCharType="end"/>
        </w:r>
      </w:hyperlink>
    </w:p>
    <w:p w14:paraId="32C16214" w14:textId="6E7B922F"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56" w:history="1">
        <w:r w:rsidR="00DF56B1" w:rsidRPr="003F3663">
          <w:rPr>
            <w:rStyle w:val="Hyperlink"/>
            <w:noProof/>
          </w:rPr>
          <w:t>4.2 Microstructures</w:t>
        </w:r>
        <w:r w:rsidR="00DF56B1">
          <w:rPr>
            <w:noProof/>
            <w:webHidden/>
          </w:rPr>
          <w:tab/>
        </w:r>
        <w:r w:rsidR="00DF56B1">
          <w:rPr>
            <w:noProof/>
            <w:webHidden/>
          </w:rPr>
          <w:fldChar w:fldCharType="begin"/>
        </w:r>
        <w:r w:rsidR="00DF56B1">
          <w:rPr>
            <w:noProof/>
            <w:webHidden/>
          </w:rPr>
          <w:instrText xml:space="preserve"> PAGEREF _Toc109036156 \h </w:instrText>
        </w:r>
        <w:r w:rsidR="00DF56B1">
          <w:rPr>
            <w:noProof/>
            <w:webHidden/>
          </w:rPr>
        </w:r>
        <w:r w:rsidR="00DF56B1">
          <w:rPr>
            <w:noProof/>
            <w:webHidden/>
          </w:rPr>
          <w:fldChar w:fldCharType="separate"/>
        </w:r>
        <w:r w:rsidR="00DF56B1">
          <w:rPr>
            <w:noProof/>
            <w:webHidden/>
          </w:rPr>
          <w:t>74</w:t>
        </w:r>
        <w:r w:rsidR="00DF56B1">
          <w:rPr>
            <w:noProof/>
            <w:webHidden/>
          </w:rPr>
          <w:fldChar w:fldCharType="end"/>
        </w:r>
      </w:hyperlink>
    </w:p>
    <w:p w14:paraId="3FDC6099" w14:textId="372E5064"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57" w:history="1">
        <w:r w:rsidR="00DF56B1" w:rsidRPr="003F3663">
          <w:rPr>
            <w:rStyle w:val="Hyperlink"/>
            <w:noProof/>
          </w:rPr>
          <w:t>5. Discussion</w:t>
        </w:r>
        <w:r w:rsidR="00DF56B1">
          <w:rPr>
            <w:noProof/>
            <w:webHidden/>
          </w:rPr>
          <w:tab/>
        </w:r>
        <w:r w:rsidR="00DF56B1">
          <w:rPr>
            <w:noProof/>
            <w:webHidden/>
          </w:rPr>
          <w:fldChar w:fldCharType="begin"/>
        </w:r>
        <w:r w:rsidR="00DF56B1">
          <w:rPr>
            <w:noProof/>
            <w:webHidden/>
          </w:rPr>
          <w:instrText xml:space="preserve"> PAGEREF _Toc109036157 \h </w:instrText>
        </w:r>
        <w:r w:rsidR="00DF56B1">
          <w:rPr>
            <w:noProof/>
            <w:webHidden/>
          </w:rPr>
        </w:r>
        <w:r w:rsidR="00DF56B1">
          <w:rPr>
            <w:noProof/>
            <w:webHidden/>
          </w:rPr>
          <w:fldChar w:fldCharType="separate"/>
        </w:r>
        <w:r w:rsidR="00DF56B1">
          <w:rPr>
            <w:noProof/>
            <w:webHidden/>
          </w:rPr>
          <w:t>74</w:t>
        </w:r>
        <w:r w:rsidR="00DF56B1">
          <w:rPr>
            <w:noProof/>
            <w:webHidden/>
          </w:rPr>
          <w:fldChar w:fldCharType="end"/>
        </w:r>
      </w:hyperlink>
    </w:p>
    <w:p w14:paraId="0472A46E" w14:textId="1B41FE74"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58" w:history="1">
        <w:r w:rsidR="00DF56B1" w:rsidRPr="003F3663">
          <w:rPr>
            <w:rStyle w:val="Hyperlink"/>
            <w:noProof/>
          </w:rPr>
          <w:t>5.1 Stress and strain comparisons to published flow laws</w:t>
        </w:r>
        <w:r w:rsidR="00DF56B1">
          <w:rPr>
            <w:noProof/>
            <w:webHidden/>
          </w:rPr>
          <w:tab/>
        </w:r>
        <w:r w:rsidR="00DF56B1">
          <w:rPr>
            <w:noProof/>
            <w:webHidden/>
          </w:rPr>
          <w:fldChar w:fldCharType="begin"/>
        </w:r>
        <w:r w:rsidR="00DF56B1">
          <w:rPr>
            <w:noProof/>
            <w:webHidden/>
          </w:rPr>
          <w:instrText xml:space="preserve"> PAGEREF _Toc109036158 \h </w:instrText>
        </w:r>
        <w:r w:rsidR="00DF56B1">
          <w:rPr>
            <w:noProof/>
            <w:webHidden/>
          </w:rPr>
        </w:r>
        <w:r w:rsidR="00DF56B1">
          <w:rPr>
            <w:noProof/>
            <w:webHidden/>
          </w:rPr>
          <w:fldChar w:fldCharType="separate"/>
        </w:r>
        <w:r w:rsidR="00DF56B1">
          <w:rPr>
            <w:noProof/>
            <w:webHidden/>
          </w:rPr>
          <w:t>74</w:t>
        </w:r>
        <w:r w:rsidR="00DF56B1">
          <w:rPr>
            <w:noProof/>
            <w:webHidden/>
          </w:rPr>
          <w:fldChar w:fldCharType="end"/>
        </w:r>
      </w:hyperlink>
    </w:p>
    <w:p w14:paraId="3D1AB114" w14:textId="38DD5FAA"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59" w:history="1">
        <w:r w:rsidR="00DF56B1" w:rsidRPr="003F3663">
          <w:rPr>
            <w:rStyle w:val="Hyperlink"/>
            <w:noProof/>
          </w:rPr>
          <w:t>5.1.1 Uncertainty in water content of experimental materials</w:t>
        </w:r>
        <w:r w:rsidR="00DF56B1">
          <w:rPr>
            <w:noProof/>
            <w:webHidden/>
          </w:rPr>
          <w:tab/>
        </w:r>
        <w:r w:rsidR="00DF56B1">
          <w:rPr>
            <w:noProof/>
            <w:webHidden/>
          </w:rPr>
          <w:fldChar w:fldCharType="begin"/>
        </w:r>
        <w:r w:rsidR="00DF56B1">
          <w:rPr>
            <w:noProof/>
            <w:webHidden/>
          </w:rPr>
          <w:instrText xml:space="preserve"> PAGEREF _Toc109036159 \h </w:instrText>
        </w:r>
        <w:r w:rsidR="00DF56B1">
          <w:rPr>
            <w:noProof/>
            <w:webHidden/>
          </w:rPr>
        </w:r>
        <w:r w:rsidR="00DF56B1">
          <w:rPr>
            <w:noProof/>
            <w:webHidden/>
          </w:rPr>
          <w:fldChar w:fldCharType="separate"/>
        </w:r>
        <w:r w:rsidR="00DF56B1">
          <w:rPr>
            <w:noProof/>
            <w:webHidden/>
          </w:rPr>
          <w:t>79</w:t>
        </w:r>
        <w:r w:rsidR="00DF56B1">
          <w:rPr>
            <w:noProof/>
            <w:webHidden/>
          </w:rPr>
          <w:fldChar w:fldCharType="end"/>
        </w:r>
      </w:hyperlink>
    </w:p>
    <w:p w14:paraId="4408310B" w14:textId="2E989EB2"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60" w:history="1">
        <w:r w:rsidR="00DF56B1" w:rsidRPr="003F3663">
          <w:rPr>
            <w:rStyle w:val="Hyperlink"/>
            <w:noProof/>
          </w:rPr>
          <w:t>5.1.2 Anomalous strength/weakness in 25% ilm40:75% SCO samples not reproducible</w:t>
        </w:r>
        <w:r w:rsidR="00DF56B1">
          <w:rPr>
            <w:noProof/>
            <w:webHidden/>
          </w:rPr>
          <w:tab/>
        </w:r>
        <w:r w:rsidR="00DF56B1">
          <w:rPr>
            <w:noProof/>
            <w:webHidden/>
          </w:rPr>
          <w:fldChar w:fldCharType="begin"/>
        </w:r>
        <w:r w:rsidR="00DF56B1">
          <w:rPr>
            <w:noProof/>
            <w:webHidden/>
          </w:rPr>
          <w:instrText xml:space="preserve"> PAGEREF _Toc109036160 \h </w:instrText>
        </w:r>
        <w:r w:rsidR="00DF56B1">
          <w:rPr>
            <w:noProof/>
            <w:webHidden/>
          </w:rPr>
        </w:r>
        <w:r w:rsidR="00DF56B1">
          <w:rPr>
            <w:noProof/>
            <w:webHidden/>
          </w:rPr>
          <w:fldChar w:fldCharType="separate"/>
        </w:r>
        <w:r w:rsidR="00DF56B1">
          <w:rPr>
            <w:noProof/>
            <w:webHidden/>
          </w:rPr>
          <w:t>80</w:t>
        </w:r>
        <w:r w:rsidR="00DF56B1">
          <w:rPr>
            <w:noProof/>
            <w:webHidden/>
          </w:rPr>
          <w:fldChar w:fldCharType="end"/>
        </w:r>
      </w:hyperlink>
    </w:p>
    <w:p w14:paraId="094E589A" w14:textId="01B9E09E"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61" w:history="1">
        <w:r w:rsidR="00DF56B1" w:rsidRPr="003F3663">
          <w:rPr>
            <w:rStyle w:val="Hyperlink"/>
            <w:noProof/>
          </w:rPr>
          <w:t>5.2 Post-deformation fabrics</w:t>
        </w:r>
        <w:r w:rsidR="00DF56B1">
          <w:rPr>
            <w:noProof/>
            <w:webHidden/>
          </w:rPr>
          <w:tab/>
        </w:r>
        <w:r w:rsidR="00DF56B1">
          <w:rPr>
            <w:noProof/>
            <w:webHidden/>
          </w:rPr>
          <w:fldChar w:fldCharType="begin"/>
        </w:r>
        <w:r w:rsidR="00DF56B1">
          <w:rPr>
            <w:noProof/>
            <w:webHidden/>
          </w:rPr>
          <w:instrText xml:space="preserve"> PAGEREF _Toc109036161 \h </w:instrText>
        </w:r>
        <w:r w:rsidR="00DF56B1">
          <w:rPr>
            <w:noProof/>
            <w:webHidden/>
          </w:rPr>
        </w:r>
        <w:r w:rsidR="00DF56B1">
          <w:rPr>
            <w:noProof/>
            <w:webHidden/>
          </w:rPr>
          <w:fldChar w:fldCharType="separate"/>
        </w:r>
        <w:r w:rsidR="00DF56B1">
          <w:rPr>
            <w:noProof/>
            <w:webHidden/>
          </w:rPr>
          <w:t>80</w:t>
        </w:r>
        <w:r w:rsidR="00DF56B1">
          <w:rPr>
            <w:noProof/>
            <w:webHidden/>
          </w:rPr>
          <w:fldChar w:fldCharType="end"/>
        </w:r>
      </w:hyperlink>
    </w:p>
    <w:p w14:paraId="1DA9CB1D" w14:textId="76651B55"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62" w:history="1">
        <w:r w:rsidR="00DF56B1" w:rsidRPr="003F3663">
          <w:rPr>
            <w:rStyle w:val="Hyperlink"/>
            <w:noProof/>
          </w:rPr>
          <w:t>5.2.1 Olivine trends</w:t>
        </w:r>
        <w:r w:rsidR="00DF56B1">
          <w:rPr>
            <w:noProof/>
            <w:webHidden/>
          </w:rPr>
          <w:tab/>
        </w:r>
        <w:r w:rsidR="00DF56B1">
          <w:rPr>
            <w:noProof/>
            <w:webHidden/>
          </w:rPr>
          <w:fldChar w:fldCharType="begin"/>
        </w:r>
        <w:r w:rsidR="00DF56B1">
          <w:rPr>
            <w:noProof/>
            <w:webHidden/>
          </w:rPr>
          <w:instrText xml:space="preserve"> PAGEREF _Toc109036162 \h </w:instrText>
        </w:r>
        <w:r w:rsidR="00DF56B1">
          <w:rPr>
            <w:noProof/>
            <w:webHidden/>
          </w:rPr>
        </w:r>
        <w:r w:rsidR="00DF56B1">
          <w:rPr>
            <w:noProof/>
            <w:webHidden/>
          </w:rPr>
          <w:fldChar w:fldCharType="separate"/>
        </w:r>
        <w:r w:rsidR="00DF56B1">
          <w:rPr>
            <w:noProof/>
            <w:webHidden/>
          </w:rPr>
          <w:t>80</w:t>
        </w:r>
        <w:r w:rsidR="00DF56B1">
          <w:rPr>
            <w:noProof/>
            <w:webHidden/>
          </w:rPr>
          <w:fldChar w:fldCharType="end"/>
        </w:r>
      </w:hyperlink>
    </w:p>
    <w:p w14:paraId="15E1CFBC" w14:textId="1625BDE6" w:rsidR="00DF56B1" w:rsidRDefault="00D223CC" w:rsidP="00EB54E6">
      <w:pPr>
        <w:pStyle w:val="TOC3"/>
        <w:tabs>
          <w:tab w:val="right" w:leader="dot" w:pos="9350"/>
        </w:tabs>
        <w:spacing w:line="360" w:lineRule="auto"/>
        <w:rPr>
          <w:rFonts w:asciiTheme="minorHAnsi" w:eastAsiaTheme="minorEastAsia" w:hAnsiTheme="minorHAnsi" w:cstheme="minorBidi"/>
          <w:noProof/>
          <w:sz w:val="22"/>
          <w:szCs w:val="22"/>
        </w:rPr>
      </w:pPr>
      <w:hyperlink w:anchor="_Toc109036163" w:history="1">
        <w:r w:rsidR="00DF56B1" w:rsidRPr="003F3663">
          <w:rPr>
            <w:rStyle w:val="Hyperlink"/>
            <w:noProof/>
          </w:rPr>
          <w:t>5.2.2 Ilmenite trends</w:t>
        </w:r>
        <w:r w:rsidR="00DF56B1">
          <w:rPr>
            <w:noProof/>
            <w:webHidden/>
          </w:rPr>
          <w:tab/>
        </w:r>
        <w:r w:rsidR="00DF56B1">
          <w:rPr>
            <w:noProof/>
            <w:webHidden/>
          </w:rPr>
          <w:fldChar w:fldCharType="begin"/>
        </w:r>
        <w:r w:rsidR="00DF56B1">
          <w:rPr>
            <w:noProof/>
            <w:webHidden/>
          </w:rPr>
          <w:instrText xml:space="preserve"> PAGEREF _Toc109036163 \h </w:instrText>
        </w:r>
        <w:r w:rsidR="00DF56B1">
          <w:rPr>
            <w:noProof/>
            <w:webHidden/>
          </w:rPr>
        </w:r>
        <w:r w:rsidR="00DF56B1">
          <w:rPr>
            <w:noProof/>
            <w:webHidden/>
          </w:rPr>
          <w:fldChar w:fldCharType="separate"/>
        </w:r>
        <w:r w:rsidR="00DF56B1">
          <w:rPr>
            <w:noProof/>
            <w:webHidden/>
          </w:rPr>
          <w:t>81</w:t>
        </w:r>
        <w:r w:rsidR="00DF56B1">
          <w:rPr>
            <w:noProof/>
            <w:webHidden/>
          </w:rPr>
          <w:fldChar w:fldCharType="end"/>
        </w:r>
      </w:hyperlink>
    </w:p>
    <w:p w14:paraId="12EB1B9E" w14:textId="0750DE8D"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64" w:history="1">
        <w:r w:rsidR="00DF56B1" w:rsidRPr="003F3663">
          <w:rPr>
            <w:rStyle w:val="Hyperlink"/>
            <w:noProof/>
          </w:rPr>
          <w:t>6. Summary and Conclusions</w:t>
        </w:r>
        <w:r w:rsidR="00DF56B1">
          <w:rPr>
            <w:noProof/>
            <w:webHidden/>
          </w:rPr>
          <w:tab/>
        </w:r>
        <w:r w:rsidR="00DF56B1">
          <w:rPr>
            <w:noProof/>
            <w:webHidden/>
          </w:rPr>
          <w:fldChar w:fldCharType="begin"/>
        </w:r>
        <w:r w:rsidR="00DF56B1">
          <w:rPr>
            <w:noProof/>
            <w:webHidden/>
          </w:rPr>
          <w:instrText xml:space="preserve"> PAGEREF _Toc109036164 \h </w:instrText>
        </w:r>
        <w:r w:rsidR="00DF56B1">
          <w:rPr>
            <w:noProof/>
            <w:webHidden/>
          </w:rPr>
        </w:r>
        <w:r w:rsidR="00DF56B1">
          <w:rPr>
            <w:noProof/>
            <w:webHidden/>
          </w:rPr>
          <w:fldChar w:fldCharType="separate"/>
        </w:r>
        <w:r w:rsidR="00DF56B1">
          <w:rPr>
            <w:noProof/>
            <w:webHidden/>
          </w:rPr>
          <w:t>81</w:t>
        </w:r>
        <w:r w:rsidR="00DF56B1">
          <w:rPr>
            <w:noProof/>
            <w:webHidden/>
          </w:rPr>
          <w:fldChar w:fldCharType="end"/>
        </w:r>
      </w:hyperlink>
    </w:p>
    <w:p w14:paraId="608F3857" w14:textId="03C5E4CD"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65" w:history="1">
        <w:r w:rsidR="00DF56B1" w:rsidRPr="003F3663">
          <w:rPr>
            <w:rStyle w:val="Hyperlink"/>
            <w:noProof/>
          </w:rPr>
          <w:t>7. Acknowledgments, Samples, and Data</w:t>
        </w:r>
        <w:r w:rsidR="00DF56B1">
          <w:rPr>
            <w:noProof/>
            <w:webHidden/>
          </w:rPr>
          <w:tab/>
        </w:r>
        <w:r w:rsidR="00DF56B1">
          <w:rPr>
            <w:noProof/>
            <w:webHidden/>
          </w:rPr>
          <w:fldChar w:fldCharType="begin"/>
        </w:r>
        <w:r w:rsidR="00DF56B1">
          <w:rPr>
            <w:noProof/>
            <w:webHidden/>
          </w:rPr>
          <w:instrText xml:space="preserve"> PAGEREF _Toc109036165 \h </w:instrText>
        </w:r>
        <w:r w:rsidR="00DF56B1">
          <w:rPr>
            <w:noProof/>
            <w:webHidden/>
          </w:rPr>
        </w:r>
        <w:r w:rsidR="00DF56B1">
          <w:rPr>
            <w:noProof/>
            <w:webHidden/>
          </w:rPr>
          <w:fldChar w:fldCharType="separate"/>
        </w:r>
        <w:r w:rsidR="00DF56B1">
          <w:rPr>
            <w:noProof/>
            <w:webHidden/>
          </w:rPr>
          <w:t>82</w:t>
        </w:r>
        <w:r w:rsidR="00DF56B1">
          <w:rPr>
            <w:noProof/>
            <w:webHidden/>
          </w:rPr>
          <w:fldChar w:fldCharType="end"/>
        </w:r>
      </w:hyperlink>
    </w:p>
    <w:p w14:paraId="7171476E" w14:textId="3263BA03"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66" w:history="1">
        <w:r w:rsidR="00DF56B1" w:rsidRPr="003F3663">
          <w:rPr>
            <w:rStyle w:val="Hyperlink"/>
            <w:noProof/>
          </w:rPr>
          <w:t>References</w:t>
        </w:r>
        <w:r w:rsidR="00DF56B1">
          <w:rPr>
            <w:noProof/>
            <w:webHidden/>
          </w:rPr>
          <w:tab/>
        </w:r>
        <w:r w:rsidR="00DF56B1">
          <w:rPr>
            <w:noProof/>
            <w:webHidden/>
          </w:rPr>
          <w:fldChar w:fldCharType="begin"/>
        </w:r>
        <w:r w:rsidR="00DF56B1">
          <w:rPr>
            <w:noProof/>
            <w:webHidden/>
          </w:rPr>
          <w:instrText xml:space="preserve"> PAGEREF _Toc109036166 \h </w:instrText>
        </w:r>
        <w:r w:rsidR="00DF56B1">
          <w:rPr>
            <w:noProof/>
            <w:webHidden/>
          </w:rPr>
        </w:r>
        <w:r w:rsidR="00DF56B1">
          <w:rPr>
            <w:noProof/>
            <w:webHidden/>
          </w:rPr>
          <w:fldChar w:fldCharType="separate"/>
        </w:r>
        <w:r w:rsidR="00DF56B1">
          <w:rPr>
            <w:noProof/>
            <w:webHidden/>
          </w:rPr>
          <w:t>83</w:t>
        </w:r>
        <w:r w:rsidR="00DF56B1">
          <w:rPr>
            <w:noProof/>
            <w:webHidden/>
          </w:rPr>
          <w:fldChar w:fldCharType="end"/>
        </w:r>
      </w:hyperlink>
    </w:p>
    <w:p w14:paraId="21CE4165" w14:textId="4D61832A"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67" w:history="1">
        <w:r w:rsidR="00DF56B1" w:rsidRPr="003F3663">
          <w:rPr>
            <w:rStyle w:val="Hyperlink"/>
            <w:noProof/>
          </w:rPr>
          <w:t>Appendix</w:t>
        </w:r>
        <w:r w:rsidR="00DF56B1">
          <w:rPr>
            <w:noProof/>
            <w:webHidden/>
          </w:rPr>
          <w:tab/>
        </w:r>
        <w:r w:rsidR="00DF56B1">
          <w:rPr>
            <w:noProof/>
            <w:webHidden/>
          </w:rPr>
          <w:fldChar w:fldCharType="begin"/>
        </w:r>
        <w:r w:rsidR="00DF56B1">
          <w:rPr>
            <w:noProof/>
            <w:webHidden/>
          </w:rPr>
          <w:instrText xml:space="preserve"> PAGEREF _Toc109036167 \h </w:instrText>
        </w:r>
        <w:r w:rsidR="00DF56B1">
          <w:rPr>
            <w:noProof/>
            <w:webHidden/>
          </w:rPr>
        </w:r>
        <w:r w:rsidR="00DF56B1">
          <w:rPr>
            <w:noProof/>
            <w:webHidden/>
          </w:rPr>
          <w:fldChar w:fldCharType="separate"/>
        </w:r>
        <w:r w:rsidR="00DF56B1">
          <w:rPr>
            <w:noProof/>
            <w:webHidden/>
          </w:rPr>
          <w:t>86</w:t>
        </w:r>
        <w:r w:rsidR="00DF56B1">
          <w:rPr>
            <w:noProof/>
            <w:webHidden/>
          </w:rPr>
          <w:fldChar w:fldCharType="end"/>
        </w:r>
      </w:hyperlink>
    </w:p>
    <w:p w14:paraId="00AF920B" w14:textId="469DC58D"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68" w:history="1">
        <w:r w:rsidR="00DF56B1" w:rsidRPr="003F3663">
          <w:rPr>
            <w:rStyle w:val="Hyperlink"/>
            <w:i/>
            <w:noProof/>
            <w:bdr w:val="none" w:sz="0" w:space="0" w:color="auto" w:frame="1"/>
          </w:rPr>
          <w:t>Appendix 1. Supplemental Figure</w:t>
        </w:r>
        <w:r w:rsidR="00DF56B1">
          <w:rPr>
            <w:noProof/>
            <w:webHidden/>
          </w:rPr>
          <w:tab/>
        </w:r>
        <w:r w:rsidR="00DF56B1">
          <w:rPr>
            <w:noProof/>
            <w:webHidden/>
          </w:rPr>
          <w:fldChar w:fldCharType="begin"/>
        </w:r>
        <w:r w:rsidR="00DF56B1">
          <w:rPr>
            <w:noProof/>
            <w:webHidden/>
          </w:rPr>
          <w:instrText xml:space="preserve"> PAGEREF _Toc109036168 \h </w:instrText>
        </w:r>
        <w:r w:rsidR="00DF56B1">
          <w:rPr>
            <w:noProof/>
            <w:webHidden/>
          </w:rPr>
        </w:r>
        <w:r w:rsidR="00DF56B1">
          <w:rPr>
            <w:noProof/>
            <w:webHidden/>
          </w:rPr>
          <w:fldChar w:fldCharType="separate"/>
        </w:r>
        <w:r w:rsidR="00DF56B1">
          <w:rPr>
            <w:noProof/>
            <w:webHidden/>
          </w:rPr>
          <w:t>86</w:t>
        </w:r>
        <w:r w:rsidR="00DF56B1">
          <w:rPr>
            <w:noProof/>
            <w:webHidden/>
          </w:rPr>
          <w:fldChar w:fldCharType="end"/>
        </w:r>
      </w:hyperlink>
    </w:p>
    <w:p w14:paraId="6A825502" w14:textId="40EB1444" w:rsidR="00DF56B1" w:rsidRDefault="00D223CC" w:rsidP="00EB54E6">
      <w:pPr>
        <w:pStyle w:val="TOC1"/>
        <w:tabs>
          <w:tab w:val="right" w:leader="dot" w:pos="9350"/>
        </w:tabs>
        <w:spacing w:line="360" w:lineRule="auto"/>
        <w:rPr>
          <w:rFonts w:asciiTheme="minorHAnsi" w:eastAsiaTheme="minorEastAsia" w:hAnsiTheme="minorHAnsi" w:cstheme="minorBidi"/>
          <w:noProof/>
          <w:sz w:val="22"/>
          <w:szCs w:val="22"/>
        </w:rPr>
      </w:pPr>
      <w:hyperlink w:anchor="_Toc109036169" w:history="1">
        <w:r w:rsidR="00DF56B1" w:rsidRPr="003F3663">
          <w:rPr>
            <w:rStyle w:val="Hyperlink"/>
            <w:noProof/>
          </w:rPr>
          <w:t>Chapter 3: Building Carbon minerals: Application of geoscience learning materials to the Tennessee Academic Standards for Science for Chemistry I for use in public school classrooms</w:t>
        </w:r>
        <w:r w:rsidR="00DF56B1">
          <w:rPr>
            <w:noProof/>
            <w:webHidden/>
          </w:rPr>
          <w:tab/>
        </w:r>
        <w:r w:rsidR="00DF56B1">
          <w:rPr>
            <w:noProof/>
            <w:webHidden/>
          </w:rPr>
          <w:fldChar w:fldCharType="begin"/>
        </w:r>
        <w:r w:rsidR="00DF56B1">
          <w:rPr>
            <w:noProof/>
            <w:webHidden/>
          </w:rPr>
          <w:instrText xml:space="preserve"> PAGEREF _Toc109036169 \h </w:instrText>
        </w:r>
        <w:r w:rsidR="00DF56B1">
          <w:rPr>
            <w:noProof/>
            <w:webHidden/>
          </w:rPr>
        </w:r>
        <w:r w:rsidR="00DF56B1">
          <w:rPr>
            <w:noProof/>
            <w:webHidden/>
          </w:rPr>
          <w:fldChar w:fldCharType="separate"/>
        </w:r>
        <w:r w:rsidR="00DF56B1">
          <w:rPr>
            <w:noProof/>
            <w:webHidden/>
          </w:rPr>
          <w:t>87</w:t>
        </w:r>
        <w:r w:rsidR="00DF56B1">
          <w:rPr>
            <w:noProof/>
            <w:webHidden/>
          </w:rPr>
          <w:fldChar w:fldCharType="end"/>
        </w:r>
      </w:hyperlink>
    </w:p>
    <w:p w14:paraId="25042398" w14:textId="40AB096C"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70" w:history="1">
        <w:r w:rsidR="00DF56B1" w:rsidRPr="003F3663">
          <w:rPr>
            <w:rStyle w:val="Hyperlink"/>
            <w:noProof/>
          </w:rPr>
          <w:t>Abstract</w:t>
        </w:r>
        <w:r w:rsidR="00DF56B1">
          <w:rPr>
            <w:noProof/>
            <w:webHidden/>
          </w:rPr>
          <w:tab/>
        </w:r>
        <w:r w:rsidR="00DF56B1">
          <w:rPr>
            <w:noProof/>
            <w:webHidden/>
          </w:rPr>
          <w:fldChar w:fldCharType="begin"/>
        </w:r>
        <w:r w:rsidR="00DF56B1">
          <w:rPr>
            <w:noProof/>
            <w:webHidden/>
          </w:rPr>
          <w:instrText xml:space="preserve"> PAGEREF _Toc109036170 \h </w:instrText>
        </w:r>
        <w:r w:rsidR="00DF56B1">
          <w:rPr>
            <w:noProof/>
            <w:webHidden/>
          </w:rPr>
        </w:r>
        <w:r w:rsidR="00DF56B1">
          <w:rPr>
            <w:noProof/>
            <w:webHidden/>
          </w:rPr>
          <w:fldChar w:fldCharType="separate"/>
        </w:r>
        <w:r w:rsidR="00DF56B1">
          <w:rPr>
            <w:noProof/>
            <w:webHidden/>
          </w:rPr>
          <w:t>88</w:t>
        </w:r>
        <w:r w:rsidR="00DF56B1">
          <w:rPr>
            <w:noProof/>
            <w:webHidden/>
          </w:rPr>
          <w:fldChar w:fldCharType="end"/>
        </w:r>
      </w:hyperlink>
    </w:p>
    <w:p w14:paraId="2AD63272" w14:textId="1A10957D"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71" w:history="1">
        <w:r w:rsidR="00DF56B1" w:rsidRPr="003F3663">
          <w:rPr>
            <w:rStyle w:val="Hyperlink"/>
            <w:noProof/>
          </w:rPr>
          <w:t>1. Introduction</w:t>
        </w:r>
        <w:r w:rsidR="00DF56B1">
          <w:rPr>
            <w:noProof/>
            <w:webHidden/>
          </w:rPr>
          <w:tab/>
        </w:r>
        <w:r w:rsidR="00DF56B1">
          <w:rPr>
            <w:noProof/>
            <w:webHidden/>
          </w:rPr>
          <w:fldChar w:fldCharType="begin"/>
        </w:r>
        <w:r w:rsidR="00DF56B1">
          <w:rPr>
            <w:noProof/>
            <w:webHidden/>
          </w:rPr>
          <w:instrText xml:space="preserve"> PAGEREF _Toc109036171 \h </w:instrText>
        </w:r>
        <w:r w:rsidR="00DF56B1">
          <w:rPr>
            <w:noProof/>
            <w:webHidden/>
          </w:rPr>
        </w:r>
        <w:r w:rsidR="00DF56B1">
          <w:rPr>
            <w:noProof/>
            <w:webHidden/>
          </w:rPr>
          <w:fldChar w:fldCharType="separate"/>
        </w:r>
        <w:r w:rsidR="00DF56B1">
          <w:rPr>
            <w:noProof/>
            <w:webHidden/>
          </w:rPr>
          <w:t>88</w:t>
        </w:r>
        <w:r w:rsidR="00DF56B1">
          <w:rPr>
            <w:noProof/>
            <w:webHidden/>
          </w:rPr>
          <w:fldChar w:fldCharType="end"/>
        </w:r>
      </w:hyperlink>
    </w:p>
    <w:p w14:paraId="765A0A0A" w14:textId="531CBE5B"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72" w:history="1">
        <w:r w:rsidR="00DF56B1" w:rsidRPr="003F3663">
          <w:rPr>
            <w:rStyle w:val="Hyperlink"/>
            <w:noProof/>
          </w:rPr>
          <w:t>2. Background</w:t>
        </w:r>
        <w:r w:rsidR="00DF56B1">
          <w:rPr>
            <w:noProof/>
            <w:webHidden/>
          </w:rPr>
          <w:tab/>
        </w:r>
        <w:r w:rsidR="00DF56B1">
          <w:rPr>
            <w:noProof/>
            <w:webHidden/>
          </w:rPr>
          <w:fldChar w:fldCharType="begin"/>
        </w:r>
        <w:r w:rsidR="00DF56B1">
          <w:rPr>
            <w:noProof/>
            <w:webHidden/>
          </w:rPr>
          <w:instrText xml:space="preserve"> PAGEREF _Toc109036172 \h </w:instrText>
        </w:r>
        <w:r w:rsidR="00DF56B1">
          <w:rPr>
            <w:noProof/>
            <w:webHidden/>
          </w:rPr>
        </w:r>
        <w:r w:rsidR="00DF56B1">
          <w:rPr>
            <w:noProof/>
            <w:webHidden/>
          </w:rPr>
          <w:fldChar w:fldCharType="separate"/>
        </w:r>
        <w:r w:rsidR="00DF56B1">
          <w:rPr>
            <w:noProof/>
            <w:webHidden/>
          </w:rPr>
          <w:t>89</w:t>
        </w:r>
        <w:r w:rsidR="00DF56B1">
          <w:rPr>
            <w:noProof/>
            <w:webHidden/>
          </w:rPr>
          <w:fldChar w:fldCharType="end"/>
        </w:r>
      </w:hyperlink>
    </w:p>
    <w:p w14:paraId="77401E89" w14:textId="29E56CF1"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73" w:history="1">
        <w:r w:rsidR="00DF56B1" w:rsidRPr="003F3663">
          <w:rPr>
            <w:rStyle w:val="Hyperlink"/>
            <w:noProof/>
          </w:rPr>
          <w:t>3. Layering the Earth</w:t>
        </w:r>
        <w:r w:rsidR="00DF56B1">
          <w:rPr>
            <w:noProof/>
            <w:webHidden/>
          </w:rPr>
          <w:tab/>
        </w:r>
        <w:r w:rsidR="00DF56B1">
          <w:rPr>
            <w:noProof/>
            <w:webHidden/>
          </w:rPr>
          <w:fldChar w:fldCharType="begin"/>
        </w:r>
        <w:r w:rsidR="00DF56B1">
          <w:rPr>
            <w:noProof/>
            <w:webHidden/>
          </w:rPr>
          <w:instrText xml:space="preserve"> PAGEREF _Toc109036173 \h </w:instrText>
        </w:r>
        <w:r w:rsidR="00DF56B1">
          <w:rPr>
            <w:noProof/>
            <w:webHidden/>
          </w:rPr>
        </w:r>
        <w:r w:rsidR="00DF56B1">
          <w:rPr>
            <w:noProof/>
            <w:webHidden/>
          </w:rPr>
          <w:fldChar w:fldCharType="separate"/>
        </w:r>
        <w:r w:rsidR="00DF56B1">
          <w:rPr>
            <w:noProof/>
            <w:webHidden/>
          </w:rPr>
          <w:t>92</w:t>
        </w:r>
        <w:r w:rsidR="00DF56B1">
          <w:rPr>
            <w:noProof/>
            <w:webHidden/>
          </w:rPr>
          <w:fldChar w:fldCharType="end"/>
        </w:r>
      </w:hyperlink>
    </w:p>
    <w:p w14:paraId="71E0662D" w14:textId="35BBBBEA"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74" w:history="1">
        <w:r w:rsidR="00DF56B1" w:rsidRPr="003F3663">
          <w:rPr>
            <w:rStyle w:val="Hyperlink"/>
            <w:noProof/>
          </w:rPr>
          <w:t>4. Carbon: Phases with Relation to Earth</w:t>
        </w:r>
        <w:r w:rsidR="00DF56B1">
          <w:rPr>
            <w:noProof/>
            <w:webHidden/>
          </w:rPr>
          <w:tab/>
        </w:r>
        <w:r w:rsidR="00DF56B1">
          <w:rPr>
            <w:noProof/>
            <w:webHidden/>
          </w:rPr>
          <w:fldChar w:fldCharType="begin"/>
        </w:r>
        <w:r w:rsidR="00DF56B1">
          <w:rPr>
            <w:noProof/>
            <w:webHidden/>
          </w:rPr>
          <w:instrText xml:space="preserve"> PAGEREF _Toc109036174 \h </w:instrText>
        </w:r>
        <w:r w:rsidR="00DF56B1">
          <w:rPr>
            <w:noProof/>
            <w:webHidden/>
          </w:rPr>
        </w:r>
        <w:r w:rsidR="00DF56B1">
          <w:rPr>
            <w:noProof/>
            <w:webHidden/>
          </w:rPr>
          <w:fldChar w:fldCharType="separate"/>
        </w:r>
        <w:r w:rsidR="00DF56B1">
          <w:rPr>
            <w:noProof/>
            <w:webHidden/>
          </w:rPr>
          <w:t>94</w:t>
        </w:r>
        <w:r w:rsidR="00DF56B1">
          <w:rPr>
            <w:noProof/>
            <w:webHidden/>
          </w:rPr>
          <w:fldChar w:fldCharType="end"/>
        </w:r>
      </w:hyperlink>
    </w:p>
    <w:p w14:paraId="48BCC8A7" w14:textId="7D94CA03"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75" w:history="1">
        <w:r w:rsidR="00DF56B1" w:rsidRPr="003F3663">
          <w:rPr>
            <w:rStyle w:val="Hyperlink"/>
            <w:noProof/>
          </w:rPr>
          <w:t>5. Hands On: Molecular Models of Solid Phases of Elemental Carbon</w:t>
        </w:r>
        <w:r w:rsidR="00DF56B1">
          <w:rPr>
            <w:noProof/>
            <w:webHidden/>
          </w:rPr>
          <w:tab/>
        </w:r>
        <w:r w:rsidR="00DF56B1">
          <w:rPr>
            <w:noProof/>
            <w:webHidden/>
          </w:rPr>
          <w:fldChar w:fldCharType="begin"/>
        </w:r>
        <w:r w:rsidR="00DF56B1">
          <w:rPr>
            <w:noProof/>
            <w:webHidden/>
          </w:rPr>
          <w:instrText xml:space="preserve"> PAGEREF _Toc109036175 \h </w:instrText>
        </w:r>
        <w:r w:rsidR="00DF56B1">
          <w:rPr>
            <w:noProof/>
            <w:webHidden/>
          </w:rPr>
        </w:r>
        <w:r w:rsidR="00DF56B1">
          <w:rPr>
            <w:noProof/>
            <w:webHidden/>
          </w:rPr>
          <w:fldChar w:fldCharType="separate"/>
        </w:r>
        <w:r w:rsidR="00DF56B1">
          <w:rPr>
            <w:noProof/>
            <w:webHidden/>
          </w:rPr>
          <w:t>101</w:t>
        </w:r>
        <w:r w:rsidR="00DF56B1">
          <w:rPr>
            <w:noProof/>
            <w:webHidden/>
          </w:rPr>
          <w:fldChar w:fldCharType="end"/>
        </w:r>
      </w:hyperlink>
    </w:p>
    <w:p w14:paraId="0D6A95B3" w14:textId="5EF2F6EC"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76" w:history="1">
        <w:r w:rsidR="00DF56B1" w:rsidRPr="003F3663">
          <w:rPr>
            <w:rStyle w:val="Hyperlink"/>
            <w:noProof/>
          </w:rPr>
          <w:t>6. Lesson Wrap-Up: Same Element, Same Phase, Different Structure</w:t>
        </w:r>
        <w:r w:rsidR="00DF56B1">
          <w:rPr>
            <w:noProof/>
            <w:webHidden/>
          </w:rPr>
          <w:tab/>
        </w:r>
        <w:r w:rsidR="00DF56B1">
          <w:rPr>
            <w:noProof/>
            <w:webHidden/>
          </w:rPr>
          <w:fldChar w:fldCharType="begin"/>
        </w:r>
        <w:r w:rsidR="00DF56B1">
          <w:rPr>
            <w:noProof/>
            <w:webHidden/>
          </w:rPr>
          <w:instrText xml:space="preserve"> PAGEREF _Toc109036176 \h </w:instrText>
        </w:r>
        <w:r w:rsidR="00DF56B1">
          <w:rPr>
            <w:noProof/>
            <w:webHidden/>
          </w:rPr>
        </w:r>
        <w:r w:rsidR="00DF56B1">
          <w:rPr>
            <w:noProof/>
            <w:webHidden/>
          </w:rPr>
          <w:fldChar w:fldCharType="separate"/>
        </w:r>
        <w:r w:rsidR="00DF56B1">
          <w:rPr>
            <w:noProof/>
            <w:webHidden/>
          </w:rPr>
          <w:t>101</w:t>
        </w:r>
        <w:r w:rsidR="00DF56B1">
          <w:rPr>
            <w:noProof/>
            <w:webHidden/>
          </w:rPr>
          <w:fldChar w:fldCharType="end"/>
        </w:r>
      </w:hyperlink>
    </w:p>
    <w:p w14:paraId="4CFD9E23" w14:textId="3FF2BD54" w:rsidR="00DF56B1" w:rsidRDefault="00D223CC" w:rsidP="00EB54E6">
      <w:pPr>
        <w:pStyle w:val="TOC2"/>
        <w:tabs>
          <w:tab w:val="right" w:leader="dot" w:pos="9350"/>
        </w:tabs>
        <w:spacing w:line="360" w:lineRule="auto"/>
        <w:rPr>
          <w:rFonts w:asciiTheme="minorHAnsi" w:eastAsiaTheme="minorEastAsia" w:hAnsiTheme="minorHAnsi" w:cstheme="minorBidi"/>
          <w:noProof/>
          <w:sz w:val="22"/>
          <w:szCs w:val="22"/>
        </w:rPr>
      </w:pPr>
      <w:hyperlink w:anchor="_Toc109036177" w:history="1">
        <w:r w:rsidR="00DF56B1" w:rsidRPr="003F3663">
          <w:rPr>
            <w:rStyle w:val="Hyperlink"/>
            <w:noProof/>
          </w:rPr>
          <w:t>References</w:t>
        </w:r>
        <w:r w:rsidR="00DF56B1">
          <w:rPr>
            <w:noProof/>
            <w:webHidden/>
          </w:rPr>
          <w:tab/>
        </w:r>
        <w:r w:rsidR="00DF56B1">
          <w:rPr>
            <w:noProof/>
            <w:webHidden/>
          </w:rPr>
          <w:fldChar w:fldCharType="begin"/>
        </w:r>
        <w:r w:rsidR="00DF56B1">
          <w:rPr>
            <w:noProof/>
            <w:webHidden/>
          </w:rPr>
          <w:instrText xml:space="preserve"> PAGEREF _Toc109036177 \h </w:instrText>
        </w:r>
        <w:r w:rsidR="00DF56B1">
          <w:rPr>
            <w:noProof/>
            <w:webHidden/>
          </w:rPr>
        </w:r>
        <w:r w:rsidR="00DF56B1">
          <w:rPr>
            <w:noProof/>
            <w:webHidden/>
          </w:rPr>
          <w:fldChar w:fldCharType="separate"/>
        </w:r>
        <w:r w:rsidR="00DF56B1">
          <w:rPr>
            <w:noProof/>
            <w:webHidden/>
          </w:rPr>
          <w:t>105</w:t>
        </w:r>
        <w:r w:rsidR="00DF56B1">
          <w:rPr>
            <w:noProof/>
            <w:webHidden/>
          </w:rPr>
          <w:fldChar w:fldCharType="end"/>
        </w:r>
      </w:hyperlink>
    </w:p>
    <w:p w14:paraId="38A881B4" w14:textId="3CD78351" w:rsidR="00DF56B1" w:rsidRDefault="00D223CC" w:rsidP="00EB54E6">
      <w:pPr>
        <w:pStyle w:val="TOC1"/>
        <w:tabs>
          <w:tab w:val="right" w:leader="dot" w:pos="9350"/>
        </w:tabs>
        <w:spacing w:line="360" w:lineRule="auto"/>
        <w:rPr>
          <w:rFonts w:asciiTheme="minorHAnsi" w:eastAsiaTheme="minorEastAsia" w:hAnsiTheme="minorHAnsi" w:cstheme="minorBidi"/>
          <w:noProof/>
          <w:sz w:val="22"/>
          <w:szCs w:val="22"/>
        </w:rPr>
      </w:pPr>
      <w:hyperlink w:anchor="_Toc109036178" w:history="1">
        <w:r w:rsidR="00DF56B1" w:rsidRPr="003F3663">
          <w:rPr>
            <w:rStyle w:val="Hyperlink"/>
            <w:noProof/>
          </w:rPr>
          <w:t>Conclusions</w:t>
        </w:r>
        <w:r w:rsidR="00DF56B1">
          <w:rPr>
            <w:noProof/>
            <w:webHidden/>
          </w:rPr>
          <w:tab/>
        </w:r>
        <w:r w:rsidR="00DF56B1">
          <w:rPr>
            <w:noProof/>
            <w:webHidden/>
          </w:rPr>
          <w:fldChar w:fldCharType="begin"/>
        </w:r>
        <w:r w:rsidR="00DF56B1">
          <w:rPr>
            <w:noProof/>
            <w:webHidden/>
          </w:rPr>
          <w:instrText xml:space="preserve"> PAGEREF _Toc109036178 \h </w:instrText>
        </w:r>
        <w:r w:rsidR="00DF56B1">
          <w:rPr>
            <w:noProof/>
            <w:webHidden/>
          </w:rPr>
        </w:r>
        <w:r w:rsidR="00DF56B1">
          <w:rPr>
            <w:noProof/>
            <w:webHidden/>
          </w:rPr>
          <w:fldChar w:fldCharType="separate"/>
        </w:r>
        <w:r w:rsidR="00DF56B1">
          <w:rPr>
            <w:noProof/>
            <w:webHidden/>
          </w:rPr>
          <w:t>106</w:t>
        </w:r>
        <w:r w:rsidR="00DF56B1">
          <w:rPr>
            <w:noProof/>
            <w:webHidden/>
          </w:rPr>
          <w:fldChar w:fldCharType="end"/>
        </w:r>
      </w:hyperlink>
    </w:p>
    <w:p w14:paraId="33172D8A" w14:textId="3554111B" w:rsidR="00387656" w:rsidRDefault="00D223CC" w:rsidP="00C165AD">
      <w:pPr>
        <w:pStyle w:val="TOC1"/>
        <w:tabs>
          <w:tab w:val="right" w:leader="dot" w:pos="9350"/>
        </w:tabs>
        <w:spacing w:line="360" w:lineRule="auto"/>
      </w:pPr>
      <w:hyperlink w:anchor="_Toc109036179" w:history="1">
        <w:r w:rsidR="00DF56B1" w:rsidRPr="003F3663">
          <w:rPr>
            <w:rStyle w:val="Hyperlink"/>
            <w:noProof/>
          </w:rPr>
          <w:t>Vita</w:t>
        </w:r>
        <w:r w:rsidR="00DF56B1">
          <w:rPr>
            <w:noProof/>
            <w:webHidden/>
          </w:rPr>
          <w:tab/>
        </w:r>
        <w:r w:rsidR="00DF56B1">
          <w:rPr>
            <w:noProof/>
            <w:webHidden/>
          </w:rPr>
          <w:fldChar w:fldCharType="begin"/>
        </w:r>
        <w:r w:rsidR="00DF56B1">
          <w:rPr>
            <w:noProof/>
            <w:webHidden/>
          </w:rPr>
          <w:instrText xml:space="preserve"> PAGEREF _Toc109036179 \h </w:instrText>
        </w:r>
        <w:r w:rsidR="00DF56B1">
          <w:rPr>
            <w:noProof/>
            <w:webHidden/>
          </w:rPr>
        </w:r>
        <w:r w:rsidR="00DF56B1">
          <w:rPr>
            <w:noProof/>
            <w:webHidden/>
          </w:rPr>
          <w:fldChar w:fldCharType="separate"/>
        </w:r>
        <w:r w:rsidR="00DF56B1">
          <w:rPr>
            <w:noProof/>
            <w:webHidden/>
          </w:rPr>
          <w:t>107</w:t>
        </w:r>
        <w:r w:rsidR="00DF56B1">
          <w:rPr>
            <w:noProof/>
            <w:webHidden/>
          </w:rPr>
          <w:fldChar w:fldCharType="end"/>
        </w:r>
      </w:hyperlink>
      <w:r w:rsidR="00387656">
        <w:rPr>
          <w:b/>
          <w:bCs/>
          <w:noProof/>
        </w:rPr>
        <w:fldChar w:fldCharType="end"/>
      </w:r>
    </w:p>
    <w:p w14:paraId="2531E075" w14:textId="77777777" w:rsidR="005C36E5" w:rsidRDefault="005C36E5">
      <w:pPr>
        <w:rPr>
          <w:b/>
          <w:sz w:val="28"/>
          <w:lang w:val="en-CA"/>
        </w:rPr>
      </w:pPr>
      <w:r>
        <w:br w:type="page"/>
      </w:r>
    </w:p>
    <w:p w14:paraId="32D3F240" w14:textId="0E6DCBD8" w:rsidR="00F44FC3" w:rsidRDefault="00F44FC3" w:rsidP="00EB54E6">
      <w:pPr>
        <w:pStyle w:val="Title"/>
        <w:spacing w:after="240" w:line="360" w:lineRule="auto"/>
      </w:pPr>
      <w:r>
        <w:lastRenderedPageBreak/>
        <w:t>LIST OF TABLES</w:t>
      </w:r>
    </w:p>
    <w:p w14:paraId="54A88E1E" w14:textId="28ABDDA1" w:rsidR="00164D4C" w:rsidRDefault="00F44FC3" w:rsidP="00164D4C">
      <w:pPr>
        <w:pStyle w:val="TableofFigures"/>
        <w:tabs>
          <w:tab w:val="right" w:leader="dot" w:pos="9350"/>
        </w:tabs>
        <w:spacing w:line="360" w:lineRule="auto"/>
        <w:rPr>
          <w:rFonts w:asciiTheme="minorHAnsi" w:eastAsiaTheme="minorEastAsia" w:hAnsiTheme="minorHAnsi" w:cstheme="minorBidi"/>
          <w:noProof/>
          <w:sz w:val="22"/>
          <w:szCs w:val="22"/>
        </w:rPr>
      </w:pPr>
      <w:r w:rsidRPr="00F44FC3">
        <w:rPr>
          <w:rStyle w:val="Hyperlink"/>
          <w:noProof/>
        </w:rPr>
        <w:fldChar w:fldCharType="begin"/>
      </w:r>
      <w:r w:rsidRPr="00F44FC3">
        <w:rPr>
          <w:rStyle w:val="Hyperlink"/>
          <w:noProof/>
        </w:rPr>
        <w:instrText xml:space="preserve"> TOC \h \z \c "Table" </w:instrText>
      </w:r>
      <w:r w:rsidRPr="00F44FC3">
        <w:rPr>
          <w:rStyle w:val="Hyperlink"/>
          <w:noProof/>
        </w:rPr>
        <w:fldChar w:fldCharType="separate"/>
      </w:r>
      <w:hyperlink w:anchor="_Toc109398942" w:history="1">
        <w:r w:rsidR="00164D4C" w:rsidRPr="00ED1975">
          <w:rPr>
            <w:rStyle w:val="Hyperlink"/>
            <w:noProof/>
          </w:rPr>
          <w:t>Table 1.1. Samples and sampling locations.</w:t>
        </w:r>
        <w:r w:rsidR="00164D4C">
          <w:rPr>
            <w:noProof/>
            <w:webHidden/>
          </w:rPr>
          <w:tab/>
        </w:r>
        <w:r w:rsidR="00164D4C">
          <w:rPr>
            <w:noProof/>
            <w:webHidden/>
          </w:rPr>
          <w:fldChar w:fldCharType="begin"/>
        </w:r>
        <w:r w:rsidR="00164D4C">
          <w:rPr>
            <w:noProof/>
            <w:webHidden/>
          </w:rPr>
          <w:instrText xml:space="preserve"> PAGEREF _Toc109398942 \h </w:instrText>
        </w:r>
        <w:r w:rsidR="00164D4C">
          <w:rPr>
            <w:noProof/>
            <w:webHidden/>
          </w:rPr>
        </w:r>
        <w:r w:rsidR="00164D4C">
          <w:rPr>
            <w:noProof/>
            <w:webHidden/>
          </w:rPr>
          <w:fldChar w:fldCharType="separate"/>
        </w:r>
        <w:r w:rsidR="00164D4C">
          <w:rPr>
            <w:noProof/>
            <w:webHidden/>
          </w:rPr>
          <w:t>14</w:t>
        </w:r>
        <w:r w:rsidR="00164D4C">
          <w:rPr>
            <w:noProof/>
            <w:webHidden/>
          </w:rPr>
          <w:fldChar w:fldCharType="end"/>
        </w:r>
      </w:hyperlink>
    </w:p>
    <w:p w14:paraId="6160E751" w14:textId="414797CB" w:rsidR="00164D4C" w:rsidRDefault="00D223CC" w:rsidP="00164D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09398943" w:history="1">
        <w:r w:rsidR="00164D4C" w:rsidRPr="00ED1975">
          <w:rPr>
            <w:rStyle w:val="Hyperlink"/>
            <w:noProof/>
          </w:rPr>
          <w:t>Table 1.2. Temperatures.</w:t>
        </w:r>
        <w:r w:rsidR="00164D4C">
          <w:rPr>
            <w:noProof/>
            <w:webHidden/>
          </w:rPr>
          <w:tab/>
        </w:r>
        <w:r w:rsidR="00164D4C">
          <w:rPr>
            <w:noProof/>
            <w:webHidden/>
          </w:rPr>
          <w:fldChar w:fldCharType="begin"/>
        </w:r>
        <w:r w:rsidR="00164D4C">
          <w:rPr>
            <w:noProof/>
            <w:webHidden/>
          </w:rPr>
          <w:instrText xml:space="preserve"> PAGEREF _Toc109398943 \h </w:instrText>
        </w:r>
        <w:r w:rsidR="00164D4C">
          <w:rPr>
            <w:noProof/>
            <w:webHidden/>
          </w:rPr>
        </w:r>
        <w:r w:rsidR="00164D4C">
          <w:rPr>
            <w:noProof/>
            <w:webHidden/>
          </w:rPr>
          <w:fldChar w:fldCharType="separate"/>
        </w:r>
        <w:r w:rsidR="00164D4C">
          <w:rPr>
            <w:noProof/>
            <w:webHidden/>
          </w:rPr>
          <w:t>27</w:t>
        </w:r>
        <w:r w:rsidR="00164D4C">
          <w:rPr>
            <w:noProof/>
            <w:webHidden/>
          </w:rPr>
          <w:fldChar w:fldCharType="end"/>
        </w:r>
      </w:hyperlink>
    </w:p>
    <w:p w14:paraId="5D970722" w14:textId="130F73F9" w:rsidR="00164D4C" w:rsidRDefault="00D223CC" w:rsidP="00164D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09398944" w:history="1">
        <w:r w:rsidR="00164D4C" w:rsidRPr="00ED1975">
          <w:rPr>
            <w:rStyle w:val="Hyperlink"/>
            <w:noProof/>
          </w:rPr>
          <w:t>Table 2.1. Sample information by experiment in order of first run to last run.</w:t>
        </w:r>
        <w:r w:rsidR="00164D4C">
          <w:rPr>
            <w:noProof/>
            <w:webHidden/>
          </w:rPr>
          <w:tab/>
        </w:r>
        <w:r w:rsidR="00164D4C">
          <w:rPr>
            <w:noProof/>
            <w:webHidden/>
          </w:rPr>
          <w:fldChar w:fldCharType="begin"/>
        </w:r>
        <w:r w:rsidR="00164D4C">
          <w:rPr>
            <w:noProof/>
            <w:webHidden/>
          </w:rPr>
          <w:instrText xml:space="preserve"> PAGEREF _Toc109398944 \h </w:instrText>
        </w:r>
        <w:r w:rsidR="00164D4C">
          <w:rPr>
            <w:noProof/>
            <w:webHidden/>
          </w:rPr>
        </w:r>
        <w:r w:rsidR="00164D4C">
          <w:rPr>
            <w:noProof/>
            <w:webHidden/>
          </w:rPr>
          <w:fldChar w:fldCharType="separate"/>
        </w:r>
        <w:r w:rsidR="00164D4C">
          <w:rPr>
            <w:noProof/>
            <w:webHidden/>
          </w:rPr>
          <w:t>71</w:t>
        </w:r>
        <w:r w:rsidR="00164D4C">
          <w:rPr>
            <w:noProof/>
            <w:webHidden/>
          </w:rPr>
          <w:fldChar w:fldCharType="end"/>
        </w:r>
      </w:hyperlink>
    </w:p>
    <w:p w14:paraId="05F99519" w14:textId="0831D78D" w:rsidR="00164D4C" w:rsidRDefault="00D223CC" w:rsidP="00164D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09398945" w:history="1">
        <w:r w:rsidR="00164D4C" w:rsidRPr="00ED1975">
          <w:rPr>
            <w:rStyle w:val="Hyperlink"/>
            <w:noProof/>
          </w:rPr>
          <w:t>Table 2.2. Notes on variations in experimental run conditions.</w:t>
        </w:r>
        <w:r w:rsidR="00164D4C">
          <w:rPr>
            <w:noProof/>
            <w:webHidden/>
          </w:rPr>
          <w:tab/>
        </w:r>
        <w:r w:rsidR="00164D4C">
          <w:rPr>
            <w:noProof/>
            <w:webHidden/>
          </w:rPr>
          <w:fldChar w:fldCharType="begin"/>
        </w:r>
        <w:r w:rsidR="00164D4C">
          <w:rPr>
            <w:noProof/>
            <w:webHidden/>
          </w:rPr>
          <w:instrText xml:space="preserve"> PAGEREF _Toc109398945 \h </w:instrText>
        </w:r>
        <w:r w:rsidR="00164D4C">
          <w:rPr>
            <w:noProof/>
            <w:webHidden/>
          </w:rPr>
        </w:r>
        <w:r w:rsidR="00164D4C">
          <w:rPr>
            <w:noProof/>
            <w:webHidden/>
          </w:rPr>
          <w:fldChar w:fldCharType="separate"/>
        </w:r>
        <w:r w:rsidR="00164D4C">
          <w:rPr>
            <w:noProof/>
            <w:webHidden/>
          </w:rPr>
          <w:t>72</w:t>
        </w:r>
        <w:r w:rsidR="00164D4C">
          <w:rPr>
            <w:noProof/>
            <w:webHidden/>
          </w:rPr>
          <w:fldChar w:fldCharType="end"/>
        </w:r>
      </w:hyperlink>
    </w:p>
    <w:p w14:paraId="52D98938" w14:textId="5F4BBF4B" w:rsidR="00164D4C" w:rsidRDefault="00D223CC" w:rsidP="00164D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09398946" w:history="1">
        <w:r w:rsidR="00164D4C" w:rsidRPr="00ED1975">
          <w:rPr>
            <w:rStyle w:val="Hyperlink"/>
            <w:noProof/>
          </w:rPr>
          <w:t>Table 2.3. Sample results from mechanical data and EBSD analysis data processing.</w:t>
        </w:r>
        <w:r w:rsidR="00164D4C">
          <w:rPr>
            <w:noProof/>
            <w:webHidden/>
          </w:rPr>
          <w:tab/>
        </w:r>
        <w:r w:rsidR="00164D4C">
          <w:rPr>
            <w:noProof/>
            <w:webHidden/>
          </w:rPr>
          <w:fldChar w:fldCharType="begin"/>
        </w:r>
        <w:r w:rsidR="00164D4C">
          <w:rPr>
            <w:noProof/>
            <w:webHidden/>
          </w:rPr>
          <w:instrText xml:space="preserve"> PAGEREF _Toc109398946 \h </w:instrText>
        </w:r>
        <w:r w:rsidR="00164D4C">
          <w:rPr>
            <w:noProof/>
            <w:webHidden/>
          </w:rPr>
        </w:r>
        <w:r w:rsidR="00164D4C">
          <w:rPr>
            <w:noProof/>
            <w:webHidden/>
          </w:rPr>
          <w:fldChar w:fldCharType="separate"/>
        </w:r>
        <w:r w:rsidR="00164D4C">
          <w:rPr>
            <w:noProof/>
            <w:webHidden/>
          </w:rPr>
          <w:t>77</w:t>
        </w:r>
        <w:r w:rsidR="00164D4C">
          <w:rPr>
            <w:noProof/>
            <w:webHidden/>
          </w:rPr>
          <w:fldChar w:fldCharType="end"/>
        </w:r>
      </w:hyperlink>
    </w:p>
    <w:p w14:paraId="7E71F877" w14:textId="435AD0DF" w:rsidR="00164D4C" w:rsidRDefault="00D223CC" w:rsidP="00164D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09398947" w:history="1">
        <w:r w:rsidR="00164D4C" w:rsidRPr="00ED1975">
          <w:rPr>
            <w:rStyle w:val="Hyperlink"/>
            <w:noProof/>
          </w:rPr>
          <w:t>Table 3.1. Standards relevant to "Building Carbon Minerals" lesson plan</w:t>
        </w:r>
        <w:r w:rsidR="00164D4C">
          <w:rPr>
            <w:noProof/>
            <w:webHidden/>
          </w:rPr>
          <w:tab/>
        </w:r>
        <w:r w:rsidR="00164D4C">
          <w:rPr>
            <w:noProof/>
            <w:webHidden/>
          </w:rPr>
          <w:fldChar w:fldCharType="begin"/>
        </w:r>
        <w:r w:rsidR="00164D4C">
          <w:rPr>
            <w:noProof/>
            <w:webHidden/>
          </w:rPr>
          <w:instrText xml:space="preserve"> PAGEREF _Toc109398947 \h </w:instrText>
        </w:r>
        <w:r w:rsidR="00164D4C">
          <w:rPr>
            <w:noProof/>
            <w:webHidden/>
          </w:rPr>
        </w:r>
        <w:r w:rsidR="00164D4C">
          <w:rPr>
            <w:noProof/>
            <w:webHidden/>
          </w:rPr>
          <w:fldChar w:fldCharType="separate"/>
        </w:r>
        <w:r w:rsidR="00164D4C">
          <w:rPr>
            <w:noProof/>
            <w:webHidden/>
          </w:rPr>
          <w:t>93</w:t>
        </w:r>
        <w:r w:rsidR="00164D4C">
          <w:rPr>
            <w:noProof/>
            <w:webHidden/>
          </w:rPr>
          <w:fldChar w:fldCharType="end"/>
        </w:r>
      </w:hyperlink>
    </w:p>
    <w:p w14:paraId="7555E63D" w14:textId="51B7ECBD" w:rsidR="00164D4C" w:rsidRDefault="00D223CC" w:rsidP="00164D4C">
      <w:pPr>
        <w:pStyle w:val="TableofFigures"/>
        <w:tabs>
          <w:tab w:val="right" w:leader="dot" w:pos="9350"/>
        </w:tabs>
        <w:spacing w:line="360" w:lineRule="auto"/>
        <w:rPr>
          <w:rFonts w:asciiTheme="minorHAnsi" w:eastAsiaTheme="minorEastAsia" w:hAnsiTheme="minorHAnsi" w:cstheme="minorBidi"/>
          <w:noProof/>
          <w:sz w:val="22"/>
          <w:szCs w:val="22"/>
        </w:rPr>
      </w:pPr>
      <w:hyperlink w:anchor="_Toc109398948" w:history="1">
        <w:r w:rsidR="00164D4C" w:rsidRPr="00ED1975">
          <w:rPr>
            <w:rStyle w:val="Hyperlink"/>
            <w:noProof/>
          </w:rPr>
          <w:t>Table 3.2. Layers of the Earth, depths from the surface, and their major mineralogy.</w:t>
        </w:r>
        <w:r w:rsidR="00164D4C">
          <w:rPr>
            <w:noProof/>
            <w:webHidden/>
          </w:rPr>
          <w:tab/>
        </w:r>
        <w:r w:rsidR="00164D4C">
          <w:rPr>
            <w:noProof/>
            <w:webHidden/>
          </w:rPr>
          <w:fldChar w:fldCharType="begin"/>
        </w:r>
        <w:r w:rsidR="00164D4C">
          <w:rPr>
            <w:noProof/>
            <w:webHidden/>
          </w:rPr>
          <w:instrText xml:space="preserve"> PAGEREF _Toc109398948 \h </w:instrText>
        </w:r>
        <w:r w:rsidR="00164D4C">
          <w:rPr>
            <w:noProof/>
            <w:webHidden/>
          </w:rPr>
        </w:r>
        <w:r w:rsidR="00164D4C">
          <w:rPr>
            <w:noProof/>
            <w:webHidden/>
          </w:rPr>
          <w:fldChar w:fldCharType="separate"/>
        </w:r>
        <w:r w:rsidR="00164D4C">
          <w:rPr>
            <w:noProof/>
            <w:webHidden/>
          </w:rPr>
          <w:t>96</w:t>
        </w:r>
        <w:r w:rsidR="00164D4C">
          <w:rPr>
            <w:noProof/>
            <w:webHidden/>
          </w:rPr>
          <w:fldChar w:fldCharType="end"/>
        </w:r>
      </w:hyperlink>
    </w:p>
    <w:p w14:paraId="3061B827" w14:textId="7B6E997C" w:rsidR="00F44FC3" w:rsidRPr="00F44FC3" w:rsidRDefault="00F44FC3" w:rsidP="00EB54E6">
      <w:pPr>
        <w:spacing w:after="240" w:line="360" w:lineRule="auto"/>
        <w:rPr>
          <w:rStyle w:val="Hyperlink"/>
          <w:noProof/>
        </w:rPr>
      </w:pPr>
      <w:r w:rsidRPr="00F44FC3">
        <w:rPr>
          <w:rStyle w:val="Hyperlink"/>
          <w:noProof/>
        </w:rPr>
        <w:fldChar w:fldCharType="end"/>
      </w:r>
    </w:p>
    <w:p w14:paraId="53C234A8" w14:textId="4B2E6B31" w:rsidR="00F44FC3" w:rsidRPr="00CD5044" w:rsidRDefault="00C62907" w:rsidP="00EB54E6">
      <w:pPr>
        <w:spacing w:line="360" w:lineRule="auto"/>
        <w:rPr>
          <w:b/>
          <w:sz w:val="28"/>
          <w:lang w:val="en-CA"/>
        </w:rPr>
      </w:pPr>
      <w:r>
        <w:br w:type="page"/>
      </w:r>
    </w:p>
    <w:p w14:paraId="5CA55993" w14:textId="7D07D420" w:rsidR="00723A23" w:rsidRDefault="00723A23" w:rsidP="00EB54E6">
      <w:pPr>
        <w:pStyle w:val="Title"/>
        <w:spacing w:after="240" w:line="360" w:lineRule="auto"/>
      </w:pPr>
      <w:r>
        <w:lastRenderedPageBreak/>
        <w:t xml:space="preserve">LIST OF </w:t>
      </w:r>
      <w:r w:rsidRPr="00904969">
        <w:t>FIGURES</w:t>
      </w:r>
    </w:p>
    <w:p w14:paraId="54DC6BE7" w14:textId="068DC42E" w:rsidR="008701A2" w:rsidRDefault="003C60B7">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r:id="rId8" w:anchor="_Toc109738663" w:history="1">
        <w:r w:rsidR="008701A2" w:rsidRPr="00531A37">
          <w:rPr>
            <w:rStyle w:val="Hyperlink"/>
            <w:noProof/>
          </w:rPr>
          <w:t>Figure 1.1. Schematic illustrating end-member crustal accretion models. (a) The Gabbro Glacier model (e.g. Henstock et al., 1993; Phipps Morgan &amp; Chen, 1993; Quick &amp; Denlinger, 1993; Sinton &amp; Detrick, 1992; Sleep, 1975); (b) the Sheeted Sills model (e.g. Kelemen, Hirth, et al., 1997; Kelemen, Koga, et al., 1997; Korenaga &amp; Kelemen, 1997; VanTongeren et al., 2008, 2015). The Gabbro Glacier model posits that the lower section of crust is formed accretion of by a large zone of crystalline mush, which accumulates beneath an axial magma lens at the base of the upper crustal dikes. In this model, cooling of the entire lower crustal section and underlying mantle is purely conductive, through heat lost to the hydrothermally cooled extrusive section (basalts and dikes). (b) The Sheeted Sills model assumes similar crustal accretion in the extrusive section (basalts and dikes) but diverges from the gabbro glacier model in the lower crust. In this model, the lower crust is formed from the injection of a multitude of magmatic sills at a range of depths beneath an axial magma lens at the base of the extrusive section. Deep and vigorous hydrothermal circulation through the entire crustal section (through networks of fractures) is required to accommodate heat released by solidification of the sills, which necessarily produces fast cooling rates in the entire lower crustal section and uppermost part of the mantle section.</w:t>
        </w:r>
        <w:r w:rsidR="008701A2">
          <w:rPr>
            <w:noProof/>
            <w:webHidden/>
          </w:rPr>
          <w:tab/>
        </w:r>
        <w:r w:rsidR="008701A2">
          <w:rPr>
            <w:noProof/>
            <w:webHidden/>
          </w:rPr>
          <w:fldChar w:fldCharType="begin"/>
        </w:r>
        <w:r w:rsidR="008701A2">
          <w:rPr>
            <w:noProof/>
            <w:webHidden/>
          </w:rPr>
          <w:instrText xml:space="preserve"> PAGEREF _Toc109738663 \h </w:instrText>
        </w:r>
        <w:r w:rsidR="008701A2">
          <w:rPr>
            <w:noProof/>
            <w:webHidden/>
          </w:rPr>
        </w:r>
        <w:r w:rsidR="008701A2">
          <w:rPr>
            <w:noProof/>
            <w:webHidden/>
          </w:rPr>
          <w:fldChar w:fldCharType="separate"/>
        </w:r>
        <w:r w:rsidR="00960B60">
          <w:rPr>
            <w:noProof/>
            <w:webHidden/>
          </w:rPr>
          <w:t>6</w:t>
        </w:r>
        <w:r w:rsidR="008701A2">
          <w:rPr>
            <w:noProof/>
            <w:webHidden/>
          </w:rPr>
          <w:fldChar w:fldCharType="end"/>
        </w:r>
      </w:hyperlink>
    </w:p>
    <w:p w14:paraId="2724667E" w14:textId="11512266"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64" w:history="1">
        <w:r w:rsidR="008701A2" w:rsidRPr="00531A37">
          <w:rPr>
            <w:rStyle w:val="Hyperlink"/>
            <w:noProof/>
          </w:rPr>
          <w:t>Figure 1.2. Representative cross polarized light and backscatter electron photomicrographs of samples from Hess Deep and Oman Drilling Project (left and right columns, respectively). (a) is a crustal gabbro from site 1415G, IODP Expedition 345 and (b) and (c) are upper mantle peridotites from hole 895D of ODP Leg 147. (d) is a crustal gabbro from hole CM1 and (e) and (f) are peridotites from the crust-mantle transition of hole CM2. Red spots in (a) correspond to LA-ICP-MS spot numbers shown in Figure 1.5. According to petrographic observation and modal mineralogy (Table 1.3), clinopyroxenes interpreted to be residual are shown in the middle row; the bottom row (c), (f) shows samples with minor clinopyroxene that may have exsolved at subsolidus temperatures, and/or crystallized from melt present during cooling.</w:t>
        </w:r>
        <w:r w:rsidR="008701A2">
          <w:rPr>
            <w:noProof/>
            <w:webHidden/>
          </w:rPr>
          <w:tab/>
        </w:r>
        <w:r w:rsidR="008701A2">
          <w:rPr>
            <w:noProof/>
            <w:webHidden/>
          </w:rPr>
          <w:fldChar w:fldCharType="begin"/>
        </w:r>
        <w:r w:rsidR="008701A2">
          <w:rPr>
            <w:noProof/>
            <w:webHidden/>
          </w:rPr>
          <w:instrText xml:space="preserve"> PAGEREF _Toc109738664 \h </w:instrText>
        </w:r>
        <w:r w:rsidR="008701A2">
          <w:rPr>
            <w:noProof/>
            <w:webHidden/>
          </w:rPr>
        </w:r>
        <w:r w:rsidR="008701A2">
          <w:rPr>
            <w:noProof/>
            <w:webHidden/>
          </w:rPr>
          <w:fldChar w:fldCharType="separate"/>
        </w:r>
        <w:r w:rsidR="00960B60">
          <w:rPr>
            <w:noProof/>
            <w:webHidden/>
          </w:rPr>
          <w:t>16</w:t>
        </w:r>
        <w:r w:rsidR="008701A2">
          <w:rPr>
            <w:noProof/>
            <w:webHidden/>
          </w:rPr>
          <w:fldChar w:fldCharType="end"/>
        </w:r>
      </w:hyperlink>
    </w:p>
    <w:p w14:paraId="3A7CC6FE" w14:textId="72E643E9"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65" w:history="1">
        <w:r w:rsidR="008701A2" w:rsidRPr="00531A37">
          <w:rPr>
            <w:rStyle w:val="Hyperlink"/>
            <w:noProof/>
          </w:rPr>
          <w:t>Figure 1.3. Variations in major element compositions of minerals in samples from this study (averages) and the literature. Gabbros are shown in the first row (a, b) and peridotites are shown in the second and third rows (c-f). Samples from this study are shown as orange diamonds (Hess Deep) and purple squares (OmanDP). Ophiolitic gabbros and peridotites from petDB and Dygert et al., 2017, are shown as gray and blue dots, respectively, and abyssal peridotites from Warren, 2016, are shown as gray dots. MgO in plagioclase data shown in (a) and used in thermometric interpretations (this study) were collected by LA-ICP-MS. We note MgO concentrations in the literature data shown in (a) may not have been collected under optimized analytical conditions, perhaps accounting for some of the scatter.</w:t>
        </w:r>
        <w:r w:rsidR="008701A2">
          <w:rPr>
            <w:noProof/>
            <w:webHidden/>
          </w:rPr>
          <w:tab/>
        </w:r>
        <w:r w:rsidR="008701A2">
          <w:rPr>
            <w:noProof/>
            <w:webHidden/>
          </w:rPr>
          <w:fldChar w:fldCharType="begin"/>
        </w:r>
        <w:r w:rsidR="008701A2">
          <w:rPr>
            <w:noProof/>
            <w:webHidden/>
          </w:rPr>
          <w:instrText xml:space="preserve"> PAGEREF _Toc109738665 \h </w:instrText>
        </w:r>
        <w:r w:rsidR="008701A2">
          <w:rPr>
            <w:noProof/>
            <w:webHidden/>
          </w:rPr>
        </w:r>
        <w:r w:rsidR="008701A2">
          <w:rPr>
            <w:noProof/>
            <w:webHidden/>
          </w:rPr>
          <w:fldChar w:fldCharType="separate"/>
        </w:r>
        <w:r w:rsidR="00960B60">
          <w:rPr>
            <w:noProof/>
            <w:webHidden/>
          </w:rPr>
          <w:t>19</w:t>
        </w:r>
        <w:r w:rsidR="008701A2">
          <w:rPr>
            <w:noProof/>
            <w:webHidden/>
          </w:rPr>
          <w:fldChar w:fldCharType="end"/>
        </w:r>
      </w:hyperlink>
    </w:p>
    <w:p w14:paraId="5FEAC23B" w14:textId="348898A6"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66" w:history="1">
        <w:r w:rsidR="008701A2" w:rsidRPr="00531A37">
          <w:rPr>
            <w:rStyle w:val="Hyperlink"/>
            <w:noProof/>
          </w:rPr>
          <w:t xml:space="preserve">Figure 1.4. Chondrite normalized REE+Y abundances in minerals from the crust and mantle sections of Oman Drilling Project (a) and Hess Deep (b). Individual spot analyses are shown in gray in the background, and sample averages are shown as </w:t>
        </w:r>
        <w:r w:rsidR="008701A2" w:rsidRPr="00531A37">
          <w:rPr>
            <w:rStyle w:val="Hyperlink"/>
            <w:noProof/>
          </w:rPr>
          <w:lastRenderedPageBreak/>
          <w:t>thicker colored lines, error bars are 1σ standard deviations of replicate analyses for each sample. Minerals in crustal samples are green (plagioclase) and red (clinopyroxene), minerals in peridotites are magenta (clinopyroxene) and blue (orthopyroxene).</w:t>
        </w:r>
        <w:r w:rsidR="008701A2">
          <w:rPr>
            <w:noProof/>
            <w:webHidden/>
          </w:rPr>
          <w:tab/>
        </w:r>
        <w:r w:rsidR="008701A2">
          <w:rPr>
            <w:noProof/>
            <w:webHidden/>
          </w:rPr>
          <w:fldChar w:fldCharType="begin"/>
        </w:r>
        <w:r w:rsidR="008701A2">
          <w:rPr>
            <w:noProof/>
            <w:webHidden/>
          </w:rPr>
          <w:instrText xml:space="preserve"> PAGEREF _Toc109738666 \h </w:instrText>
        </w:r>
        <w:r w:rsidR="008701A2">
          <w:rPr>
            <w:noProof/>
            <w:webHidden/>
          </w:rPr>
        </w:r>
        <w:r w:rsidR="008701A2">
          <w:rPr>
            <w:noProof/>
            <w:webHidden/>
          </w:rPr>
          <w:fldChar w:fldCharType="separate"/>
        </w:r>
        <w:r w:rsidR="00960B60">
          <w:rPr>
            <w:noProof/>
            <w:webHidden/>
          </w:rPr>
          <w:t>23</w:t>
        </w:r>
        <w:r w:rsidR="008701A2">
          <w:rPr>
            <w:noProof/>
            <w:webHidden/>
          </w:rPr>
          <w:fldChar w:fldCharType="end"/>
        </w:r>
      </w:hyperlink>
    </w:p>
    <w:p w14:paraId="4C2A47F8" w14:textId="6D8201B3"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67" w:history="1">
        <w:r w:rsidR="008701A2" w:rsidRPr="00531A37">
          <w:rPr>
            <w:rStyle w:val="Hyperlink"/>
            <w:noProof/>
          </w:rPr>
          <w:t>Figure 1.5. Ce and Nd concentrations in paired plagioclase and clinopyroxene grains measured by LA-ICP-MS.</w:t>
        </w:r>
        <w:r w:rsidR="008701A2" w:rsidRPr="00531A37">
          <w:rPr>
            <w:rStyle w:val="Hyperlink"/>
            <w:noProof/>
            <w:kern w:val="24"/>
          </w:rPr>
          <w:t xml:space="preserve"> </w:t>
        </w:r>
        <w:r w:rsidR="008701A2" w:rsidRPr="00531A37">
          <w:rPr>
            <w:rStyle w:val="Hyperlink"/>
            <w:noProof/>
          </w:rPr>
          <w:t>Analytical uncertainty (relative) is estimated at 10% of the concentration. Trace element abundances vary beyond the analytical uncertainty in the plagioclase grain on the left and in the clinopyroxene. These variations are representative of Hess Deep gabbros in general, and the variations are interpreted to reflect magmatic processes. See Section 5.1.1 and Lissenberg et al., 2013, and Lissenberg &amp; Macleod, 2016.</w:t>
        </w:r>
        <w:r w:rsidR="008701A2">
          <w:rPr>
            <w:noProof/>
            <w:webHidden/>
          </w:rPr>
          <w:tab/>
        </w:r>
        <w:r w:rsidR="008701A2">
          <w:rPr>
            <w:noProof/>
            <w:webHidden/>
          </w:rPr>
          <w:fldChar w:fldCharType="begin"/>
        </w:r>
        <w:r w:rsidR="008701A2">
          <w:rPr>
            <w:noProof/>
            <w:webHidden/>
          </w:rPr>
          <w:instrText xml:space="preserve"> PAGEREF _Toc109738667 \h </w:instrText>
        </w:r>
        <w:r w:rsidR="008701A2">
          <w:rPr>
            <w:noProof/>
            <w:webHidden/>
          </w:rPr>
        </w:r>
        <w:r w:rsidR="008701A2">
          <w:rPr>
            <w:noProof/>
            <w:webHidden/>
          </w:rPr>
          <w:fldChar w:fldCharType="separate"/>
        </w:r>
        <w:r w:rsidR="00960B60">
          <w:rPr>
            <w:noProof/>
            <w:webHidden/>
          </w:rPr>
          <w:t>25</w:t>
        </w:r>
        <w:r w:rsidR="008701A2">
          <w:rPr>
            <w:noProof/>
            <w:webHidden/>
          </w:rPr>
          <w:fldChar w:fldCharType="end"/>
        </w:r>
      </w:hyperlink>
    </w:p>
    <w:p w14:paraId="0D17DC93" w14:textId="2322DBAD"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68" w:history="1">
        <w:r w:rsidR="008701A2" w:rsidRPr="00531A37">
          <w:rPr>
            <w:rStyle w:val="Hyperlink"/>
            <w:noProof/>
          </w:rPr>
          <w:t>Figure 1.6. Temperature comparison for samples from the Oman Drilling Project (a) and Hess Deep (b) above and below the petrologic Moho, which is indicated by the horizontal red line. In order to compare trends between drilling sites, samples are shown in relational depth, not absolute distance, as Hess Deep peridotites and gabbros cannot be directly related in stratigraphic depth owing to uncertainty in the local structure. For all samples, depths within the holes are reported in Table 1.1. Structural depths of the Oman Drilling Project samples are reported in Table 1.1 and are presented graphically in Figures 1.9 &amp; 1.10. Hess Deep samples are schematically plotted relative to the Moho in Figures 1.9 &amp; 1.10.</w:t>
        </w:r>
        <w:r w:rsidR="008701A2">
          <w:rPr>
            <w:noProof/>
            <w:webHidden/>
          </w:rPr>
          <w:tab/>
        </w:r>
        <w:r w:rsidR="008701A2">
          <w:rPr>
            <w:noProof/>
            <w:webHidden/>
          </w:rPr>
          <w:fldChar w:fldCharType="begin"/>
        </w:r>
        <w:r w:rsidR="008701A2">
          <w:rPr>
            <w:noProof/>
            <w:webHidden/>
          </w:rPr>
          <w:instrText xml:space="preserve"> PAGEREF _Toc109738668 \h </w:instrText>
        </w:r>
        <w:r w:rsidR="008701A2">
          <w:rPr>
            <w:noProof/>
            <w:webHidden/>
          </w:rPr>
        </w:r>
        <w:r w:rsidR="008701A2">
          <w:rPr>
            <w:noProof/>
            <w:webHidden/>
          </w:rPr>
          <w:fldChar w:fldCharType="separate"/>
        </w:r>
        <w:r w:rsidR="00960B60">
          <w:rPr>
            <w:noProof/>
            <w:webHidden/>
          </w:rPr>
          <w:t>28</w:t>
        </w:r>
        <w:r w:rsidR="008701A2">
          <w:rPr>
            <w:noProof/>
            <w:webHidden/>
          </w:rPr>
          <w:fldChar w:fldCharType="end"/>
        </w:r>
      </w:hyperlink>
    </w:p>
    <w:p w14:paraId="6775A0F5" w14:textId="39CBCFB7"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69" w:history="1">
        <w:r w:rsidR="008701A2" w:rsidRPr="00531A37">
          <w:rPr>
            <w:rStyle w:val="Hyperlink"/>
            <w:noProof/>
          </w:rPr>
          <w:t>Figure 1.7. Temperatures obtained in this study compared to other localities in Oman, previous work on Hess Deep and the global distribution of ophiolites and abyssal peridotites. (a) T</w:t>
        </w:r>
        <w:r w:rsidR="008701A2" w:rsidRPr="00531A37">
          <w:rPr>
            <w:rStyle w:val="Hyperlink"/>
            <w:noProof/>
            <w:vertAlign w:val="subscript"/>
          </w:rPr>
          <w:t>REE-in-Plag-Cpx</w:t>
        </w:r>
        <w:r w:rsidR="008701A2" w:rsidRPr="00531A37">
          <w:rPr>
            <w:rStyle w:val="Hyperlink"/>
            <w:noProof/>
          </w:rPr>
          <w:t xml:space="preserve"> vs. T</w:t>
        </w:r>
        <w:r w:rsidR="008701A2" w:rsidRPr="00531A37">
          <w:rPr>
            <w:rStyle w:val="Hyperlink"/>
            <w:noProof/>
            <w:vertAlign w:val="subscript"/>
          </w:rPr>
          <w:t>Mg-in-Plag</w:t>
        </w:r>
        <w:r w:rsidR="008701A2" w:rsidRPr="00531A37">
          <w:rPr>
            <w:rStyle w:val="Hyperlink"/>
            <w:noProof/>
          </w:rPr>
          <w:t xml:space="preserve"> (gabbros), (b) T</w:t>
        </w:r>
        <w:r w:rsidR="008701A2" w:rsidRPr="00531A37">
          <w:rPr>
            <w:rStyle w:val="Hyperlink"/>
            <w:noProof/>
            <w:vertAlign w:val="subscript"/>
          </w:rPr>
          <w:t>REE-in-two-Pyroxene</w:t>
        </w:r>
        <w:r w:rsidR="008701A2" w:rsidRPr="00531A37">
          <w:rPr>
            <w:rStyle w:val="Hyperlink"/>
            <w:noProof/>
          </w:rPr>
          <w:t xml:space="preserve"> vs. T</w:t>
        </w:r>
        <w:r w:rsidR="008701A2" w:rsidRPr="00531A37">
          <w:rPr>
            <w:rStyle w:val="Hyperlink"/>
            <w:noProof/>
            <w:vertAlign w:val="subscript"/>
          </w:rPr>
          <w:t>BKN</w:t>
        </w:r>
        <w:r w:rsidR="008701A2" w:rsidRPr="00531A37">
          <w:rPr>
            <w:rStyle w:val="Hyperlink"/>
            <w:noProof/>
          </w:rPr>
          <w:t xml:space="preserve"> (peridotites); (c) T</w:t>
        </w:r>
        <w:r w:rsidR="008701A2" w:rsidRPr="00531A37">
          <w:rPr>
            <w:rStyle w:val="Hyperlink"/>
            <w:noProof/>
            <w:vertAlign w:val="subscript"/>
          </w:rPr>
          <w:t>Ca-in-Ol</w:t>
        </w:r>
        <w:r w:rsidR="008701A2" w:rsidRPr="00531A37">
          <w:rPr>
            <w:rStyle w:val="Hyperlink"/>
            <w:noProof/>
          </w:rPr>
          <w:t xml:space="preserve"> vs. T</w:t>
        </w:r>
        <w:r w:rsidR="008701A2" w:rsidRPr="00531A37">
          <w:rPr>
            <w:rStyle w:val="Hyperlink"/>
            <w:noProof/>
            <w:vertAlign w:val="subscript"/>
          </w:rPr>
          <w:t>Ol-Sp</w:t>
        </w:r>
        <w:r w:rsidR="008701A2" w:rsidRPr="00531A37">
          <w:rPr>
            <w:rStyle w:val="Hyperlink"/>
            <w:noProof/>
          </w:rPr>
          <w:t xml:space="preserve"> (peridotites). Temperatures obtained for gabbros are consistent with but at the high temperature end of previous work on Hess Deep (a). Note that samples from this study have high T</w:t>
        </w:r>
        <w:r w:rsidR="008701A2" w:rsidRPr="00531A37">
          <w:rPr>
            <w:rStyle w:val="Hyperlink"/>
            <w:noProof/>
            <w:vertAlign w:val="subscript"/>
          </w:rPr>
          <w:t>REE</w:t>
        </w:r>
        <w:r w:rsidR="008701A2" w:rsidRPr="00531A37">
          <w:rPr>
            <w:rStyle w:val="Hyperlink"/>
            <w:noProof/>
          </w:rPr>
          <w:t xml:space="preserve"> and T</w:t>
        </w:r>
        <w:r w:rsidR="008701A2" w:rsidRPr="00531A37">
          <w:rPr>
            <w:rStyle w:val="Hyperlink"/>
            <w:noProof/>
            <w:vertAlign w:val="subscript"/>
          </w:rPr>
          <w:t>BKN</w:t>
        </w:r>
        <w:r w:rsidR="008701A2" w:rsidRPr="00531A37">
          <w:rPr>
            <w:rStyle w:val="Hyperlink"/>
            <w:noProof/>
          </w:rPr>
          <w:t>, consistent with abyssal peridotites and some samples from Oman (b). Peridotite temperatures obtained using fast-resetting thermometers (Ca-in-Olivine and Olivine-Spinel) are at the high end of the global distribution of ophiolites (c), perhaps owing to the close proximity of the samples from this study to the transition zone compared to other ophiolitic peridotites. Data sources are the following: Wadi Tayin, Dygert et al., 2017; Elsewhere Oman (Wadi Fizh, Wadi Thuqbah, Wadi Rajmi, and Wadi Sarami in central and northern Oman; Akizawa et al., 2012, 2016); Other ophiolites, Dygert et al., 2015; Abyssal peridotites, Dygert et al., 2017; Hess Deep, Sun and Lissenberg, 2018.</w:t>
        </w:r>
        <w:r w:rsidR="008701A2">
          <w:rPr>
            <w:noProof/>
            <w:webHidden/>
          </w:rPr>
          <w:tab/>
        </w:r>
        <w:r w:rsidR="008701A2">
          <w:rPr>
            <w:noProof/>
            <w:webHidden/>
          </w:rPr>
          <w:fldChar w:fldCharType="begin"/>
        </w:r>
        <w:r w:rsidR="008701A2">
          <w:rPr>
            <w:noProof/>
            <w:webHidden/>
          </w:rPr>
          <w:instrText xml:space="preserve"> PAGEREF _Toc109738669 \h </w:instrText>
        </w:r>
        <w:r w:rsidR="008701A2">
          <w:rPr>
            <w:noProof/>
            <w:webHidden/>
          </w:rPr>
        </w:r>
        <w:r w:rsidR="008701A2">
          <w:rPr>
            <w:noProof/>
            <w:webHidden/>
          </w:rPr>
          <w:fldChar w:fldCharType="separate"/>
        </w:r>
        <w:r w:rsidR="00960B60">
          <w:rPr>
            <w:noProof/>
            <w:webHidden/>
          </w:rPr>
          <w:t>30</w:t>
        </w:r>
        <w:r w:rsidR="008701A2">
          <w:rPr>
            <w:noProof/>
            <w:webHidden/>
          </w:rPr>
          <w:fldChar w:fldCharType="end"/>
        </w:r>
      </w:hyperlink>
    </w:p>
    <w:p w14:paraId="26ACC1A1" w14:textId="5F72A761"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0" w:history="1">
        <w:r w:rsidR="008701A2" w:rsidRPr="00531A37">
          <w:rPr>
            <w:rStyle w:val="Hyperlink"/>
            <w:noProof/>
          </w:rPr>
          <w:t xml:space="preserve">Figure 1.8. Temperatures for Hess Deep and Oman Drilling Project (OmanDP) peridotites compared to models for closure temperature calculated as a function of cooling rate (grid composed of black and magenta lines). (a) Shows samples from this study with colored symbols are interpreted to have retained residual clinopyroxene throughout partial melting, those with gray symbols are interpreted to have exsolved from orthopyroxene under subsolidus conditions, or crystallized from melt during cooling, and thus may not record cooling rates from peak temperatures. The cooling rate grid was calculated utilizing a modified form of the Dodson equation assuming a radius of 0.5 mm (Ganguly &amp; Tirone, 1999, see Dygert &amp; Liang, 2015, for details). The 1:1 line, shown in blue, represents equal </w:t>
        </w:r>
        <w:r w:rsidR="008701A2" w:rsidRPr="00531A37">
          <w:rPr>
            <w:rStyle w:val="Hyperlink"/>
            <w:noProof/>
          </w:rPr>
          <w:lastRenderedPageBreak/>
          <w:t>temperatures for the two thermometers. Initial temperatures (T</w:t>
        </w:r>
        <w:r w:rsidR="008701A2" w:rsidRPr="00531A37">
          <w:rPr>
            <w:rStyle w:val="Hyperlink"/>
            <w:noProof/>
            <w:vertAlign w:val="subscript"/>
          </w:rPr>
          <w:t>0</w:t>
        </w:r>
        <w:r w:rsidR="008701A2" w:rsidRPr="00531A37">
          <w:rPr>
            <w:rStyle w:val="Hyperlink"/>
            <w:noProof/>
          </w:rPr>
          <w:t>) represent the peak temperatures from which samples cooled, the paths samples take in this temperature space are indicated by the magenta lines extending from initial temperatures along the blue 1:1 line. The near-vertical black lines represent cooling rates in °C/year. Assuming an effective grain radius of 0.5 mm, all samples in this study cooled at rates of 0.3°C/year or faster. Cooling rates calculated using the measured, sample specific grain sizes from samples with residual clinopyroxene are reported in Table 1.3 and shown in Figure 1.9 (blue symbols). (b) Shows samples from (a) with residual clinopyroxene from this study, alongside published samples from Dygert et al., 2017, with structural depths of samples beneath the crust-mantle transition indicated (meters). The question mark indicates that the structural depth of Hess Deep peridotites relative to crust-mantle transition is unknown.</w:t>
        </w:r>
        <w:r w:rsidR="008701A2">
          <w:rPr>
            <w:noProof/>
            <w:webHidden/>
          </w:rPr>
          <w:tab/>
        </w:r>
        <w:r w:rsidR="008701A2">
          <w:rPr>
            <w:noProof/>
            <w:webHidden/>
          </w:rPr>
          <w:fldChar w:fldCharType="begin"/>
        </w:r>
        <w:r w:rsidR="008701A2">
          <w:rPr>
            <w:noProof/>
            <w:webHidden/>
          </w:rPr>
          <w:instrText xml:space="preserve"> PAGEREF _Toc109738670 \h </w:instrText>
        </w:r>
        <w:r w:rsidR="008701A2">
          <w:rPr>
            <w:noProof/>
            <w:webHidden/>
          </w:rPr>
        </w:r>
        <w:r w:rsidR="008701A2">
          <w:rPr>
            <w:noProof/>
            <w:webHidden/>
          </w:rPr>
          <w:fldChar w:fldCharType="separate"/>
        </w:r>
        <w:r w:rsidR="00960B60">
          <w:rPr>
            <w:noProof/>
            <w:webHidden/>
          </w:rPr>
          <w:t>32</w:t>
        </w:r>
        <w:r w:rsidR="008701A2">
          <w:rPr>
            <w:noProof/>
            <w:webHidden/>
          </w:rPr>
          <w:fldChar w:fldCharType="end"/>
        </w:r>
      </w:hyperlink>
    </w:p>
    <w:p w14:paraId="4C8D032C" w14:textId="3E4E952C"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1" w:history="1">
        <w:r w:rsidR="008701A2" w:rsidRPr="00531A37">
          <w:rPr>
            <w:rStyle w:val="Hyperlink"/>
            <w:noProof/>
          </w:rPr>
          <w:t>Figure 1.9. Comparison between cooling rates obtained from samples in this study (green, magenta and blue diamonds and squares) and modeled conductive cooling rates for three temperature intervals (red, blue and green lines, 1200-900°C, 1000-700°C, and 750-600°C, respectively). Insets show cartoons reflecting the relevant crustal accretion mechanism and cooling regime assumed for each panel. A Gabbro Glacier scenario is shown in (a), with conductive cooling starting at the dike-gabbro transition, beneath which hydrothermal circulation does not extend. A hydrothermal model from Maclennan et al., 2005, is shown for comparison, which assumes a thinner extrusive section and lower thermal diffusivity compared to models from this study. A Sheeted Sills scenario is shown in (b), which assumes convective cooling by hydrothermal circulation throughout the entire crustal column, and conductive cooling beneath the Moho. The sample-based cooling rates obtained in this study are shown at their approximate depths relative to the Moho, and are the same in both panels. Note the sample-based cooling rates obtained from three independent thermometric and geospeedometric methods (Dodson, 1973; Dygert &amp; Liang, 2015; Sun &amp; Lissenberg, 2018a) are in agreement, and that the rates are consistent for samples above and below the Moho at both localities. The rates obtained in this study are significantly higher than rates predicted in a Gabbro Glacier scenario (a), but consistent with deep hydrothermal circulation and convective cooling throughout the gabbroic section, as in a Sheeted Sills scenario (b). A model of hydrothermal cooling of the crust is shown as a vertical purple line in (b) for a reference permeability (k</w:t>
        </w:r>
        <w:r w:rsidR="008701A2" w:rsidRPr="00531A37">
          <w:rPr>
            <w:rStyle w:val="Hyperlink"/>
            <w:noProof/>
            <w:vertAlign w:val="subscript"/>
          </w:rPr>
          <w:t>0</w:t>
        </w:r>
        <w:r w:rsidR="008701A2" w:rsidRPr="00531A37">
          <w:rPr>
            <w:rStyle w:val="Hyperlink"/>
            <w:noProof/>
          </w:rPr>
          <w:t>) of 2×10</w:t>
        </w:r>
        <w:r w:rsidR="008701A2" w:rsidRPr="00531A37">
          <w:rPr>
            <w:rStyle w:val="Hyperlink"/>
            <w:noProof/>
            <w:vertAlign w:val="superscript"/>
          </w:rPr>
          <w:t>-14</w:t>
        </w:r>
        <w:r w:rsidR="008701A2" w:rsidRPr="00531A37">
          <w:rPr>
            <w:rStyle w:val="Hyperlink"/>
            <w:noProof/>
          </w:rPr>
          <w:t xml:space="preserve"> (Cherkaoui et al., 2003), the black arrow indicates that as crustal permeability increases, the cooling rate in the crust would correspondingly increase. Predicted cooling rates from published conductive-hydrothermal hybrid scenarios and a gabbro glacier scenario with concomitant off-axis hydrothermal circulation (blue field, Maclennan et al., 2005) are ~1 order of magnitude slower than rates obtained from our samples, implying that hydrothermal cooling efficiency exceeded ~80 kW/m.</w:t>
        </w:r>
        <w:r w:rsidR="008701A2">
          <w:rPr>
            <w:noProof/>
            <w:webHidden/>
          </w:rPr>
          <w:tab/>
        </w:r>
        <w:r w:rsidR="008701A2">
          <w:rPr>
            <w:noProof/>
            <w:webHidden/>
          </w:rPr>
          <w:fldChar w:fldCharType="begin"/>
        </w:r>
        <w:r w:rsidR="008701A2">
          <w:rPr>
            <w:noProof/>
            <w:webHidden/>
          </w:rPr>
          <w:instrText xml:space="preserve"> PAGEREF _Toc109738671 \h </w:instrText>
        </w:r>
        <w:r w:rsidR="008701A2">
          <w:rPr>
            <w:noProof/>
            <w:webHidden/>
          </w:rPr>
        </w:r>
        <w:r w:rsidR="008701A2">
          <w:rPr>
            <w:noProof/>
            <w:webHidden/>
          </w:rPr>
          <w:fldChar w:fldCharType="separate"/>
        </w:r>
        <w:r w:rsidR="00960B60">
          <w:rPr>
            <w:noProof/>
            <w:webHidden/>
          </w:rPr>
          <w:t>38</w:t>
        </w:r>
        <w:r w:rsidR="008701A2">
          <w:rPr>
            <w:noProof/>
            <w:webHidden/>
          </w:rPr>
          <w:fldChar w:fldCharType="end"/>
        </w:r>
      </w:hyperlink>
    </w:p>
    <w:p w14:paraId="58BF85FA" w14:textId="01896F62"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2" w:history="1">
        <w:r w:rsidR="008701A2" w:rsidRPr="00531A37">
          <w:rPr>
            <w:rStyle w:val="Hyperlink"/>
            <w:noProof/>
          </w:rPr>
          <w:t xml:space="preserve">Figure 1.10.  Cooling rates from this study (Hess Deep, diamonds, OmanDP, squares) compared to rates gathered from the literature that were calculated using the methods we employed (Dygert et al., 2017; Sun and Lissenberg, 2018a, VanTongeren et al., 2008), or recalculated using those methods (Coogan et al., </w:t>
        </w:r>
        <w:r w:rsidR="008701A2" w:rsidRPr="00531A37">
          <w:rPr>
            <w:rStyle w:val="Hyperlink"/>
            <w:noProof/>
          </w:rPr>
          <w:lastRenderedPageBreak/>
          <w:t>2002; Coogan et al., 2007; Faak and Gillis, 2016) (smaller symbols), plotted against structural depth. Symbol color corresponds to speedometric method (see legend). Conductive cooling models are also shown (see Section 5.3 and caption to Figure 1.9 for details). All samples originate from oceanic spreading centers or ophiolites with mid-ocean ridge tectonic affinity. Samples from localities with “normal” 6km thick crust are shown in (a), samples with thinner crust are shown in (b). Data from Faak and Gillis (2016) and the Atlantis Bank (Coogan et al., 2007) are placed at an arbitrary depth in the lower crustal section. The observations support hydrothermal cooling of oceanic lower crust at Hess Deep, Wadi Zeeb (OmanDP), Wadi Tayin, and the SWIR (Atlantis Bank). Samples from Wadi Abyad (Coogan et al., 2002) support conductive cooling of the lower oceanic crust. The gray lines in the background correspond to thermal scenarios lacking convective cooling beneath the extrusive section in (a) and with convective cooling extending to the crust-mantle boundary in (b).</w:t>
        </w:r>
        <w:r w:rsidR="008701A2">
          <w:rPr>
            <w:noProof/>
            <w:webHidden/>
          </w:rPr>
          <w:tab/>
        </w:r>
        <w:r w:rsidR="008701A2">
          <w:rPr>
            <w:noProof/>
            <w:webHidden/>
          </w:rPr>
          <w:fldChar w:fldCharType="begin"/>
        </w:r>
        <w:r w:rsidR="008701A2">
          <w:rPr>
            <w:noProof/>
            <w:webHidden/>
          </w:rPr>
          <w:instrText xml:space="preserve"> PAGEREF _Toc109738672 \h </w:instrText>
        </w:r>
        <w:r w:rsidR="008701A2">
          <w:rPr>
            <w:noProof/>
            <w:webHidden/>
          </w:rPr>
        </w:r>
        <w:r w:rsidR="008701A2">
          <w:rPr>
            <w:noProof/>
            <w:webHidden/>
          </w:rPr>
          <w:fldChar w:fldCharType="separate"/>
        </w:r>
        <w:r w:rsidR="00960B60">
          <w:rPr>
            <w:noProof/>
            <w:webHidden/>
          </w:rPr>
          <w:t>45</w:t>
        </w:r>
        <w:r w:rsidR="008701A2">
          <w:rPr>
            <w:noProof/>
            <w:webHidden/>
          </w:rPr>
          <w:fldChar w:fldCharType="end"/>
        </w:r>
      </w:hyperlink>
    </w:p>
    <w:p w14:paraId="46839D3D" w14:textId="454B5222"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3" w:history="1">
        <w:r w:rsidR="008701A2" w:rsidRPr="00531A37">
          <w:rPr>
            <w:rStyle w:val="Hyperlink"/>
            <w:noProof/>
          </w:rPr>
          <w:t>Figure 2.1. Diagram of components for molten salt cell and Griggs apparatus used in this study. Panel A shows the assembly for the sample in shear. Panel B shows the interior schematic for the force ram portion of the Griggs apparatus and panel C shows the full Griggs apparatus. Figure modified from Holyoke and Kronenberg, 2010 for Rig 2 at the Brown University Rock Deformation lab.</w:t>
        </w:r>
        <w:r w:rsidR="008701A2">
          <w:rPr>
            <w:noProof/>
            <w:webHidden/>
          </w:rPr>
          <w:tab/>
        </w:r>
        <w:r w:rsidR="008701A2">
          <w:rPr>
            <w:noProof/>
            <w:webHidden/>
          </w:rPr>
          <w:fldChar w:fldCharType="begin"/>
        </w:r>
        <w:r w:rsidR="008701A2">
          <w:rPr>
            <w:noProof/>
            <w:webHidden/>
          </w:rPr>
          <w:instrText xml:space="preserve"> PAGEREF _Toc109738673 \h </w:instrText>
        </w:r>
        <w:r w:rsidR="008701A2">
          <w:rPr>
            <w:noProof/>
            <w:webHidden/>
          </w:rPr>
        </w:r>
        <w:r w:rsidR="008701A2">
          <w:rPr>
            <w:noProof/>
            <w:webHidden/>
          </w:rPr>
          <w:fldChar w:fldCharType="separate"/>
        </w:r>
        <w:r w:rsidR="00960B60">
          <w:rPr>
            <w:noProof/>
            <w:webHidden/>
          </w:rPr>
          <w:t>69</w:t>
        </w:r>
        <w:r w:rsidR="008701A2">
          <w:rPr>
            <w:noProof/>
            <w:webHidden/>
          </w:rPr>
          <w:fldChar w:fldCharType="end"/>
        </w:r>
      </w:hyperlink>
    </w:p>
    <w:p w14:paraId="423409B2" w14:textId="21776C11"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4" w:history="1">
        <w:r w:rsidR="008701A2" w:rsidRPr="00531A37">
          <w:rPr>
            <w:rStyle w:val="Hyperlink"/>
            <w:noProof/>
          </w:rPr>
          <w:t>Figure 2.2. Mechanical data plots for deformed experiments from this study. Samples are color coded based on the spectrum at right, with pink representing ilm40 and green representing SCO. For samples with the same proportions of ilm40:SCO, sample hue is lighter for low total strain and darker for high accumulated strain. Mechanical data is cropped to begin at the hit point as calculated in MATLAB and end at initial pressure decrease at time of thermocouple failure and/or experiment completion.</w:t>
        </w:r>
        <w:r w:rsidR="008701A2">
          <w:rPr>
            <w:noProof/>
            <w:webHidden/>
          </w:rPr>
          <w:tab/>
        </w:r>
        <w:r w:rsidR="008701A2">
          <w:rPr>
            <w:noProof/>
            <w:webHidden/>
          </w:rPr>
          <w:fldChar w:fldCharType="begin"/>
        </w:r>
        <w:r w:rsidR="008701A2">
          <w:rPr>
            <w:noProof/>
            <w:webHidden/>
          </w:rPr>
          <w:instrText xml:space="preserve"> PAGEREF _Toc109738674 \h </w:instrText>
        </w:r>
        <w:r w:rsidR="008701A2">
          <w:rPr>
            <w:noProof/>
            <w:webHidden/>
          </w:rPr>
        </w:r>
        <w:r w:rsidR="008701A2">
          <w:rPr>
            <w:noProof/>
            <w:webHidden/>
          </w:rPr>
          <w:fldChar w:fldCharType="separate"/>
        </w:r>
        <w:r w:rsidR="00960B60">
          <w:rPr>
            <w:noProof/>
            <w:webHidden/>
          </w:rPr>
          <w:t>75</w:t>
        </w:r>
        <w:r w:rsidR="008701A2">
          <w:rPr>
            <w:noProof/>
            <w:webHidden/>
          </w:rPr>
          <w:fldChar w:fldCharType="end"/>
        </w:r>
      </w:hyperlink>
    </w:p>
    <w:p w14:paraId="6164D804" w14:textId="1C8947A0"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5" w:history="1">
        <w:r w:rsidR="008701A2" w:rsidRPr="00531A37">
          <w:rPr>
            <w:rStyle w:val="Hyperlink"/>
            <w:noProof/>
          </w:rPr>
          <w:t>Figure 2.3. Ilmenite (0001) CPOs and Forsterite (001), (010) and (100) CPOs for samples LMO-001, - 002, -003, -004, &amp; -005, with ilm40:SCO ratios and total accumulated shear strain and axial equivalent strain. All sample MUD scales are set to the color scale at the bottom of the figure.</w:t>
        </w:r>
        <w:r w:rsidR="008701A2">
          <w:rPr>
            <w:noProof/>
            <w:webHidden/>
          </w:rPr>
          <w:tab/>
        </w:r>
        <w:r w:rsidR="008701A2">
          <w:rPr>
            <w:noProof/>
            <w:webHidden/>
          </w:rPr>
          <w:fldChar w:fldCharType="begin"/>
        </w:r>
        <w:r w:rsidR="008701A2">
          <w:rPr>
            <w:noProof/>
            <w:webHidden/>
          </w:rPr>
          <w:instrText xml:space="preserve"> PAGEREF _Toc109738675 \h </w:instrText>
        </w:r>
        <w:r w:rsidR="008701A2">
          <w:rPr>
            <w:noProof/>
            <w:webHidden/>
          </w:rPr>
        </w:r>
        <w:r w:rsidR="008701A2">
          <w:rPr>
            <w:noProof/>
            <w:webHidden/>
          </w:rPr>
          <w:fldChar w:fldCharType="separate"/>
        </w:r>
        <w:r w:rsidR="00960B60">
          <w:rPr>
            <w:noProof/>
            <w:webHidden/>
          </w:rPr>
          <w:t>77</w:t>
        </w:r>
        <w:r w:rsidR="008701A2">
          <w:rPr>
            <w:noProof/>
            <w:webHidden/>
          </w:rPr>
          <w:fldChar w:fldCharType="end"/>
        </w:r>
      </w:hyperlink>
    </w:p>
    <w:p w14:paraId="74BFEFEF" w14:textId="16234252"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6" w:history="1">
        <w:r w:rsidR="008701A2" w:rsidRPr="00531A37">
          <w:rPr>
            <w:rStyle w:val="Hyperlink"/>
            <w:noProof/>
          </w:rPr>
          <w:t>Figure 2.4. Histograms of aspect ratio for samples analyzed with EBSD. The top row of histograms show both minerals in aggregate samples, with comparison of total grains. Individual mineral aspect ratio histograms are shown the combined plot for each sample, with pink histogram bars representing ilmenite and green bars representing olivine. Grains were defined using an angle of 10 degrees.</w:t>
        </w:r>
        <w:r w:rsidR="008701A2">
          <w:rPr>
            <w:noProof/>
            <w:webHidden/>
          </w:rPr>
          <w:tab/>
        </w:r>
        <w:r w:rsidR="008701A2">
          <w:rPr>
            <w:noProof/>
            <w:webHidden/>
          </w:rPr>
          <w:fldChar w:fldCharType="begin"/>
        </w:r>
        <w:r w:rsidR="008701A2">
          <w:rPr>
            <w:noProof/>
            <w:webHidden/>
          </w:rPr>
          <w:instrText xml:space="preserve"> PAGEREF _Toc109738676 \h </w:instrText>
        </w:r>
        <w:r w:rsidR="008701A2">
          <w:rPr>
            <w:noProof/>
            <w:webHidden/>
          </w:rPr>
        </w:r>
        <w:r w:rsidR="008701A2">
          <w:rPr>
            <w:noProof/>
            <w:webHidden/>
          </w:rPr>
          <w:fldChar w:fldCharType="separate"/>
        </w:r>
        <w:r w:rsidR="00960B60">
          <w:rPr>
            <w:noProof/>
            <w:webHidden/>
          </w:rPr>
          <w:t>79</w:t>
        </w:r>
        <w:r w:rsidR="008701A2">
          <w:rPr>
            <w:noProof/>
            <w:webHidden/>
          </w:rPr>
          <w:fldChar w:fldCharType="end"/>
        </w:r>
      </w:hyperlink>
    </w:p>
    <w:p w14:paraId="0264A5E7" w14:textId="54C60CCD"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7" w:history="1">
        <w:r w:rsidR="008701A2" w:rsidRPr="00531A37">
          <w:rPr>
            <w:rStyle w:val="Hyperlink"/>
            <w:noProof/>
          </w:rPr>
          <w:t xml:space="preserve">Figure 2.5. (A) Percent olivine on the x-axis versus logarithmic scale of viscosity on the y-axis. This plot shows the predicted viscosities for samples of 100% ilm40 on the left and 100% SCO on the right edges of the plot based on published flow laws (Hirth &amp; Kohlstedt, 2003; Tokle et al., 2021). The black line shows the mixing model of the two phases as calculated by Tullis et al. 1991. Any sample data that plots in the pink region of the graph has a rheology controlled by the weak phase, ilmenite. If data plots in the green region of the graph, its rheology is controlled by the strong phase, olivine. (B) Sample data from this study added as colored dots. All samples are weaker than the predicted viscosities from published flow laws. The dotted line in plot B represents the approximation of the Tullis et al. 1991 mixing model line to </w:t>
        </w:r>
        <w:r w:rsidR="008701A2" w:rsidRPr="00531A37">
          <w:rPr>
            <w:rStyle w:val="Hyperlink"/>
            <w:noProof/>
          </w:rPr>
          <w:lastRenderedPageBreak/>
          <w:t>connect the two endmember-most experiments with similar accumulated strains, LMO-001 and LMO-003.</w:t>
        </w:r>
        <w:r w:rsidR="008701A2">
          <w:rPr>
            <w:noProof/>
            <w:webHidden/>
          </w:rPr>
          <w:tab/>
        </w:r>
        <w:r w:rsidR="008701A2">
          <w:rPr>
            <w:noProof/>
            <w:webHidden/>
          </w:rPr>
          <w:fldChar w:fldCharType="begin"/>
        </w:r>
        <w:r w:rsidR="008701A2">
          <w:rPr>
            <w:noProof/>
            <w:webHidden/>
          </w:rPr>
          <w:instrText xml:space="preserve"> PAGEREF _Toc109738677 \h </w:instrText>
        </w:r>
        <w:r w:rsidR="008701A2">
          <w:rPr>
            <w:noProof/>
            <w:webHidden/>
          </w:rPr>
        </w:r>
        <w:r w:rsidR="008701A2">
          <w:rPr>
            <w:noProof/>
            <w:webHidden/>
          </w:rPr>
          <w:fldChar w:fldCharType="separate"/>
        </w:r>
        <w:r w:rsidR="00960B60">
          <w:rPr>
            <w:noProof/>
            <w:webHidden/>
          </w:rPr>
          <w:t>80</w:t>
        </w:r>
        <w:r w:rsidR="008701A2">
          <w:rPr>
            <w:noProof/>
            <w:webHidden/>
          </w:rPr>
          <w:fldChar w:fldCharType="end"/>
        </w:r>
      </w:hyperlink>
    </w:p>
    <w:p w14:paraId="6A3D4EFB" w14:textId="0C4F9A4C"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8" w:history="1">
        <w:r w:rsidR="008701A2" w:rsidRPr="00531A37">
          <w:rPr>
            <w:rStyle w:val="Hyperlink"/>
            <w:noProof/>
          </w:rPr>
          <w:t>Figure 3.1. Depth into the Earth in kilometers (km) versus Temperature in Kelvin (A) and Pressure in gigapascals (GPa) (B). The average boundary thickness of the Upper Mantle, Mantle Transition Zone, Lower Mantle, D double prime (D”) layer, Outer Core and Inner Core are shown by dashed lines.</w:t>
        </w:r>
        <w:r w:rsidR="008701A2">
          <w:rPr>
            <w:noProof/>
            <w:webHidden/>
          </w:rPr>
          <w:tab/>
        </w:r>
        <w:r w:rsidR="008701A2">
          <w:rPr>
            <w:noProof/>
            <w:webHidden/>
          </w:rPr>
          <w:fldChar w:fldCharType="begin"/>
        </w:r>
        <w:r w:rsidR="008701A2">
          <w:rPr>
            <w:noProof/>
            <w:webHidden/>
          </w:rPr>
          <w:instrText xml:space="preserve"> PAGEREF _Toc109738678 \h </w:instrText>
        </w:r>
        <w:r w:rsidR="008701A2">
          <w:rPr>
            <w:noProof/>
            <w:webHidden/>
          </w:rPr>
        </w:r>
        <w:r w:rsidR="008701A2">
          <w:rPr>
            <w:noProof/>
            <w:webHidden/>
          </w:rPr>
          <w:fldChar w:fldCharType="separate"/>
        </w:r>
        <w:r w:rsidR="00960B60">
          <w:rPr>
            <w:noProof/>
            <w:webHidden/>
          </w:rPr>
          <w:t>96</w:t>
        </w:r>
        <w:r w:rsidR="008701A2">
          <w:rPr>
            <w:noProof/>
            <w:webHidden/>
          </w:rPr>
          <w:fldChar w:fldCharType="end"/>
        </w:r>
      </w:hyperlink>
    </w:p>
    <w:p w14:paraId="4D0BD8A3" w14:textId="44DCFB24"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79" w:history="1">
        <w:r w:rsidR="008701A2" w:rsidRPr="00531A37">
          <w:rPr>
            <w:rStyle w:val="Hyperlink"/>
            <w:noProof/>
          </w:rPr>
          <w:t>Figure 3.2.</w:t>
        </w:r>
        <w:r w:rsidR="008701A2" w:rsidRPr="00531A37">
          <w:rPr>
            <w:rStyle w:val="Hyperlink"/>
            <w:rFonts w:hAnsi="Calibri"/>
            <w:noProof/>
            <w:kern w:val="24"/>
          </w:rPr>
          <w:t xml:space="preserve"> </w:t>
        </w:r>
        <w:r w:rsidR="008701A2" w:rsidRPr="00531A37">
          <w:rPr>
            <w:rStyle w:val="Hyperlink"/>
            <w:noProof/>
          </w:rPr>
          <w:t>Carbon phase diagram for Earth-relevant conditions. Plot A shows just the phase diagram while plot B has an overlay of the pressure-temperature path through the Earth based on Table 3.1.</w:t>
        </w:r>
        <w:r w:rsidR="008701A2">
          <w:rPr>
            <w:noProof/>
            <w:webHidden/>
          </w:rPr>
          <w:tab/>
        </w:r>
        <w:r w:rsidR="008701A2">
          <w:rPr>
            <w:noProof/>
            <w:webHidden/>
          </w:rPr>
          <w:fldChar w:fldCharType="begin"/>
        </w:r>
        <w:r w:rsidR="008701A2">
          <w:rPr>
            <w:noProof/>
            <w:webHidden/>
          </w:rPr>
          <w:instrText xml:space="preserve"> PAGEREF _Toc109738679 \h </w:instrText>
        </w:r>
        <w:r w:rsidR="008701A2">
          <w:rPr>
            <w:noProof/>
            <w:webHidden/>
          </w:rPr>
        </w:r>
        <w:r w:rsidR="008701A2">
          <w:rPr>
            <w:noProof/>
            <w:webHidden/>
          </w:rPr>
          <w:fldChar w:fldCharType="separate"/>
        </w:r>
        <w:r w:rsidR="00960B60">
          <w:rPr>
            <w:noProof/>
            <w:webHidden/>
          </w:rPr>
          <w:t>99</w:t>
        </w:r>
        <w:r w:rsidR="008701A2">
          <w:rPr>
            <w:noProof/>
            <w:webHidden/>
          </w:rPr>
          <w:fldChar w:fldCharType="end"/>
        </w:r>
      </w:hyperlink>
    </w:p>
    <w:p w14:paraId="5A82D3CF" w14:textId="1A56126D"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80" w:history="1">
        <w:r w:rsidR="008701A2" w:rsidRPr="00531A37">
          <w:rPr>
            <w:rStyle w:val="Hyperlink"/>
            <w:noProof/>
          </w:rPr>
          <w:t xml:space="preserve">Figure 3.3. Based on figure 4.6 from </w:t>
        </w:r>
        <w:r w:rsidR="008701A2" w:rsidRPr="00531A37">
          <w:rPr>
            <w:rStyle w:val="Hyperlink"/>
            <w:i/>
            <w:iCs/>
            <w:noProof/>
          </w:rPr>
          <w:t>Deep Carbon</w:t>
        </w:r>
        <w:r w:rsidR="008701A2" w:rsidRPr="00531A37">
          <w:rPr>
            <w:rStyle w:val="Hyperlink"/>
            <w:noProof/>
          </w:rPr>
          <w:t xml:space="preserve"> chapter 4 “Carbon-Bearing Phases throughout Earth’s Interior”, showing simplified distribution and forms of carbon inside the Earth. The thickness of the oceanic crust and subducting slab are vertically exaggerated for clarity in comparison to values in Table 3.3.</w:t>
        </w:r>
        <w:r w:rsidR="008701A2">
          <w:rPr>
            <w:noProof/>
            <w:webHidden/>
          </w:rPr>
          <w:tab/>
        </w:r>
        <w:r w:rsidR="008701A2">
          <w:rPr>
            <w:noProof/>
            <w:webHidden/>
          </w:rPr>
          <w:fldChar w:fldCharType="begin"/>
        </w:r>
        <w:r w:rsidR="008701A2">
          <w:rPr>
            <w:noProof/>
            <w:webHidden/>
          </w:rPr>
          <w:instrText xml:space="preserve"> PAGEREF _Toc109738680 \h </w:instrText>
        </w:r>
        <w:r w:rsidR="008701A2">
          <w:rPr>
            <w:noProof/>
            <w:webHidden/>
          </w:rPr>
        </w:r>
        <w:r w:rsidR="008701A2">
          <w:rPr>
            <w:noProof/>
            <w:webHidden/>
          </w:rPr>
          <w:fldChar w:fldCharType="separate"/>
        </w:r>
        <w:r w:rsidR="00960B60">
          <w:rPr>
            <w:noProof/>
            <w:webHidden/>
          </w:rPr>
          <w:t>103</w:t>
        </w:r>
        <w:r w:rsidR="008701A2">
          <w:rPr>
            <w:noProof/>
            <w:webHidden/>
          </w:rPr>
          <w:fldChar w:fldCharType="end"/>
        </w:r>
      </w:hyperlink>
    </w:p>
    <w:p w14:paraId="680489EF" w14:textId="3579756B" w:rsidR="008701A2" w:rsidRDefault="00D223CC">
      <w:pPr>
        <w:pStyle w:val="TableofFigures"/>
        <w:tabs>
          <w:tab w:val="right" w:leader="dot" w:pos="9350"/>
        </w:tabs>
        <w:rPr>
          <w:rFonts w:asciiTheme="minorHAnsi" w:eastAsiaTheme="minorEastAsia" w:hAnsiTheme="minorHAnsi" w:cstheme="minorBidi"/>
          <w:noProof/>
          <w:sz w:val="22"/>
          <w:szCs w:val="22"/>
        </w:rPr>
      </w:pPr>
      <w:hyperlink w:anchor="_Toc109738681" w:history="1">
        <w:r w:rsidR="008701A2" w:rsidRPr="00531A37">
          <w:rPr>
            <w:rStyle w:val="Hyperlink"/>
            <w:noProof/>
          </w:rPr>
          <w:t>Figure 3.4.</w:t>
        </w:r>
        <w:r w:rsidR="008701A2" w:rsidRPr="00531A37">
          <w:rPr>
            <w:rStyle w:val="Hyperlink"/>
            <w:rFonts w:hAnsi="Calibri"/>
            <w:noProof/>
            <w:kern w:val="24"/>
          </w:rPr>
          <w:t xml:space="preserve"> </w:t>
        </w:r>
        <w:r w:rsidR="008701A2" w:rsidRPr="00531A37">
          <w:rPr>
            <w:rStyle w:val="Hyperlink"/>
            <w:noProof/>
          </w:rPr>
          <w:t>Guidance for building atomic structures of graphite (A) and diamond (B) based on materials from indigoinstruments.com.</w:t>
        </w:r>
        <w:r w:rsidR="008701A2">
          <w:rPr>
            <w:noProof/>
            <w:webHidden/>
          </w:rPr>
          <w:tab/>
        </w:r>
        <w:r w:rsidR="008701A2">
          <w:rPr>
            <w:noProof/>
            <w:webHidden/>
          </w:rPr>
          <w:fldChar w:fldCharType="begin"/>
        </w:r>
        <w:r w:rsidR="008701A2">
          <w:rPr>
            <w:noProof/>
            <w:webHidden/>
          </w:rPr>
          <w:instrText xml:space="preserve"> PAGEREF _Toc109738681 \h </w:instrText>
        </w:r>
        <w:r w:rsidR="008701A2">
          <w:rPr>
            <w:noProof/>
            <w:webHidden/>
          </w:rPr>
        </w:r>
        <w:r w:rsidR="008701A2">
          <w:rPr>
            <w:noProof/>
            <w:webHidden/>
          </w:rPr>
          <w:fldChar w:fldCharType="separate"/>
        </w:r>
        <w:r w:rsidR="00960B60">
          <w:rPr>
            <w:noProof/>
            <w:webHidden/>
          </w:rPr>
          <w:t>106</w:t>
        </w:r>
        <w:r w:rsidR="008701A2">
          <w:rPr>
            <w:noProof/>
            <w:webHidden/>
          </w:rPr>
          <w:fldChar w:fldCharType="end"/>
        </w:r>
      </w:hyperlink>
    </w:p>
    <w:p w14:paraId="05C26401" w14:textId="112C7895" w:rsidR="00C262BD" w:rsidRDefault="003C60B7" w:rsidP="00EB54E6">
      <w:pPr>
        <w:spacing w:line="360" w:lineRule="auto"/>
      </w:pPr>
      <w:r>
        <w:fldChar w:fldCharType="end"/>
      </w:r>
    </w:p>
    <w:p w14:paraId="44BFD4A5" w14:textId="77777777" w:rsidR="00C262BD" w:rsidRDefault="00C262BD" w:rsidP="00EB54E6">
      <w:pPr>
        <w:spacing w:line="360" w:lineRule="auto"/>
      </w:pPr>
      <w:r>
        <w:br w:type="page"/>
      </w:r>
    </w:p>
    <w:p w14:paraId="2A517070" w14:textId="09D39657" w:rsidR="003C60B7" w:rsidRDefault="00C262BD" w:rsidP="00EB54E6">
      <w:pPr>
        <w:pStyle w:val="Title"/>
        <w:spacing w:line="360" w:lineRule="auto"/>
      </w:pPr>
      <w:r>
        <w:lastRenderedPageBreak/>
        <w:t>List of Attachments</w:t>
      </w:r>
    </w:p>
    <w:p w14:paraId="544E99D1" w14:textId="0766625A" w:rsidR="00852220" w:rsidRDefault="006B5A3B" w:rsidP="00C165AD">
      <w:pPr>
        <w:pStyle w:val="Title"/>
        <w:spacing w:line="360" w:lineRule="auto"/>
        <w:jc w:val="left"/>
        <w:sectPr w:rsidR="00852220" w:rsidSect="00E57B17">
          <w:footerReference w:type="default" r:id="rId9"/>
          <w:footerReference w:type="first" r:id="rId10"/>
          <w:type w:val="continuous"/>
          <w:pgSz w:w="12240" w:h="15840" w:code="1"/>
          <w:pgMar w:top="1440" w:right="1440" w:bottom="1440" w:left="1440" w:header="720" w:footer="1440" w:gutter="0"/>
          <w:pgNumType w:fmt="lowerRoman" w:start="1"/>
          <w:cols w:space="720"/>
          <w:noEndnote/>
          <w:titlePg/>
          <w:docGrid w:linePitch="326"/>
        </w:sectPr>
      </w:pPr>
      <w:r>
        <w:rPr>
          <w:b w:val="0"/>
          <w:sz w:val="24"/>
          <w:lang w:val="en-US"/>
        </w:rPr>
        <w:t xml:space="preserve">Attachment Chapter_1_Data_Tables.xlsx contains analytical data related to the contents of Chapter 1 in Tables </w:t>
      </w:r>
      <w:r w:rsidR="0017322C">
        <w:rPr>
          <w:b w:val="0"/>
          <w:sz w:val="24"/>
          <w:lang w:val="en-US"/>
        </w:rPr>
        <w:t xml:space="preserve">1.3 and </w:t>
      </w:r>
      <w:r>
        <w:rPr>
          <w:b w:val="0"/>
          <w:sz w:val="24"/>
          <w:lang w:val="en-US"/>
        </w:rPr>
        <w:t>1.5 to 1.11.</w:t>
      </w:r>
      <w:r w:rsidR="00287496">
        <w:br w:type="page"/>
      </w:r>
    </w:p>
    <w:p w14:paraId="3BB6BA19" w14:textId="588C24E2" w:rsidR="00852220" w:rsidRDefault="00E92F51" w:rsidP="006233A4">
      <w:pPr>
        <w:pStyle w:val="Heading1"/>
        <w:rPr>
          <w:caps w:val="0"/>
        </w:rPr>
      </w:pPr>
      <w:bookmarkStart w:id="0" w:name="_Toc109036105"/>
      <w:r>
        <w:rPr>
          <w:caps w:val="0"/>
        </w:rPr>
        <w:lastRenderedPageBreak/>
        <w:t>Introduction</w:t>
      </w:r>
      <w:bookmarkEnd w:id="0"/>
    </w:p>
    <w:p w14:paraId="136FE844" w14:textId="77777777" w:rsidR="00F24389" w:rsidRPr="00F24389" w:rsidRDefault="00F24389" w:rsidP="00F24389"/>
    <w:p w14:paraId="04B87784" w14:textId="77777777" w:rsidR="00C60AA7" w:rsidRDefault="00C60AA7" w:rsidP="00F24389">
      <w:pPr>
        <w:spacing w:line="360" w:lineRule="auto"/>
        <w:ind w:firstLine="720"/>
      </w:pPr>
      <w:r>
        <w:t xml:space="preserve">The interiors of terrestrial planets provide a wealth of opportunities for scientific research, on Earth, satellites, and other planets in the inner Solar System. Advancements in technology have allowed for refinement of early views, but our inability to retrieve samples directly from the mantles of planetary bodies leads to constraints from geophysical surveying, tectonically exhumed samples, and experimental work on analogs to interior systems. This dissertation will take three separate approaches to our knowledge and understanding of planetary interiors, through natural samples, deformation of analogous materials, and secondary school curriculum integrating state standards for the physical sciences with mineral formation processes. </w:t>
      </w:r>
    </w:p>
    <w:p w14:paraId="33CDC710" w14:textId="77777777" w:rsidR="00C60AA7" w:rsidRDefault="00C60AA7" w:rsidP="00F24389">
      <w:pPr>
        <w:spacing w:line="360" w:lineRule="auto"/>
        <w:ind w:firstLine="720"/>
      </w:pPr>
      <w:r>
        <w:t xml:space="preserve">Chapter 1 focuses on the comparison of lithospheric samples of the crust and mantle from an ophiolite, formed at a fast-spreading ridge then obducted onto the continental crust of what is now Oman, to dredge and core samples from Hess Deep, where the tectonic window formed by a ridge-ridge-ridge triple junction has exhumed lower crustal and upper mantle rocks to surface and near-surface locations in a very short geologic time frame. Through geochemical analysis of minerals and mineral pairs in samples from both </w:t>
      </w:r>
      <w:proofErr w:type="gramStart"/>
      <w:r>
        <w:t>location</w:t>
      </w:r>
      <w:proofErr w:type="gramEnd"/>
      <w:r>
        <w:t xml:space="preserve">, we have shown similar cooling trends in both localities that suggest the requirement of ocean water circulation to depths at or below the petrologic Moho. This study has not only aided in further constraining the formation conditions of the </w:t>
      </w:r>
      <w:proofErr w:type="spellStart"/>
      <w:r>
        <w:t>Samail</w:t>
      </w:r>
      <w:proofErr w:type="spellEnd"/>
      <w:r>
        <w:t xml:space="preserve"> Ophiolite in Oman, but it has also refined the long-debated models for crustal emplacement at depth along fast-spreading ridge axes. </w:t>
      </w:r>
    </w:p>
    <w:p w14:paraId="785A8EEB" w14:textId="623C95F5" w:rsidR="00C60AA7" w:rsidRDefault="00C60AA7" w:rsidP="00F24389">
      <w:pPr>
        <w:spacing w:line="360" w:lineRule="auto"/>
        <w:ind w:firstLine="720"/>
      </w:pPr>
      <w:r>
        <w:t>Chapter 2 use</w:t>
      </w:r>
      <w:r w:rsidR="00957112">
        <w:t>s</w:t>
      </w:r>
      <w:r>
        <w:t xml:space="preserve"> deformation experiments on a Griggs apparatus to investigate the strength contrast between cumulate mantle</w:t>
      </w:r>
      <w:r w:rsidR="00957112">
        <w:t>-analog</w:t>
      </w:r>
      <w:r>
        <w:t xml:space="preserve"> rocks</w:t>
      </w:r>
      <w:r w:rsidR="00957112">
        <w:t xml:space="preserve">, </w:t>
      </w:r>
      <w:proofErr w:type="gramStart"/>
      <w:r w:rsidR="00957112">
        <w:t>similar to</w:t>
      </w:r>
      <w:proofErr w:type="gramEnd"/>
      <w:r w:rsidR="00957112">
        <w:t xml:space="preserve"> those</w:t>
      </w:r>
      <w:r>
        <w:t xml:space="preserve"> crystallized early in the Lunar magma ocean sequence, and overlying ilmenite-bearing cumulates, crystallized at the end stages of magma ocean solidification and cooling. Due to the known density contrast between the two layers, it is presumed that Rayleigh-Taylor instabilities formed between the ilmenite-bearing cumulates and the cumulate mantle, leading to the ultimate overturn of the Lunar mantle. To constrain the geometry of these instabilities, the viscosity contrast and aggregate material behavior is needed. Mechanical data interpretations and microstructural analysis from this study provide </w:t>
      </w:r>
      <w:r>
        <w:lastRenderedPageBreak/>
        <w:t xml:space="preserve">insights into properties which </w:t>
      </w:r>
      <w:r w:rsidR="00957112">
        <w:t>could</w:t>
      </w:r>
      <w:r>
        <w:t xml:space="preserve"> aid in future geodynamic modeling of the lunar interior. </w:t>
      </w:r>
    </w:p>
    <w:p w14:paraId="295D1F08" w14:textId="3EE2B755" w:rsidR="00C34F44" w:rsidRPr="009544C5" w:rsidRDefault="00C60AA7" w:rsidP="00C165AD">
      <w:pPr>
        <w:spacing w:line="360" w:lineRule="auto"/>
        <w:ind w:firstLine="720"/>
        <w:sectPr w:rsidR="00C34F44" w:rsidRPr="009544C5" w:rsidSect="005C36E5">
          <w:type w:val="continuous"/>
          <w:pgSz w:w="12240" w:h="15840" w:code="1"/>
          <w:pgMar w:top="1440" w:right="1440" w:bottom="1440" w:left="1440" w:header="720" w:footer="1440" w:gutter="0"/>
          <w:pgNumType w:start="1"/>
          <w:cols w:space="720"/>
          <w:noEndnote/>
          <w:docGrid w:linePitch="326"/>
        </w:sectPr>
      </w:pPr>
      <w:r>
        <w:t xml:space="preserve">Chapter 3 is an exploration of mineralogy in the context of state science standards set by Tennessee as of 2018. Lack of Earth Science requirements beyond grade 8 means that geoscience-related education as a supplement to Biology, Chemistry or Physics is more likely to reach high school students. This chapter details a lesson on comparing native minerals of carbon, </w:t>
      </w:r>
      <w:proofErr w:type="gramStart"/>
      <w:r>
        <w:t>diamond</w:t>
      </w:r>
      <w:proofErr w:type="gramEnd"/>
      <w:r>
        <w:t xml:space="preserve"> and graphite, with formation conditions and structural properties, through a hands-on activity and pre- and post-activity lessons. This lesson plan was created as part of a grant provided to multiple researchers at the University of Tennessee, to create Lessons-in-a-Box for distribution through the Knox County Library, so that secondary science educators can borrow the materials at no cost for use in their classroom.</w:t>
      </w:r>
    </w:p>
    <w:p w14:paraId="42E5C89A" w14:textId="77777777" w:rsidR="002D28EA" w:rsidRDefault="002D28EA">
      <w:pPr>
        <w:rPr>
          <w:b/>
          <w:bCs/>
          <w:sz w:val="28"/>
        </w:rPr>
      </w:pPr>
      <w:bookmarkStart w:id="1" w:name="_Hlk58356358"/>
      <w:bookmarkStart w:id="2" w:name="_Toc109036106"/>
      <w:bookmarkEnd w:id="1"/>
      <w:r>
        <w:rPr>
          <w:caps/>
        </w:rPr>
        <w:br w:type="page"/>
      </w:r>
    </w:p>
    <w:p w14:paraId="29FF6346" w14:textId="429E02FF" w:rsidR="00CC5EC8" w:rsidRPr="00CD5044" w:rsidRDefault="00CD5044" w:rsidP="00B95752">
      <w:pPr>
        <w:pStyle w:val="Heading1"/>
        <w:rPr>
          <w:caps w:val="0"/>
        </w:rPr>
      </w:pPr>
      <w:r w:rsidRPr="00CD5044">
        <w:rPr>
          <w:caps w:val="0"/>
        </w:rPr>
        <w:lastRenderedPageBreak/>
        <w:t xml:space="preserve">Chapter 1: </w:t>
      </w:r>
      <w:r w:rsidR="00CC5EC8" w:rsidRPr="00CD5044">
        <w:rPr>
          <w:caps w:val="0"/>
        </w:rPr>
        <w:t xml:space="preserve">Thermal history of lithosphere formed beneath fast spreading ridges: Constraints from the Mantle Transition Zone of the East Pacific Rise at Hess Deep and Oman Drilling Project, Wadi </w:t>
      </w:r>
      <w:proofErr w:type="spellStart"/>
      <w:r w:rsidR="00CC5EC8" w:rsidRPr="00CD5044">
        <w:rPr>
          <w:caps w:val="0"/>
        </w:rPr>
        <w:t>Zeeb</w:t>
      </w:r>
      <w:proofErr w:type="spellEnd"/>
      <w:r w:rsidR="00CC5EC8" w:rsidRPr="00CD5044">
        <w:rPr>
          <w:caps w:val="0"/>
        </w:rPr>
        <w:t xml:space="preserve">, </w:t>
      </w:r>
      <w:proofErr w:type="spellStart"/>
      <w:r w:rsidR="00CC5EC8" w:rsidRPr="00CD5044">
        <w:rPr>
          <w:caps w:val="0"/>
        </w:rPr>
        <w:t>Samail</w:t>
      </w:r>
      <w:proofErr w:type="spellEnd"/>
      <w:r w:rsidR="00CC5EC8" w:rsidRPr="00CD5044">
        <w:rPr>
          <w:caps w:val="0"/>
        </w:rPr>
        <w:t xml:space="preserve"> ophiolite</w:t>
      </w:r>
      <w:bookmarkEnd w:id="2"/>
    </w:p>
    <w:p w14:paraId="1FEA6489" w14:textId="0A1D8837" w:rsidR="00287496" w:rsidRPr="00CC5EC8" w:rsidRDefault="00287496" w:rsidP="00CC5EC8">
      <w:pPr>
        <w:pStyle w:val="Heading1"/>
        <w:jc w:val="left"/>
      </w:pPr>
      <w:r>
        <w:br w:type="page"/>
      </w:r>
    </w:p>
    <w:p w14:paraId="0914D9D9" w14:textId="77777777" w:rsidR="00852220" w:rsidRPr="00545CC0" w:rsidRDefault="00852220" w:rsidP="006D186E">
      <w:pPr>
        <w:pStyle w:val="Heading1"/>
        <w:ind w:left="8640"/>
        <w:jc w:val="left"/>
        <w:sectPr w:rsidR="00852220" w:rsidRPr="00545CC0" w:rsidSect="005C36E5">
          <w:type w:val="continuous"/>
          <w:pgSz w:w="12240" w:h="15840" w:code="1"/>
          <w:pgMar w:top="1440" w:right="1440" w:bottom="1440" w:left="1440" w:header="720" w:footer="1440" w:gutter="0"/>
          <w:cols w:space="720"/>
          <w:noEndnote/>
          <w:docGrid w:linePitch="326"/>
        </w:sectPr>
      </w:pPr>
    </w:p>
    <w:p w14:paraId="63EABD90" w14:textId="3B3BEA6F" w:rsidR="00FA75A5" w:rsidRPr="00E40DA3" w:rsidRDefault="00FA75A5" w:rsidP="00F24389">
      <w:pPr>
        <w:spacing w:after="240" w:line="360" w:lineRule="auto"/>
        <w:ind w:firstLine="360"/>
        <w:rPr>
          <w:rFonts w:ascii="Times New Roman" w:hAnsi="Times New Roman" w:cs="Times New Roman"/>
          <w:b/>
        </w:rPr>
      </w:pPr>
      <w:r w:rsidRPr="005E54E2">
        <w:lastRenderedPageBreak/>
        <w:t xml:space="preserve">A version of this chapter was originally published by </w:t>
      </w:r>
      <w:r w:rsidR="00C34F44">
        <w:t>Nadine L.</w:t>
      </w:r>
      <w:r w:rsidR="00E40DA3" w:rsidRPr="00E40DA3">
        <w:t xml:space="preserve"> Grambling, </w:t>
      </w:r>
      <w:r w:rsidR="00C34F44">
        <w:t>Nicholas Dygert, Beau Boring, Marlon M. Jean, and Peter B. Kelemen</w:t>
      </w:r>
      <w:r w:rsidRPr="005E54E2">
        <w:t>:</w:t>
      </w:r>
    </w:p>
    <w:p w14:paraId="5AFE93F4" w14:textId="36998B1E" w:rsidR="00387656" w:rsidRPr="001E0B34" w:rsidRDefault="007F3CCA" w:rsidP="001E0B34">
      <w:pPr>
        <w:spacing w:after="240" w:line="360" w:lineRule="auto"/>
        <w:rPr>
          <w:b/>
          <w:bCs/>
          <w:i/>
          <w:iCs/>
          <w:lang w:val="en-CA"/>
        </w:rPr>
      </w:pPr>
      <w:r>
        <w:rPr>
          <w:i/>
          <w:iCs/>
        </w:rPr>
        <w:t xml:space="preserve">Grambling, </w:t>
      </w:r>
      <w:r w:rsidR="00C34F44">
        <w:rPr>
          <w:i/>
          <w:iCs/>
        </w:rPr>
        <w:t>N.L</w:t>
      </w:r>
      <w:r>
        <w:rPr>
          <w:i/>
          <w:iCs/>
        </w:rPr>
        <w:t xml:space="preserve">., </w:t>
      </w:r>
      <w:r w:rsidR="00C34F44">
        <w:rPr>
          <w:i/>
          <w:iCs/>
        </w:rPr>
        <w:t>Dygert, N</w:t>
      </w:r>
      <w:r>
        <w:rPr>
          <w:i/>
          <w:iCs/>
        </w:rPr>
        <w:t xml:space="preserve">., </w:t>
      </w:r>
      <w:r w:rsidR="00C34F44">
        <w:rPr>
          <w:i/>
          <w:iCs/>
        </w:rPr>
        <w:t>Boring, B</w:t>
      </w:r>
      <w:r>
        <w:rPr>
          <w:i/>
          <w:iCs/>
        </w:rPr>
        <w:t xml:space="preserve">., </w:t>
      </w:r>
      <w:r w:rsidR="00C34F44">
        <w:rPr>
          <w:i/>
          <w:iCs/>
        </w:rPr>
        <w:t>Jean, M.M</w:t>
      </w:r>
      <w:r>
        <w:rPr>
          <w:i/>
          <w:iCs/>
        </w:rPr>
        <w:t xml:space="preserve">., and </w:t>
      </w:r>
      <w:r w:rsidR="00C34F44">
        <w:rPr>
          <w:i/>
          <w:iCs/>
        </w:rPr>
        <w:t>Kelemen, P</w:t>
      </w:r>
      <w:r>
        <w:rPr>
          <w:i/>
          <w:iCs/>
        </w:rPr>
        <w:t>.</w:t>
      </w:r>
      <w:r w:rsidR="00C34F44">
        <w:rPr>
          <w:i/>
          <w:iCs/>
        </w:rPr>
        <w:t>B.</w:t>
      </w:r>
      <w:r w:rsidR="00FA75A5" w:rsidRPr="00E40DA3">
        <w:rPr>
          <w:i/>
          <w:iCs/>
        </w:rPr>
        <w:t xml:space="preserve"> “</w:t>
      </w:r>
      <w:r w:rsidR="00C34F44" w:rsidRPr="00C34F44">
        <w:rPr>
          <w:i/>
          <w:iCs/>
        </w:rPr>
        <w:t xml:space="preserve">Thermal history of lithosphere formed beneath fast spreading ridges: Constraints from the Mantle Transition Zone of the East Pacific Rise at Hess Deep and Oman Drilling Project, Wadi </w:t>
      </w:r>
      <w:proofErr w:type="spellStart"/>
      <w:r w:rsidR="00C34F44" w:rsidRPr="00C34F44">
        <w:rPr>
          <w:i/>
          <w:iCs/>
        </w:rPr>
        <w:t>Zeeb</w:t>
      </w:r>
      <w:proofErr w:type="spellEnd"/>
      <w:r w:rsidR="00C34F44" w:rsidRPr="00C34F44">
        <w:rPr>
          <w:i/>
          <w:iCs/>
        </w:rPr>
        <w:t xml:space="preserve">, </w:t>
      </w:r>
      <w:proofErr w:type="spellStart"/>
      <w:r w:rsidR="00C34F44" w:rsidRPr="00C34F44">
        <w:rPr>
          <w:i/>
          <w:iCs/>
        </w:rPr>
        <w:t>Samail</w:t>
      </w:r>
      <w:proofErr w:type="spellEnd"/>
      <w:r w:rsidR="00C34F44" w:rsidRPr="00C34F44">
        <w:rPr>
          <w:i/>
          <w:iCs/>
        </w:rPr>
        <w:t xml:space="preserve"> ophiolite</w:t>
      </w:r>
      <w:r w:rsidR="00FA75A5" w:rsidRPr="00E40DA3">
        <w:rPr>
          <w:i/>
          <w:iCs/>
        </w:rPr>
        <w:t xml:space="preserve">.” </w:t>
      </w:r>
      <w:r w:rsidR="00C34F44">
        <w:rPr>
          <w:i/>
          <w:iCs/>
        </w:rPr>
        <w:t>JGR Solid Earth</w:t>
      </w:r>
      <w:r w:rsidR="00FA75A5" w:rsidRPr="00E40DA3">
        <w:rPr>
          <w:i/>
          <w:iCs/>
        </w:rPr>
        <w:t xml:space="preserve"> (</w:t>
      </w:r>
      <w:r>
        <w:rPr>
          <w:i/>
          <w:iCs/>
        </w:rPr>
        <w:t>202</w:t>
      </w:r>
      <w:r w:rsidR="00891889">
        <w:rPr>
          <w:i/>
          <w:iCs/>
        </w:rPr>
        <w:t>2</w:t>
      </w:r>
      <w:r w:rsidR="00FA75A5" w:rsidRPr="00E40DA3">
        <w:rPr>
          <w:i/>
          <w:iCs/>
        </w:rPr>
        <w:t xml:space="preserve">): </w:t>
      </w:r>
      <w:r w:rsidR="00891889">
        <w:rPr>
          <w:i/>
          <w:iCs/>
        </w:rPr>
        <w:t xml:space="preserve">v. </w:t>
      </w:r>
      <w:r w:rsidR="00733EE6">
        <w:rPr>
          <w:i/>
          <w:iCs/>
        </w:rPr>
        <w:t>127</w:t>
      </w:r>
      <w:r w:rsidR="00891889">
        <w:rPr>
          <w:i/>
          <w:iCs/>
        </w:rPr>
        <w:t>, no. 1, pp. 1</w:t>
      </w:r>
      <w:r w:rsidR="00733EE6">
        <w:rPr>
          <w:i/>
          <w:iCs/>
        </w:rPr>
        <w:t>-27</w:t>
      </w:r>
      <w:r w:rsidR="00FA75A5" w:rsidRPr="00E40DA3">
        <w:rPr>
          <w:i/>
          <w:iCs/>
        </w:rPr>
        <w:t xml:space="preserve">. </w:t>
      </w:r>
    </w:p>
    <w:p w14:paraId="656A9401" w14:textId="217468D9" w:rsidR="00FA75A5" w:rsidRPr="005E54E2" w:rsidRDefault="00733EE6" w:rsidP="00F24389">
      <w:pPr>
        <w:spacing w:line="360" w:lineRule="auto"/>
        <w:ind w:firstLine="360"/>
      </w:pPr>
      <w:r>
        <w:t>Nadine Lynne</w:t>
      </w:r>
      <w:r w:rsidR="00E40DA3">
        <w:t xml:space="preserve"> Grambling led the data analysis, conceptualization, writing, and development of this article and assisted in sample </w:t>
      </w:r>
      <w:r>
        <w:t xml:space="preserve">collection and </w:t>
      </w:r>
      <w:r w:rsidR="00E40DA3">
        <w:t xml:space="preserve">preparation. </w:t>
      </w:r>
      <w:r>
        <w:t xml:space="preserve">Nicholas Dygert </w:t>
      </w:r>
      <w:r w:rsidR="00E40DA3">
        <w:t xml:space="preserve">supervised the direction of the article and led revisions. </w:t>
      </w:r>
      <w:r>
        <w:t>H</w:t>
      </w:r>
      <w:r w:rsidR="00E40DA3">
        <w:t xml:space="preserve">e also assisted with sample collection. </w:t>
      </w:r>
      <w:r>
        <w:t>Beau Boring assisted in data collection and</w:t>
      </w:r>
      <w:r w:rsidR="00E40DA3">
        <w:t xml:space="preserve"> </w:t>
      </w:r>
      <w:r>
        <w:t>with</w:t>
      </w:r>
      <w:r w:rsidR="00E40DA3">
        <w:t xml:space="preserve"> revisions. </w:t>
      </w:r>
      <w:r>
        <w:t>Marlon M. Jean</w:t>
      </w:r>
      <w:r w:rsidR="00E40DA3">
        <w:t xml:space="preserve"> assisted with sample collection and preparation</w:t>
      </w:r>
      <w:r>
        <w:t xml:space="preserve"> and</w:t>
      </w:r>
      <w:r w:rsidR="00E40DA3">
        <w:t xml:space="preserve"> revisions. </w:t>
      </w:r>
      <w:r>
        <w:t>Peter B. Kelemen</w:t>
      </w:r>
      <w:r w:rsidR="00E40DA3">
        <w:t xml:space="preserve"> assisted with sample collection and content revisions. </w:t>
      </w:r>
    </w:p>
    <w:p w14:paraId="1E23927D" w14:textId="5DE752DB" w:rsidR="00FF1665" w:rsidRDefault="00FA75A5" w:rsidP="000B2D30">
      <w:pPr>
        <w:pStyle w:val="Heading2"/>
      </w:pPr>
      <w:bookmarkStart w:id="3" w:name="_Toc289175826"/>
      <w:bookmarkStart w:id="4" w:name="_Toc109036107"/>
      <w:bookmarkStart w:id="5" w:name="_Hlk103694361"/>
      <w:r>
        <w:t>A</w:t>
      </w:r>
      <w:r w:rsidR="00FF1665">
        <w:t>bstract</w:t>
      </w:r>
      <w:bookmarkEnd w:id="3"/>
      <w:bookmarkEnd w:id="4"/>
      <w:r w:rsidR="003C7FC5">
        <w:tab/>
      </w:r>
    </w:p>
    <w:p w14:paraId="0E62806A" w14:textId="77777777" w:rsidR="00F24389" w:rsidRPr="00F24389" w:rsidRDefault="00F24389" w:rsidP="00F24389"/>
    <w:p w14:paraId="577EDA01" w14:textId="33EC11CB" w:rsidR="006D3C35" w:rsidRPr="006D3C35" w:rsidRDefault="006D3C35" w:rsidP="00F24389">
      <w:pPr>
        <w:spacing w:line="360" w:lineRule="auto"/>
        <w:ind w:firstLine="360"/>
        <w:rPr>
          <w:b/>
          <w:bCs/>
          <w:iCs/>
          <w:sz w:val="28"/>
          <w:szCs w:val="28"/>
        </w:rPr>
      </w:pPr>
      <w:bookmarkStart w:id="6" w:name="_Hlk103595817"/>
      <w:bookmarkStart w:id="7" w:name="_Hlk96530652"/>
      <w:r w:rsidRPr="006D3C35">
        <w:t>We investigate the cooling histories of peridotites and gabbros from localities that expose oceanic lithosphere formed beneath two fast seafloor spreading centers: Hess Deep as recovered from IODP Expedition 345 and ODP Leg 147, and the Oman Ophiolite as sampled by the Oman Drilling Project, ICDP Expedition 5057 (</w:t>
      </w:r>
      <w:proofErr w:type="spellStart"/>
      <w:r w:rsidRPr="006D3C35">
        <w:t>OmanDP</w:t>
      </w:r>
      <w:proofErr w:type="spellEnd"/>
      <w:r w:rsidRPr="006D3C35">
        <w:t xml:space="preserve">). At these locations, relict crust-mantle transition zones are directly sampled, enabling characterization of the thermal history of the crust-mantle transition, and by inference, the depth extent of hydrothermal circulation beneath spreading centers. We measured major and trace element abundances in crustal gabbros and mantle peridotites from Hess Deep and </w:t>
      </w:r>
      <w:proofErr w:type="spellStart"/>
      <w:r w:rsidR="004F307D" w:rsidRPr="006D3C35">
        <w:t>OmanDP</w:t>
      </w:r>
      <w:proofErr w:type="spellEnd"/>
      <w:r w:rsidR="004F307D" w:rsidRPr="006D3C35">
        <w:t xml:space="preserve"> and</w:t>
      </w:r>
      <w:r w:rsidRPr="006D3C35">
        <w:t xml:space="preserve"> applied major and trace element-based thermometers. </w:t>
      </w:r>
      <w:proofErr w:type="spellStart"/>
      <w:r w:rsidRPr="006D3C35">
        <w:t>Geospeedometric</w:t>
      </w:r>
      <w:proofErr w:type="spellEnd"/>
      <w:r w:rsidRPr="006D3C35">
        <w:t xml:space="preserve"> interpretation of the temperatures suggests similar cooling histories at both locations; cooling rates ranged from 0.02 to 2.6 °C/y from peak temperatures up to 1350°C. The rates are consistent on either side of the paleo-Moho (i.e., in the crust and mantle). Models for conductive cooling of the lower oceanic crust predict rates more than two orders of magnitude slower at the crust-mantle transition zone, while thermal models that invoke deep and efficient hydrothermal circulation throughout the entire </w:t>
      </w:r>
      <w:r w:rsidRPr="006D3C35">
        <w:lastRenderedPageBreak/>
        <w:t xml:space="preserve">crustal section predict rates consistent with our observations. We infer that hydrothermal cooling extended to or near the petrologic Moho beneath the East Pacific Rise and the </w:t>
      </w:r>
      <w:proofErr w:type="spellStart"/>
      <w:r w:rsidRPr="006D3C35">
        <w:t>OmanDP</w:t>
      </w:r>
      <w:proofErr w:type="spellEnd"/>
      <w:r w:rsidRPr="006D3C35">
        <w:t xml:space="preserve"> paleo-spreading center, consistent with the Sheeted Sills model for crustal accretion. Comparison with previously published rates recalculated using the methods we employed suggests the oceanic lower crust is cooled hydrothermally in some places and by conduction at others.</w:t>
      </w:r>
    </w:p>
    <w:p w14:paraId="57EC659C" w14:textId="3F5A2204" w:rsidR="004F307D" w:rsidRDefault="008639B7" w:rsidP="008639B7">
      <w:pPr>
        <w:pStyle w:val="Heading2"/>
      </w:pPr>
      <w:bookmarkStart w:id="8" w:name="_Toc109036108"/>
      <w:bookmarkStart w:id="9" w:name="_Toc289175831"/>
      <w:bookmarkStart w:id="10" w:name="_Hlk91496524"/>
      <w:bookmarkEnd w:id="5"/>
      <w:bookmarkEnd w:id="6"/>
      <w:r>
        <w:t xml:space="preserve">1. </w:t>
      </w:r>
      <w:r w:rsidR="004F307D" w:rsidRPr="001A261F">
        <w:t>Introduction</w:t>
      </w:r>
      <w:bookmarkEnd w:id="8"/>
    </w:p>
    <w:p w14:paraId="79BB688B" w14:textId="77777777" w:rsidR="00F24389" w:rsidRPr="00F24389" w:rsidRDefault="00F24389" w:rsidP="00F24389"/>
    <w:p w14:paraId="2D8E32CA" w14:textId="2CDF86E6" w:rsidR="006D3C35" w:rsidRDefault="006D3C35" w:rsidP="001E0B34">
      <w:pPr>
        <w:spacing w:line="360" w:lineRule="auto"/>
        <w:ind w:firstLine="360"/>
      </w:pPr>
      <w:r w:rsidRPr="006D3C35">
        <w:t xml:space="preserve">Investigation of the thermal histories of oceanic crust and mantle at ophiolites and samples from abyssal environments have been undertaken to elucidate the geologic mechanisms that form lithosphere beneath spreading centers (e.g., </w:t>
      </w:r>
      <w:proofErr w:type="spellStart"/>
      <w:r w:rsidRPr="006D3C35">
        <w:t>Canil</w:t>
      </w:r>
      <w:proofErr w:type="spellEnd"/>
      <w:r w:rsidRPr="006D3C35">
        <w:t xml:space="preserve"> et al., 2019; Coogan et al., 2002, 2007; Dygert et al., 2017; Dygert &amp; Liang, 2015; </w:t>
      </w:r>
      <w:proofErr w:type="spellStart"/>
      <w:r w:rsidRPr="006D3C35">
        <w:t>Faak</w:t>
      </w:r>
      <w:proofErr w:type="spellEnd"/>
      <w:r w:rsidRPr="006D3C35">
        <w:t xml:space="preserve"> et al., 2015; </w:t>
      </w:r>
      <w:proofErr w:type="spellStart"/>
      <w:r w:rsidRPr="006D3C35">
        <w:t>Faak</w:t>
      </w:r>
      <w:proofErr w:type="spellEnd"/>
      <w:r w:rsidRPr="006D3C35">
        <w:t xml:space="preserve"> &amp; Gillis, 2016; Garrido et al., 2001; Mock et al., 2021; Sun &amp; </w:t>
      </w:r>
      <w:proofErr w:type="spellStart"/>
      <w:r w:rsidRPr="006D3C35">
        <w:t>Lissenberg</w:t>
      </w:r>
      <w:proofErr w:type="spellEnd"/>
      <w:r w:rsidRPr="006D3C35">
        <w:t xml:space="preserve">, 2018a; </w:t>
      </w:r>
      <w:proofErr w:type="spellStart"/>
      <w:r w:rsidRPr="006D3C35">
        <w:t>VanTongeren</w:t>
      </w:r>
      <w:proofErr w:type="spellEnd"/>
      <w:r w:rsidRPr="006D3C35">
        <w:t xml:space="preserve"> et al., 2008). These studies have fueled debate over crustal formation mechanisms and the thermal structure of the lower crust and mantle beneath intermediate to fast-spreading centers (Purdy et al., 1992). At the crux of this debate is an argument over mechanisms that form the gabbroic lower crust beneath mid-ocean ridge axes, which is intimately related to thermal structure and thermal evolution beneath spreading centers.  </w:t>
      </w:r>
    </w:p>
    <w:p w14:paraId="4D27EA0A" w14:textId="77777777" w:rsidR="002D28EA" w:rsidRDefault="006D3C35" w:rsidP="00140C59">
      <w:pPr>
        <w:spacing w:line="360" w:lineRule="auto"/>
        <w:ind w:firstLine="360"/>
      </w:pPr>
      <w:r w:rsidRPr="006D3C35">
        <w:t xml:space="preserve">Two end-member models are often invoked to explain the formation of oceanic crust. In the Gabbro Glacier model, crust accretes from solidification of a large axial magma lens which migrates downward and outward from the ridge axis in a "gabbro glacier" as seafloor spreading progresses (Fig. </w:t>
      </w:r>
      <w:r w:rsidR="005C3691">
        <w:t>1.</w:t>
      </w:r>
      <w:r w:rsidRPr="006D3C35">
        <w:t xml:space="preserve">1a). In the Sheeted Sills model, oceanic crust accretes from continuous solidification of sills at a range of depths beneath ridge axes (Fig. </w:t>
      </w:r>
      <w:r w:rsidR="005C3691">
        <w:t>1.</w:t>
      </w:r>
      <w:r w:rsidRPr="006D3C35">
        <w:t>1b). These models make fundamentally different predictions for lithospheric cooling: the former invokes conductive (slow) cooling of the crust and underlying mantle, while the latter requires deep and efficient hydrothermal circulation beneath spreading centers to quickly solidify sills shortly after emplacement (see Section 1.0.1 for a more detailed description and evaluation of the evidence for and against the crustal accretion models).</w:t>
      </w:r>
    </w:p>
    <w:p w14:paraId="33563A9D" w14:textId="72080A35" w:rsidR="002D28EA" w:rsidRDefault="00D223CC">
      <w:r>
        <w:rPr>
          <w:noProof/>
        </w:rPr>
        <w:lastRenderedPageBreak/>
        <w:pict w14:anchorId="22651BC1">
          <v:shapetype id="_x0000_t202" coordsize="21600,21600" o:spt="202" path="m,l,21600r21600,l21600,xe">
            <v:stroke joinstyle="miter"/>
            <v:path gradientshapeok="t" o:connecttype="rect"/>
          </v:shapetype>
          <v:shape id="_x0000_s1045" type="#_x0000_t202" style="position:absolute;margin-left:0;margin-top:199.9pt;width:433pt;height:.05pt;z-index:251664896;mso-position-horizontal-relative:text;mso-position-vertical-relative:text" stroked="f">
            <v:textbox style="mso-next-textbox:#_x0000_s1045;mso-fit-shape-to-text:t" inset="0,0,0,0">
              <w:txbxContent>
                <w:p w14:paraId="1BE66D9E" w14:textId="28F4E63E" w:rsidR="002D28EA" w:rsidRPr="008E4059" w:rsidRDefault="002D28EA" w:rsidP="002D28EA">
                  <w:pPr>
                    <w:pStyle w:val="Caption"/>
                    <w:rPr>
                      <w:strike/>
                      <w:noProof/>
                      <w:color w:val="FF0000"/>
                    </w:rPr>
                  </w:pPr>
                  <w:bookmarkStart w:id="11" w:name="_Toc109738663"/>
                  <w:r w:rsidRPr="002D28EA">
                    <w:rPr>
                      <w:b w:val="0"/>
                      <w:bCs w:val="0"/>
                      <w:sz w:val="20"/>
                      <w:szCs w:val="20"/>
                    </w:rPr>
                    <w:t xml:space="preserve">Figure </w:t>
                  </w:r>
                  <w:r w:rsidRPr="002D28EA">
                    <w:rPr>
                      <w:b w:val="0"/>
                      <w:bCs w:val="0"/>
                      <w:sz w:val="20"/>
                      <w:szCs w:val="20"/>
                    </w:rPr>
                    <w:fldChar w:fldCharType="begin"/>
                  </w:r>
                  <w:r w:rsidRPr="002D28EA">
                    <w:rPr>
                      <w:b w:val="0"/>
                      <w:bCs w:val="0"/>
                      <w:sz w:val="20"/>
                      <w:szCs w:val="20"/>
                    </w:rPr>
                    <w:instrText xml:space="preserve"> SEQ Figure \* ARABIC </w:instrText>
                  </w:r>
                  <w:r w:rsidRPr="002D28EA">
                    <w:rPr>
                      <w:b w:val="0"/>
                      <w:bCs w:val="0"/>
                      <w:sz w:val="20"/>
                      <w:szCs w:val="20"/>
                    </w:rPr>
                    <w:fldChar w:fldCharType="separate"/>
                  </w:r>
                  <w:r w:rsidR="008701A2">
                    <w:rPr>
                      <w:b w:val="0"/>
                      <w:bCs w:val="0"/>
                      <w:noProof/>
                      <w:sz w:val="20"/>
                      <w:szCs w:val="20"/>
                    </w:rPr>
                    <w:t>1</w:t>
                  </w:r>
                  <w:r w:rsidRPr="002D28EA">
                    <w:rPr>
                      <w:b w:val="0"/>
                      <w:bCs w:val="0"/>
                      <w:sz w:val="20"/>
                      <w:szCs w:val="20"/>
                    </w:rPr>
                    <w:fldChar w:fldCharType="end"/>
                  </w:r>
                  <w:r w:rsidRPr="002D28EA">
                    <w:rPr>
                      <w:b w:val="0"/>
                      <w:bCs w:val="0"/>
                      <w:sz w:val="20"/>
                      <w:szCs w:val="20"/>
                    </w:rPr>
                    <w:t>.1.</w:t>
                  </w:r>
                  <w:r w:rsidRPr="002D28EA">
                    <w:rPr>
                      <w:b w:val="0"/>
                      <w:bCs w:val="0"/>
                      <w:sz w:val="14"/>
                      <w:szCs w:val="14"/>
                    </w:rPr>
                    <w:t xml:space="preserve"> </w:t>
                  </w:r>
                  <w:r w:rsidRPr="006D3C35">
                    <w:rPr>
                      <w:b w:val="0"/>
                      <w:bCs w:val="0"/>
                      <w:sz w:val="20"/>
                      <w:szCs w:val="20"/>
                    </w:rPr>
                    <w:t xml:space="preserve">Schematic illustrating end-member crustal accretion models. (a) The Gabbro Glacier model </w:t>
                  </w:r>
                  <w:r w:rsidRPr="006D3C35">
                    <w:rPr>
                      <w:b w:val="0"/>
                      <w:bCs w:val="0"/>
                      <w:i/>
                      <w:sz w:val="20"/>
                      <w:szCs w:val="20"/>
                    </w:rPr>
                    <w:fldChar w:fldCharType="begin" w:fldLock="1"/>
                  </w:r>
                  <w:r w:rsidRPr="006D3C35">
                    <w:rPr>
                      <w:b w:val="0"/>
                      <w:bCs w:val="0"/>
                      <w:sz w:val="20"/>
                      <w:szCs w:val="20"/>
                    </w:rPr>
                    <w:instrText>ADDIN CSL_CITATION {"citationItems":[{"id":"ITEM-1","itemData":{"DOI":"10.1029/JB080i029p04037","ISSN":"01480227","author":[{"dropping-particle":"","family":"Sleep","given":"Norman H","non-dropping-particle":"","parse-names":false,"suffix":""}],"container-title":"Journal of Geophysical Research","id":"ITEM-1","issue":"29","issued":{"date-parts":[["1975","10","10"]]},"page":"4037-4042","title":"Formation of oceanic crust: Some thermal constraints","type":"article-journal","volume":"80"},"uris":["http://www.mendeley.com/documents/?uuid=93c9f23e-098e-4617-83df-7d1ae7eb33c3"]},{"id":"ITEM-2","itemData":{"DOI":"10.1029/91JB02508","ISSN":"01480227","abstract":"Geophysical evidence precludes the existence of a large, mainly molten magma chamber beneath portions of the East Pacific Rise (EPR). A reasonable model, consistent with these data, involves a thin (tens to hundreds of meters high), narrow (&lt;1-2km wide) melt lens overlying a zone of crystal mush that is in turn surrounded by a transition zone of mostly solidified crust with isolated pockets of magma. Evidence from the superfast spreading portion of the EPR suggests that the composition of the melt lens is mainly moderately fractionated ferrobasalt. These results are consistent with a model that effectively separates the processes of magma mixing and fractionation into different parts of a composite magma chamber. -from Authors","author":[{"dropping-particle":"","family":"Sinton","given":"J. M.","non-dropping-particle":"","parse-names":false,"suffix":""},{"dropping-particle":"","family":"Detrick","given":"R. S.","non-dropping-particle":"","parse-names":false,"suffix":""}],"container-title":"Journal of Geophysical Research","id":"ITEM-2","issue":"B1","issued":{"date-parts":[["1992"]]},"page":"197-216","title":"Mid-ocean ridge magma chambers","type":"article-journal","volume":"97"},"uris":["http://www.mendeley.com/documents/?uuid=df93870d-eac9-4635-933f-8c2e3e4750fe"]},{"id":"ITEM-3","itemData":{"DOI":"10.1029/92JB02661","ISSN":"01480227","abstract":"A two-dimensional model is presented for crustal accretion at oceanic spreading centers by the episodic addition of sills at a high level within the curst. Using the model, velocity and temperature fields in the crust, including the effects of hydrothermal cooling have been calculated. Oscillations in the temperature field due to episodicities of 200-20 000 years have an effect localized to the region within 50-500 m of the intrusion. By assuming that all latent heat and excess specific heat introduced by the injection of sills is convected away by hydrothermal circulation, the maximum heat transfer associateed with hydrothermal cooling in the upper crust is estimated to be 10 times greater than the conductive flux. The model may be applied to both fast and slow spreading ridges, and it accounts for the apparent increases in both the mean crustal temperature and the frequency of presence of melt with increasing spreading rate, hence resolving the paradox. -from Authors","author":[{"dropping-particle":"","family":"Henstock","given":"T. J.","non-dropping-particle":"","parse-names":false,"suffix":""},{"dropping-particle":"","family":"Woods","given":"A. W.","non-dropping-particle":"","parse-names":false,"suffix":""},{"dropping-particle":"","family":"White","given":"R. S.","non-dropping-particle":"","parse-names":false,"suffix":""}],"container-title":"Journal of Geophysical Research","id":"ITEM-3","issue":"B3","issued":{"date-parts":[["1993"]]},"page":"4143-4161","title":"The accretion of oceanic crust by episodic sill intrusion","type":"article-journal","volume":"98"},"prefix":"e.g. ","uris":["http://www.mendeley.com/documents/?uuid=f49b3901-1db2-4c51-a18f-9a7fcb8bc3a1"]},{"id":"ITEM-4","itemData":{"DOI":"10.1029/92JB02650","ISSN":"01480227","author":[{"dropping-particle":"","family":"Phipps Morgan","given":"Jason","non-dropping-particle":"","parse-names":false,"suffix":""},{"dropping-particle":"","family":"Chen","given":"Y. John","non-dropping-particle":"","parse-names":false,"suffix":""}],"container-title":"Journal of Geophysical Research: Solid Earth","id":"ITEM-4","issue":"B4","issued":{"date-parts":[["1993","4","10"]]},"page":"6283-6297","title":"The genesis of oceanic crust: Magma injection, hydrothermal circulation, and crustal flow","type":"article-journal","volume":"98"},"uris":["http://www.mendeley.com/documents/?uuid=44a3c774-4577-4b94-9786-68bb0a5088e5"]},{"id":"ITEM-5","itemData":{"DOI":"10.1029/93jb00698","abstract":"Layered gabbros in ophiolites have been commonly interpreted in terms of crystallization beneath oceanic spreading centers in magma chambers up to 30 km wide and 3-6 km deep. Although large, steady state magma chambers provide a possible explanation for the limited diversity of mid-ocean ridge basalts, their existence is not supported by geophysical observations. Sinton and Detrick (1992) recently reviewed seismic data from oceanic spreading centers and concluded that there is little evidence for steady state magma chambers beneath slow spreading ridges and that fast spreading ridges appear to be underlain by small (1-4 km wide) magma chambers perched on large (approximately 8 km wide) zones of low-velocity material, which are interpreted to consist of partially molten crystal cumulates. In this paper, we compare the geology of the gabbroic rocks of the Samail ophiolite, which is thought to have formed by fast spreading, with results of a finite element analysis of the Sinton-Detrick model for fast spreading centers. Our results demonstrate that flow, similar to that postulated by Sleep [1975], within a thick zone of cumulates during crustal extension could produce orientations of foliation and layering approximating those observed in the Samail gabbros. As a consequence of this deformation, (1) layers deposited on the floor of the magma chamber will be deformed and rotated into upwardly concave shapes that dip toward die spreading center; (2) die gross fabric defined by these orientations may greatly exceed the dimensions of the deforming regime, let alone the magma chamber (3) feeder dikes that penetrate the cumulate pile near the spreading axis will be rotated into parallel with the layering, but those that invade farther from the ridge will be lm deformed and retain crosscutting relationships; and (4) total deviatoric strain should increase down section toward the Moho so that primary magmatic structures and textures will be modified or obliterated in the lowermost gabbros. Upward migration of melts through the subsiding and deforming crystal mush may damp out cryptic varition in dhe gabbros and help maintain the magma chamber in a compositional steady state.","author":[{"dropping-particle":"","family":"Quick","given":"James E.","non-dropping-particle":"","parse-names":false,"suffix":""},{"dropping-particle":"","family":"Denlinger","given":"Roger P.","non-dropping-particle":"","parse-names":false,"suffix":""}],"container-title":"Journal of Geophysical Research: Solid Earth","id":"ITEM-5","issue":"B8","issued":{"date-parts":[["1993"]]},"page":"14015-14027","title":"Ductile deformation and the origin of layered gabbro in ophiolites","type":"article-journal","volume":"98"},"uris":["http://www.mendeley.com/documents/?uuid=0e714248-243e-4e6c-aeb4-b1e8bf9b558f"]}],"mendeley":{"formattedCitation":"(e.g. Henstock et al., 1993; Phipps Morgan &amp; Chen, 1993; Quick &amp; Denlinger, 1993; Sinton &amp; Detrick, 1992; Sleep, 1975)","plainTextFormattedCitation":"(e.g. Henstock et al., 1993; Phipps Morgan &amp; Chen, 1993; Quick &amp; Denlinger, 1993; Sinton &amp; Detrick, 1992; Sleep, 1975)","previouslyFormattedCitation":"(e.g. Henstock et al., 1993; Phipps Morgan &amp; Chen, 1993; Quick &amp; Denlinger, 1993; Sinton &amp; Detrick, 1992; Sleep, 1975)"},"properties":{"noteIndex":0},"schema":"https://github.com/citation-style-language/schema/raw/master/csl-citation.json"}</w:instrText>
                  </w:r>
                  <w:r w:rsidRPr="006D3C35">
                    <w:rPr>
                      <w:b w:val="0"/>
                      <w:bCs w:val="0"/>
                      <w:i/>
                      <w:sz w:val="20"/>
                      <w:szCs w:val="20"/>
                    </w:rPr>
                    <w:fldChar w:fldCharType="separate"/>
                  </w:r>
                  <w:r w:rsidRPr="006D3C35">
                    <w:rPr>
                      <w:b w:val="0"/>
                      <w:bCs w:val="0"/>
                      <w:noProof/>
                      <w:sz w:val="20"/>
                      <w:szCs w:val="20"/>
                    </w:rPr>
                    <w:t>(e.g. Henstock et al., 1993; Phipps Morgan &amp; Chen, 1993; Quick &amp; Denlinger, 1993; Sinton &amp; Detrick, 1992; Sleep, 1975)</w:t>
                  </w:r>
                  <w:r w:rsidRPr="006D3C35">
                    <w:rPr>
                      <w:b w:val="0"/>
                      <w:bCs w:val="0"/>
                      <w:i/>
                      <w:sz w:val="20"/>
                      <w:szCs w:val="20"/>
                    </w:rPr>
                    <w:fldChar w:fldCharType="end"/>
                  </w:r>
                  <w:r w:rsidRPr="006D3C35">
                    <w:rPr>
                      <w:b w:val="0"/>
                      <w:bCs w:val="0"/>
                      <w:sz w:val="20"/>
                      <w:szCs w:val="20"/>
                    </w:rPr>
                    <w:t xml:space="preserve">; (b) the Sheeted Sills model </w:t>
                  </w:r>
                  <w:r w:rsidRPr="006D3C35">
                    <w:rPr>
                      <w:b w:val="0"/>
                      <w:bCs w:val="0"/>
                      <w:i/>
                      <w:sz w:val="20"/>
                      <w:szCs w:val="20"/>
                    </w:rPr>
                    <w:fldChar w:fldCharType="begin" w:fldLock="1"/>
                  </w:r>
                  <w:r w:rsidRPr="006D3C35">
                    <w:rPr>
                      <w:b w:val="0"/>
                      <w:bCs w:val="0"/>
                      <w:sz w:val="20"/>
                      <w:szCs w:val="20"/>
                    </w:rPr>
                    <w:instrText>ADDIN CSL_CITATION {"citationItems":[{"id":"ITEM-1","itemData":{"DOI":"10.1016/S0012-821X(96)00235-X","ISSN":"0012821X","abstract":"Gabbroic sills intruding dunite in the crust-mantle transition zone (MTZ) of the Oman ophiolite have textures and compositions very similar to those in modally layered gabbros that forrn the lower part of the gabbro section in the ophiolite, and different from those in non-layered gabbros near the dike-gabbro transition. The presence of gabbroic sills in the MTZ indicates that modally layered gabbros can form far below the level of magmatic neutral buoyancy and far below the dike-gabbro transition. Minerals in the sills and lower, layered gabbros are in Fe-Mg and trace element exchange equilibrium with liquids identical to those that formed the sheeted dikes and lavas in the ophiolite. In contrast, many of the upper, non-layered gabbros resemble crystallized liquid compositions, similar to the dikes and lavas. The lower, layered gabbros probably formed in sills similar to those in the MTZ. Mantle-derived magmas cooled in these sills, where they crystallized from a few percent to 50% of their mass. Residual liquids then rose to form upper gabbros, dikes and lavas. Sills may form beneath permeability barriers created by the crystallization of cooling liquid migrating by porous flow. Once permeability barriers are present, however, porous flow becomes a less important mode of magma ascent, compared to ponding in sills, gradual increase in magma pressure, and periodic ascent in hydrofractures. Thus, gabbroic sills in the MTZ may represent the transition in fast-spreading ridge environments from continuous porous flow in the mantle to periodic diking in the crust.","author":[{"dropping-particle":"","family":"Kelemen","given":"Peter B.","non-dropping-particle":"","parse-names":false,"suffix":""},{"dropping-particle":"","family":"Koga","given":"Ken","non-dropping-particle":"","parse-names":false,"suffix":""},{"dropping-particle":"","family":"Shimizu","given":"Nobu","non-dropping-particle":"","parse-names":false,"suffix":""}],"container-title":"Earth and Planetary Science Letters","id":"ITEM-1","issue":"3-4","issued":{"date-parts":[["1997","2"]]},"page":"475-488","title":"Geochemistry of gabbro sills in the crust-mantle transition zone of the Oman ophiolite: implications for the origin of the oceanic lower crust","type":"article-journal","volume":"146"},"uris":["http://www.mendeley.com/documents/?uuid=a7042ff2-39b2-412c-be35-f28dff9e7bdf"]},{"id":"ITEM-2","itemData":{"DOI":"10.1098/rsta.1997.0010","ISSN":"1364-503X","abstract":"We review physical and chemical constraints on the mechanisms of melt extraction from the mantle beneath mid-ocean ridges. Compositional constraints from MORB and abyssal peridotite are summarized, followed by observations of melt extraction features in the mantle, and constraints from the physical properties of partially molten peridotite. We address two main issues. (1) To what extent is melting 'near-fractional', with low porosities in the source and chemical isolation of ascending melt? To what extent are other processes, loosely termed reactive flow, important in MORB genesis? (2) Where chemically isolated melt extraction is required, does this occur mainly in melt-filled fractures or in conduits of focused porous flow? Reactive flow plays an important role, but somewhere in the upwelling mantle melting must be 'near fractional', with intergranular porosities less than 1%, and most melt extraction must be in isolated conduits. Two porosity models provide the best paradigm for this type of process. Field relationships and geochemical data show that replacive dunites mark conduits for focused, chemically isolated, porous flow of mid-ocean ridge basalt (MORB) in the upwelling mantle. By contrast, pyroxenite and gabbro dikes are lithospheric features; they do not represent conduits for melt extraction from the upwelling mantle. Thus, preserved melt extraction features do not require hydrofracture in the melting region. However, field evidence does not rule out hydrofracture. Predicted porous flow velocities satisfy 230Th excess constraints (ca. 1 m yr-1), provided melt extraction occurs in porous conduits rather than by diffuse flow, and melt-free, solid viscosity is less than ca. 1020 Pa s. Melt velocities of ca. 50 m yr-1 are inferred from patterns of post-glacial volcanism in Iceland and from 226Ra excess. If these inferences are correct, minimum conditions for hydrofracture may be reached in the shallowest part of melting region beneath ridges. However, necessary high porosities can only be attained within pre-existing conduits for focused porous flow. Alternatively, the requirement for high melt velocity could be satisfied in melt-filled tubes formed by dissolution or mechanical instabilities. Melt-filled fractures or tubes, if they form, are probably closed at the top and bottom, limited in size by the supply of melt. Therefore, to satisfy the requirements for geochemical isolation from surrounding peridotite, melt-filled conduits may be surround…","author":[{"dropping-particle":"","family":"Kelemen","given":"Peter B.","non-dropping-particle":"","parse-names":false,"suffix":""},{"dropping-particle":"","family":"Hirth","given":"Greg","non-dropping-particle":"","parse-names":false,"suffix":""},{"dropping-particle":"","family":"Shimizu","given":"Nobu","non-dropping-particle":"","parse-names":false,"suffix":""},{"dropping-particle":"","family":"Spiegelman","given":"M.","non-dropping-particle":"","parse-names":false,"suffix":""},{"dropping-particle":"","family":"Dick","given":"Henry J.B.","non-dropping-particle":"","parse-names":false,"suffix":""}],"container-title":"Philosophical Transactions of the Royal Society of London. Series A: Mathematical, Physical and Engineering Sciences","editor":[{"dropping-particle":"","family":"Cann","given":"J. R.","non-dropping-particle":"","parse-names":false,"suffix":""},{"dropping-particle":"","family":"Elderfield","given":"H.","non-dropping-particle":"","parse-names":false,"suffix":""},{"dropping-particle":"","family":"Laughton","given":"A.","non-dropping-particle":"","parse-names":false,"suffix":""}],"id":"ITEM-2","issue":"1723","issued":{"date-parts":[["1997","2","15"]]},"page":"283-318","title":"A review of melt migration processes in the adiabatically upwelling mantle beneath oceanic spreading ridges","type":"article-journal","volume":"355"},"prefix":"e.g. ","uris":["http://www.mendeley.com/documents/?uuid=bf0139e5-5ecd-496b-8d9e-bbf5596ccd22"]},{"id":"ITEM-3","itemData":{"DOI":"10.1029/97jb02604","abstract":"The Moho transition zone (MTZ) of the Oman ophiolite commonly includes a number of gabbro sills surrounded by dunites. The petrology and geochemistry of these sills are investigated to provide constraints on how magma migrates from the subridge mantle to the oceanic crust. The gabbro sills have millimeter-scale to tens of centimeter-scale modal layering that closely resembles layering in lower crustal gabbros of the ophiolite. Variations in mineral compositions correlate with the modal layering, but there are no overall trends within the sills. The gabbroic sills and the layered gabbros have clear covariations among mineral compositions, which can be interpreted as a fractional crystallization path from a common parental magma. Together with constraints from mid-ocean ridge thermal evolution and crustal accretion dynamics, the petrological and geochemical observations on the gabbro sills indicate that they formed from small, open-system, melt-filled lenses within the MTZ. The thermal evolution of the MTZ melt lenses, buffered by the ambient mantle, is characterized by a slow cooling rate (&lt;10-C-3o/yr) and a small temperature difference (similar to 0.1-1 degrees C) within lenses. Internal origins for modal layering, such as gravity currents and oscillatory nucleation, are unlikely in such a thermal environment, and we propose that open-system evolution of the melt lenses is essential to produce the observed layering. The formation of the MTZ melt lenses may be a consequence of porous flow with low Peclet number entering a conductively cooling regime, where porosity becomes ''clogged'' by crystallized plagioclase. Preservation of fine-scale vertical variation in mineral composition, together with correlated compositions of different minerals, rules out diffuse porous flow as the primary mechanism of melt transport above these melt lenses. Instead, melt extraction must have been focused into porous channels or melt-filled fractures. Melt lenses drained by fractures would experience repetitious expulsion with continuous melt replenishment. Modal layering could develop through the expulsion cycles, probably via in situ crystallization at the margins of melt lenses.","author":[{"dropping-particle":"","family":"Korenaga","given":"Jun","non-dropping-particle":"","parse-names":false,"suffix":""},{"dropping-particle":"","family":"Kelemen","given":"Peter B.","non-dropping-particle":"","parse-names":false,"suffix":""}],"container-title":"Journal of Geophysical Research: Solid Earth","id":"ITEM-3","issue":"B12","issued":{"date-parts":[["1997"]]},"page":"27729-27749","title":"Origin of gabbro sills in the Moho transition zone of the Oman ophiolite: Implications for magma transport in the oceanic lower crust","type":"article-journal","volume":"102"},"uris":["http://www.mendeley.com/documents/?uuid=994aab52-9444-4887-b5dc-7c584908667f"]},{"id":"ITEM-4","itemData":{"DOI":"10.1016/j.epsl.2007.11.034","ISBN":"0012-821X","ISSN":"0012821X","abstract":"Debate over the mechanism of accretion of the lower oceanic crust has centered around the gabbro glacier and the sheeted sills models. The thermal profile of the crust, specifically the roles of hydrothermal circulation and cooling rate, is a key component in distinguishing between these two models. Results of this study show no systematic variation of cooling rate with depth in the lower crust of the Khafifah section in the Wadi Tayin massif of the Oman ophiolite. Additionally, very high rates recorded near the base of the crust suggest that hydrothermal circulation plays an important role in the removal of heat throughout the crust. While the conclusions presented here do not rule out the possibility of accretion by gabbro glacier, they do contradict the initial tenet of the gabbro glacier model - convective heat loss by hydrothermal circulation can penetrate to Moho depths and crystallization is not, by necessity, constrained to the upper crust. On the basis of these results it can be concluded that the sheeted sills model is a thermally viable mechanism for accretion of oceanic lower crust. © 2007 Elsevier B.V. All rights reserved.","author":[{"dropping-particle":"","family":"VanTongeren","given":"Jill A.","non-dropping-particle":"","parse-names":false,"suffix":""},{"dropping-particle":"","family":"Kelemen","given":"Peter B.","non-dropping-particle":"","parse-names":false,"suffix":""},{"dropping-particle":"","family":"Hanghøj","given":"Karen","non-dropping-particle":"","parse-names":false,"suffix":""}],"container-title":"Earth and Planetary Science Letters","id":"ITEM-4","issue":"1-2","issued":{"date-parts":[["2008"]]},"page":"69-82","title":"Cooling rates in the lower crust of the Oman ophiolite: Ca in olivine, revisited","type":"article-journal","volume":"267"},"uris":["http://www.mendeley.com/documents/?uuid=e834f3dd-2a52-4db0-a22d-bac931605280"]},{"id":"ITEM-5","itemData":{"DOI":"10.1016/j.epsl.2015.07.001","ISBN":"0012-821X","ISSN":"0012821X","abstract":"Oceanic crust represents more than 60% of the earth's surface and despite a large body of knowledge regarding the formation and chemistry of the extrusive upper oceanic crust, there still remains significant debate over how the intrusive gabbroic lower oceanic crust is accreted at the ridge axis. The two proposed end-member models, the Gabbro Glacier and the Sheeted Sills, predict radically different strain accumulation in the lower crust during accretion. In order to determine which of these two hypotheses is most applicable to a well-studied lower crustal section, we present data on plagioclase lattice preferred orientations (LPO) in the Wadi Khafifah section of the Samail ophiolite. We observe no systematic change in the strength of the plagioclase LPO with height above the crust-mantle transition, no dominant orientation of the plagioclase a-axis lineation, and no systematic change in the obliquity of the plagioclase LPO with respect to the modal layering and macroscopic foliation evident in outcrop. These observations are most consistent with the Sheeted Sills hypothesis, in which gabbros are crystallized in situ and fabrics are dominated by compaction and localized extension rather than by systematically increasing shear strain with increasing depth in a Gabbro Glacier. Our data support the hypothesis of MacLeod and Yaouancq (2000) that the rotation of the outcrop-scale layering from sub-horizontal in the layered gabbros to sub-vertical near the sheeted dikes is due to rapid vertical melt migration through upper gabbros close to the axial magma chamber. Additionally, our results support the hypothesis that the majority of extensional strain in fast spreading ridges is accommodated in partially molten regions at the ridge axis, whereas in slow and ultra-slow ridges large shear strains are accommodated by plastic deformation.","author":[{"dropping-particle":"","family":"VanTongeren","given":"Jill A.","non-dropping-particle":"","parse-names":false,"suffix":""},{"dropping-particle":"","family":"Hirth","given":"G.","non-dropping-particle":"","parse-names":false,"suffix":""},{"dropping-particle":"","family":"Kelemen","given":"Peter B.","non-dropping-particle":"","parse-names":false,"suffix":""}],"container-title":"Earth and Planetary Science Letters","id":"ITEM-5","issued":{"date-parts":[["2015"]]},"page":"249-261","publisher":"Elsevier B.V.","title":"Constraints on the accretion of the gabbroic lower oceanic crust from plagioclase lattice preferred orientation in the Samail ophiolite","type":"article-journal","volume":"427"},"uris":["http://www.mendeley.com/documents/?uuid=529d62b5-8b63-433f-a794-5969fb9899da"]}],"mendeley":{"formattedCitation":"(e.g. Peter B. Kelemen, Hirth, et al., 1997; Peter B. Kelemen, Koga, et al., 1997; Korenaga &amp; Kelemen, 1997; VanTongeren et al., 2008, 2015)","manualFormatting":"(e.g. Kelemen, Hirth, et al., 1997; Kelemen, Koga, et al., 1997; Korenaga &amp; Kelemen, 1997; VanTongeren et al., 2008, 2015)","plainTextFormattedCitation":"(e.g. Peter B. Kelemen, Hirth, et al., 1997; Peter B. Kelemen, Koga, et al., 1997; Korenaga &amp; Kelemen, 1997; VanTongeren et al., 2008, 2015)","previouslyFormattedCitation":"(e.g. Peter B. Kelemen, Hirth, et al., 1997; Peter B. Kelemen, Koga, et al., 1997; Korenaga &amp; Kelemen, 1997; VanTongeren et al., 2008, 2015)"},"properties":{"noteIndex":0},"schema":"https://github.com/citation-style-language/schema/raw/master/csl-citation.json"}</w:instrText>
                  </w:r>
                  <w:r w:rsidRPr="006D3C35">
                    <w:rPr>
                      <w:b w:val="0"/>
                      <w:bCs w:val="0"/>
                      <w:i/>
                      <w:sz w:val="20"/>
                      <w:szCs w:val="20"/>
                    </w:rPr>
                    <w:fldChar w:fldCharType="separate"/>
                  </w:r>
                  <w:r w:rsidRPr="006D3C35">
                    <w:rPr>
                      <w:b w:val="0"/>
                      <w:bCs w:val="0"/>
                      <w:noProof/>
                      <w:sz w:val="20"/>
                      <w:szCs w:val="20"/>
                    </w:rPr>
                    <w:t>(e.g. Kelemen, Hirth, et al., 1997; Kelemen, Koga, et al., 1997; Korenaga &amp; Kelemen, 1997; VanTongeren et al., 2008, 2015)</w:t>
                  </w:r>
                  <w:r w:rsidRPr="006D3C35">
                    <w:rPr>
                      <w:b w:val="0"/>
                      <w:bCs w:val="0"/>
                      <w:i/>
                      <w:sz w:val="20"/>
                      <w:szCs w:val="20"/>
                    </w:rPr>
                    <w:fldChar w:fldCharType="end"/>
                  </w:r>
                  <w:r w:rsidRPr="006D3C35">
                    <w:rPr>
                      <w:b w:val="0"/>
                      <w:bCs w:val="0"/>
                      <w:sz w:val="20"/>
                      <w:szCs w:val="20"/>
                    </w:rPr>
                    <w:t>. The Gabbro Glacier model posits that the lower section of crust is formed accretion of by a large zone of crystalline mush, which accumulates beneath an axial magma lens at the base of the upper crustal dikes. In this model, cooling of the entire lower crustal section and underlying mantle is purely conductive, through heat lost to the hydrothermally cooled extrusive section (basalts and dikes). (b) The Sheeted Sills model assumes similar crustal accretion in the extrusive section (basalts and dikes) but diverges from the gabbro glacier model in the lower crust. In this model, the lower crust is formed from the injection of a multitude of magmatic sills at a range of depths beneath an axial magma lens at the base of the extrusive section. Deep and vigorous hydrothermal circulation through the entire crustal section (through networks of fractures) is required to accommodate heat released by solidification of the sills, which necessarily produces fast cooling rates in the entire lower crustal section and uppermost part of the mantle section.</w:t>
                  </w:r>
                  <w:bookmarkEnd w:id="11"/>
                </w:p>
              </w:txbxContent>
            </v:textbox>
            <w10:wrap type="topAndBottom"/>
          </v:shape>
        </w:pict>
      </w:r>
      <w:r w:rsidR="002D28EA">
        <w:rPr>
          <w:strike/>
          <w:noProof/>
          <w:color w:val="FF0000"/>
        </w:rPr>
        <w:drawing>
          <wp:anchor distT="0" distB="0" distL="114300" distR="114300" simplePos="0" relativeHeight="251641856" behindDoc="0" locked="0" layoutInCell="1" allowOverlap="1" wp14:anchorId="7FC354A6" wp14:editId="30EAFA5E">
            <wp:simplePos x="0" y="0"/>
            <wp:positionH relativeFrom="column">
              <wp:posOffset>0</wp:posOffset>
            </wp:positionH>
            <wp:positionV relativeFrom="paragraph">
              <wp:posOffset>0</wp:posOffset>
            </wp:positionV>
            <wp:extent cx="5499100" cy="2481580"/>
            <wp:effectExtent l="0" t="0" r="0" b="0"/>
            <wp:wrapTopAndBottom/>
            <wp:docPr id="47" name="Picture 47" descr="Diagram&#10;&#10;Description automatically generated">
              <a:extLst xmlns:a="http://schemas.openxmlformats.org/drawingml/2006/main">
                <a:ext uri="{FF2B5EF4-FFF2-40B4-BE49-F238E27FC236}">
                  <a16:creationId xmlns:a16="http://schemas.microsoft.com/office/drawing/2014/main" id="{1534E286-9778-4172-A48E-F302C992EB26}"/>
                </a:ext>
              </a:extLst>
            </wp:docPr>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a:extLst>
                        <a:ext uri="{FF2B5EF4-FFF2-40B4-BE49-F238E27FC236}">
                          <a16:creationId xmlns:a16="http://schemas.microsoft.com/office/drawing/2014/main" id="{1534E286-9778-4172-A48E-F302C992EB26}"/>
                        </a:ext>
                      </a:extLst>
                    </pic:cNvPr>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99100" cy="2481580"/>
                    </a:xfrm>
                    <a:prstGeom prst="rect">
                      <a:avLst/>
                    </a:prstGeom>
                    <a:noFill/>
                  </pic:spPr>
                </pic:pic>
              </a:graphicData>
            </a:graphic>
          </wp:anchor>
        </w:drawing>
      </w:r>
      <w:r w:rsidR="002D28EA">
        <w:br w:type="page"/>
      </w:r>
    </w:p>
    <w:p w14:paraId="6D107374" w14:textId="1880EA3C" w:rsidR="006D3C35" w:rsidRDefault="006D3C35" w:rsidP="001E0B34">
      <w:pPr>
        <w:spacing w:line="360" w:lineRule="auto"/>
        <w:ind w:firstLine="360"/>
      </w:pPr>
      <w:r w:rsidRPr="006D3C35">
        <w:lastRenderedPageBreak/>
        <w:t xml:space="preserve">Divergent thermal histories for the lower crust and uppermost mantle invoked by the Sheeted Sills and Gabbro Glacier models are testable by application of geothermometry and geospeedometry to oceanic gabbros and peridotites. These techniques rely on diffusively moderated temperature sensitive exchange of elements or mineral components among a phase assemblage, e.g., partitioning of the diopside component around the two-pyroxene solvus (e.g. Brey &amp; Köhler, 1990), exchange of Ca and Fe-Mg between olivine and clinopyroxene (Köhler &amp; Brey, 1990), Fe-Mg and Ca exchange between coexisting plagioclase and clinopyroxene (e.g. </w:t>
      </w:r>
      <w:proofErr w:type="spellStart"/>
      <w:r w:rsidRPr="006D3C35">
        <w:t>Faak</w:t>
      </w:r>
      <w:proofErr w:type="spellEnd"/>
      <w:r w:rsidRPr="006D3C35">
        <w:t xml:space="preserve"> et al., 2013; Sun &amp; Liang, 2017; Sun &amp; </w:t>
      </w:r>
      <w:proofErr w:type="spellStart"/>
      <w:r w:rsidRPr="006D3C35">
        <w:t>Lissenberg</w:t>
      </w:r>
      <w:proofErr w:type="spellEnd"/>
      <w:r w:rsidRPr="006D3C35">
        <w:t xml:space="preserve">, 2018a), and exchange of rare earth elements (REEs) between coexisting pyroxenes (Dygert &amp; Liang, 2015; Liang et al., 2013) and plagioclase and clinopyroxene (Sun &amp; Liang, 2017). Application of geothermometers and </w:t>
      </w:r>
      <w:proofErr w:type="spellStart"/>
      <w:r w:rsidRPr="006D3C35">
        <w:t>geospeedometers</w:t>
      </w:r>
      <w:proofErr w:type="spellEnd"/>
      <w:r w:rsidRPr="006D3C35">
        <w:t xml:space="preserve"> (hereafter thermometers and speedometers) to oceanic lithosphere from ophiolites and drilled and dredged samples from mid-ocean ridges has produced inconsistent results, which have been used to invoke both end-member models for crustal accretion, see Section 1.0.2 below for a summary (e.g. Coogan et al., 2002, 2007; Dygert et al., 2017; </w:t>
      </w:r>
      <w:proofErr w:type="spellStart"/>
      <w:r w:rsidRPr="006D3C35">
        <w:t>Faak</w:t>
      </w:r>
      <w:proofErr w:type="spellEnd"/>
      <w:r w:rsidRPr="006D3C35">
        <w:t xml:space="preserve"> et al., 2015; </w:t>
      </w:r>
      <w:proofErr w:type="spellStart"/>
      <w:r w:rsidRPr="006D3C35">
        <w:t>Faak</w:t>
      </w:r>
      <w:proofErr w:type="spellEnd"/>
      <w:r w:rsidRPr="006D3C35">
        <w:t xml:space="preserve"> &amp; Gillis, 2016; Garrido et al., 2001; Sun &amp; </w:t>
      </w:r>
      <w:proofErr w:type="spellStart"/>
      <w:r w:rsidRPr="006D3C35">
        <w:t>Lissenberg</w:t>
      </w:r>
      <w:proofErr w:type="spellEnd"/>
      <w:r w:rsidRPr="006D3C35">
        <w:t xml:space="preserve">, 2018a; </w:t>
      </w:r>
      <w:proofErr w:type="spellStart"/>
      <w:r w:rsidRPr="006D3C35">
        <w:t>VanTongeren</w:t>
      </w:r>
      <w:proofErr w:type="spellEnd"/>
      <w:r w:rsidRPr="006D3C35">
        <w:t xml:space="preserve"> et al., 2008). These inconsistent conclusions may be related to the disparate methods used to constrain cooling rates, and/or local geologic history, as many studies investigated different localities (Hess Deep gabbros being a prominent exception, </w:t>
      </w:r>
      <w:proofErr w:type="spellStart"/>
      <w:r w:rsidRPr="006D3C35">
        <w:t>Faak</w:t>
      </w:r>
      <w:proofErr w:type="spellEnd"/>
      <w:r w:rsidRPr="006D3C35">
        <w:t xml:space="preserve"> et al., 2015; </w:t>
      </w:r>
      <w:proofErr w:type="spellStart"/>
      <w:r w:rsidRPr="006D3C35">
        <w:t>Faak</w:t>
      </w:r>
      <w:proofErr w:type="spellEnd"/>
      <w:r w:rsidRPr="006D3C35">
        <w:t xml:space="preserve"> &amp; Gillis, 2016; Sun &amp; </w:t>
      </w:r>
      <w:proofErr w:type="spellStart"/>
      <w:r w:rsidRPr="006D3C35">
        <w:t>Lissenberg</w:t>
      </w:r>
      <w:proofErr w:type="spellEnd"/>
      <w:r w:rsidRPr="006D3C35">
        <w:t xml:space="preserve">, 2018a). </w:t>
      </w:r>
    </w:p>
    <w:p w14:paraId="156BFBE7" w14:textId="2DF9CC23" w:rsidR="004F307D" w:rsidRPr="006D3C35" w:rsidRDefault="006D3C35" w:rsidP="00F24389">
      <w:pPr>
        <w:spacing w:line="360" w:lineRule="auto"/>
        <w:ind w:firstLine="360"/>
      </w:pPr>
      <w:r w:rsidRPr="006D3C35">
        <w:t xml:space="preserve">Here, we apply the </w:t>
      </w:r>
      <w:proofErr w:type="gramStart"/>
      <w:r w:rsidRPr="006D3C35">
        <w:t>aforementioned thermometers</w:t>
      </w:r>
      <w:proofErr w:type="gramEnd"/>
      <w:r w:rsidRPr="006D3C35">
        <w:t xml:space="preserve"> and speedometers to gabbros and mantle harzburgites from the Hess Deep rift (East Pacific Rise, EPR) and the Oman Drilling Project (Wadi </w:t>
      </w:r>
      <w:proofErr w:type="spellStart"/>
      <w:r w:rsidRPr="006D3C35">
        <w:t>Zeeb</w:t>
      </w:r>
      <w:proofErr w:type="spellEnd"/>
      <w:r w:rsidRPr="006D3C35">
        <w:t xml:space="preserve">, </w:t>
      </w:r>
      <w:proofErr w:type="spellStart"/>
      <w:r w:rsidRPr="006D3C35">
        <w:t>Samail</w:t>
      </w:r>
      <w:proofErr w:type="spellEnd"/>
      <w:r w:rsidRPr="006D3C35">
        <w:t xml:space="preserve"> ophiolite, </w:t>
      </w:r>
      <w:proofErr w:type="spellStart"/>
      <w:r w:rsidRPr="006D3C35">
        <w:t>OmanDP</w:t>
      </w:r>
      <w:proofErr w:type="spellEnd"/>
      <w:r w:rsidRPr="006D3C35">
        <w:t xml:space="preserve">). These localities present a unique opportunity to explore the coupled thermal history of crust and mantle lithosphere formed beneath intermediate-fast spreading centers, direct comparison with studies that used alternative </w:t>
      </w:r>
      <w:proofErr w:type="spellStart"/>
      <w:r w:rsidRPr="006D3C35">
        <w:t>speedometric</w:t>
      </w:r>
      <w:proofErr w:type="spellEnd"/>
      <w:r w:rsidRPr="006D3C35">
        <w:t xml:space="preserve"> methods to constrain thermal histories (</w:t>
      </w:r>
      <w:proofErr w:type="spellStart"/>
      <w:r w:rsidRPr="006D3C35">
        <w:t>Faak</w:t>
      </w:r>
      <w:proofErr w:type="spellEnd"/>
      <w:r w:rsidRPr="006D3C35">
        <w:t xml:space="preserve"> et al., 2015; </w:t>
      </w:r>
      <w:proofErr w:type="spellStart"/>
      <w:r w:rsidRPr="006D3C35">
        <w:t>Faak</w:t>
      </w:r>
      <w:proofErr w:type="spellEnd"/>
      <w:r w:rsidRPr="006D3C35">
        <w:t xml:space="preserve"> &amp; Gillis, 2016; Sun &amp; </w:t>
      </w:r>
      <w:proofErr w:type="spellStart"/>
      <w:r w:rsidRPr="006D3C35">
        <w:t>Lissenberg</w:t>
      </w:r>
      <w:proofErr w:type="spellEnd"/>
      <w:r w:rsidRPr="006D3C35">
        <w:t xml:space="preserve">, 2018a), and the opportunity to apply a variety of independently calibrated </w:t>
      </w:r>
      <w:proofErr w:type="spellStart"/>
      <w:r w:rsidRPr="006D3C35">
        <w:t>speedometric</w:t>
      </w:r>
      <w:proofErr w:type="spellEnd"/>
      <w:r w:rsidRPr="006D3C35">
        <w:t xml:space="preserve"> methods to a continuous section of core drilled through the crust-mantle transition zone. Additionally, we compare our new </w:t>
      </w:r>
      <w:proofErr w:type="spellStart"/>
      <w:r w:rsidRPr="006D3C35">
        <w:lastRenderedPageBreak/>
        <w:t>speedometric</w:t>
      </w:r>
      <w:proofErr w:type="spellEnd"/>
      <w:r w:rsidRPr="006D3C35">
        <w:t xml:space="preserve"> results to cooling rates calculated from previously published data, recalculated using the same methods. Our objective is to advance the debate beyond arguments about the strengths and weaknesses of alternative </w:t>
      </w:r>
      <w:proofErr w:type="spellStart"/>
      <w:r w:rsidRPr="006D3C35">
        <w:t>speedometric</w:t>
      </w:r>
      <w:proofErr w:type="spellEnd"/>
      <w:r w:rsidRPr="006D3C35">
        <w:t xml:space="preserve"> approaches, which involve obtaining cooling rates from averaged mineral compositions or grain-scale mineral traverses, as well as differing thermometric calibrations and kinetic models (cf., Coogan et al., 2007; Sun &amp; </w:t>
      </w:r>
      <w:proofErr w:type="spellStart"/>
      <w:r w:rsidRPr="006D3C35">
        <w:t>Lissenberg</w:t>
      </w:r>
      <w:proofErr w:type="spellEnd"/>
      <w:r w:rsidRPr="006D3C35">
        <w:t xml:space="preserve">, 2018a, and the comment by </w:t>
      </w:r>
      <w:proofErr w:type="spellStart"/>
      <w:r w:rsidRPr="006D3C35">
        <w:t>Faak</w:t>
      </w:r>
      <w:proofErr w:type="spellEnd"/>
      <w:r w:rsidRPr="006D3C35">
        <w:t xml:space="preserve"> et al. (2018) and Sun &amp; </w:t>
      </w:r>
      <w:proofErr w:type="spellStart"/>
      <w:r w:rsidRPr="006D3C35">
        <w:t>Lissenberg</w:t>
      </w:r>
      <w:proofErr w:type="spellEnd"/>
      <w:r w:rsidRPr="006D3C35">
        <w:t xml:space="preserve"> (2018b)), to a focus on establishing whether cooling mechanisms do or do not differ among localities, and providing data for future studies to evaluate why cooling mechanisms might be different in different places. Additionally, our study enables direct comparison of the thermal history of oceanic mantle lithosphere that formed beneath a mid-ocean ridge spreading center with a typical crustal section, to lithosphere from a mid ocean ridge-like ophiolitic setting using consistent methods. </w:t>
      </w:r>
    </w:p>
    <w:p w14:paraId="3E874AD3" w14:textId="16B2286C" w:rsidR="006D3C35" w:rsidRPr="004F307D" w:rsidRDefault="008D10C3" w:rsidP="00F24389">
      <w:pPr>
        <w:pStyle w:val="Style1"/>
        <w:spacing w:line="360" w:lineRule="auto"/>
      </w:pPr>
      <w:bookmarkStart w:id="12" w:name="_Toc109036109"/>
      <w:r>
        <w:t xml:space="preserve">1.0.1 </w:t>
      </w:r>
      <w:r w:rsidR="006D3C35" w:rsidRPr="004F307D">
        <w:t>Crustal Accretion models</w:t>
      </w:r>
      <w:bookmarkEnd w:id="12"/>
      <w:r w:rsidR="006D3C35" w:rsidRPr="004F307D">
        <w:t xml:space="preserve">  </w:t>
      </w:r>
    </w:p>
    <w:p w14:paraId="52107B0F" w14:textId="5C06D9A5" w:rsidR="004F307D" w:rsidRPr="004F307D" w:rsidRDefault="006D3C35" w:rsidP="00EB54E6">
      <w:pPr>
        <w:spacing w:line="360" w:lineRule="auto"/>
        <w:ind w:firstLine="360"/>
      </w:pPr>
      <w:r w:rsidRPr="006D3C35">
        <w:t xml:space="preserve">Early models for crustal formation beneath oceanic spreading centers called for a large magma chamber beneath the ridge axis, extending from the base of the extrusive section of oceanic crust to the petrologic Moho (e.g., Pallister &amp; Hopson, 1981; </w:t>
      </w:r>
      <w:proofErr w:type="spellStart"/>
      <w:r w:rsidRPr="006D3C35">
        <w:t>Smewing</w:t>
      </w:r>
      <w:proofErr w:type="spellEnd"/>
      <w:r w:rsidRPr="006D3C35">
        <w:t xml:space="preserve">, 1981). These models explain mineral stratification observed in lower crustal gabbros as a product of crystal settling, often observed in layered intrusions, but are not supported by seismic studies, which failed to reveal extensive low velocity zones (LVZ) beneath mid ocean ridge spreading centers (e.g., Detrick et al., 1987, 1993; Dunn &amp; Toomey, 2000). The Gabbro Glacier model is a next-generation permutation, invoking the presence of a relatively thin and narrow magma lens immediately beneath the extrusive section of oceanic crust, from which the entire lower crust solidifies (e.g., Dewey &amp; Kidd, 1977; </w:t>
      </w:r>
      <w:proofErr w:type="spellStart"/>
      <w:r w:rsidRPr="006D3C35">
        <w:t>Henstock</w:t>
      </w:r>
      <w:proofErr w:type="spellEnd"/>
      <w:r w:rsidRPr="006D3C35">
        <w:t xml:space="preserve"> et al., 1993; Nicolas et al., 1988; Phipps Morgan &amp; Chen, 1993; Quick &amp; Denlinger, 1993; Sinton &amp; Detrick, 1992; Sleep, 1975). In this model, as hydrothermal cooling of the uppermost part of the magma lens occurs and as seafloor spreading continues, viscously deforming solid material at the base of the lens sinks downward and outward to form the gabbroic section of the crust as in a deforming glacier (Fig. </w:t>
      </w:r>
      <w:r w:rsidR="005C3691">
        <w:t>1.</w:t>
      </w:r>
      <w:r w:rsidRPr="006D3C35">
        <w:t xml:space="preserve">1a). In the Gabbro Glacier model, hydrothermal cooling is necessarily </w:t>
      </w:r>
      <w:r w:rsidRPr="006D3C35">
        <w:lastRenderedPageBreak/>
        <w:t>restricted to the pillow basalts and dikes of the upper crust, because the gabbro glacier must deform as a viscous solid. In this scenario, the gabbro cools conductively, leading to a rapid and systematic decrease in cooling rates in the lower crust with depth (</w:t>
      </w:r>
      <w:proofErr w:type="gramStart"/>
      <w:r w:rsidRPr="006D3C35">
        <w:t>e.g.</w:t>
      </w:r>
      <w:proofErr w:type="gramEnd"/>
      <w:r w:rsidRPr="006D3C35">
        <w:t xml:space="preserve"> Coogan et al., 2002; </w:t>
      </w:r>
      <w:proofErr w:type="spellStart"/>
      <w:r w:rsidRPr="006D3C35">
        <w:t>Faak</w:t>
      </w:r>
      <w:proofErr w:type="spellEnd"/>
      <w:r w:rsidRPr="006D3C35">
        <w:t xml:space="preserve"> et al., 2015; </w:t>
      </w:r>
      <w:proofErr w:type="spellStart"/>
      <w:r w:rsidRPr="006D3C35">
        <w:t>Faak</w:t>
      </w:r>
      <w:proofErr w:type="spellEnd"/>
      <w:r w:rsidRPr="006D3C35">
        <w:t xml:space="preserve"> &amp; Gillis, 2016; Gillis et al., 2014; Quick &amp; Denlinger, 1993). </w:t>
      </w:r>
    </w:p>
    <w:p w14:paraId="4BC29DD1" w14:textId="7224DC38" w:rsidR="00CD5044" w:rsidRDefault="004F307D" w:rsidP="00CD5044">
      <w:pPr>
        <w:spacing w:line="360" w:lineRule="auto"/>
        <w:ind w:firstLine="360"/>
      </w:pPr>
      <w:r>
        <w:t xml:space="preserve">The alternative end-member Sheeted Sills model invokes lower crustal emplacement by crystallization of many thin magmatic sills at a range of depths beneath the ridge axis, which are cooled convectively by hydrothermal circulation that extends to the crust-mantle boundary during seafloor spreading </w:t>
      </w:r>
      <w:r>
        <w:fldChar w:fldCharType="begin" w:fldLock="1"/>
      </w:r>
      <w:r>
        <w:instrText>ADDIN CSL_CITATION {"citationItems":[{"id":"ITEM-1","itemData":{"DOI":"10.1098/rsta.1997.0010","ISSN":"1364-503X","abstract":"We review physical and chemical constraints on the mechanisms of melt extraction from the mantle beneath mid-ocean ridges. Compositional constraints from MORB and abyssal peridotite are summarized, followed by observations of melt extraction features in the mantle, and constraints from the physical properties of partially molten peridotite. We address two main issues. (1) To what extent is melting 'near-fractional', with low porosities in the source and chemical isolation of ascending melt? To what extent are other processes, loosely termed reactive flow, important in MORB genesis? (2) Where chemically isolated melt extraction is required, does this occur mainly in melt-filled fractures or in conduits of focused porous flow? Reactive flow plays an important role, but somewhere in the upwelling mantle melting must be 'near fractional', with intergranular porosities less than 1%, and most melt extraction must be in isolated conduits. Two porosity models provide the best paradigm for this type of process. Field relationships and geochemical data show that replacive dunites mark conduits for focused, chemically isolated, porous flow of mid-ocean ridge basalt (MORB) in the upwelling mantle. By contrast, pyroxenite and gabbro dikes are lithospheric features; they do not represent conduits for melt extraction from the upwelling mantle. Thus, preserved melt extraction features do not require hydrofracture in the melting region. However, field evidence does not rule out hydrofracture. Predicted porous flow velocities satisfy 230Th excess constraints (ca. 1 m yr-1), provided melt extraction occurs in porous conduits rather than by diffuse flow, and melt-free, solid viscosity is less than ca. 1020 Pa s. Melt velocities of ca. 50 m yr-1 are inferred from patterns of post-glacial volcanism in Iceland and from 226Ra excess. If these inferences are correct, minimum conditions for hydrofracture may be reached in the shallowest part of melting region beneath ridges. However, necessary high porosities can only be attained within pre-existing conduits for focused porous flow. Alternatively, the requirement for high melt velocity could be satisfied in melt-filled tubes formed by dissolution or mechanical instabilities. Melt-filled fractures or tubes, if they form, are probably closed at the top and bottom, limited in size by the supply of melt. Therefore, to satisfy the requirements for geochemical isolation from surrounding peridotite, melt-filled conduits may be surround…","author":[{"dropping-particle":"","family":"Kelemen","given":"Peter B.","non-dropping-particle":"","parse-names":false,"suffix":""},{"dropping-particle":"","family":"Hirth","given":"Greg","non-dropping-particle":"","parse-names":false,"suffix":""},{"dropping-particle":"","family":"Shimizu","given":"Nobu","non-dropping-particle":"","parse-names":false,"suffix":""},{"dropping-particle":"","family":"Spiegelman","given":"M.","non-dropping-particle":"","parse-names":false,"suffix":""},{"dropping-particle":"","family":"Dick","given":"Henry J.B.","non-dropping-particle":"","parse-names":false,"suffix":""}],"container-title":"Philosophical Transactions of the Royal Society of London. Series A: Mathematical, Physical and Engineering Sciences","editor":[{"dropping-particle":"","family":"Cann","given":"J. R.","non-dropping-particle":"","parse-names":false,"suffix":""},{"dropping-particle":"","family":"Elderfield","given":"H.","non-dropping-particle":"","parse-names":false,"suffix":""},{"dropping-particle":"","family":"Laughton","given":"A.","non-dropping-particle":"","parse-names":false,"suffix":""}],"id":"ITEM-1","issue":"1723","issued":{"date-parts":[["1997","2","15"]]},"page":"283-318","title":"A review of melt migration processes in the adiabatically upwelling mantle beneath oceanic spreading ridges","type":"article-journal","volume":"355"},"uris":["http://www.mendeley.com/documents/?uuid=bf0139e5-5ecd-496b-8d9e-bbf5596ccd22"]},{"id":"ITEM-2","itemData":{"DOI":"10.1016/S0012-821X(96)00235-X","ISSN":"0012821X","abstract":"Gabbroic sills intruding dunite in the crust-mantle transition zone (MTZ) of the Oman ophiolite have textures and compositions very similar to those in modally layered gabbros that forrn the lower part of the gabbro section in the ophiolite, and different from those in non-layered gabbros near the dike-gabbro transition. The presence of gabbroic sills in the MTZ indicates that modally layered gabbros can form far below the level of magmatic neutral buoyancy and far below the dike-gabbro transition. Minerals in the sills and lower, layered gabbros are in Fe-Mg and trace element exchange equilibrium with liquids identical to those that formed the sheeted dikes and lavas in the ophiolite. In contrast, many of the upper, non-layered gabbros resemble crystallized liquid compositions, similar to the dikes and lavas. The lower, layered gabbros probably formed in sills similar to those in the MTZ. Mantle-derived magmas cooled in these sills, where they crystallized from a few percent to 50% of their mass. Residual liquids then rose to form upper gabbros, dikes and lavas. Sills may form beneath permeability barriers created by the crystallization of cooling liquid migrating by porous flow. Once permeability barriers are present, however, porous flow becomes a less important mode of magma ascent, compared to ponding in sills, gradual increase in magma pressure, and periodic ascent in hydrofractures. Thus, gabbroic sills in the MTZ may represent the transition in fast-spreading ridge environments from continuous porous flow in the mantle to periodic diking in the crust.","author":[{"dropping-particle":"","family":"Kelemen","given":"Peter B.","non-dropping-particle":"","parse-names":false,"suffix":""},{"dropping-particle":"","family":"Koga","given":"Ken","non-dropping-particle":"","parse-names":false,"suffix":""},{"dropping-particle":"","family":"Shimizu","given":"Nobu","non-dropping-particle":"","parse-names":false,"suffix":""}],"container-title":"Earth and Planetary Science Letters","id":"ITEM-2","issue":"3-4","issued":{"date-parts":[["1997","2"]]},"page":"475-488","title":"Geochemistry of gabbro sills in the crust-mantle transition zone of the Oman ophiolite: implications for the origin of the oceanic lower crust","type":"article-journal","volume":"146"},"uris":["http://www.mendeley.com/documents/?uuid=a7042ff2-39b2-412c-be35-f28dff9e7bdf"]},{"id":"ITEM-3","itemData":{"DOI":"10.1029/97jb02604","abstract":"The Moho transition zone (MTZ) of the Oman ophiolite commonly includes a number of gabbro sills surrounded by dunites. The petrology and geochemistry of these sills are investigated to provide constraints on how magma migrates from the subridge mantle to the oceanic crust. The gabbro sills have millimeter-scale to tens of centimeter-scale modal layering that closely resembles layering in lower crustal gabbros of the ophiolite. Variations in mineral compositions correlate with the modal layering, but there are no overall trends within the sills. The gabbroic sills and the layered gabbros have clear covariations among mineral compositions, which can be interpreted as a fractional crystallization path from a common parental magma. Together with constraints from mid-ocean ridge thermal evolution and crustal accretion dynamics, the petrological and geochemical observations on the gabbro sills indicate that they formed from small, open-system, melt-filled lenses within the MTZ. The thermal evolution of the MTZ melt lenses, buffered by the ambient mantle, is characterized by a slow cooling rate (&lt;10-C-3o/yr) and a small temperature difference (similar to 0.1-1 degrees C) within lenses. Internal origins for modal layering, such as gravity currents and oscillatory nucleation, are unlikely in such a thermal environment, and we propose that open-system evolution of the melt lenses is essential to produce the observed layering. The formation of the MTZ melt lenses may be a consequence of porous flow with low Peclet number entering a conductively cooling regime, where porosity becomes ''clogged'' by crystallized plagioclase. Preservation of fine-scale vertical variation in mineral composition, together with correlated compositions of different minerals, rules out diffuse porous flow as the primary mechanism of melt transport above these melt lenses. Instead, melt extraction must have been focused into porous channels or melt-filled fractures. Melt lenses drained by fractures would experience repetitious expulsion with continuous melt replenishment. Modal layering could develop through the expulsion cycles, probably via in situ crystallization at the margins of melt lenses.","author":[{"dropping-particle":"","family":"Korenaga","given":"Jun","non-dropping-particle":"","parse-names":false,"suffix":""},{"dropping-particle":"","family":"Kelemen","given":"Peter B.","non-dropping-particle":"","parse-names":false,"suffix":""}],"container-title":"Journal of Geophysical Research: Solid Earth","id":"ITEM-3","issue":"B12","issued":{"date-parts":[["1997"]]},"page":"27729-27749","title":"Origin of gabbro sills in the Moho transition zone of the Oman ophiolite: Implications for magma transport in the oceanic lower crust","type":"article-journal","volume":"102"},"uris":["http://www.mendeley.com/documents/?uuid=994aab52-9444-4887-b5dc-7c584908667f"]},{"id":"ITEM-4","itemData":{"DOI":"10.1016/j.epsl.2015.07.001","ISBN":"0012-821X","ISSN":"0012821X","abstract":"Oceanic crust represents more than 60% of the earth's surface and despite a large body of knowledge regarding the formation and chemistry of the extrusive upper oceanic crust, there still remains significant debate over how the intrusive gabbroic lower oceanic crust is accreted at the ridge axis. The two proposed end-member models, the Gabbro Glacier and the Sheeted Sills, predict radically different strain accumulation in the lower crust during accretion. In order to determine which of these two hypotheses is most applicable to a well-studied lower crustal section, we present data on plagioclase lattice preferred orientations (LPO) in the Wadi Khafifah section of the Samail ophiolite. We observe no systematic change in the strength of the plagioclase LPO with height above the crust-mantle transition, no dominant orientation of the plagioclase a-axis lineation, and no systematic change in the obliquity of the plagioclase LPO with respect to the modal layering and macroscopic foliation evident in outcrop. These observations are most consistent with the Sheeted Sills hypothesis, in which gabbros are crystallized in situ and fabrics are dominated by compaction and localized extension rather than by systematically increasing shear strain with increasing depth in a Gabbro Glacier. Our data support the hypothesis of MacLeod and Yaouancq (2000) that the rotation of the outcrop-scale layering from sub-horizontal in the layered gabbros to sub-vertical near the sheeted dikes is due to rapid vertical melt migration through upper gabbros close to the axial magma chamber. Additionally, our results support the hypothesis that the majority of extensional strain in fast spreading ridges is accommodated in partially molten regions at the ridge axis, whereas in slow and ultra-slow ridges large shear strains are accommodated by plastic deformation.","author":[{"dropping-particle":"","family":"VanTongeren","given":"Jill A.","non-dropping-particle":"","parse-names":false,"suffix":""},{"dropping-particle":"","family":"Hirth","given":"G.","non-dropping-particle":"","parse-names":false,"suffix":""},{"dropping-particle":"","family":"Kelemen","given":"Peter B.","non-dropping-particle":"","parse-names":false,"suffix":""}],"container-title":"Earth and Planetary Science Letters","id":"ITEM-4","issued":{"date-parts":[["2015"]]},"page":"249-261","publisher":"Elsevier B.V.","title":"Constraints on the accretion of the gabbroic lower oceanic crust from plagioclase lattice preferred orientation in the Samail ophiolite","type":"article-journal","volume":"427"},"uris":["http://www.mendeley.com/documents/?uuid=529d62b5-8b63-433f-a794-5969fb9899da"]},{"id":"ITEM-5","itemData":{"DOI":"10.1016/j.epsl.2007.11.034","ISBN":"0012-821X","ISSN":"0012821X","abstract":"Debate over the mechanism of accretion of the lower oceanic crust has centered around the gabbro glacier and the sheeted sills models. The thermal profile of the crust, specifically the roles of hydrothermal circulation and cooling rate, is a key component in distinguishing between these two models. Results of this study show no systematic variation of cooling rate with depth in the lower crust of the Khafifah section in the Wadi Tayin massif of the Oman ophiolite. Additionally, very high rates recorded near the base of the crust suggest that hydrothermal circulation plays an important role in the removal of heat throughout the crust. While the conclusions presented here do not rule out the possibility of accretion by gabbro glacier, they do contradict the initial tenet of the gabbro glacier model - convective heat loss by hydrothermal circulation can penetrate to Moho depths and crystallization is not, by necessity, constrained to the upper crust. On the basis of these results it can be concluded that the sheeted sills model is a thermally viable mechanism for accretion of oceanic lower crust. © 2007 Elsevier B.V. All rights reserved.","author":[{"dropping-particle":"","family":"VanTongeren","given":"Jill A.","non-dropping-particle":"","parse-names":false,"suffix":""},{"dropping-particle":"","family":"Kelemen","given":"Peter B.","non-dropping-particle":"","parse-names":false,"suffix":""},{"dropping-particle":"","family":"Hanghøj","given":"Karen","non-dropping-particle":"","parse-names":false,"suffix":""}],"container-title":"Earth and Planetary Science Letters","id":"ITEM-5","issue":"1-2","issued":{"date-parts":[["2008"]]},"page":"69-82","title":"Cooling rates in the lower crust of the Oman ophiolite: Ca in olivine, revisited","type":"article-journal","volume":"267"},"uris":["http://www.mendeley.com/documents/?uuid=e834f3dd-2a52-4db0-a22d-bac931605280"]}],"mendeley":{"formattedCitation":"(Peter B. Kelemen, Hirth, et al., 1997; Peter B. Kelemen, Koga, et al., 1997; Korenaga &amp; Kelemen, 1997; VanTongeren et al., 2008, 2015)","manualFormatting":"(Kelemen, Hirth, et al., 1997; Kelemen, Koga, et al., 1997; Korenaga &amp; Kelemen, 1997; VanTongeren et al., 2008, 2015)","plainTextFormattedCitation":"(Peter B. Kelemen, Hirth, et al., 1997; Peter B. Kelemen, Koga, et al., 1997; Korenaga &amp; Kelemen, 1997; VanTongeren et al., 2008, 2015)","previouslyFormattedCitation":"(Peter B. Kelemen, Hirth, et al., 1997; Peter B. Kelemen, Koga, et al., 1997; Korenaga &amp; Kelemen, 1997; VanTongeren et al., 2008, 2015)"},"properties":{"noteIndex":0},"schema":"https://github.com/citation-style-language/schema/raw/master/csl-citation.json"}</w:instrText>
      </w:r>
      <w:r>
        <w:fldChar w:fldCharType="separate"/>
      </w:r>
      <w:r w:rsidRPr="00D72F70">
        <w:rPr>
          <w:noProof/>
        </w:rPr>
        <w:t>(Kelemen, Hirth, et al., 1997; Kelemen, Koga, et al., 1997; Korenaga &amp; Kelemen, 1997; VanTongeren et al., 2008, 2015)</w:t>
      </w:r>
      <w:r>
        <w:fldChar w:fldCharType="end"/>
      </w:r>
      <w:r>
        <w:t xml:space="preserve">. In this scenario, deep and efficient hydrothermal circulation is required to accommodate the latent and specific heat released by crystallization of sills at a range of depths beneath the ridge axis, beneath an axial magma lens. The Sheeted Sills model is supported by rhythmic, meter-scale geochemical variations observed within lower oceanic crust </w:t>
      </w:r>
      <w:r>
        <w:fldChar w:fldCharType="begin" w:fldLock="1"/>
      </w:r>
      <w:r>
        <w:instrText>ADDIN CSL_CITATION {"citationItems":[{"id":"ITEM-1","itemData":{"DOI":"10.1029/97jb02604","abstract":"The Moho transition zone (MTZ) of the Oman ophiolite commonly includes a number of gabbro sills surrounded by dunites. The petrology and geochemistry of these sills are investigated to provide constraints on how magma migrates from the subridge mantle to the oceanic crust. The gabbro sills have millimeter-scale to tens of centimeter-scale modal layering that closely resembles layering in lower crustal gabbros of the ophiolite. Variations in mineral compositions correlate with the modal layering, but there are no overall trends within the sills. The gabbroic sills and the layered gabbros have clear covariations among mineral compositions, which can be interpreted as a fractional crystallization path from a common parental magma. Together with constraints from mid-ocean ridge thermal evolution and crustal accretion dynamics, the petrological and geochemical observations on the gabbro sills indicate that they formed from small, open-system, melt-filled lenses within the MTZ. The thermal evolution of the MTZ melt lenses, buffered by the ambient mantle, is characterized by a slow cooling rate (&lt;10-C-3o/yr) and a small temperature difference (similar to 0.1-1 degrees C) within lenses. Internal origins for modal layering, such as gravity currents and oscillatory nucleation, are unlikely in such a thermal environment, and we propose that open-system evolution of the melt lenses is essential to produce the observed layering. The formation of the MTZ melt lenses may be a consequence of porous flow with low Peclet number entering a conductively cooling regime, where porosity becomes ''clogged'' by crystallized plagioclase. Preservation of fine-scale vertical variation in mineral composition, together with correlated compositions of different minerals, rules out diffuse porous flow as the primary mechanism of melt transport above these melt lenses. Instead, melt extraction must have been focused into porous channels or melt-filled fractures. Melt lenses drained by fractures would experience repetitious expulsion with continuous melt replenishment. Modal layering could develop through the expulsion cycles, probably via in situ crystallization at the margins of melt lenses.","author":[{"dropping-particle":"","family":"Korenaga","given":"Jun","non-dropping-particle":"","parse-names":false,"suffix":""},{"dropping-particle":"","family":"Kelemen","given":"Peter B.","non-dropping-particle":"","parse-names":false,"suffix":""}],"container-title":"Journal of Geophysical Research: Solid Earth","id":"ITEM-1","issue":"B12","issued":{"date-parts":[["1997"]]},"page":"27729-27749","title":"Origin of gabbro sills in the Moho transition zone of the Oman ophiolite: Implications for magma transport in the oceanic lower crust","type":"article-journal","volume":"102"},"uris":["http://www.mendeley.com/documents/?uuid=994aab52-9444-4887-b5dc-7c584908667f"]}],"mendeley":{"formattedCitation":"(Korenaga &amp; Kelemen, 1997)","plainTextFormattedCitation":"(Korenaga &amp; Kelemen, 1997)","previouslyFormattedCitation":"(Korenaga &amp; Kelemen, 1997)"},"properties":{"noteIndex":0},"schema":"https://github.com/citation-style-language/schema/raw/master/csl-citation.json"}</w:instrText>
      </w:r>
      <w:r>
        <w:fldChar w:fldCharType="separate"/>
      </w:r>
      <w:r w:rsidRPr="4DF8874B">
        <w:rPr>
          <w:noProof/>
        </w:rPr>
        <w:t>(</w:t>
      </w:r>
      <w:r>
        <w:rPr>
          <w:noProof/>
        </w:rPr>
        <w:t xml:space="preserve">e.g., </w:t>
      </w:r>
      <w:r w:rsidRPr="4DF8874B">
        <w:rPr>
          <w:noProof/>
        </w:rPr>
        <w:t>Korenaga &amp; Kelemen, 1997)</w:t>
      </w:r>
      <w:r>
        <w:fldChar w:fldCharType="end"/>
      </w:r>
      <w:r>
        <w:t xml:space="preserve">, hydrothermal (fast) cooling rates in lower crustal gabbros and peridotites directly beneath the crust-mantle transition zone </w:t>
      </w:r>
      <w:r>
        <w:fldChar w:fldCharType="begin" w:fldLock="1"/>
      </w:r>
      <w:r>
        <w:instrText>ADDIN CSL_CITATION {"citationItems":[{"id":"ITEM-1","itemData":{"DOI":"10.1016/j.epsl.2015.02.042","ISBN":"0012-821X","ISSN":"0012821X","abstract":"Mantle peridotites from ophiolites are commonly interpreted as having mid-ocean ridge (MOR) or supra-subduction zone (SSZ) affinity. Recently, an REE-in-two-pyroxene thermometer was developed (Liang et al., 2013) that has higher closure temperatures (designated as T&lt;inf&gt;REE&lt;/inf&gt;) than major element based two-pyroxene thermometers for mafic and ultramafic rocks that experienced cooling. The REE-in-two-pyroxene thermometer has the potential to extract meaningful cooling rates from ophiolitic peridotites and thus shed new light on the thermal history of the different tectonic regimes. We calculated T&lt;inf&gt;REE&lt;/inf&gt; for available literature data from abyssal peridotites, subcontinental (SC) peridotites, and ophiolites around the world (Alps, Coast Range, Corsica, New Caledonia, Oman, Othris, Puerto Rico, Russia, and Turkey), and augmented the data with new measurements for peridotites from the Trinity and Josephine ophiolites and the Mariana trench. T&lt;inf&gt;REE&lt;/inf&gt; are compared to major element based thermometers, including the two-pyroxene thermometer of Brey and K??hler (1990) (T&lt;inf&gt;BKN&lt;/inf&gt;). Samples with SC affinity have T&lt;inf&gt;REE&lt;/inf&gt; and T&lt;inf&gt;BKN&lt;/inf&gt; in good agreement. Samples with MOR and SSZ affinity have near-solidus T&lt;inf&gt;REE&lt;/inf&gt; but T&lt;inf&gt;BKN&lt;/inf&gt; hundreds of degrees lower. Closure temperatures for REE and Fe-Mg in pyroxenes were calculated to compare cooling rates among abyssal peridotites, MOR ophiolites, and SSZ ophiolites. Abyssal peridotites appear to cool more rapidly than peridotites from most ophiolites. On average, SSZ ophiolites have lower closure temperatures than abyssal peridotites and many ophiolites with MOR affinity. We propose that these lower temperatures can be attributed to the residence time in the cooling oceanic lithosphere prior to obduction. MOR ophiolites define a continuum spanning cooling rates from SSZ ophiolites to abyssal peridotites. Consistent high closure temperatures for abyssal peridotites and the Oman and Corsica ophiolites suggests hydrothermal circulation and/or rapid cooling events (e.g., normal faulting, unroofing) control the late thermal histories of peridotites from transform faults and slow and fast spreading centers with or without a crustal section.","author":[{"dropping-particle":"","family":"Dygert","given":"Nick","non-dropping-particle":"","parse-names":false,"suffix":""},{"dropping-particle":"","family":"Liang","given":"Yan","non-dropping-particle":"","parse-names":false,"suffix":""}],"container-title":"Earth and Planetary Science Letters","id":"ITEM-1","issued":{"date-parts":[["2015"]]},"page":"151-161","title":"Temperatures and cooling rates recorded in REE in coexisting pyroxenes in ophiolitic and abyssal peridotites","type":"article-journal","volume":"420"},"uris":["http://www.mendeley.com/documents/?uuid=e48d5f74-9cf4-4c45-adcc-fe92d8ea473f"]},{"id":"ITEM-2","itemData":{"DOI":"10.1016/j.epsl.2007.11.034","ISBN":"0012-821X","ISSN":"0012821X","abstract":"Debate over the mechanism of accretion of the lower oceanic crust has centered around the gabbro glacier and the sheeted sills models. The thermal profile of the crust, specifically the roles of hydrothermal circulation and cooling rate, is a key component in distinguishing between these two models. Results of this study show no systematic variation of cooling rate with depth in the lower crust of the Khafifah section in the Wadi Tayin massif of the Oman ophiolite. Additionally, very high rates recorded near the base of the crust suggest that hydrothermal circulation plays an important role in the removal of heat throughout the crust. While the conclusions presented here do not rule out the possibility of accretion by gabbro glacier, they do contradict the initial tenet of the gabbro glacier model - convective heat loss by hydrothermal circulation can penetrate to Moho depths and crystallization is not, by necessity, constrained to the upper crust. On the basis of these results it can be concluded that the sheeted sills model is a thermally viable mechanism for accretion of oceanic lower crust. © 2007 Elsevier B.V. All rights reserved.","author":[{"dropping-particle":"","family":"VanTongeren","given":"Jill A.","non-dropping-particle":"","parse-names":false,"suffix":""},{"dropping-particle":"","family":"Kelemen","given":"Peter B.","non-dropping-particle":"","parse-names":false,"suffix":""},{"dropping-particle":"","family":"Hanghøj","given":"Karen","non-dropping-particle":"","parse-names":false,"suffix":""}],"container-title":"Earth and Planetary Science Letters","id":"ITEM-2","issue":"1-2","issued":{"date-parts":[["2008"]]},"page":"69-82","title":"Cooling rates in the lower crust of the Oman ophiolite: Ca in olivine, revisited","type":"article-journal","volume":"267"},"uris":["http://www.mendeley.com/documents/?uuid=e834f3dd-2a52-4db0-a22d-bac931605280"]}],"mendeley":{"formattedCitation":"(Dygert &amp; Liang, 2015; VanTongeren et al., 2008)","plainTextFormattedCitation":"(Dygert &amp; Liang, 2015; VanTongeren et al., 2008)","previouslyFormattedCitation":"(Dygert &amp; Liang, 2015; VanTongeren et al., 2008)"},"properties":{"noteIndex":0},"schema":"https://github.com/citation-style-language/schema/raw/master/csl-citation.json"}</w:instrText>
      </w:r>
      <w:r>
        <w:fldChar w:fldCharType="separate"/>
      </w:r>
      <w:r w:rsidRPr="4DF8874B">
        <w:rPr>
          <w:noProof/>
        </w:rPr>
        <w:t>(Dygert &amp; Liang, 2015; VanTongeren et al., 2008)</w:t>
      </w:r>
      <w:r>
        <w:fldChar w:fldCharType="end"/>
      </w:r>
      <w:r>
        <w:t xml:space="preserve">, and systematic spatial variations in cooling rate deeper in the mantle section suggesting hydrothermal cooling above the crust-mantle transition and conductive cooling below </w:t>
      </w:r>
      <w:r>
        <w:fldChar w:fldCharType="begin" w:fldLock="1"/>
      </w:r>
      <w:r>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ridges","type":"article-journal","volume":"465"},"uris":["http://www.mendeley.com/documents/?uuid=67ec3375-a99a-4c3e-81f5-c4bab6e86be5"]},{"id":"ITEM-2","itemData":{"DOI":"10.1016/j.lithos.2019.01.001","ISSN":"18726143","abstract":"We examine the partial melting and the cooling history of a ~5 km section of mantle lithosphere preserved in the Donjek massif, part of a Permian ophiolite in the northern Cordillera of Yukon, Canada. The mantle rocks are depleted spinel harzburgite containing &lt;3% clinopyroxene displaying steep rare-earth element (REE) chondrite-normalized profiles and low (Gd/Yb) n (0.02 to 0.07) compared to most other ophiolites. The REE patterns of clinopyroxene can be modeled as 16–20% partial melts of typical depleted mid-ocean ridge (MOR) mantle. The REE exchange between coexisting ortho- and clinopyroxene preserves temperatures (T REE ) of 1150–1360 °C, some of the highest values recorded in ophiolites and abyssal peridotites, and show a positive correlation with Ca–Mg exchange (solvus) temperatures (T BKN ) of 900–970 °C. The harzburgite represents lithosphere formed at an initial melting temperature of ~ 1350 °C that cooled at rate of 10 −1 to 10 −4 °C/year as deduced by T REE values with cation diffusion and grain size data. The T REE temperatures and cooling rates for the Donjek massif show a regular systematic variation with depth from the crust-mantle transition along a trend similar to the Samail ophiolite of Oman, consistent with conductive heat transfer beneath a cool lower crust. High near-solidus temperatures and the cooling rates in the massif were a consequence of rapid obduction against oceanic crust along either a transform or low angle detachment soon after melt extraction. Final emplacement of the ophiolite as klippen on underlying continental crust occurred ~ 40 m.y. later.","author":[{"dropping-particle":"","family":"Canil","given":"Dante","non-dropping-particle":"","parse-names":false,"suffix":""},{"dropping-particle":"","family":"Grundy","given":"Ryan","non-dropping-particle":"","parse-names":false,"suffix":""},{"dropping-particle":"","family":"Johnston","given":"Stephen T.","non-dropping-particle":"","parse-names":false,"suffix":""}],"container-title":"Lithos","id":"ITEM-2","issued":{"date-parts":[["2019"]]},"page":"33-42","publisher":"Elsevier B.V.","title":"Thermal history of the Donjek harzburgite massif in ophiolite from Yukon, Canada with implications for the cooling of oceanic mantle lithosphere","type":"article-journal","volume":"328-329"},"prefix":"e.g. ","uris":["http://www.mendeley.com/documents/?uuid=402bb4ad-d669-4699-9ffe-4dca60fcfb15"]}],"mendeley":{"formattedCitation":"(e.g. Canil et al., 2019; Dygert et al., 2017)","plainTextFormattedCitation":"(e.g. Canil et al., 2019; Dygert et al., 2017)","previouslyFormattedCitation":"(e.g. Canil et al., 2019; Dygert et al., 2017)"},"properties":{"noteIndex":0},"schema":"https://github.com/citation-style-language/schema/raw/master/csl-citation.json"}</w:instrText>
      </w:r>
      <w:r>
        <w:fldChar w:fldCharType="separate"/>
      </w:r>
      <w:r w:rsidRPr="4DF8874B">
        <w:rPr>
          <w:noProof/>
        </w:rPr>
        <w:t>(Dygert et al., 2017)</w:t>
      </w:r>
      <w:r>
        <w:fldChar w:fldCharType="end"/>
      </w:r>
      <w:r>
        <w:t xml:space="preserve">. A Sheeted Sills scenario is also supported by the observation of plagioclase a-axis girdles in crustal gabbros reflecting compaction-related shape preferred orientations </w:t>
      </w:r>
      <w:r>
        <w:fldChar w:fldCharType="begin" w:fldLock="1"/>
      </w:r>
      <w:r>
        <w:instrText>ADDIN CSL_CITATION {"citationItems":[{"id":"ITEM-1","itemData":{"DOI":"10.1016/j.epsl.2015.07.001","ISBN":"0012-821X","ISSN":"0012821X","abstract":"Oceanic crust represents more than 60% of the earth's surface and despite a large body of knowledge regarding the formation and chemistry of the extrusive upper oceanic crust, there still remains significant debate over how the intrusive gabbroic lower oceanic crust is accreted at the ridge axis. The two proposed end-member models, the Gabbro Glacier and the Sheeted Sills, predict radically different strain accumulation in the lower crust during accretion. In order to determine which of these two hypotheses is most applicable to a well-studied lower crustal section, we present data on plagioclase lattice preferred orientations (LPO) in the Wadi Khafifah section of the Samail ophiolite. We observe no systematic change in the strength of the plagioclase LPO with height above the crust-mantle transition, no dominant orientation of the plagioclase a-axis lineation, and no systematic change in the obliquity of the plagioclase LPO with respect to the modal layering and macroscopic foliation evident in outcrop. These observations are most consistent with the Sheeted Sills hypothesis, in which gabbros are crystallized in situ and fabrics are dominated by compaction and localized extension rather than by systematically increasing shear strain with increasing depth in a Gabbro Glacier. Our data support the hypothesis of MacLeod and Yaouancq (2000) that the rotation of the outcrop-scale layering from sub-horizontal in the layered gabbros to sub-vertical near the sheeted dikes is due to rapid vertical melt migration through upper gabbros close to the axial magma chamber. Additionally, our results support the hypothesis that the majority of extensional strain in fast spreading ridges is accommodated in partially molten regions at the ridge axis, whereas in slow and ultra-slow ridges large shear strains are accommodated by plastic deformation.","author":[{"dropping-particle":"","family":"VanTongeren","given":"Jill A.","non-dropping-particle":"","parse-names":false,"suffix":""},{"dropping-particle":"","family":"Hirth","given":"G.","non-dropping-particle":"","parse-names":false,"suffix":""},{"dropping-particle":"","family":"Kelemen","given":"Peter B.","non-dropping-particle":"","parse-names":false,"suffix":""}],"container-title":"Earth and Planetary Science Letters","id":"ITEM-1","issued":{"date-parts":[["2015"]]},"page":"249-261","publisher":"Elsevier B.V.","title":"Constraints on the accretion of the gabbroic lower oceanic crust from plagioclase lattice preferred orientation in the Samail ophiolite","type":"article-journal","volume":"427"},"uris":["http://www.mendeley.com/documents/?uuid=529d62b5-8b63-433f-a794-5969fb9899da"]}],"mendeley":{"formattedCitation":"(VanTongeren et al., 2015)","plainTextFormattedCitation":"(VanTongeren et al., 2015)","previouslyFormattedCitation":"(VanTongeren et al., 2015)"},"properties":{"noteIndex":0},"schema":"https://github.com/citation-style-language/schema/raw/master/csl-citation.json"}</w:instrText>
      </w:r>
      <w:r>
        <w:fldChar w:fldCharType="separate"/>
      </w:r>
      <w:r w:rsidRPr="4DF8874B">
        <w:rPr>
          <w:noProof/>
        </w:rPr>
        <w:t>(VanTongeren et al., 2015)</w:t>
      </w:r>
      <w:r>
        <w:fldChar w:fldCharType="end"/>
      </w:r>
      <w:r>
        <w:t xml:space="preserve">, inconsistent with crystallographic alignments associated with high strains, as required in a Gabbro Glacier scenario </w:t>
      </w:r>
      <w:r>
        <w:fldChar w:fldCharType="begin" w:fldLock="1"/>
      </w:r>
      <w:r>
        <w:instrText>ADDIN CSL_CITATION {"citationItems":[{"id":"ITEM-1","itemData":{"DOI":"10.1029/93jb00698","abstract":"Layered gabbros in ophiolites have been commonly interpreted in terms of crystallization beneath oceanic spreading centers in magma chambers up to 30 km wide and 3-6 km deep. Although large, steady state magma chambers provide a possible explanation for the limited diversity of mid-ocean ridge basalts, their existence is not supported by geophysical observations. Sinton and Detrick (1992) recently reviewed seismic data from oceanic spreading centers and concluded that there is little evidence for steady state magma chambers beneath slow spreading ridges and that fast spreading ridges appear to be underlain by small (1-4 km wide) magma chambers perched on large (approximately 8 km wide) zones of low-velocity material, which are interpreted to consist of partially molten crystal cumulates. In this paper, we compare the geology of the gabbroic rocks of the Samail ophiolite, which is thought to have formed by fast spreading, with results of a finite element analysis of the Sinton-Detrick model for fast spreading centers. Our results demonstrate that flow, similar to that postulated by Sleep [1975], within a thick zone of cumulates during crustal extension could produce orientations of foliation and layering approximating those observed in the Samail gabbros. As a consequence of this deformation, (1) layers deposited on the floor of the magma chamber will be deformed and rotated into upwardly concave shapes that dip toward die spreading center; (2) die gross fabric defined by these orientations may greatly exceed the dimensions of the deforming regime, let alone the magma chamber (3) feeder dikes that penetrate the cumulate pile near the spreading axis will be rotated into parallel with the layering, but those that invade farther from the ridge will be lm deformed and retain crosscutting relationships; and (4) total deviatoric strain should increase down section toward the Moho so that primary magmatic structures and textures will be modified or obliterated in the lowermost gabbros. Upward migration of melts through the subsiding and deforming crystal mush may damp out cryptic varition in dhe gabbros and help maintain the magma chamber in a compositional steady state.","author":[{"dropping-particle":"","family":"Quick","given":"James E.","non-dropping-particle":"","parse-names":false,"suffix":""},{"dropping-particle":"","family":"Denlinger","given":"Roger P.","non-dropping-particle":"","parse-names":false,"suffix":""}],"container-title":"Journal of Geophysical Research: Solid Earth","id":"ITEM-1","issue":"B8","issued":{"date-parts":[["1993"]]},"page":"14015-14027","title":"Ductile deformation and the origin of layered gabbro in ophiolites","type":"article-journal","volume":"98"},"prefix":"e.g. ","uris":["http://www.mendeley.com/documents/?uuid=0e714248-243e-4e6c-aeb4-b1e8bf9b558f"]}],"mendeley":{"formattedCitation":"(e.g. Quick &amp; Denlinger, 1993)","plainTextFormattedCitation":"(e.g. Quick &amp; Denlinger, 1993)","previouslyFormattedCitation":"(e.g. Quick &amp; Denlinger, 1993)"},"properties":{"noteIndex":0},"schema":"https://github.com/citation-style-language/schema/raw/master/csl-citation.json"}</w:instrText>
      </w:r>
      <w:r>
        <w:fldChar w:fldCharType="separate"/>
      </w:r>
      <w:r w:rsidRPr="4DF8874B">
        <w:rPr>
          <w:noProof/>
        </w:rPr>
        <w:t>(e.g. Quick &amp; Denlinger, 1993)</w:t>
      </w:r>
      <w:r>
        <w:fldChar w:fldCharType="end"/>
      </w:r>
      <w:r>
        <w:t xml:space="preserve">, and geochemical evidence for hydrothermal interaction between seawater and oceanic lithosphere under high temperature conditions </w:t>
      </w:r>
      <w:r>
        <w:fldChar w:fldCharType="begin" w:fldLock="1"/>
      </w:r>
      <w:r>
        <w:instrText>ADDIN CSL_CITATION {"citationItems":[{"id":"ITEM-1","itemData":{"DOI":"10.1029/JB086iB04p02737","ISBN":"2156-2202","ISSN":"01480227","abstract":"Isotopic analyses of 75 samples from the Samail ophiolite indicate that pervasive subsolidus hydrothermal exchange with seawater occurred throughout the upper 75% of this 8-km-thick oceanic crustal section; locally, the H2O even penetrated down into the tectonized peridotite. Pillow lavas (δ18O = 10.7 to 12.7) and sheeted dikes (4.9 to 11.3) are typically enriched in 18O, and the gabbros (3.7 to 5.9) are depleted in 18O. In the latter rocks, water/rock ≤ 0.3, and δ18Ocpx ≈ 2.9 + 0.44 δ18Ofeld, indicating pronounced isotopic disequilibrium. The mineral δ18O values approximately follow an exchange (mixing) trajectory which requires that plagioclase must exchange with H2O about 3 to 5 times faster than clinopyroxene. The minimum δ18Ofeld value (3.6) occurs about 2.5 km below the diabase-gabbro contact. Although the gabbro plagioclase appears to be generally petrographically unaltered, its oxygen has been thoroughly exchanged; the absence of hydrous alteration minerals, except for minor talc and/or amphibole, suggests that this exchange occurred at T &gt; 400°–500°C. Plagioclase δ18O values increase up section from their minimum values, becoming coincident with primary magmatic values near the gabbro-sheeted diabase contact and reaching 11.8 in the diabase dikes. These 18O enrichments in greenschist facies diabases are in part due to exchange with strongly 18O-shifted fluids, in addition to retrograde exchange at much lower temperatures. The δ18O data and the geometry of the mid-ocean ridge (MOR) magma chamber require that two decoupled hydrothermal systems must be present during much of the early spreading history of the oceanic crust (approximately the first 106 years); one system is centered over the ridge axis and probably involves several convective cells that circulate downward to the roof of the magma chamber, while the other system operates underneath the wings of the chamber, in the layered gabbros. Upward discharge of 18O-shifted water into the altered dikes from the lower system, just beyond the distal edge of the magma chamber, combined with the effects of continued low-T hydrothermal activity, produces the 18O enrichments in the dike complex. Integrating δ18O as a function of depth for the entire ophiolite establishes (within geologic and analytical error) that the average δ18O (5.7 ± 0.2) of the oceanic crust did not change as a result of all these hydrothermal interactions with seawater. Therefore the net change in δ18O of seawater was also zero…","author":[{"dropping-particle":"","family":"Gregory","given":"Robert T.","non-dropping-particle":"","parse-names":false,"suffix":""},{"dropping-particle":"","family":"Taylor","given":"Hugh P.","non-dropping-particle":"","parse-names":false,"suffix":""}],"container-title":"Journal of Geophysical Research: Solid Earth","id":"ITEM-1","issue":"B4","issued":{"date-parts":[["1981"]]},"page":"2737-2755","title":"An oxygen isotope profile in a section of Cretaceous oceanic crust, Samail Ophiolite, Oman: Evidence for δ &lt;sup&gt;18&lt;/sup&gt; O buffering of the oceans by deep (&amp;gt;5 km) seawater-hydrothermal circulation at mid-ocean ridges","type":"article-journal","volume":"86"},"uris":["http://www.mendeley.com/documents/?uuid=1daedbce-fce1-435d-a835-3f1d5312ee52"]},{"id":"ITEM-2","itemData":{"DOI":"10.1029/1999gc000017","abstract":"Plagioclase-hosted melt inclusions from ocean floor lavas are\\ncharacterized by great diversity in their minor and trace element\\ncompositions. The incompatible element contents of the inclusions range\\nfrom enriched to ultradepleted. Ultradepleted inclusions in lavas\\nsampled from areas such as the Galapagos Platform and the Endeavour\\nSegment of the Juan de Fuca Ridge have Ti/Zr values as high as 3000.\\nSuch high Ti/Zr (low Ti and much lower Zr, as little as &gt;2 ppm)\\nsuggest a source material that was melted past the point of the\\nexhaustion of clinopyroxene (harzburgite melting). Nevertheless, these\\nsame inclusions have (La/Sm) n &gt; 0.25 (although with low\\nLa and Sm concentrations), low K2O (0.01-0.04 wt%), and high\\nCl (up to 1600 ppm). In addition, examination of melt inclusion data\\nfrom over 30 locations worldwide shows that there is a correlation\\nbetween the level of enrichment of the host lava and the trend in\\nK2O versus Cl described by the inclusion population. Melt\\ninclusions from enriched lavas are characterized by relatively low Cl\\ncontents at a given K2O and no high Cl inclusions. A wide\\nrange of Cl contents and uniformly low K2O characterizes\\ninclusions from depleted lavas. Transitional lavas exhibit either\\nintermediate slopes or two separate trends. In contrast, other\\nincompatible elements, such as P, Ti, and the high field strength\\nelements (HFSE), behave coherently. The paradox presented by high Cl and\\n(La/Sm) n together with low HFSE and K2O in melt\\ninclusion populations from depleted lavas, coupled with uniformly high\\nincompatible element contents in enriched lava inclusions, is\\ninconsistent with their derivation by variable degrees of melting.\\nCorrelation of Ti/Zr with Cl in the ultradepleted inclusions, plus the\\nabsence of high Cl contents in inclusions from enriched lavas supports\\nthe contention that this signal is a mantle phenomenon and not the\\nresult of alteration at or near the seafloor. The close association of\\nultradepleted and normal mid-ocean ridge basalt (NMORB) melt inclusions,\\nsometimes in the same phenocryst, together with the existence of a\\ncomplete array of melt compositions (i.e., not two distinct\\npopulations), demonstrates that the magma types were part of the same\\nmagma production episode. This combination of characteristics exhibited\\nby melt inclusions may be produced by the interaction of a harzburgite\\nsource with a Cl, light rare earth element-bearing fluid derived from\\ndeep hydrotherm…","author":[{"dropping-particle":"","family":"Nielsen","given":"Roger L.","non-dropping-particle":"","parse-names":false,"suffix":""},{"dropping-particle":"","family":"Sours-Page","given":"Rachel E.","non-dropping-particle":"","parse-names":false,"suffix":""},{"dropping-particle":"","family":"Harpp","given":"Karen S.","non-dropping-particle":"","parse-names":false,"suffix":""}],"container-title":"Geochemistry, Geophysics, Geosystems","id":"ITEM-2","issue":"5","issued":{"date-parts":[["2000"]]},"title":"Role of a Cl-bearing flux in the origin of depleted ocean floor magmas","type":"article-journal","volume":"1"},"uris":["http://www.mendeley.com/documents/?uuid=b9d71866-a095-4211-8f19-1873d4228586"]}],"mendeley":{"formattedCitation":"(Gregory &amp; Taylor, 1981; Nielsen et al., 2000)","manualFormatting":"(e.g. Gregory &amp; Taylor, 1981; Nielsen et al., 2000)","plainTextFormattedCitation":"(Gregory &amp; Taylor, 1981; Nielsen et al., 2000)","previouslyFormattedCitation":"(Gregory &amp; Taylor, 1981; Nielsen et al., 2000)"},"properties":{"noteIndex":0},"schema":"https://github.com/citation-style-language/schema/raw/master/csl-citation.json"}</w:instrText>
      </w:r>
      <w:r>
        <w:fldChar w:fldCharType="separate"/>
      </w:r>
      <w:r w:rsidRPr="4DF8874B">
        <w:rPr>
          <w:noProof/>
        </w:rPr>
        <w:t>(e.g. Gregory &amp; Taylor, 1981; Nielsen et al., 2000)</w:t>
      </w:r>
      <w:r>
        <w:fldChar w:fldCharType="end"/>
      </w:r>
      <w:r>
        <w:t xml:space="preserve">. </w:t>
      </w:r>
    </w:p>
    <w:p w14:paraId="324DCABD" w14:textId="4A76B10D" w:rsidR="004F307D" w:rsidRDefault="008D10C3" w:rsidP="00F24389">
      <w:pPr>
        <w:pStyle w:val="Style1"/>
        <w:spacing w:line="360" w:lineRule="auto"/>
      </w:pPr>
      <w:bookmarkStart w:id="13" w:name="_Toc109036110"/>
      <w:r>
        <w:t xml:space="preserve">1.0.2 </w:t>
      </w:r>
      <w:r w:rsidR="004F307D" w:rsidRPr="00FB2B82">
        <w:t>Results from previous investigations</w:t>
      </w:r>
      <w:r w:rsidR="004F307D" w:rsidRPr="4DF8874B">
        <w:t xml:space="preserve"> that constrained cooling rate variations in oceanic lithosphere</w:t>
      </w:r>
      <w:bookmarkEnd w:id="13"/>
    </w:p>
    <w:p w14:paraId="74B4BE99" w14:textId="1FD82F1E" w:rsidR="00F00EB2" w:rsidRDefault="004F307D" w:rsidP="001E0B34">
      <w:pPr>
        <w:pStyle w:val="BodyTextFirstIndent"/>
        <w:spacing w:line="360" w:lineRule="auto"/>
      </w:pPr>
      <w:r w:rsidRPr="15BFB69E">
        <w:t xml:space="preserve">Here we briefly summarize results from previous </w:t>
      </w:r>
      <w:proofErr w:type="spellStart"/>
      <w:r w:rsidRPr="15BFB69E">
        <w:t>speedometric</w:t>
      </w:r>
      <w:proofErr w:type="spellEnd"/>
      <w:r w:rsidRPr="15BFB69E">
        <w:t xml:space="preserve"> studies of oceanic lithosphere. </w:t>
      </w:r>
      <w:r w:rsidRPr="00FB2B82">
        <w:t>Garrido et al.</w:t>
      </w:r>
      <w:r>
        <w:t xml:space="preserve"> (</w:t>
      </w:r>
      <w:r w:rsidRPr="00FB2B82">
        <w:t>2001</w:t>
      </w:r>
      <w:r>
        <w:t>)</w:t>
      </w:r>
      <w:r w:rsidRPr="00FB2B82">
        <w:t xml:space="preserve">, applied crystal size distribution analysis to plagioclase </w:t>
      </w:r>
      <w:r w:rsidRPr="00FB2B82">
        <w:lastRenderedPageBreak/>
        <w:t xml:space="preserve">in </w:t>
      </w:r>
      <w:proofErr w:type="spellStart"/>
      <w:r w:rsidRPr="00FB2B82">
        <w:t>gabbros</w:t>
      </w:r>
      <w:proofErr w:type="spellEnd"/>
      <w:r w:rsidRPr="00FB2B82">
        <w:t xml:space="preserve"> from Wadi </w:t>
      </w:r>
      <w:proofErr w:type="spellStart"/>
      <w:r w:rsidRPr="00FB2B82">
        <w:t>Khafifah</w:t>
      </w:r>
      <w:proofErr w:type="spellEnd"/>
      <w:r w:rsidRPr="00FB2B82">
        <w:t xml:space="preserve"> in the southern Oman ophiolite, obtaining cooling rates in the shallow intrusive crust that decreased with depth, and were interpreted to be most consistent with hydrothermal cooling and solidification of the intrusive oceanic crust in sheeted sills. Coogan et al. (2002) applied a Ca</w:t>
      </w:r>
      <w:r w:rsidRPr="15BFB69E">
        <w:t>-</w:t>
      </w:r>
      <w:r w:rsidRPr="00FB2B82">
        <w:t>in</w:t>
      </w:r>
      <w:r w:rsidRPr="15BFB69E">
        <w:t>-</w:t>
      </w:r>
      <w:r w:rsidRPr="00FB2B82">
        <w:t>olivine thermometer to samples from a thin (</w:t>
      </w:r>
      <w:r w:rsidRPr="00D401A0">
        <w:t>3km</w:t>
      </w:r>
      <w:r w:rsidRPr="00FB2B82">
        <w:t xml:space="preserve"> thick) crustal section in the northern Oman ophiolite (Wadi Abyad) and interpreted the data using a 1-D grain scale model for diffusive exchange between olivine and clinopyroxene. The same data were reanalyzed by Coogan et al. (2007) using a revised Ca in olivine diffusion coefficient (Coogan et al., 2005), producing a smooth, systematic decrease in cooling rate with depth in the crustal section (rates of 10</w:t>
      </w:r>
      <w:r w:rsidRPr="00FB2B82">
        <w:rPr>
          <w:vertAlign w:val="superscript"/>
        </w:rPr>
        <w:t>-1</w:t>
      </w:r>
      <w:r w:rsidRPr="00FB2B82">
        <w:t xml:space="preserve"> °C/y near the sheeted dikes to 10</w:t>
      </w:r>
      <w:r w:rsidRPr="00FB2B82">
        <w:rPr>
          <w:vertAlign w:val="superscript"/>
        </w:rPr>
        <w:t>-6</w:t>
      </w:r>
      <w:r w:rsidRPr="00FB2B82">
        <w:t xml:space="preserve"> °C/y near the crust-mantle transition), consistent with conductive cooling of the crust. Coogan et al. (2007) additionally investigated samples from an ultra-slow spreading segment of the Southwest Indian Ridge (SWIR). They found </w:t>
      </w:r>
      <w:r w:rsidRPr="15BFB69E">
        <w:t>moderately fast</w:t>
      </w:r>
      <w:r w:rsidRPr="00FB2B82">
        <w:t>, uniform cooling with depth (10</w:t>
      </w:r>
      <w:r w:rsidRPr="00FB2B82">
        <w:rPr>
          <w:vertAlign w:val="superscript"/>
        </w:rPr>
        <w:t>-3</w:t>
      </w:r>
      <w:r w:rsidRPr="00FB2B82">
        <w:t xml:space="preserve"> to 10</w:t>
      </w:r>
      <w:r w:rsidRPr="00FB2B82">
        <w:rPr>
          <w:vertAlign w:val="superscript"/>
        </w:rPr>
        <w:t>-2</w:t>
      </w:r>
      <w:r w:rsidRPr="00FB2B82">
        <w:t xml:space="preserve"> °C/y). Van </w:t>
      </w:r>
      <w:proofErr w:type="spellStart"/>
      <w:r w:rsidRPr="00FB2B82">
        <w:t>Tongeren</w:t>
      </w:r>
      <w:proofErr w:type="spellEnd"/>
      <w:r w:rsidRPr="00FB2B82">
        <w:t xml:space="preserve"> et al. (2008) applied a Ca-in-olivine thermometer and Dodson (197</w:t>
      </w:r>
      <w:r w:rsidRPr="15BFB69E">
        <w:t>3</w:t>
      </w:r>
      <w:r w:rsidRPr="00FB2B82">
        <w:t xml:space="preserve">) closure temperature model to </w:t>
      </w:r>
      <w:proofErr w:type="spellStart"/>
      <w:r w:rsidRPr="00FB2B82">
        <w:t>gabbros</w:t>
      </w:r>
      <w:proofErr w:type="spellEnd"/>
      <w:r w:rsidRPr="00FB2B82">
        <w:t xml:space="preserve"> from Wadi </w:t>
      </w:r>
      <w:proofErr w:type="spellStart"/>
      <w:r w:rsidRPr="00FB2B82">
        <w:t>Khafifah</w:t>
      </w:r>
      <w:proofErr w:type="spellEnd"/>
      <w:r w:rsidRPr="00FB2B82">
        <w:t>, southern Oman ophiolite, obtaining fast and uniform cooling rates with depth throughout the gabbroic section (10</w:t>
      </w:r>
      <w:r w:rsidRPr="00FB2B82">
        <w:rPr>
          <w:vertAlign w:val="superscript"/>
        </w:rPr>
        <w:t>-2</w:t>
      </w:r>
      <w:r w:rsidRPr="00FB2B82">
        <w:t xml:space="preserve"> to 1 °C/y). </w:t>
      </w:r>
      <w:r>
        <w:t xml:space="preserve"> </w:t>
      </w:r>
    </w:p>
    <w:p w14:paraId="31072662" w14:textId="63193647" w:rsidR="004F307D" w:rsidRDefault="004F307D" w:rsidP="00F24389">
      <w:pPr>
        <w:pStyle w:val="BodyTextFirstIndent"/>
        <w:spacing w:line="360" w:lineRule="auto"/>
      </w:pPr>
      <w:r>
        <w:t xml:space="preserve">At Hess Deep, </w:t>
      </w:r>
      <w:proofErr w:type="spellStart"/>
      <w:r w:rsidRPr="00FB2B82">
        <w:t>Faak</w:t>
      </w:r>
      <w:proofErr w:type="spellEnd"/>
      <w:r w:rsidRPr="00FB2B82">
        <w:t xml:space="preserve"> &amp; Gillis (2016) investigated olivine gabbros and troctolites inferred to originate from the shallow crust, as well as deeper </w:t>
      </w:r>
      <w:proofErr w:type="spellStart"/>
      <w:r w:rsidRPr="00FB2B82">
        <w:t>plutonics</w:t>
      </w:r>
      <w:proofErr w:type="spellEnd"/>
      <w:r w:rsidRPr="00FB2B82">
        <w:t>, and found a spatially varying gradient in cooling rate of ~0.3</w:t>
      </w:r>
      <w:r w:rsidRPr="70EE836C">
        <w:t xml:space="preserve"> °C/y</w:t>
      </w:r>
      <w:r w:rsidRPr="00FB2B82">
        <w:t xml:space="preserve"> in the shallow crust to 10</w:t>
      </w:r>
      <w:r w:rsidRPr="00FB2B82">
        <w:rPr>
          <w:vertAlign w:val="superscript"/>
        </w:rPr>
        <w:t>-4</w:t>
      </w:r>
      <w:r w:rsidRPr="00FB2B82">
        <w:t xml:space="preserve"> </w:t>
      </w:r>
      <w:r w:rsidRPr="70EE836C">
        <w:t xml:space="preserve">°C/y </w:t>
      </w:r>
      <w:r w:rsidRPr="00FB2B82">
        <w:t xml:space="preserve">in the deeper crust using a Mg-in-plagioclase thermometer and a </w:t>
      </w:r>
      <w:proofErr w:type="spellStart"/>
      <w:r w:rsidRPr="00FB2B82">
        <w:t>speedometric</w:t>
      </w:r>
      <w:proofErr w:type="spellEnd"/>
      <w:r w:rsidRPr="00FB2B82">
        <w:t xml:space="preserve"> method based on inversion of grain-scale chemical variations (or lack thereof, </w:t>
      </w:r>
      <w:proofErr w:type="spellStart"/>
      <w:r w:rsidRPr="00FB2B82">
        <w:t>Faak</w:t>
      </w:r>
      <w:proofErr w:type="spellEnd"/>
      <w:r w:rsidRPr="00FB2B82">
        <w:t xml:space="preserve"> et al., 2014). </w:t>
      </w:r>
      <w:proofErr w:type="spellStart"/>
      <w:r w:rsidRPr="00FB2B82">
        <w:t>Faak</w:t>
      </w:r>
      <w:proofErr w:type="spellEnd"/>
      <w:r w:rsidRPr="00FB2B82">
        <w:t xml:space="preserve"> et al. (2015) investigated the same Hess Deep samples as well as several </w:t>
      </w:r>
      <w:proofErr w:type="spellStart"/>
      <w:r w:rsidRPr="00FB2B82">
        <w:t>gabbros</w:t>
      </w:r>
      <w:proofErr w:type="spellEnd"/>
      <w:r w:rsidRPr="00FB2B82">
        <w:t xml:space="preserve"> from </w:t>
      </w:r>
      <w:proofErr w:type="spellStart"/>
      <w:r w:rsidRPr="00FB2B82">
        <w:t>Pito</w:t>
      </w:r>
      <w:proofErr w:type="spellEnd"/>
      <w:r w:rsidRPr="00FB2B82">
        <w:t xml:space="preserve"> Deep (along the margin of the Easter microplate) and IODP hole 1256D, reaching similar conclusions. </w:t>
      </w:r>
      <w:r w:rsidRPr="00F83259">
        <w:t xml:space="preserve">Dygert et al. (2017) applied Ca-in-olivine and REE-in-two-pyroxene-based </w:t>
      </w:r>
      <w:proofErr w:type="spellStart"/>
      <w:r w:rsidRPr="00F83259">
        <w:t>speedometric</w:t>
      </w:r>
      <w:proofErr w:type="spellEnd"/>
      <w:r w:rsidRPr="00F83259">
        <w:t xml:space="preserve"> methods (</w:t>
      </w:r>
      <w:proofErr w:type="spellStart"/>
      <w:r w:rsidRPr="00F83259">
        <w:t>Dygert</w:t>
      </w:r>
      <w:proofErr w:type="spellEnd"/>
      <w:r w:rsidRPr="00F83259">
        <w:t xml:space="preserve"> &amp; Liang, 2015) to mantle peridotites from Wadi </w:t>
      </w:r>
      <w:proofErr w:type="spellStart"/>
      <w:r w:rsidRPr="00F83259">
        <w:t>Tayin</w:t>
      </w:r>
      <w:proofErr w:type="spellEnd"/>
      <w:r w:rsidRPr="00F83259">
        <w:t>, southern Oman ophiolite, and observed a smooth and systematic decrease of cooling rate with depth moving deeper into the mantle section beneath the crust (~0.1 °C/y near the crust-mantle transition and 10</w:t>
      </w:r>
      <w:r w:rsidRPr="00F83259">
        <w:rPr>
          <w:vertAlign w:val="superscript"/>
        </w:rPr>
        <w:t>-3</w:t>
      </w:r>
      <w:r w:rsidRPr="00F83259">
        <w:t xml:space="preserve"> </w:t>
      </w:r>
      <w:r w:rsidRPr="70EE836C">
        <w:t xml:space="preserve">°C/y </w:t>
      </w:r>
      <w:r w:rsidRPr="00F83259">
        <w:t>4km beneath it).</w:t>
      </w:r>
      <w:r>
        <w:t xml:space="preserve"> </w:t>
      </w:r>
      <w:r w:rsidRPr="00FB2B82">
        <w:t xml:space="preserve">Sun &amp; </w:t>
      </w:r>
      <w:proofErr w:type="spellStart"/>
      <w:r w:rsidRPr="00FB2B82">
        <w:t>Lissenberg</w:t>
      </w:r>
      <w:proofErr w:type="spellEnd"/>
      <w:r w:rsidRPr="00FB2B82">
        <w:t xml:space="preserve"> (2018a) developed a coupled Mg-in-plagioclase and REE-in-</w:t>
      </w:r>
      <w:r w:rsidRPr="00FB2B82">
        <w:lastRenderedPageBreak/>
        <w:t xml:space="preserve">clinopyroxene-plagioclase speedometer based on averaged mineral compositions and applied it to Hess Deep gabbros inferred to come from structural depths greater than those investigated by </w:t>
      </w:r>
      <w:proofErr w:type="spellStart"/>
      <w:r w:rsidRPr="00FB2B82">
        <w:t>Faak</w:t>
      </w:r>
      <w:proofErr w:type="spellEnd"/>
      <w:r w:rsidRPr="00FB2B82">
        <w:t xml:space="preserve"> et al. (2015; 2016). They determined fast and near uniform cooling rates with depth (~1 to 10</w:t>
      </w:r>
      <w:r w:rsidRPr="00FB2B82">
        <w:rPr>
          <w:vertAlign w:val="superscript"/>
        </w:rPr>
        <w:t>-2</w:t>
      </w:r>
      <w:r w:rsidRPr="00FB2B82">
        <w:t xml:space="preserve"> °C/y), and inferred that hydrothermal circulation cooled the entire Hess Deep lithosphere</w:t>
      </w:r>
      <w:r w:rsidRPr="70EE836C">
        <w:t>, which accreted from solidification of periodically replenished magma bodies</w:t>
      </w:r>
      <w:r w:rsidRPr="15BFB69E">
        <w:t xml:space="preserve"> (sills)</w:t>
      </w:r>
      <w:r w:rsidRPr="00FB2B82">
        <w:t>.</w:t>
      </w:r>
      <w:r w:rsidRPr="70EE836C">
        <w:t xml:space="preserve"> </w:t>
      </w:r>
      <w:r w:rsidRPr="70EE836C" w:rsidDel="00486D7D">
        <w:t>Mock et al. (2020) investigated gabbros from the mid-plutonic and lowermost crust at the southern Oman ophiolite (</w:t>
      </w:r>
      <w:proofErr w:type="spellStart"/>
      <w:r w:rsidRPr="70EE836C" w:rsidDel="00486D7D">
        <w:t>Samail</w:t>
      </w:r>
      <w:proofErr w:type="spellEnd"/>
      <w:r w:rsidRPr="70EE836C" w:rsidDel="00486D7D">
        <w:t xml:space="preserve"> and Wadi </w:t>
      </w:r>
      <w:proofErr w:type="spellStart"/>
      <w:r w:rsidRPr="70EE836C" w:rsidDel="00486D7D">
        <w:t>Tayin</w:t>
      </w:r>
      <w:proofErr w:type="spellEnd"/>
      <w:r w:rsidRPr="70EE836C" w:rsidDel="00486D7D">
        <w:t xml:space="preserve"> massifs, respectively), recovering cooling rates of ~10</w:t>
      </w:r>
      <w:r w:rsidRPr="00FB2B82" w:rsidDel="00486D7D">
        <w:rPr>
          <w:vertAlign w:val="superscript"/>
        </w:rPr>
        <w:t>-2</w:t>
      </w:r>
      <w:r w:rsidRPr="70EE836C" w:rsidDel="00486D7D">
        <w:t xml:space="preserve"> °C/y and ~10</w:t>
      </w:r>
      <w:r w:rsidRPr="00FB2B82" w:rsidDel="00486D7D">
        <w:rPr>
          <w:vertAlign w:val="superscript"/>
        </w:rPr>
        <w:t>-1</w:t>
      </w:r>
      <w:r w:rsidRPr="70EE836C" w:rsidDel="00486D7D">
        <w:t xml:space="preserve"> °C/y through Ca-in-olivine and Mg-in-plagioclase closure temperatures, and demonstrating efficient heat loss from the lowermost crust</w:t>
      </w:r>
      <w:r w:rsidDel="00486D7D">
        <w:t>, perhaps by deep hydrothermal circulation</w:t>
      </w:r>
      <w:r w:rsidRPr="70EE836C" w:rsidDel="00486D7D">
        <w:t>.</w:t>
      </w:r>
    </w:p>
    <w:p w14:paraId="5500A09F" w14:textId="52CF83A3" w:rsidR="004F307D" w:rsidRPr="00197B30" w:rsidRDefault="008D10C3" w:rsidP="00F24389">
      <w:pPr>
        <w:pStyle w:val="Heading3"/>
        <w:spacing w:line="360" w:lineRule="auto"/>
      </w:pPr>
      <w:bookmarkStart w:id="14" w:name="_Toc109036111"/>
      <w:bookmarkStart w:id="15" w:name="_Hlk57750252"/>
      <w:r>
        <w:t xml:space="preserve">1.1 </w:t>
      </w:r>
      <w:r w:rsidR="004F307D" w:rsidRPr="00197B30">
        <w:t>Study Areas</w:t>
      </w:r>
      <w:bookmarkEnd w:id="14"/>
    </w:p>
    <w:p w14:paraId="015F6A01" w14:textId="044D9F3B" w:rsidR="004F307D" w:rsidRDefault="004F307D" w:rsidP="00F24389">
      <w:pPr>
        <w:spacing w:line="360" w:lineRule="auto"/>
        <w:ind w:firstLine="360"/>
      </w:pPr>
      <w:r>
        <w:t xml:space="preserve">Samples investigated in this study were drilled in ophiolitic and abyssal settings. The lithosphere recovered from ophiolites and abyssal environments provides insights into the architecture and thermal history of intermediate to fast-spreading mid-ocean ridges, however, these environments represent imperfect analogs for the oceanic lithosphere most common in the ocean basins. Ophiolite sequences are well exposed but interpreted to represent spreading centers from trench-proximal settings that differ geochemically and tectonically from mid-ocean ridges (e.g., </w:t>
      </w:r>
      <w:r>
        <w:fldChar w:fldCharType="begin" w:fldLock="1"/>
      </w:r>
      <w:r>
        <w:instrText>ADDIN CSL_CITATION {"citationItems":[{"id":"ITEM-1","itemData":{"DOI":"10.1130/G33904.1","ISSN":"00917613","abstract":"The Oman ophiolite has an axial volcanic suite and associated sheeted dike complex similar in composition to modern mid-oceanic ridge basalt (MORB). Its internal structure is regarded by many as being directly comparable to ocean lithosphere from the East Pacific Rise. However, there has long been controversy over the geodynamic setting in which the ophiolite formed, and the extent to which the analogy can be drawn, because the MORB-like axial volcanics are overlain by lavas that include depleted arc tholeiites and boninites. To some, this implies that the entire ophiolite formed above a subduction zone; others maintain that it formed at a true open-ocean MOR, and that the water required to generate the arc-like magmas derived from descending near-axis hydrothermal fluids or from ancient subduction. A popular compromise posits that the axial suite formed at a true MOR and the later magmatism documents the initiation of obduction. We test these models by reexamining the \"MORB-like\" character of the early axial lavas and dikes. We show that fractionation trends require the presence of water at concentrations significantly higher than any open-ocean MORB; instead, trends are identical to those of backarc basin and intraoceanic forearc volcanics. By showing that the entire ophiolite formed in a hydrous system, we rule out all models in which the Oman ophiolite was generated at an open-ocean MOR; instead, it formed at a submarine spreading center above a (probably newly initiated) subduction zone.","author":[{"dropping-particle":"","family":"MacLeod","given":"Christopher J.","non-dropping-particle":"","parse-names":false,"suffix":""},{"dropping-particle":"","family":"Johan Lissenberg","given":"C.","non-dropping-particle":"","parse-names":false,"suffix":""},{"dropping-particle":"","family":"Bibby","given":"Lauren E.","non-dropping-particle":"","parse-names":false,"suffix":""}],"container-title":"Geology","id":"ITEM-1","issue":"4","issued":{"date-parts":[["2013"]]},"page":"459-462","title":"\"Moist MORB\" axial magmatism in the Oman ophiolite: The evidence against a mid-ocean ridge origin","type":"article-journal","volume":"41"},"uris":["http://www.mendeley.com/documents/?uuid=b5e0c920-047f-43d8-92f7-95a40bed9b5e"]},{"id":"ITEM-2","itemData":{"DOI":"10.1016/j.epsl.2016.06.051","ISSN":"0012821X","abstract":"The Semail (Oman–United Arab Emirates) and other Tethyan-type ophiolites are underlain by a sole consisting of greenschist- to granulite-facies metamorphic rocks. As preserved remnants of the underthrust plate, sole exposures can be used to better understand the formation and obduction of ophiolites. Early models envisioned that the metamorphic sole of the Semail ophiolite formed as a result of thrusting of the hot ophiolite lithosphere over adjacent oceanic crust during initial emplacement; however, calculated pressures from granulite-facies mineral assemblages in the sole suggest the metamorphic rocks formed at &gt;35 km depth, and are too high to be explained by the currently preserved thickness of ophiolite crust and mantle (up to 15–20 km). We have used high-precision U–Pb zircon dating to study the formation and evolution of the metamorphic sole at two well-studied localities. Our previous research and new results show that the ophiolite crust formed from 96.12–95.50 Ma. Our new dates from the Sumeini and Wadi Tayin sole localities indicate peak metamorphism at 96.16 and 94.82 Ma (±0.022 to 0.035 Ma), respectively. The dates from the Sumeini sole locality show for the first time that the metamorphic rocks formed either prior to or during formation of the ophiolite crust, and were later juxtaposed with the base of the ophiolite. These data, combined with existing geochemical constraints, are best explained by formation of the ophiolite in a supra-subduction zone setting, with metamorphism of the sole rocks occurring in a subducted slab. The 1.3 Ma difference between the Wadi Tayin and Sumeini dates indicates that, in contrast to current models, the highest-grade rocks at different sole localities underwent metamorphism, and may have returned up the subduction channel, at different times.","author":[{"dropping-particle":"","family":"Rioux","given":"Matthew","non-dropping-particle":"","parse-names":false,"suffix":""},{"dropping-particle":"","family":"Garber","given":"Joshua","non-dropping-particle":"","parse-names":false,"suffix":""},{"dropping-particle":"","family":"Bauer","given":"Ann","non-dropping-particle":"","parse-names":false,"suffix":""},{"dropping-particle":"","family":"Bowring","given":"Samuel","non-dropping-particle":"","parse-names":false,"suffix":""},{"dropping-particle":"","family":"Searle","given":"Michael","non-dropping-particle":"","parse-names":false,"suffix":""},{"dropping-particle":"","family":"Kelemen","given":"Peter B.","non-dropping-particle":"","parse-names":false,"suffix":""},{"dropping-particle":"","family":"Hacker","given":"Bradley","non-dropping-particle":"","parse-names":false,"suffix":""}],"container-title":"Earth and Planetary Science Letters","id":"ITEM-2","issued":{"date-parts":[["2016"]]},"page":"185-195","publisher":"Elsevier B.V.","title":"Synchronous formation of the metamorphic sole and igneous crust of the Semail ophiolite: New constraints on the tectonic evolution during ophiolite formation from high-precision U–Pb zircon geochronology","type":"article-journal","volume":"451"},"uris":["http://www.mendeley.com/documents/?uuid=5cf8df0f-9f38-4ca0-8585-16385804ad65"]},{"id":"ITEM-3","itemData":{"DOI":"10.1098/rsta.1981.0066","ISSN":"0080-4614","abstract":"Geological and geochemical evidence suggest that the Oman ophiolite is a fragment of a submarine arc-basin complex formed above a short-lived subduction zone in the mid-Cretaceous. Detailed studies of the lava stratigraphy and the intrusive relationships of dykes, sills and high-level plutons provide further evidence for the magmatic and tectonic development of the complex in question. Four consecutive events can be recognized to have taken place before emplacement: (1) eruption of basalts of island arc affinity onto pre-existing (Triassic) oceanic crust; (2) creation of new oceanic crust by backarc spreading; (3) intrusion of magma into this back-arc oceanic crust accompanied by eruption of basalts and andesites from discrete volcanic centres; (4) further intrusion of magma accompanied by uplift and eruption of basalts and rhyolites in submarine graben. A combined structural and geochemical analysis of the dyke swarm indicates that extension took place in approximately a N-S (ridge) and an ESE-WNW (leaky transform) direction relative to an inferred direction of subduction to the NE, and that a small but significant proportion of the sheeted dykes were injected during the ‘arc’ rather than the earlier ‘back-arc spreading’ episode. These various observations can be explained in terms of the progressive response of a non-isotropic lithosphere to the stresses induced during subduction.","author":[{"dropping-particle":"","family":"Pearce","given":"J. A.","non-dropping-particle":"","parse-names":false,"suffix":""},{"dropping-particle":"","family":"Alabaster","given":"T.","non-dropping-particle":"","parse-names":false,"suffix":""},{"dropping-particle":"","family":"Shelton","given":"A.W.","non-dropping-particle":"","parse-names":false,"suffix":""},{"dropping-particle":"","family":"Searle","given":"Michael P.","non-dropping-particle":"","parse-names":false,"suffix":""}],"container-title":"Philosophical Transactions of the Royal Society of London. Series A, Mathematical and Physical Sciences","id":"ITEM-3","issue":"1454","issued":{"date-parts":[["1981","3","26"]]},"page":"299-317","title":"The Oman ophiolite as a Cretaceous arc-basin complex: evidence and implications","type":"article-journal","volume":"300"},"uris":["http://www.mendeley.com/documents/?uuid=19814e82-6c72-4889-8dd8-283a2a4c2ea5"]}],"mendeley":{"formattedCitation":"(MacLeod et al., 2013; Pearce et al., 1981; Rioux et al., 2016)","manualFormatting":"MacLeod et al., 2013; Pearce et al., 1981; Rioux et al., 2016)","plainTextFormattedCitation":"(MacLeod et al., 2013; Pearce et al., 1981; Rioux et al., 2016)","previouslyFormattedCitation":"(MacLeod et al., 2013; Pearce et al., 1981; Rioux et al., 2016)"},"properties":{"noteIndex":0},"schema":"https://github.com/citation-style-language/schema/raw/master/csl-citation.json"}</w:instrText>
      </w:r>
      <w:r>
        <w:fldChar w:fldCharType="separate"/>
      </w:r>
      <w:r w:rsidRPr="70EE836C">
        <w:rPr>
          <w:noProof/>
        </w:rPr>
        <w:t>MacLeod et al., 2013; Pearce et al., 1981; Rioux et al., 2016)</w:t>
      </w:r>
      <w:r>
        <w:fldChar w:fldCharType="end"/>
      </w:r>
      <w:r>
        <w:t xml:space="preserve">. On the other hand, oceanic lithosphere drilled and dredged from the seafloor lacks geologic context, and typically comes from magma starved spreading centers, which are not thermally or structurally representative of oceanic lithosphere with a typical 6-km thick crustal section </w:t>
      </w:r>
      <w:r>
        <w:fldChar w:fldCharType="begin" w:fldLock="1"/>
      </w:r>
      <w:r>
        <w:instrText>ADDIN CSL_CITATION {"citationItems":[{"id":"ITEM-1","itemData":{"DOI":"10.1029/148GM05","ISBN":"9781118665879","ISSN":"23288779","abstract":"In this paper, we examine many aspects of how heat from melts and from the mantle is transferred to the oceanic lithosphere at mid-ocean ridges, focusing on constraints that can be derived from rock specimen and geological observations at midocean ridges and in ophiolites. These range from experimental constraints on the specific heat and latent heat of crystallisation of oceanic crustal materials, to geological constraints on how melt is distributed throughout the axial lithosphere, and partitioned between gabbros, dykes, and lava. We also discuss oceanic magma chamber processes and the episodicity of magma input at fast and slow-spreading ridges, and test four different ways of estimating the melt supply to mid-ocean ridges (seismic crustal thickness; regional axial depth; sodium and REE contents in MORB). We find that these four methods yield consistent results at East Pacific Rise sites, but that determination of the melt (and heat) supply to the crust of slow-spreading ridges is not as straightforward and requires a good integration of local scale geological, geophysical, and geochemical data. Many of our conclusions concern the tectonically and lithologically complex slow-spreading ridges. We discuss these ridges under two crustal end-members: a magmatically-dominated, segment centre type, end-member, and a magma-poor, segment end type, end-member. In this magma-poor end-member mantle-derived peridotite must be a significant source of heat, and tectonic heat advection is expected as deeply-derived rocks are tectonically uplifted through the axial lithosphere and emplaced into the crust. We estimate that the total heat supply per unit area of young crust in this magma-poor end-member setting should not be much less than the heat supply per unit area of young crust formed in magmatically-dominated segment centres. This heat would not, however, be available in the same way to axial hydrothermal systems. We also show that there is substantial evidence for partial crystallisation of magma in the form of gabbros (and for the production of latent heat of crystallisation) at sub-crustal depth below slow-spreading ridges.","author":[{"dropping-particle":"","family":"Cannat","given":"Mathilde","non-dropping-particle":"","parse-names":false,"suffix":""},{"dropping-particle":"","family":"Cann","given":"Joe","non-dropping-particle":"","parse-names":false,"suffix":""},{"dropping-particle":"","family":"Maclennan","given":"John","non-dropping-particle":"","parse-names":false,"suffix":""}],"container-title":"Geophysical Monograph Series","id":"ITEM-1","issued":{"date-parts":[["2004"]]},"page":"111-149","title":"Some hard rock constraints on the supply of heat to mid-ocean ridges","type":"article-journal","volume":"148"},"prefix":"e.g. ","uris":["http://www.mendeley.com/documents/?uuid=7564863b-cbd5-43cb-a72e-3e9de0cd3535"]},{"id":"ITEM-2","itemData":{"DOI":"10.1029/92GL00161","ISBN":"1944-8007","ISSN":"00948276","abstract":"A compilation of oceanic crustal thickness from seismic observations collected over the past two decades shows that the average crustal thickness, away from plateaus, is 6 km; no systematic increase of crustal thickness with spreading rate is observed. Instead, the data show large variations in crustal thickness at slow spreading ridges (3 – 8 km for half rates &lt; 20 mm/yr) and small variations in thickness at fast rates (5 – 7 km for half rates &gt; 30 mm/yr). The large variations at slow ridges and small variations at fast ridges are consistent with the results inferred from recent gravity studies of mid</w:instrText>
      </w:r>
      <w:r>
        <w:rPr>
          <w:rFonts w:ascii="Cambria Math" w:hAnsi="Cambria Math" w:cs="Cambria Math"/>
        </w:rPr>
        <w:instrText>‐</w:instrText>
      </w:r>
      <w:r>
        <w:instrText>ocean ridges. Both data sets support the speculation of a transition from a 3</w:instrText>
      </w:r>
      <w:r>
        <w:rPr>
          <w:rFonts w:ascii="Cambria Math" w:hAnsi="Cambria Math" w:cs="Cambria Math"/>
        </w:rPr>
        <w:instrText>‐</w:instrText>
      </w:r>
      <w:r>
        <w:instrText>D structure of crustal accretion at slow ridges to a 2</w:instrText>
      </w:r>
      <w:r>
        <w:rPr>
          <w:rFonts w:ascii="Cambria Math" w:hAnsi="Cambria Math" w:cs="Cambria Math"/>
        </w:rPr>
        <w:instrText>‐</w:instrText>
      </w:r>
      <w:r>
        <w:instrText>D accretion pattern at fast ridges.","author":[{"dropping-particle":"","family":"Chen","given":"Yongshun John","non-dropping-particle":"","parse-names":false,"suffix":""}],"container-title":"Geophysical Research Letters","id":"ITEM-2","issue":"8","issued":{"date-parts":[["1992","4","24"]]},"page":"753-756","title":"Oceanic crustal thickness versus spreading rate","type":"article-journal","volume":"19"},"uris":["http://www.mendeley.com/documents/?uuid=fde0e5c1-8073-48c3-bf92-a5f999fe91a7"]},{"id":"ITEM-3","itemData":{"author":[{"dropping-particle":"","family":"Dick","given":"Henry J.B.","non-dropping-particle":"","parse-names":false,"suffix":""},{"dropping-particle":"","family":"Lin","given":"Jian","non-dropping-particle":"","parse-names":false,"suffix":""},{"dropping-particle":"","family":"Schouten","given":"Hans","non-dropping-particle":"","parse-names":false,"suffix":""}],"container-title":"Nature","id":"ITEM-3","issued":{"date-parts":[["2003"]]},"page":"405-412","title":"An ultraslow-spreading class of ocean ridge","type":"article-journal","volume":"426"},"uris":["http://www.mendeley.com/documents/?uuid=0ca73345-591c-495d-b130-5b1401fccf62"]}],"mendeley":{"formattedCitation":"(e.g. Cannat et al., 2004; Chen, 1992; Dick et al., 2003)","plainTextFormattedCitation":"(e.g. Cannat et al., 2004; Chen, 1992; Dick et al., 2003)","previouslyFormattedCitation":"(e.g. Cannat et al., 2004; Chen, 1992; Dick et al., 2003)"},"properties":{"noteIndex":0},"schema":"https://github.com/citation-style-language/schema/raw/master/csl-citation.json"}</w:instrText>
      </w:r>
      <w:r>
        <w:fldChar w:fldCharType="separate"/>
      </w:r>
      <w:r w:rsidRPr="70EE836C">
        <w:rPr>
          <w:noProof/>
        </w:rPr>
        <w:t>(e.g. Cannat et al., 2004; Chen, 1992; Dick et al., 2003)</w:t>
      </w:r>
      <w:r>
        <w:fldChar w:fldCharType="end"/>
      </w:r>
      <w:r>
        <w:t xml:space="preserve">. By obtaining new geochemical data and thermal histories from the </w:t>
      </w:r>
      <w:proofErr w:type="spellStart"/>
      <w:r>
        <w:t>Samail</w:t>
      </w:r>
      <w:proofErr w:type="spellEnd"/>
      <w:r>
        <w:t xml:space="preserve"> ophiolite and a tectonic window in the East Pacific Rise, we overcome these potential sampling biases, thus enabling direct comparison between ophiolitic lithosphere and oceanic lithosphere formed beneath a normal mid-ocean ridge. </w:t>
      </w:r>
    </w:p>
    <w:p w14:paraId="7FF2B9E3" w14:textId="547B1C0C" w:rsidR="004F307D" w:rsidRPr="00C0459B" w:rsidRDefault="008D10C3" w:rsidP="00F24389">
      <w:pPr>
        <w:pStyle w:val="Style1"/>
        <w:spacing w:line="360" w:lineRule="auto"/>
      </w:pPr>
      <w:bookmarkStart w:id="16" w:name="_Toc109036112"/>
      <w:r>
        <w:lastRenderedPageBreak/>
        <w:t xml:space="preserve">1.1.1 </w:t>
      </w:r>
      <w:r w:rsidR="004F307D" w:rsidRPr="00C0459B">
        <w:t xml:space="preserve">Wadi </w:t>
      </w:r>
      <w:proofErr w:type="spellStart"/>
      <w:r w:rsidR="004F307D" w:rsidRPr="00C0459B">
        <w:t>Zeeb</w:t>
      </w:r>
      <w:proofErr w:type="spellEnd"/>
      <w:r w:rsidR="004F307D" w:rsidRPr="00C0459B">
        <w:t>, Oman ophiolite</w:t>
      </w:r>
      <w:r w:rsidR="004F307D">
        <w:t>, as sampled by the Oman Drilling Project</w:t>
      </w:r>
      <w:bookmarkEnd w:id="16"/>
    </w:p>
    <w:p w14:paraId="20DFF468" w14:textId="4A6BACFC" w:rsidR="00F00EB2" w:rsidRDefault="004F307D" w:rsidP="001E0B34">
      <w:pPr>
        <w:spacing w:line="360" w:lineRule="auto"/>
        <w:ind w:firstLine="360"/>
      </w:pPr>
      <w:r>
        <w:t xml:space="preserve">The </w:t>
      </w:r>
      <w:proofErr w:type="spellStart"/>
      <w:r>
        <w:t>Samail</w:t>
      </w:r>
      <w:proofErr w:type="spellEnd"/>
      <w:r>
        <w:t xml:space="preserve"> ophiolite in the Sultanate of Oman and the United Arab Emirates, exposes 5-6 km of oceanic crust and in places, underlying mantle peridotite representing &gt;10km of structural depth obducted onto the Arabian margin </w:t>
      </w:r>
      <w:r>
        <w:fldChar w:fldCharType="begin" w:fldLock="1"/>
      </w:r>
      <w:r>
        <w:instrText>ADDIN CSL_CITATION {"citationItems":[{"id":"ITEM-1","itemData":{"DOI":"10.1029/JB086iB04p02573","ISSN":"01480227","author":[{"dropping-particle":"","family":"Boudier","given":"Françoise","non-dropping-particle":"","parse-names":false,"suffix":""},{"dropping-particle":"","family":"Coleman","given":"R. G.","non-dropping-particle":"","parse-names":false,"suffix":""}],"container-title":"Journal of Geophysical Research: Solid Earth","id":"ITEM-1","issue":"B4","issued":{"date-parts":[["1981","4","10"]]},"page":"2573-2592","title":"Cross section through the peridotite in the Samail Ophiolite, southeastern Oman Mountains","type":"article-journal","volume":"86"},"uris":["http://www.mendeley.com/documents/?uuid=7bcea08a-bc42-4e98-a85a-cbaf419a8dae"]},{"id":"ITEM-2","itemData":{"DOI":"10.1007/978-94-009-2374-4","ISBN":"978-94-010-7569-5","author":[{"dropping-particle":"","family":"Nicolas","given":"Adolphe","non-dropping-particle":"","parse-names":false,"suffix":""}],"collection-title":"Petrology and Structural Geology","id":"ITEM-2","issued":{"date-parts":[["1989"]]},"publisher":"Springer Netherlands","publisher-place":"Dordrecht","title":"Structures of Ophiolites and Dynamics of Oceanic Lithosphere","type":"book","volume":"4"},"uris":["http://www.mendeley.com/documents/?uuid=83eae5b1-b4a9-49bd-97b1-6c2c43bdcc98"]},{"id":"ITEM-3","itemData":{"DOI":"10.1093/petrology/egp077","ISSN":"00223530","abstract":"The Oman ophiolite consists of several massifs cropping out along a 500 km long band trending NW–SE along the coast of Oman; it is one of the best exposed sections of oceanic crust and mantle in the world. There is a gradient in igneous processes and composition in the ophiolite, with the northern massifs recording a polygenetic igneous history involving an increasingly important subduction component, whereas the southern massifs were formed primarily via a mid-ocean ridge basalt (MORB)-like, single-stage process at a submarine spreading ridge. In this study we use geochemical data from Wadi Tayin, which is one of the southern massifs of the Oman ophiolite, to constrain the composition and genesis of oceanic crust and upper mantle. The Wadi Tayin harzburgites are residues of partial melting that are as depleted as the most depleted mid-ocean ridge peridotites. They have low middle- to heavy rare earth element ratios, most probably reflecting melting close to and beyond the exhaustion of clinopyroxene. Like many abyssal peridotites, the Wadi Tayin samples show enrichment in highly incompatible elements, giving rise to U-shaped MORB-normalized trace element patterns. We favor the idea that this is caused by enrichment of highly incompatible elements along grain boundaries in peridotite, which may be the result of near-equilibrium partitioning between grain boundaries and grain interiors, rather than disequilibrium processes. Equilibrium partitioning between crystals and grain boundaries during melting and melt extraction is also our preferred explanation for ubiquitous high Pb contents relative to Ce and La in our samples as well as in most abyssal peridotites. The Wadi Tayin samples record substantial variability in terms of osmium isotopic composition and platinum group element (PGE) concentrations. The more radiogenic nature of the dunites and impregnated peridotites compared with the residual harzburgites may be due to relatively high 187Os/188Os in melt transported through the dunites. The presence of residual peridotites with whole-rock osmium isotopic compositions less radiogenic than MORB may be explained by melting of a veined (upwelling) mantle forming mixed melts in which much of the Os derives from veins with high Re/Os in a matrix of previously depleted peridotite. An important result of this study is that the shallowest samples are refertilized (i.e. anomalously enriched in incompatible elements), and record relatively high metamorphic closu…","author":[{"dropping-particle":"","family":"Hanghøj","given":"Karen","non-dropping-particle":"","parse-names":false,"suffix":""},{"dropping-particle":"","family":"Kelemen","given":"Peter B.","non-dropping-particle":"","parse-names":false,"suffix":""},{"dropping-particle":"","family":"Hassler","given":"Deborah","non-dropping-particle":"","parse-names":false,"suffix":""},{"dropping-particle":"","family":"Godard","given":"Marguerite","non-dropping-particle":"","parse-names":false,"suffix":""}],"container-title":"Journal of Petrology","id":"ITEM-3","issue":"1-2","issued":{"date-parts":[["2010"]]},"page":"201-227","title":"Composition and genesis of depleted mantle peridotites from the Wadi Tayin massif, Oman ophiolite; Major and trace element geochemistry, and Os isotope and PGE systematics","type":"article-journal","volume":"51"},"uris":["http://www.mendeley.com/documents/?uuid=f687cfd9-c19e-443a-960c-503dcbb6e32b"]}],"mendeley":{"formattedCitation":"(Boudier &amp; Coleman, 1981; Hanghøj et al., 2010; Nicolas, 1989)","plainTextFormattedCitation":"(Boudier &amp; Coleman, 1981; Hanghøj et al., 2010; Nicolas, 1989)","previouslyFormattedCitation":"(Boudier &amp; Coleman, 1981; Hanghøj et al., 2010; Nicolas, 1989)"},"properties":{"noteIndex":0},"schema":"https://github.com/citation-style-language/schema/raw/master/csl-citation.json"}</w:instrText>
      </w:r>
      <w:r>
        <w:fldChar w:fldCharType="separate"/>
      </w:r>
      <w:r w:rsidRPr="4DF8874B">
        <w:rPr>
          <w:noProof/>
        </w:rPr>
        <w:t>(Boudier &amp; Coleman, 1981; Hanghøj et al., 2010; Nicolas, 1989)</w:t>
      </w:r>
      <w:r>
        <w:fldChar w:fldCharType="end"/>
      </w:r>
      <w:r>
        <w:t xml:space="preserve">. </w:t>
      </w:r>
      <w:bookmarkStart w:id="17" w:name="_Hlk89343134"/>
      <w:r>
        <w:t xml:space="preserve">Though the tectonic setting during formation is debated, geochemical and geologic evidence suggests the southern part of the ophiolite formed in a setting similar to modern fast-spreading ridges such as the East Pacific Rise </w:t>
      </w:r>
      <w:r>
        <w:fldChar w:fldCharType="begin" w:fldLock="1"/>
      </w:r>
      <w:r>
        <w:instrText>ADDIN CSL_CITATION {"citationItems":[{"id":"ITEM-1","itemData":{"DOI":"10.1029/JB086iB04p02673","ISSN":"01480227","author":[{"dropping-particle":"","family":"Pallister","given":"John S.","non-dropping-particle":"","parse-names":false,"suffix":""},{"dropping-particle":"","family":"Knight","given":"Roy J.","non-dropping-particle":"","parse-names":false,"suffix":""}],"container-title":"Journal of Geophysical Research: Solid Earth","id":"ITEM-1","issue":"B4","issued":{"date-parts":[["1981","4","10"]]},"page":"2673-2697","title":"Rare-earth element geochemistry of the Samail Ophiolite near Ibra, Oman","type":"article-journal","volume":"86"},"uris":["http://www.mendeley.com/documents/?uuid=0032ff64-6f57-4a2f-9cf5-2977b71dcbe3"]},{"id":"ITEM-2","itemData":{"DOI":"10.1007/978-94-009-2374-4","ISBN":"978-94-010-7569-5","author":[{"dropping-particle":"","family":"Nicolas","given":"Adolphe","non-dropping-particle":"","parse-names":false,"suffix":""}],"collection-title":"Petrology and Structural Geology","id":"ITEM-2","issued":{"date-parts":[["1989"]]},"publisher":"Springer Netherlands","publisher-place":"Dordrecht","title":"Structures of Ophiolites and Dynamics of Oceanic Lithosphere","type":"book","volume":"4"},"uris":["http://www.mendeley.com/documents/?uuid=83eae5b1-b4a9-49bd-97b1-6c2c43bdcc98"]},{"id":"ITEM-3","itemData":{"DOI":"10.1038/375747a0","ISBN":"0028-0836","ISSN":"00280836","abstract":"... | ChemPort |. 29. von Bargen, N. &amp; Waff, HS J. geophys. Res. 93, 1153−1158 (1988). | ChemPort |. 30. Chadam, J., Hoff, D., Merino, E., Ortoleva, P . &amp; Sen, A. J. appl. Math. 36, 207−221 (1986). 31. Kelemen , PB &amp; Dick, HJB J. geophys. Res. 100, 423−438 (1995). | Article |. 32. ... \\n","author":[{"dropping-particle":"","family":"Kelemen","given":"Peter B.","non-dropping-particle":"","parse-names":false,"suffix":""},{"dropping-particle":"","family":"Shimizu","given":"Nobumichi","non-dropping-particle":"","parse-names":false,"suffix":""},{"dropping-particle":"","family":"Salters","given":"Vincent J.M.","non-dropping-particle":"","parse-names":false,"suffix":""}],"container-title":"Nature","id":"ITEM-3","issue":"6534","issued":{"date-parts":[["1995"]]},"page":"747-753","title":"Extraction of mid-ocean-ridge basalt from the upwelling mantle by focused flow of melt in dunite channels","type":"article","volume":"375"},"uris":["http://www.mendeley.com/documents/?uuid=6f3cb436-7aa1-4cf6-9d22-7e2167a9bad6"]},{"id":"ITEM-4","itemData":{"DOI":"10.1098/rsta.1997.0010","ISSN":"1364-503X","abstract":"We review physical and chemical constraints on the mechanisms of melt extraction from the mantle beneath mid-ocean ridges. Compositional constraints from MORB and abyssal peridotite are summarized, followed by observations of melt extraction features in the mantle, and constraints from the physical properties of partially molten peridotite. We address two main issues. (1) To what extent is melting 'near-fractional', with low porosities in the source and chemical isolation of ascending melt? To what extent are other processes, loosely termed reactive flow, important in MORB genesis? (2) Where chemically isolated melt extraction is required, does this occur mainly in melt-filled fractures or in conduits of focused porous flow? Reactive flow plays an important role, but somewhere in the upwelling mantle melting must be 'near fractional', with intergranular porosities less than 1%, and most melt extraction must be in isolated conduits. Two porosity models provide the best paradigm for this type of process. Field relationships and geochemical data show that replacive dunites mark conduits for focused, chemically isolated, porous flow of mid-ocean ridge basalt (MORB) in the upwelling mantle. By contrast, pyroxenite and gabbro dikes are lithospheric features; they do not represent conduits for melt extraction from the upwelling mantle. Thus, preserved melt extraction features do not require hydrofracture in the melting region. However, field evidence does not rule out hydrofracture. Predicted porous flow velocities satisfy 230Th excess constraints (ca. 1 m yr-1), provided melt extraction occurs in porous conduits rather than by diffuse flow, and melt-free, solid viscosity is less than ca. 1020 Pa s. Melt velocities of ca. 50 m yr-1 are inferred from patterns of post-glacial volcanism in Iceland and from 226Ra excess. If these inferences are correct, minimum conditions for hydrofracture may be reached in the shallowest part of melting region beneath ridges. However, necessary high porosities can only be attained within pre-existing conduits for focused porous flow. Alternatively, the requirement for high melt velocity could be satisfied in melt-filled tubes formed by dissolution or mechanical instabilities. Melt-filled fractures or tubes, if they form, are probably closed at the top and bottom, limited in size by the supply of melt. Therefore, to satisfy the requirements for geochemical isolation from surrounding peridotite, melt-filled conduits may be surround…","author":[{"dropping-particle":"","family":"Kelemen","given":"Peter B.","non-dropping-particle":"","parse-names":false,"suffix":""},{"dropping-particle":"","family":"Hirth","given":"Greg","non-dropping-particle":"","parse-names":false,"suffix":""},{"dropping-particle":"","family":"Shimizu","given":"Nobu","non-dropping-particle":"","parse-names":false,"suffix":""},{"dropping-particle":"","family":"Spiegelman","given":"M.","non-dropping-particle":"","parse-names":false,"suffix":""},{"dropping-particle":"","family":"Dick","given":"Henry J.B.","non-dropping-particle":"","parse-names":false,"suffix":""}],"container-title":"Philosophical Transactions of the Royal Society of London. Series A: Mathematical, Physical and Engineering Sciences","editor":[{"dropping-particle":"","family":"Cann","given":"J. R.","non-dropping-particle":"","parse-names":false,"suffix":""},{"dropping-particle":"","family":"Elderfield","given":"H.","non-dropping-particle":"","parse-names":false,"suffix":""},{"dropping-particle":"","family":"Laughton","given":"A.","non-dropping-particle":"","parse-names":false,"suffix":""}],"id":"ITEM-4","issue":"1723","issued":{"date-parts":[["1997","2","15"]]},"page":"283-318","title":"A review of melt migration processes in the adiabatically upwelling mantle beneath oceanic spreading ridges","type":"article-journal","volume":"355"},"uris":["http://www.mendeley.com/documents/?uuid=bf0139e5-5ecd-496b-8d9e-bbf5596ccd22"]},{"id":"ITEM-5","itemData":{"DOI":"10.1016/S0012-821X(96)00235-X","ISSN":"0012821X","abstract":"Gabbroic sills intruding dunite in the crust-mantle transition zone (MTZ) of the Oman ophiolite have textures and compositions very similar to those in modally layered gabbros that forrn the lower part of the gabbro section in the ophiolite, and different from those in non-layered gabbros near the dike-gabbro transition. The presence of gabbroic sills in the MTZ indicates that modally layered gabbros can form far below the level of magmatic neutral buoyancy and far below the dike-gabbro transition. Minerals in the sills and lower, layered gabbros are in Fe-Mg and trace element exchange equilibrium with liquids identical to those that formed the sheeted dikes and lavas in the ophiolite. In contrast, many of the upper, non-layered gabbros resemble crystallized liquid compositions, similar to the dikes and lavas. The lower, layered gabbros probably formed in sills similar to those in the MTZ. Mantle-derived magmas cooled in these sills, where they crystallized from a few percent to 50% of their mass. Residual liquids then rose to form upper gabbros, dikes and lavas. Sills may form beneath permeability barriers created by the crystallization of cooling liquid migrating by porous flow. Once permeability barriers are present, however, porous flow becomes a less important mode of magma ascent, compared to ponding in sills, gradual increase in magma pressure, and periodic ascent in hydrofractures. Thus, gabbroic sills in the MTZ may represent the transition in fast-spreading ridge environments from continuous porous flow in the mantle to periodic diking in the crust.","author":[{"dropping-particle":"","family":"Kelemen","given":"Peter B.","non-dropping-particle":"","parse-names":false,"suffix":""},{"dropping-particle":"","family":"Koga","given":"Ken","non-dropping-particle":"","parse-names":false,"suffix":""},{"dropping-particle":"","family":"Shimizu","given":"Nobu","non-dropping-particle":"","parse-names":false,"suffix":""}],"container-title":"Earth and Planetary Science Letters","id":"ITEM-5","issue":"3-4","issued":{"date-parts":[["1997","2"]]},"page":"475-488","title":"Geochemistry of gabbro sills in the crust-mantle transition zone of the Oman ophiolite: implications for the origin of the oceanic lower crust","type":"article-journal","volume":"146"},"uris":["http://www.mendeley.com/documents/?uuid=a7042ff2-39b2-412c-be35-f28dff9e7bdf"]},{"id":"ITEM-6","itemData":{"DOI":"10.1016/S0012-821X(00)00149-7","ISSN":"0012821X","abstract":"The Oman ophiolite exposes a large and well-preserved mantle section beneath a palaeo-spreading centre. The mantle section is mainly composed of extremely refractory harzburgites with relatively homogeneous modal and major element compositions. Nevertheless, our trace element data exhibit variations connected with the main mantle structures, which allow us to define three geochemical and structural domains. The main harzburgitic mantle section, mainly constituted of strongly refractory harzburgites characterised by chondrite-normalised REE patterns that are steadily depleted from HREE to LREE. These rocks are interpreted as mantle residues after &gt;15% melt extraction. Their REE signature can be explained by melt transport associated with partial melting. The diapir areas (mainly the Maqsad diapir), defined by plunging lineations. They are constituted of harzburgites with roughly the same modal composition as the main mantle section but distinct, concave-upward REE patterns. The regions of most active upwelling (characterised by sub-vertical lineations) are further distinguished by higher Al2O3/CaO ratios and TiO2 contents. This character is ascribed to focused partial melt upwelling. The diapirs are interpreted as local instabilities in upwelling mantle, possibly triggered by feedback mechanisms between deformation and melt percolation. The Maqsad diapir is topped by a thick, dunitic, mantle-crust transition zone (MTZ) that displays the same trace-element signature as the diapir. However, the dunites are distinguishedby low MG values and Ni contents. Together with structural evidence, this allows us to interpret the MTZ dunites as diapir harzburgites that were strongly modified by olivine-forming melt-rock reactions at high melt/rock ratios. The MTZ is thought to act as a major collecting zone for mantle melts. The cpx-harzburgites from the base of the mantle section. These rocks are distinguished by high clinopyroxene contents (&gt;5%), low AL2O3/CaO and 'spoon-shaped' REE patterns. They were individualised from the rest of the harzburgite mantle section by a cpx-forming melt-rock reaction at decreasing malt mass. This reaction probably occurred at near-solidus conditions along the lithospere-asthenospere boundary. The formation of these three domains may be integrated in a geodynamic scenario involving the reactivation of an oceanic lithospere, a process that would be related to the ridge propagator identified in the Oman ophiolite. (C) 2000 Elsevier Scie…","author":[{"dropping-particle":"","family":"Godard","given":"Marguerite","non-dropping-particle":"","parse-names":false,"suffix":""},{"dropping-particle":"","family":"Jousselin","given":"David","non-dropping-particle":"","parse-names":false,"suffix":""},{"dropping-particle":"","family":"Bodinier","given":"Jean Louis","non-dropping-particle":"","parse-names":false,"suffix":""}],"container-title":"Earth and Planetary Science Letters","id":"ITEM-6","issue":"1-2","issued":{"date-parts":[["2000"]]},"page":"133-148","title":"Relationships between geochemistry and structure beneath a palaeo-spreading centre: A study of the mantle section in the Oman ophiolite","type":"article-journal","volume":"180"},"uris":["http://www.mendeley.com/documents/?uuid=d3879c4a-557d-482b-a7db-01e0a4ef0540"]},{"id":"ITEM-7","itemData":{"DOI":"10.1029/2000GC000136","ISSN":"15252027","abstract":"Analysis of crystal size distributions (CSD) of plagioclase in gabbros from the Oman ophiolite indicates that cooling rates in the lower crust beneath a medium- to fast-spreading oceanic ridge did not vary smoothly with depth. Cooling rates in the upper half of the gabbro section were approximately 1.5-2 times faster than in the lower half of the gabbro section during igneous crystallization and/or high temperature grain growth processes. Our results are inconsistent with thermal models for oceanic spreading ridges that approximate the effect of hydrothermal convection by using an enhanced thermal conductivity together with a conductive heat transfer mechanism. Instead, the Oman CSD data are consistent with recent seismic and modeling studies that suggest that hydrothermal convection leads to closely spaced, near-vertical isotherms in the upper half of the plutonic section within a few kilometers of the ridge axis.","author":[{"dropping-particle":"","family":"Garrido","given":"Carlos J.","non-dropping-particle":"","parse-names":false,"suffix":""},{"dropping-particle":"","family":"Kelemen","given":"Peter B.","non-dropping-particle":"","parse-names":false,"suffix":""},{"dropping-particle":"","family":"Hirth","given":"Greg","non-dropping-particle":"","parse-names":false,"suffix":""}],"container-title":"Geochemistry, Geophysics, Geosystems","id":"ITEM-7","issue":"10","issued":{"date-parts":[["2001"]]},"title":"Variation of cooling rate with depth in lower crust formed at an oceanic spreading ridge: Plagioclase crystal size distributions in gabbros from the Oman ophiolite","type":"article-journal","volume":"2"},"uris":["http://www.mendeley.com/documents/?uuid=dfa7cf7e-05a9-4a71-8025-cad52b775330"]},{"id":"ITEM-8","itemData":{"abstract":"Observations at mid-ocean ridges indicate that magmas are focused to the ridge axis by a network of porous dunites in near chemical isolation. This thesis investigates several of the outstanding questions regarding the mechanisms of melt transport and its effects on the shallow mantle. Chapter 1 details the current understanding of melt migration from observations at mid-ocean ridges and ophiolites. Chapter 2 uses the size distribution and abundance of dunites measured in the Oman ophiolite to place limits on the potential mechanisms by which dunites form and subsequently estimate the flux of chemically unequilibrated melt which a network of dunites can supply. Chapter 3 characterizes the chemical composition of dunites and harzburgites from Oman to further constrain the process by which dunites form and relates the observed trends within dunites to variations in the time-integrated melt/rock ratio. Chapter 4 examines the microstructures of peridotites in Oman to constrain the deformation mechanisms which determine the viscosity of shallow mantle. Chapter 5 is a numerical investigation of advection beneath ridges incorporating the rheology inferred from the observed microstructures. Chapter 6 integrates the conclusions of the previous chapters, reevaluating the potential melt flux through dunites and constraining the permeability of the shallow mantle.","author":[{"dropping-particle":"","family":"Braun","given":"Michael G.","non-dropping-particle":"","parse-names":false,"suffix":""}],"id":"ITEM-8","issued":{"date-parts":[["2004"]]},"publisher":"Massachusetts Institute of Technology and the Woods Hole Oceanographic Institution","title":"Petrologic and microstructural constraints on focused melt transport in dunites and the rheology of the shallow mantle","type":"thesis"},"prefix":"e.g.","uris":["http://www.mendeley.com/documents/?uuid=806e833e-79bf-4ac3-99ec-b461f1209fe0"]},{"id":"ITEM-9","itemData":{"DOI":"10.1093/petrology/egp077","ISSN":"00223530","abstract":"The Oman ophiolite consists of several massifs cropping out along a 500 km long band trending NW–SE along the coast of Oman; it is one of the best exposed sections of oceanic crust and mantle in the world. There is a gradient in igneous processes and composition in the ophiolite, with the northern massifs recording a polygenetic igneous history involving an increasingly important subduction component, whereas the southern massifs were formed primarily via a mid-ocean ridge basalt (MORB)-like, single-stage process at a submarine spreading ridge. In this study we use geochemical data from Wadi Tayin, which is one of the southern massifs of the Oman ophiolite, to constrain the composition and genesis of oceanic crust and upper mantle. The Wadi Tayin harzburgites are residues of partial melting that are as depleted as the most depleted mid-ocean ridge peridotites. They have low middle- to heavy rare earth element ratios, most probably reflecting melting close to and beyond the exhaustion of clinopyroxene. Like many abyssal peridotites, the Wadi Tayin samples show enrichment in highly incompatible elements, giving rise to U-shaped MORB-normalized trace element patterns. We favor the idea that this is caused by enrichment of highly incompatible elements along grain boundaries in peridotite, which may be the result of near-equilibrium partitioning between grain boundaries and grain interiors, rather than disequilibrium processes. Equilibrium partitioning between crystals and grain boundaries during melting and melt extraction is also our preferred explanation for ubiquitous high Pb contents relative to Ce and La in our samples as well as in most abyssal peridotites. The Wadi Tayin samples record substantial variability in terms of osmium isotopic composition and platinum group element (PGE) concentrations. The more radiogenic nature of the dunites and impregnated peridotites compared with the residual harzburgites may be due to relatively high 187Os/188Os in melt transported through the dunites. The presence of residual peridotites with whole-rock osmium isotopic compositions less radiogenic than MORB may be explained by melting of a veined (upwelling) mantle forming mixed melts in which much of the Os derives from veins with high Re/Os in a matrix of previously depleted peridotite. An important result of this study is that the shallowest samples are refertilized (i.e. anomalously enriched in incompatible elements), and record relatively high metamorphic closu…","author":[{"dropping-particle":"","family":"Hanghøj","given":"Karen","non-dropping-particle":"","parse-names":false,"suffix":""},{"dropping-particle":"","family":"Kelemen","given":"Peter B.","non-dropping-particle":"","parse-names":false,"suffix":""},{"dropping-particle":"","family":"Hassler","given":"Deborah","non-dropping-particle":"","parse-names":false,"suffix":""},{"dropping-particle":"","family":"Godard","given":"Marguerite","non-dropping-particle":"","parse-names":false,"suffix":""}],"container-title":"Journal of Petrology","id":"ITEM-9","issue":"1-2","issued":{"date-parts":[["2010"]]},"page":"201-227","title":"Composition and genesis of depleted mantle peridotites from the Wadi Tayin massif, Oman ophiolite; Major and trace element geochemistry, and Os isotope and PGE systematics","type":"article-journal","volume":"51"},"uris":["http://www.mendeley.com/documents/?uuid=f687cfd9-c19e-443a-960c-503dcbb6e32b"]}],"mendeley":{"formattedCitation":"(e.g. Braun, 2004; Garrido et al., 2001; Godard et al., 2000; Hanghøj et al., 2010; Peter B. Kelemen et al., 1995; Peter B. Kelemen, Hirth, et al., 1997; Peter B. Kelemen, Koga, et al., 1997; Nicolas, 1989; Pallister &amp; Knight, 1981)","manualFormatting":"(e.g. Braun, 2004; Garrido et al., 2001; Godard et al., 2000; Hanghøj et al., 2010; Kelemen et al., 1995; Kelemen, Hirth, et al., 1997; Kelemen, Koga, et al., 1997; Nicolas, 1989; Pallister &amp; Knight, 1981)","plainTextFormattedCitation":"(e.g. Braun, 2004; Garrido et al., 2001; Godard et al., 2000; Hanghøj et al., 2010; Peter B. Kelemen et al., 1995; Peter B. Kelemen, Hirth, et al., 1997; Peter B. Kelemen, Koga, et al., 1997; Nicolas, 1989; Pallister &amp; Knight, 1981)","previouslyFormattedCitation":"(e.g. Braun, 2004; Garrido et al., 2001; Godard et al., 2000; Hanghøj et al., 2010; Peter B. Kelemen et al., 1995; Peter B. Kelemen, Hirth, et al., 1997; Peter B. Kelemen, Koga, et al., 1997; Nicolas, 1989; Pallister &amp; Knight, 1981)"},"properties":{"noteIndex":0},"schema":"https://github.com/citation-style-language/schema/raw/master/csl-citation.json"}</w:instrText>
      </w:r>
      <w:r>
        <w:fldChar w:fldCharType="separate"/>
      </w:r>
      <w:r w:rsidRPr="00D72F70">
        <w:rPr>
          <w:noProof/>
        </w:rPr>
        <w:t>(e.g. Braun, 2004; Garrido et al., 2001; Godard et al., 2000; Hanghøj et al., 2010; Kelemen et al., 1995; Kelemen, et al., 1997</w:t>
      </w:r>
      <w:r>
        <w:rPr>
          <w:noProof/>
        </w:rPr>
        <w:t>a</w:t>
      </w:r>
      <w:r w:rsidRPr="00D72F70">
        <w:rPr>
          <w:noProof/>
        </w:rPr>
        <w:t>; Kelemen, et al., 1997</w:t>
      </w:r>
      <w:r>
        <w:rPr>
          <w:noProof/>
        </w:rPr>
        <w:t>b</w:t>
      </w:r>
      <w:r w:rsidRPr="00D72F70">
        <w:rPr>
          <w:noProof/>
        </w:rPr>
        <w:t>; Nicolas, 1989; Pallister &amp; Knight, 1981)</w:t>
      </w:r>
      <w:r>
        <w:fldChar w:fldCharType="end"/>
      </w:r>
      <w:r>
        <w:t xml:space="preserve">. See Mock et al. (2021) for a concise summary. </w:t>
      </w:r>
      <w:bookmarkEnd w:id="17"/>
      <w:r>
        <w:t xml:space="preserve">Samples in the present study were drilled as part of Phase 2 of the international Oman Drilling Project at Wadi </w:t>
      </w:r>
      <w:proofErr w:type="spellStart"/>
      <w:r>
        <w:t>Zeeb</w:t>
      </w:r>
      <w:proofErr w:type="spellEnd"/>
      <w:r>
        <w:t xml:space="preserve">, Northern Sharqiyah, a location near an axis of a paleo-spreading center as mapped in previous petrologic and structural studies, </w:t>
      </w:r>
      <w:r>
        <w:fldChar w:fldCharType="begin" w:fldLock="1"/>
      </w:r>
      <w:r>
        <w:instrText>ADDIN CSL_CITATION {"citationItems":[{"id":"ITEM-1","itemData":{"DOI":"10.1029/2002GC000354","ISSN":"15252027","abstract":"We conducted a comprehensive field, petrographic, and microprobe study of the dykes and porous flow channels cropping out in the Oman harzburgites. The 36 rock types we recognized among of about 1000 samples can be grouped in two main magma suites contrasted in terms of structural and textural characteristics, modal composition, order of crystallization, and phase chemistry. One suite (troctolites, olivine gabbros, opx-poor gabbronorites, and rare oxyde gabbros) derives from MORB-like melts. The other suite (pyroxenites, opx-rich gabbronorites, diorites, and tonalite-trondhjemites) derives from melts richer in silica and water than MORBs and ultradepleted in incompatible elements. Dykes and porous flow channels from the MORB suite are restricted to a few areas, covering only 25% of the mantle section. This is an unexpected result as the deep Oman crust is made essentially of cumulates from MORB-like melts. Their composition, texture, and relations with the host harzburgites point to high mantle temperatures at the time of crystallization (likely above 1100°C, up to 1200°C for part of them), i.e., conditions close to the \"asthenosphere/lithosphere boundary\". The largest outcrop of mantle harzburgites enclosing MORB like dykes is a 80 km long and 10 km wide corridor, parallel to the strike of the sheeted dyke complex and centered on an area where a former mantle upwelling has been unambiguously defined (the Maqsad \"diapir\"). A few other occurrences of mantle cumulates from the MORB suite are smaller than the Maqsad area and have a lesser abundance of troctolites (i.e., of high-temperature cumulates). We interpret the troctolite zones of Oman as the witnesses of former diapirs frozen at various stages of their development. Dykes belonging to the depleted suite are the most common in Oman harzburgites. Their structural and textural characteristics show that they crystallized in a mantle colder than the melt (likely in the range 600°C to 1100°C). A possible origin for the parent melts of this suite is in situ partial melting of the shallow and partly hydrated lithosphere residual after MORB extraction. Our data support the view that feeding magma chambers with MORBs is a focused (and likely episodic) process involving the rise of hot mantle to the base of the crust through a lithospheric lid accreted during a previous diapiric event. They suggest also that the shallow mantle beneath spreading centers is a place of important petrologic processes, some of them…","author":[{"dropping-particle":"","family":"Python","given":"Marie","non-dropping-particle":"","parse-names":false,"suffix":""},{"dropping-particle":"","family":"Ceuleneer","given":"Georges","non-dropping-particle":"","parse-names":false,"suffix":""}],"container-title":"Geochemistry, Geophysics, Geosystems","id":"ITEM-1","issue":"7","issued":{"date-parts":[["2003"]]},"page":"1-34","title":"Nature and distribution of dykes and related melt migration structures in the mantle section of the Oman ophiolite","type":"article-journal","volume":"4"},"uris":["http://www.mendeley.com/documents/?uuid=4097d148-ff5b-40f2-b856-6be2ac27c6ae"]},{"id":"ITEM-2","itemData":{"DOI":"10.1111/ter.12137","ISSN":"09544879","abstract":"A comprehensive model for the activity of the elementary accretion segment at fast-spreading ridges relies on integration of structural data from the Oman ophiolite and geophysical results from the East Pacific Rise (EPR) around 9°N, which are of comparable size and spreading rates. The axial melt lens at shallow crustal level provides a link between Deval segmentation at the seafloor and a lower melt sill at Moho level, imaged at the EPR as a crustal melt zone (CMZ) and mapped in Oman as the Moho transition zone (MTZ). Both are attached to a mantle upwelling at the EPR, and to a frozen diapir in Oman. The physical link between diapiric mantle uprising at the Moho and Devals segmentation at the seafloor is the melt being injected from the mantle into the lower MTZ, ponding there, and then being released by powerful injections into the upper melt lens. The magma chamber covers the diapir at a distance of 5 km from the ridge axis.","author":[{"dropping-particle":"","family":"Nicolas","given":"Adolphe","non-dropping-particle":"","parse-names":false,"suffix":""},{"dropping-particle":"","family":"Boudier","given":"Françoise","non-dropping-particle":"","parse-names":false,"suffix":""}],"container-title":"Terra Nova","id":"ITEM-2","issue":"2","issued":{"date-parts":[["2015","4"]]},"page":"77-96","title":"Structural contribution from the Oman ophiolite to processes of crustal accretion at the East Pacific Rise","type":"article-journal","volume":"27"},"uris":["http://www.mendeley.com/documents/?uuid=1a8903c4-d104-466c-874d-76da073c57ad"]},{"id":"ITEM-3","itemData":{"DOI":"10.1007/978-94-009-2374-4","ISBN":"978-94-010-7569-5","author":[{"dropping-particle":"","family":"Nicolas","given":"Adolphe","non-dropping-particle":"","parse-names":false,"suffix":""}],"collection-title":"Petrology and Structural Geology","id":"ITEM-3","issued":{"date-parts":[["1989"]]},"publisher":"Springer Netherlands","publisher-place":"Dordrecht","title":"Structures of Ophiolites and Dynamics of Oceanic Lithosphere","type":"book","volume":"4"},"uris":["http://www.mendeley.com/documents/?uuid=83eae5b1-b4a9-49bd-97b1-6c2c43bdcc98"]}],"mendeley":{"formattedCitation":"(Nicolas, 1989; Nicolas &amp; Boudier, 2015; Python &amp; Ceuleneer, 2003)","manualFormatting":"(A. Nicolas, 1989; Nicolas &amp; Boudier, 2015; Python &amp; Ceuleneer, 2003)","plainTextFormattedCitation":"(Nicolas, 1989; Nicolas &amp; Boudier, 2015; Python &amp; Ceuleneer, 2003)","previouslyFormattedCitation":"(Nicolas, 1989; Nicolas &amp; Boudier, 2015; Python &amp; Ceuleneer, 2003)"},"properties":{"noteIndex":0},"schema":"https://github.com/citation-style-language/schema/raw/master/csl-citation.json"}</w:instrText>
      </w:r>
      <w:r>
        <w:fldChar w:fldCharType="separate"/>
      </w:r>
      <w:r w:rsidRPr="4DF8874B">
        <w:rPr>
          <w:noProof/>
        </w:rPr>
        <w:t>(Nicolas, 1989; Nicolas &amp; Boudier, 2015; Python &amp; Ceuleneer, 2003)</w:t>
      </w:r>
      <w:r>
        <w:fldChar w:fldCharType="end"/>
      </w:r>
      <w:r>
        <w:t xml:space="preserve">. The inferred tectonic setting of the sampling area is shown in Figure </w:t>
      </w:r>
      <w:r w:rsidR="005C3691">
        <w:t>1.1</w:t>
      </w:r>
      <w:r>
        <w:t>1</w:t>
      </w:r>
      <w:r w:rsidR="005C3691">
        <w:t xml:space="preserve"> (in Appendix 1)</w:t>
      </w:r>
      <w:r w:rsidRPr="008A1DFE">
        <w:t>.</w:t>
      </w:r>
    </w:p>
    <w:p w14:paraId="7F72F14F" w14:textId="3B9F670A" w:rsidR="004F307D" w:rsidRDefault="004F307D" w:rsidP="00F24389">
      <w:pPr>
        <w:spacing w:line="360" w:lineRule="auto"/>
        <w:ind w:firstLine="360"/>
      </w:pPr>
      <w:r>
        <w:t xml:space="preserve">Phase 2 of the Oman Drilling Project sampled two continuous sections of rock that encompass the crust, crust-mantle transition zone (CMTZ) and uppermost mantle at holes CM1A and CM2B from November 2017 to January 2018. Hole CM1A, drilled at 30° from vertical to correct for the southwestward dip of the ophiolitic strata, began in the gabbroic lower crust, coring 150 m before reaching the CMTZ (as defined by the onset of </w:t>
      </w:r>
      <w:proofErr w:type="spellStart"/>
      <w:r>
        <w:t>dunites</w:t>
      </w:r>
      <w:proofErr w:type="spellEnd"/>
      <w:r>
        <w:t>) and another 150 m through the CMTZ until reaching upper mantle harzburgites. The upper mantle harzburgites were cored for 100 m, producing a total of 400 m of core at CM1A. Hole CM2B was drilled vertically relative to the surface (i.e., at an angle</w:t>
      </w:r>
      <w:r w:rsidRPr="00FB2B82">
        <w:t xml:space="preserve"> of 60° relative to the ophiolitic strata</w:t>
      </w:r>
      <w:r>
        <w:t xml:space="preserve">) and began in the CMTZ, coring 110 m of CMTZ, followed by 180 m of mantle peridotites. The samples investigated here include gabbros, a troctolite, and peridotites collected above and below the crust-mantle transition. These samples originate from both holes. The structural depth relationships among the samples are well established by the locations and orientations of the holes, sampling depths, and a common lithological horizon marked by the onset of continuous </w:t>
      </w:r>
      <w:proofErr w:type="spellStart"/>
      <w:r>
        <w:t>dunites</w:t>
      </w:r>
      <w:proofErr w:type="spellEnd"/>
      <w:r>
        <w:t xml:space="preserve"> </w:t>
      </w:r>
      <w:r>
        <w:fldChar w:fldCharType="begin" w:fldLock="1"/>
      </w:r>
      <w:r>
        <w:instrText>ADDIN CSL_CITATION {"citationItems":[{"id":"ITEM-1","itemData":{"DOI":"10.14379/OmanDP.proc.2020","author":[{"dropping-particle":"","family":"Kelemen","given":"Peter B.","non-dropping-particle":"","parse-names":false,"suffix":""},{"dropping-particle":"","family":"Matter","given":"J.M.","non-dropping-particle":"","parse-names":false,"suffix":""},{"dropping-particle":"","family":"Teagle","given":"D.A.H.","non-dropping-particle":"","parse-names":false,"suffix":""},{"dropping-particle":"","family":"Coggon","given":"J.A.","non-dropping-particle":"","parse-names":false,"suffix":""},{"dropping-particle":"","family":"Team","given":"The Oman Drilling Project Science","non-dropping-particle":"","parse-names":false,"suffix":""}],"collection-title":"Proceedings of the International Ocean Discovery Program","editor":[{"dropping-particle":"","family":"Kelemen","given":"P.B.","non-dropping-particle":"","parse-names":false,"suffix":""},{"dropping-particle":"","family":"Matter","given":"J.M.","non-dropping-particle":"","parse-names":false,"suffix":""},{"dropping-particle":"","family":"Teagle","given":"D.A.H.","non-dropping-particle":"","parse-names":false,"suffix":""},{"dropping-particle":"","family":"Coggon","given":"J.A.","non-dropping-particle":"","parse-names":false,"suffix":""}],"id":"ITEM-1","issued":{"date-parts":[["2021"]]},"publisher":"International Ocean Discovery Program","publisher-place":"College Station, TX","title":"Site CM1: layered gabbros, crustal ultramafic rocks, and mantle harzburgite","type":"chapter"},"uris":["http://www.mendeley.com/documents/?uuid=16ce5adb-0ec0-4b48-9162-6973edff2156"]},{"id":"ITEM-2","itemData":{"DOI":"10.14379/OmanDP.proc.2020","author":[{"dropping-particle":"","family":"Kelemen","given":"Peter B.","non-dropping-particle":"","parse-names":false,"suffix":""},{"dropping-particle":"","family":"Matter","given":"J.M.","non-dropping-particle":"","parse-names":false,"suffix":""},{"dropping-particle":"","family":"Teagle","given":"D.A.H.","non-dropping-particle":"","parse-names":false,"suffix":""},{"dropping-particle":"","family":"Coggon","given":"J.A.","non-dropping-particle":"","parse-names":false,"suffix":""},{"dropping-particle":"","family":"Team","given":"The Oman Drilling Project Science","non-dropping-particle":"","parse-names":false,"suffix":""}],"collection-title":"Proceedings of the International Ocean Discovery Program","editor":[{"dropping-particle":"","family":"Kelemen","given":"P.B.","non-dropping-particle":"","parse-names":false,"suffix":""},{"dropping-particle":"","family":"Matter","given":"J.M.","non-dropping-particle":"","parse-names":false,"suffix":""},{"dropping-particle":"","family":"Teagle","given":"D.A.H.","non-dropping-particle":"","parse-names":false,"suffix":""},{"dropping-particle":"","family":"Coggon","given":"J.A.","non-dropping-particle":"","parse-names":false,"suffix":""}],"id":"ITEM-2","issued":{"date-parts":[["2021"]]},"publisher":"International Ocean Discovery Program","publisher-place":"College Station, TX","title":"Site CM2: Crust–Mantle Transition Zone and into upper mantle","type":"chapter"},"uris":["http://www.mendeley.com/documents/?uuid=d7bf13a9-001c-494e-b376-82928bb2696e"]}],"mendeley":{"formattedCitation":"(Peter B. Kelemen et al., 2021a, 2021b)","manualFormatting":"(Kelemen et al., 2021a, 2021b)","plainTextFormattedCitation":"(Peter B. Kelemen et al., 2021a, 2021b)","previouslyFormattedCitation":"(Peter B. Kelemen et al., 2021a, 2021b)"},"properties":{"noteIndex":0},"schema":"https://github.com/citation-style-language/schema/raw/master/csl-citation.json"}</w:instrText>
      </w:r>
      <w:r>
        <w:fldChar w:fldCharType="separate"/>
      </w:r>
      <w:r w:rsidRPr="00D72F70">
        <w:rPr>
          <w:noProof/>
        </w:rPr>
        <w:t>(Kelemen et al., 2021a, 2021b)</w:t>
      </w:r>
      <w:r>
        <w:fldChar w:fldCharType="end"/>
      </w:r>
      <w:r>
        <w:t>.</w:t>
      </w:r>
    </w:p>
    <w:p w14:paraId="3CE4EC17" w14:textId="247B0862" w:rsidR="004F307D" w:rsidRPr="00C0459B" w:rsidRDefault="008D10C3" w:rsidP="00F24389">
      <w:pPr>
        <w:pStyle w:val="Style1"/>
        <w:spacing w:line="360" w:lineRule="auto"/>
      </w:pPr>
      <w:bookmarkStart w:id="18" w:name="_Toc109036113"/>
      <w:r>
        <w:lastRenderedPageBreak/>
        <w:t xml:space="preserve">1.1.2 </w:t>
      </w:r>
      <w:r w:rsidR="004F307D" w:rsidRPr="00C0459B">
        <w:t>Hess Deep</w:t>
      </w:r>
      <w:bookmarkEnd w:id="18"/>
    </w:p>
    <w:p w14:paraId="71290510" w14:textId="6D40B21D" w:rsidR="004F307D" w:rsidRDefault="004F307D" w:rsidP="00F24389">
      <w:pPr>
        <w:spacing w:line="360" w:lineRule="auto"/>
        <w:ind w:firstLine="360"/>
      </w:pPr>
      <w:r>
        <w:t xml:space="preserve">Hess Deep provides a globally unique exposure of lithosphere initiated within the last ~1.5 Ma </w:t>
      </w:r>
      <w:r>
        <w:fldChar w:fldCharType="begin" w:fldLock="1"/>
      </w:r>
      <w:r>
        <w:instrText>ADDIN CSL_CITATION {"citationItems":[{"id":"ITEM-1","itemData":{"DOI":"10.1029/JB093iB11p13551","ISSN":"0148-0227","author":[{"dropping-particle":"","family":"Lonsdale","given":"Peter","non-dropping-particle":"","parse-names":false,"suffix":""}],"container-title":"Journal of Geophysical Research","id":"ITEM-1","issue":"B11","issued":{"date-parts":[["1988"]]},"page":"13551 - 13574","title":"Structural Pattern of the Galapagos Microplate and Evolution of the galapagos Triple Junction","type":"article-journal","volume":"93"},"uris":["http://www.mendeley.com/documents/?uuid=b9d1fc50-31a1-479a-9658-66b050bf6ae8"]}],"mendeley":{"formattedCitation":"(Lonsdale, 1988)","plainTextFormattedCitation":"(Lonsdale, 1988)","previouslyFormattedCitation":"(Lonsdale, 1988)"},"properties":{"noteIndex":0},"schema":"https://github.com/citation-style-language/schema/raw/master/csl-citation.json"}</w:instrText>
      </w:r>
      <w:r>
        <w:fldChar w:fldCharType="separate"/>
      </w:r>
      <w:r w:rsidRPr="4DF8874B">
        <w:rPr>
          <w:noProof/>
        </w:rPr>
        <w:t>(Lonsdale, 1988)</w:t>
      </w:r>
      <w:r>
        <w:fldChar w:fldCharType="end"/>
      </w:r>
      <w:r>
        <w:t xml:space="preserve">. The Hess Deep tectonic window emerged from the instability of ridge-ridge-ridge spreading between the Pacific, Cocos and Nazca plates at the Galapagos Triple Junction </w:t>
      </w:r>
      <w:r>
        <w:fldChar w:fldCharType="begin" w:fldLock="1"/>
      </w:r>
      <w:r>
        <w:instrText>ADDIN CSL_CITATION {"citationItems":[{"id":"ITEM-1","itemData":{"author":[{"dropping-particle":"","family":"Lonsdale","given":"Peter","non-dropping-particle":"","parse-names":false,"suffix":""},{"dropping-particle":"","family":"Blum","given":"Norbert","non-dropping-particle":"","parse-names":false,"suffix":""},{"dropping-particle":"","family":"Puchelt","given":"H.","non-dropping-particle":"","parse-names":false,"suffix":""}],"id":"ITEM-1","issued":{"date-parts":[["1992"]]},"page":"73-85","title":"The RRR triple junction at the southern end of the Pacific-Cocos East Pacific Rise","type":"article-journal","volume":"109"},"uris":["http://www.mendeley.com/documents/?uuid=65182ca3-46cb-4eff-ad4d-8f1241b5ab5a"]},{"id":"ITEM-2","itemData":{"author":[{"dropping-particle":"","family":"Klein","given":"Emily M","non-dropping-particle":"","parse-names":false,"suffix":""},{"dropping-particle":"","family":"Smith","given":"Deborah K","non-dropping-particle":"","parse-names":false,"suffix":""},{"dropping-particle":"","family":"Williams","given":"Claire M","non-dropping-particle":"","parse-names":false,"suffix":""},{"dropping-particle":"","family":"Schouten","given":"Hans","non-dropping-particle":"","parse-names":false,"suffix":""}],"container-title":"Nature","id":"ITEM-2","issue":"1986","issued":{"date-parts":[["2005"]]},"page":"855-858","title":"Counter-rotating microplates at the Galpagos triple junction","type":"article-journal","volume":"433"},"prefix":"e.g. ","uris":["http://www.mendeley.com/documents/?uuid=27f818a5-d14a-4c25-862c-7769712b8f90"]}],"mendeley":{"formattedCitation":"(e.g. Klein et al., 2005; Lonsdale et al., 1992)","plainTextFormattedCitation":"(e.g. Klein et al., 2005; Lonsdale et al., 1992)","previouslyFormattedCitation":"(e.g. Klein et al., 2005; Lonsdale et al., 1992)"},"properties":{"noteIndex":0},"schema":"https://github.com/citation-style-language/schema/raw/master/csl-citation.json"}</w:instrText>
      </w:r>
      <w:r>
        <w:fldChar w:fldCharType="separate"/>
      </w:r>
      <w:r w:rsidRPr="4DF8874B">
        <w:rPr>
          <w:noProof/>
        </w:rPr>
        <w:t>(e.g. Klein et al., 2005; Lonsdale et al., 1992)</w:t>
      </w:r>
      <w:r>
        <w:fldChar w:fldCharType="end"/>
      </w:r>
      <w:r>
        <w:t xml:space="preserve">. Despite the tectonic complexity of the Galapagos microplate region, the EPR origin of the rocks at Hess Deep is well established and provides exposures of rock that represent the full suite of crust and upper mantle lithologies from a contemporary fast spreading mid-ocean ridge </w:t>
      </w:r>
      <w:r>
        <w:fldChar w:fldCharType="begin" w:fldLock="1"/>
      </w:r>
      <w:r>
        <w:instrText xml:space="preserve">ADDIN CSL_CITATION {"citationItems":[{"id":"ITEM-1","itemData":{"DOI":"10.1029/2001GC000155","ISBN":"1525-2027","ISSN":"15252027","abstract":"The uppermost 2 km of the oceanic crust created at the fast spreading (135 mm yr−1, full rate) equatorial East Pacific Rise (EPR) is exposed for tens of kilometers along escarpments bounding the Hess Deep Rift. Mosaics of large-scale digital images from the remotely operated vehicle (ROV) Argo II and direct observations from the submersible Alvin document a degree of geological complexity and variability that is not evident from most studies of ophiolites or prevailing models of seafloor spreading. Dramatic variations in the thickness and internal structure are documented in both the basaltic volcanic and sheeted dike rock units. These rock units are characterized by extensive faulting, fine-scale fracturing, and rotations of coherent crustal blocks meters to tens of meters across. The uppermost basaltic lavas are essentially undeformed and have overall gently inclined flow surfaces. Through most of the basaltic lava unit, however, lava flow contacts dip (20°–70°W) toward the EPR and generally increase in dip downward in the section. Dikes cutting the lavas and in the underlying sheeted dike unit generally dip (90°–40°E) away from the EPR. Deeper level gabbroic rocks show little evidence of the intense fracturing typical of the overlying units. We interpret this upper crustal structure as the result of subaxial subsidence within 1–2 km of the EPR that accommodated the thickening of the basaltic lava unit to </w:instrText>
      </w:r>
      <w:r w:rsidRPr="4DF8874B">
        <w:rPr>
          <w:rFonts w:ascii="Cambria Math" w:hAnsi="Cambria Math" w:cs="Cambria Math"/>
        </w:rPr>
        <w:instrText>∼</w:instrText>
      </w:r>
      <w:r>
        <w:instrText>500 m. Variations in the thickness of lava and dike units and spatially related structures along the rift escarpments suggest temporal fluctuations in magma supply. These results indicate that substantial brittle deformation accompanied waxing and waning volcanism during the accretion of the crustal section exposed at the Hess Deep Rift. If this type of structure is typical of uppermost oceanic crust generated at the EPR, these processes may be common along fast spreading mid-ocean ridges.","author":[{"dropping-particle":"","family":"Karson","given":"J. A.","non-dropping-particle":"","parse-names":false,"suffix":""},{"dropping-particle":"","family":"Klein","given":"E. M.","non-dropping-particle":"","parse-names":false,"suffix":""},{"dropping-particle":"","family":"Hurst","given":"S. D.","non-dropping-particle":"","parse-names":false,"suffix":""},{"dropping-particle":"","family":"Lee","given":"C. E.","non-dropping-particle":"","parse-names":false,"suffix":""},{"dropping-particle":"","family":"Rivizzigno","given":"P. A.","non-dropping-particle":"","parse-names":false,"suffix":""},{"dropping-particle":"","family":"Curewitz","given":"D.","non-dropping-particle":"","parse-names":false,"suffix":""},{"dropping-particle":"","family":"Morris","given":"A. R.","non-dropping-particle":"","parse-names":false,"suffix":""},{"dropping-particle":"","family":"Miller","given":"D. J.","non-dropping-particle":"","parse-names":false,"suffix":""},{"dropping-particle":"","family":"Varga","given":"R. G.","non-dropping-particle":"","parse-names":false,"suffix":""},{"dropping-particle":"","family":"Christeson","given":"G. L.","non-dropping-particle":"","parse-names":false,"suffix":""},{"dropping-particle":"","family":"Cushman","given":"B.","non-dropping-particle":"","parse-names":false,"suffix":""},{"dropping-particle":"","family":"O'Neill","given":"J. M.","non-dropping-particle":"","parse-names":false,"suffix":""},{"dropping-particle":"","family":"Brophy","given":"J. G.","non-dropping-particle":"","parse-names":false,"suffix":""},{"dropping-particle":"","family":"Gillis","given":"K. M.","non-dropping-particle":"","parse-names":false,"suffix":""},{"dropping-particle":"","family":"Stewart","given":"M. A.","non-dropping-particle":"","parse-names":false,"suffix":""},{"dropping-particle":"","family":"Sutton","given":"A. L.","non-dropping-particle":"","parse-names":false,"suffix":""}],"container-title":"Geochemistry, Geophysics, Geosystems","id":"ITEM-1","issue":"1","issued":{"date-parts":[["2002"]]},"page":"n/a-n/a","title":"Structure of uppermost fast-spread oceanic crust exposed at the Hess Deep Rift: Implications for subaxial processes at the East Pacific Rise","type":"article-journal","volume":"3"},"uris":["http://www.mendeley.com/documents/?uuid=b4571ffc-9be7-4f58-8330-8e0e0542ff72"]},{"id":"ITEM-2","itemData":{"author":[{"dropping-particle":"","family":"Hekinian","given":"Roger","non-dropping-particle":"","parse-names":false,"suffix":""},{"dropping-particle":"","family":"Bideau","given":"Daniel","non-dropping-particle":"","parse-names":false,"suffix":""},{"dropping-particle":"","family":"Francheteau","given":"Jean","non-dropping-particle":"","parse-names":false,"suffix":""},{"dropping-particle":"","family":"Cheminee","given":"Jean Louis","non-dropping-particle":"","parse-names":false,"suffix":""},{"dropping-particle":"","family":"Armijo","given":"Rolando","non-dropping-particle":"","parse-names":false,"suffix":""},{"dropping-particle":"","family":"Lonsdale","given":"Peter","non-dropping-particle":"","parse-names":false,"suffix":""},{"dropping-particle":"","family":"Blum","given":"Norbert","non-dropping-particle":"","parse-names":false,"suffix":""}],"id":"ITEM-2","issue":"92","issued":{"date-parts":[["1993"]]},"page":"8069-8094","title":"Petrology of the East Pacific Rise Crust and Upper Mantle Exposed in Hess Deep ( Eastern Equatorial Pacific ) were zone 85øW a volcanically starved segment of the Cocos-Nazca ridge in the Hess Deep Upper levels and Kashintsev , Fe-oxyhydroxide","type":"article-journal","volume":"98"},"uris":["http://www.mendeley.com/documents/?uuid=be86fb3a-124f-41bc-8842-73b0767d0a58"]},{"id":"ITEM-3","itemData":{"DOI":"10.1016/j.epsl.2012.11.012","ISBN":"0012821X","ISSN":"0012821X","abstract":"Mid-ocean ridge basalt (MORB) is the most abundant magma on Earth, and provides a geochemical window into the mantle. Deriving mantle composition and melting processes from the erupted lavas requires correction to be made for their evolution as they pass through and generate the oceanic crust. This is typically done by assuming that modification of melts in crustal magma chambers occurs exclusively by fractional crystallisation. However, extensive mineral major- and trace element data from a full section of fast-spread lower crustal rocks exposed in Hess Deep (equatorial Pacific Ocean) demonstrate that their evolution is instead controlled by reactive porous flow. These reactions lead to a strong enrichment in, and fractionation of, incompatible trace elements in the melt (as recorded by clinopyroxene compositions), leading to melt compositions far outside of the compositional realm of MORB both in terms of trace element abundances and ratios. The reactive signature increases in strength up section, peaking in varitextured gabbros interpreted to represent the fossilised axial melt lens, indicating that reactive porous flow occurred on the scale of the entire lower crust. The enrichment of the melt is coupled with a strong trace element depletion of plagioclase, olivine, and, to a lesser extent, clinopyroxene cores, suggesting that these phases represent the residues of the reactions from which trace elements have been removed. The dominant role of reactive porous flow, and the resulting deviations from fractional crystallisation predictions, suggest that the lower oceanic crust plays a much more complex and significant role in modifying the compositions of MORB than previously expected, with consequent implications for models of mantle processes. © 2012 Elsevier B.V.","author":[{"dropping-particle":"","family":"Lissenberg","given":"C. Johan","non-dropping-particle":"","parse-names":false,"suffix":""},{"dropping-particle":"","family":"MacLeod","given":"Christopher J.","non-dropping-particle":"","parse-names":false,"suffix":""},{"dropping-particle":"","family":"Howard","given":"Kerry A.","non-dropping-particle":"","parse-names":false,"suffix":""},{"dropping-particle":"","family":"Godard","given":"Marguerite","non-dropping-particle":"","parse-names":false,"suffix":""}],"container-title":"Earth and Planetary Science Letters","id":"ITEM-3","issued":{"date-parts":[["2013"]]},"page":"436-447","publisher":"Elsevier","title":"Pervasive reactive melt migration through fast-spreading lower oceanic crust (Hess Deep, equatorial Pacific Ocean)","type":"article-journal","volume":"361"},"uris":["http://www.mendeley.com/documents/?uuid=bc3ea565-6693-4e58-a32f-895553960a16"]},{"id":"ITEM-4","itemData":{"DOI":"10.1016/0012-821X(93)90218-X","ISSN":"0012821X","abstract":"Textural and petrological data are presented that record the formation of plagioclase-bearing wehrlites and peridotites at slow-spreading and fast-spreading ridges that are comparable to the wehrlites and peridotites formed in ophiolitic complexes. Evidence is provided for locally pervasive magma percolation in the oceanic residual upper mantle. The samples studied come from the East Pacific Rise (EPR) (Hess Deep) and the Mid-Atlantic Ridge (MAR) (DSDP Site 334). At both sites, parts of the peridotites display poikilitic textures with oikocrysts of clinopyroxene and interstitial plagioclase that include xenocrysts of strained and partly annealed olivine and subidiomorphic spinel crystals. Petrofabric data for olivine suggest a magmatic origin for the Hess Deep wehrlite. Its phase chemistry is comparable to intrusive plagioclase-wehrlites and lherzolite from ophiolites that are thought to have crystallized from a crystal mush. It differs drastically from the associated Hess Deep diopside-bearing harzburgites and dunites, which are quite similar to oceanic and ophiolitic residual peridotites. The EPR wehrlite is therefore considered as an intrusive rock. The Leg 37 plagioclase-peridotites display a weak lattice fabric of olivive which may have resulted from high-temperature plastic flow; these rocks have a phase chemistry that is typical of ophiolitic and oceanic residual rocks. These rocks are hence interpreted as residual dunite or harzburgite which has been pervasively impregnated by a melt from which the clinopyroxene and plagioclase crystallized. These peridotites could have an intrusive origin or may have formed in situ at the crust-mantle transition in association with intrusions of large gabbro bodies. © 1993.","author":[{"dropping-particle":"","family":"Girardeau","given":"Jacques","non-dropping-particle":"","parse-names":false,"suffix":""},{"dropping-particle":"","family":"Francheteau","given":"Jean","non-dropping-particle":"","parse-names":false,"suffix":""}],"container-title":"Earth and Planetary Science Letters","id":"ITEM-4","issue":"1-4","issued":{"date-parts":[["1993"]]},"page":"137-149","title":"Plagioclase-wehrlites and peridotites on the East Pacific Rise (Hess Deep) and the Mid-Atlantic Ridge (DSDP Site 334): evidence for magma percolation in the oceanic upper mantle","type":"article-journal","volume":"115"},"prefix":"e.g. ","uris":["http://www.mendeley.com/documents/?uuid=1cc789b2-9f0c-4b74-8cec-779d6e4ca1ce"]},{"id":"ITEM-5","itemData":{"DOI":"10.1016/j.lithos.2009.06.017","ISSN":"00244937","abstract":"From geophysics, two thin and narrow sill-like melt lenses occur directly beneath the ridge axis on the East Pacific Rise (EPR) near 9°N. One is at the base of sheeted dikes, and the other at the base of the crust in the mantle transition with largely crystalline material in between. Along-axis continuity indicates that the upper one is a steady-state feature along much of the EPR. What causes melt to pool at two levels in the crust, with little melt in between? Normative densities of gabbro sampled from Hess Deep, eastern Pacific, at solidus temperatures are greater than melt densities calculated from compositions of basalt glass from the EPR. Therefore, abyssal-tholeiite liquids of all compositions are buoyant in a hot gabbroic crystalline matrix with no more than a few percent melt. There is therefore no level in the gabbroic layer at which pure basaltic melt attains neutral buoyancy, and by this means produces sill-like rather than dike-like intrusives. Instead, the upper melt lens appears to collect at a combined compositional and permeability barrier, defined by the coarse-grained base of the dike sequence sampled on the northern rift margin at Hess Deep. About 200 m of massive dike rocks with ophitic to subophitic coarse-grained texture occur just above gabbronorite and oxide-gabbro cumulates which are the crystallized relics of highly differentiated ferrobasaltic and ferroandesitic liquids in the melt lens. At temperatures of crystallization of cumulates at the level of the melt lens (1100-1000 °C), the basal dike rocks of less differentiated basaltic composition just above this were 90-98% crystalline, and they annealed to the point where dike contacts cannot be seen on outcrop surfaces. These slightly molten rocks need to be fractured by rift dilatancy or overpressure from beneath for magmas to ascend beyond the melt lens. Neutral buoyancy occurs in fine-grained dikes above where densities of escaping magma finally match those of the fractured and porous formation and this is the level that can be laterally intruded. The base of the crust, on the other hand, presents an abrupt reduction in the density contrast between ascending melt and surrounding rock, and a higher concentration of melt pockets and channels. Neutral buoyancy can be attained where primitive gabbros are first encountered if the ascending magmas are picritic, laden with olivine phenocrysts. High olivine concentrations in the narrow bodies of moving magma can be attained by a co…","author":[{"dropping-particle":"","family":"Natland","given":"James H.","non-dropping-particle":"","parse-names":false,"suffix":""},{"dropping-particle":"","family":"Dick","given":"Henry J.B.","non-dropping-particle":"","parse-names":false,"suffix":""}],"container-title":"Lithos","id":"ITEM-5","issue":"1-2","issued":{"date-parts":[["2009"]]},"page":"73-86","publisher":"Elsevier B.V.","title":"Paired melt lenses at the East Pacific Rise and the pattern of melt flow through the gabbroic layer at a fast-spreading ridge","type":"article-journal","volume":"112"},"uris":["http://www.mendeley.com/documents/?uuid=82b9564e-6839-4916-8624-d2cbd0a56256"]}],"mendeley":{"formattedCitation":"(e.g. Girardeau &amp; Francheteau, 1993; Hekinian et al., 1993; Karson et al., 2002; Lissenberg et al., 2013; Natland &amp; Dick, 2009)","plainTextFormattedCitation":"(e.g. Girardeau &amp; Francheteau, 1993; Hekinian et al., 1993; Karson et al., 2002; Lissenberg et al., 2013; Natland &amp; Dick, 2009)","previouslyFormattedCitation":"(e.g. Girardeau &amp; Francheteau, 1993; Hekinian et al., 1993; Karson et al., 2002; Lissenberg et al., 2013; Natland &amp; Dick, 2009)"},"properties":{"noteIndex":0},"schema":"https://github.com/citation-style-language/schema/raw/master/csl-citation.json"}</w:instrText>
      </w:r>
      <w:r>
        <w:fldChar w:fldCharType="separate"/>
      </w:r>
      <w:r w:rsidRPr="4DF8874B">
        <w:rPr>
          <w:noProof/>
        </w:rPr>
        <w:t>(e.g. Girardeau &amp; Francheteau, 1993; Hekinian et al., 1993; Karson et al., 2002; Lissenberg et al., 2013; Natland &amp; Dick, 2009)</w:t>
      </w:r>
      <w:r>
        <w:fldChar w:fldCharType="end"/>
      </w:r>
      <w:r>
        <w:t xml:space="preserve">. The samples used in this study are gabbros and peridotites from Ocean Drilling Project (ODP) Leg 147 (1992-1993) and International Ocean Drilling Project (IODP) Expedition 345, Site 1415 (2012-2013) </w:t>
      </w:r>
      <w:r>
        <w:fldChar w:fldCharType="begin" w:fldLock="1"/>
      </w:r>
      <w:r>
        <w:instrText>ADDIN CSL_CITATION {"citationItems":[{"id":"ITEM-1","itemData":{"DOI":"10.2204/iodp.proc.345.101.2014","abstract":"Integrated Ocean Drilling Program (IODP) Hess Deep Expedition 345 was designed to sample lower crustal primitive gabbroic rock that formed at the fast-spreading East Pacific Rise (EPR) in order to test competing models of magmatic accretion and the intensity of hydrothermal cooling at depth. The Hess Deep Rift was selected to exploit tectonic exposures of young EPR plutonic crust, build-ing upon results from Ocean Drilling Program Leg 147 as well as more recent submersible, remotely operated vehicle, and near-bottom surveys. The primary goal was to acquire the observations required to test end-member crustal accretion models that were in large part based on relationships from ophiolites, in combination with mid-ocean ridge geophysical studies. This goal was achieved with the recovery of primitive layered olivine gabbro and trocto-lite with many unexpected mineralogical and textural relation-ships, such as the abundance of orthopyroxene and the preserva-tion of delicate skeletal olivine textures. Site U1415 is located within the Hess Deep Rift along the south-ern slope of the intrarift ridge between 4675 and 4850 m water depths. Specific hole locations were selected in the general area of the proposed drill sites (HD-01B–HD-03B) using a combination of geomorphology, seafloor observations, and shallow acoustic sub-bottom profiling data. A total of 16 holes were drilled. The pri-mary science results were obtained from coring of two ~110 m deep reentry holes (U1415J and U1415P) and five single-bit holes (U1415E and U1415G–U1415I). Despite deep water depths and challenging drilling conditions, reasonable recovery for hard rock expeditions (15%–30%) was achieved at three 35–110 m deep holes (U1415I, U1415J, and U1415P). The other holes occupied during this expedition included three failed attempts to establish reentry capability (Holes U1415K, U1415M, and U1415P) and six jet-in tests to assess sediment thickness (Holes U1415A–U1415D, U1415F, and U1415L). Olivine gabbro and troctolite are the dominant plutonic rock types recovered at Site U1415, with minor gabbro, clinopyroxene oikocryst-bearing gabbroic lithologies, and gabbronorite. These rocks exhibit cumulate textures similar to those found in layered mafic intrusions and some ophiolite complexes. All lithologies are primitive, with Mg# between 76 and 89, falling within the global range of primitive oceanic gabbros. Spectacular modal and grain size layering was prevalent in &gt;50% of the recovered core,","author":[{"dropping-particle":"","family":"Gillis","given":"Kathryn M.","non-dropping-particle":"","parse-names":false,"suffix":""},{"dropping-particle":"","family":"Snow","given":"Jonathan E.","non-dropping-particle":"","parse-names":false,"suffix":""},{"dropping-particle":"","family":"Klaus","given":"Adam","non-dropping-particle":"","parse-names":false,"suffix":""},{"dropping-particle":"","family":"Guerin","given":"Gilles","non-dropping-particle":"","parse-names":false,"suffix":""},{"dropping-particle":"","family":"Abe","given":"Natsue","non-dropping-particle":"","parse-names":false,"suffix":""},{"dropping-particle":"","family":"Akizawa","given":"Norikatsu","non-dropping-particle":"","parse-names":false,"suffix":""},{"dropping-particle":"","family":"Ceuleneer","given":"Georges","non-dropping-particle":"","parse-names":false,"suffix":""},{"dropping-particle":"","family":"Cheadle","given":"Michael J.","non-dropping-particle":"","parse-names":false,"suffix":""},{"dropping-particle":"","family":"Adrião","given":"Álden B.","non-dropping-particle":"","parse-names":false,"suffix":""},{"dropping-particle":"","family":"Faak","given":"Kathrin","non-dropping-particle":"","parse-names":false,"suffix":""},{"dropping-particle":"","family":"Falloon","given":"Trevor J.","non-dropping-particle":"","parse-names":false,"suffix":""},{"dropping-particle":"","family":"Friedman","given":"Sarah A.","non-dropping-particle":"","parse-names":false,"suffix":""},{"dropping-particle":"","family":"Godard","given":"Marguerite","non-dropping-particle":"","parse-names":false,"suffix":""},{"dropping-particle":"","family":"Harigane","given":"Yumiko","non-dropping-particle":"","parse-names":false,"suffix":""},{"dropping-particle":"","family":"Horst","given":"Andrew J.","non-dropping-particle":"","parse-names":false,"suffix":""},{"dropping-particle":"","family":"Hoshide","given":"Takashi","non-dropping-particle":"","parse-names":false,"suffix":""},{"dropping-particle":"","family":"Ildefonse","given":"Benoît","non-dropping-particle":"","parse-names":false,"suffix":""},{"dropping-particle":"","family":"Jean","given":"Marlon M.","non-dropping-particle":"","parse-names":false,"suffix":""},{"dropping-particle":"","family":"John","given":"Barbara E.","non-dropping-particle":"","parse-names":false,"suffix":""},{"dropping-particle":"","family":"Koepke","given":"Juergen","non-dropping-particle":"","parse-names":false,"suffix":""},{"dropping-particle":"","family":"Machi","given":"Sumiaki","non-dropping-particle":"","parse-names":false,"suffix":""},{"dropping-particle":"","family":"Maeda","given":"Jinichiro","non-dropping-particle":"","parse-names":false,"suffix":""},{"dropping-particle":"","family":"Marks","given":"Naomi E.","non-dropping-particle":"","parse-names":false,"suffix":""},{"dropping-particle":"","family":"McCaig","given":"Andrew M.","non-dropping-particle":"","parse-names":false,"suffix":""},{"dropping-particle":"","family":"Meyer","given":"Romain","non-dropping-particle":"","parse-names":false,"suffix":""},{"dropping-particle":"","family":"Morris","given":"Anthony","non-dropping-particle":"","parse-names":false,"suffix":""},{"dropping-particle":"","family":"Nozaka","given":"Toshio","non-dropping-particle":"","parse-names":false,"suffix":""},{"dropping-particle":"","family":"Python","given":"Marie","non-dropping-particle":"","parse-names":false,"suffix":""},{"dropping-particle":"","family":"Saha","given":"Abhishek","non-dropping-particle":"","parse-names":false,"suffix":""},{"dropping-particle":"","family":"Wintsch","given":"Robert P.","non-dropping-particle":"","parse-names":false,"suffix":""}],"id":"ITEM-1","issued":{"date-parts":[["2014"]]},"title":"Expedition 345 summary","type":"article-journal","volume":"345"},"uris":["http://www.mendeley.com/documents/?uuid=4967793a-1326-4ec5-96df-2cbf5923baaa"]},{"id":"ITEM-2","itemData":{"DOI":"10.2973/odp.proc.sr.147.1996","collection-title":"Proceedings of the Ocean Drilling Program","editor":[{"dropping-particle":"","family":"Mevel","given":"C.","non-dropping-particle":"","parse-names":false,"suffix":""},{"dropping-particle":"","family":"Gillis","given":"K.M.","non-dropping-particle":"","parse-names":false,"suffix":""},{"dropping-particle":"","family":"Allan","given":"J.F.","non-dropping-particle":"","parse-names":false,"suffix":""},{"dropping-particle":"","family":"Meyer","given":"P.S.","non-dropping-particle":"","parse-names":false,"suffix":""}],"id":"ITEM-2","issued":{"date-parts":[["1996","4"]]},"publisher":"Ocean Drilling Program","title":"Proceedings of the Ocean Drilling Program, 147 Scientific Results","type":"article-journal","volume":"147"},"uris":["http://www.mendeley.com/documents/?uuid=7db4e87c-a64c-40f8-bb43-3178d5378d2d"]}],"mendeley":{"formattedCitation":"(Gillis, Snow, Klaus, Guerin, et al., 2014; Mevel et al., 1996)","manualFormatting":"(Gillis et al., 2014; Mevel et al., 1996)","plainTextFormattedCitation":"(Gillis, Snow, Klaus, Guerin, et al., 2014; Mevel et al., 1996)","previouslyFormattedCitation":"(Gillis, Snow, Klaus, Guerin, et al., 2014; Mevel et al., 1996)"},"properties":{"noteIndex":0},"schema":"https://github.com/citation-style-language/schema/raw/master/csl-citation.json"}</w:instrText>
      </w:r>
      <w:r>
        <w:fldChar w:fldCharType="separate"/>
      </w:r>
      <w:r w:rsidRPr="4DF8874B">
        <w:rPr>
          <w:noProof/>
        </w:rPr>
        <w:t>(Gillis et al., 2014; Mevel et al., 1996)</w:t>
      </w:r>
      <w:r>
        <w:fldChar w:fldCharType="end"/>
      </w:r>
      <w:r>
        <w:t>.</w:t>
      </w:r>
      <w:bookmarkEnd w:id="15"/>
      <w:r>
        <w:t xml:space="preserve"> Site 1415 is located along the southern slope of the </w:t>
      </w:r>
      <w:proofErr w:type="spellStart"/>
      <w:r>
        <w:t>intrarift</w:t>
      </w:r>
      <w:proofErr w:type="spellEnd"/>
      <w:r>
        <w:t xml:space="preserve"> ridge between 4675 and 4850 m below sea level and is covered with approximately 10–30 m of gabbroic rubble overlain by a few meters of pelagic sediment mixed with lithic debris </w:t>
      </w:r>
      <w:r>
        <w:fldChar w:fldCharType="begin" w:fldLock="1"/>
      </w:r>
      <w:r>
        <w:instrText>ADDIN CSL_CITATION {"citationItems":[{"id":"ITEM-1","itemData":{"DOI":"10.1038/nature12778","ISBN":"0028-0836","ISSN":"00280836","PMID":"24291793","abstract":"Three-quarters of the oceanic crust formed at fast-spreading ridges is composed of plutonic rocks whose mineral assemblages, textures and compositions record the history of melt transport and crystallization between the mantle and the sea floor. Despite the importance of these rocks, sampling them in situ is extremely challenging owing to the overlying dykes and lavas. This means that models for understanding the formation of the lower crust are based largely on geophysical studies and ancient analogues (ophiolites) that did not form at typical mid-ocean ridges. Here we describe cored intervals of primitive, modally layered gabbroic rocks from the lower plutonic crust formed at a fast-spreading ridge, sampled by the Integrated Ocean Drilling Program at the Hess Deep rift. Centimetre-scale, modally layered rocks, some of which have a strong layering-parallel foliation, confirm a long-held belief that such rocks are a key constituent of the lower oceanic crust formed at fast-spreading ridges. Geochemical analysis of these primitive lower plutonic rocks--in combination with previous geochemical data for shallow-level plutonic rocks, sheeted dykes and lavas--provides the most completely constrained estimate of the bulk composition of fast-spreading oceanic crust so far. Simple crystallization models using this bulk crustal composition as the parental melt accurately predict the bulk composition of both the lavas and the plutonic rocks. However, the recovered plutonic rocks show early crystallization of orthopyroxene, which is not predicted by current models of melt extraction from the mantle and mid-ocean-ridge basalt differentiation. The simplest explanation of this observation is that compositionally diverse melts are extracted from the mantle and partly crystallize before mixing to produce the more homogeneous magmas that erupt.","author":[{"dropping-particle":"","family":"Gillis","given":"Kathryn M.","non-dropping-particle":"","parse-names":false,"suffix":""},{"dropping-particle":"","family":"Snow","given":"Jonathan E.","non-dropping-particle":"","parse-names":false,"suffix":""},{"dropping-particle":"","family":"Klaus","given":"Adam","non-dropping-particle":"","parse-names":false,"suffix":""},{"dropping-particle":"","family":"Abe","given":"Natsue","non-dropping-particle":"","parse-names":false,"suffix":""},{"dropping-particle":"","family":"Adrião","given":"Álden B.","non-dropping-particle":"","parse-names":false,"suffix":""},{"dropping-particle":"","family":"Akizawa","given":"Norikatsu","non-dropping-particle":"","parse-names":false,"suffix":""},{"dropping-particle":"","family":"Ceuleneer","given":"Georges","non-dropping-particle":"","parse-names":false,"suffix":""},{"dropping-particle":"","family":"Cheadle","given":"Michael J.","non-dropping-particle":"","parse-names":false,"suffix":""},{"dropping-particle":"","family":"Faak","given":"Kathrin","non-dropping-particle":"","parse-names":false,"suffix":""},{"dropping-particle":"","family":"Falloon","given":"Trevor J.","non-dropping-particle":"","parse-names":false,"suffix":""},{"dropping-particle":"","family":"Friedman","given":"Sarah A.","non-dropping-particle":"","parse-names":false,"suffix":""},{"dropping-particle":"","family":"Godard","given":"Marguerite","non-dropping-particle":"","parse-names":false,"suffix":""},{"dropping-particle":"","family":"Guerin","given":"Gilles","non-dropping-particle":"","parse-names":false,"suffix":""},{"dropping-particle":"","family":"Harigane","given":"Yumiko","non-dropping-particle":"","parse-names":false,"suffix":""},{"dropping-particle":"","family":"Horst","given":"Andrew J.","non-dropping-particle":"","parse-names":false,"suffix":""},{"dropping-particle":"","family":"Hoshide","given":"Takashi","non-dropping-particle":"","parse-names":false,"suffix":""},{"dropping-particle":"","family":"Ildefonse","given":"Benoit","non-dropping-particle":"","parse-names":false,"suffix":""},{"dropping-particle":"","family":"Jean","given":"Marlon M.","non-dropping-particle":"","parse-names":false,"suffix":""},{"dropping-particle":"","family":"John","given":"Barbara E.","non-dropping-particle":"","parse-names":false,"suffix":""},{"dropping-particle":"","family":"Koepke","given":"Juergen","non-dropping-particle":"","parse-names":false,"suffix":""},{"dropping-particle":"","family":"MacHi","given":"Sumiaki","non-dropping-particle":"","parse-names":false,"suffix":""},{"dropping-particle":"","family":"Maeda","given":"Jinichiro","non-dropping-particle":"","parse-names":false,"suffix":""},{"dropping-particle":"","family":"Marks","given":"Naomi E.","non-dropping-particle":"","parse-names":false,"suffix":""},{"dropping-particle":"","family":"McCaig","given":"Andrew M.","non-dropping-particle":"","parse-names":false,"suffix":""},{"dropping-particle":"","family":"Meyer","given":"Romain","non-dropping-particle":"","parse-names":false,"suffix":""},{"dropping-particle":"","family":"Morris","given":"Antony","non-dropping-particle":"","parse-names":false,"suffix":""},{"dropping-particle":"","family":"Nozaka","given":"Toshio","non-dropping-particle":"","parse-names":false,"suffix":""},{"dropping-particle":"","family":"Python","given":"Marie","non-dropping-particle":"","parse-names":false,"suffix":""},{"dropping-particle":"","family":"Saha","given":"Abhishek","non-dropping-particle":"","parse-names":false,"suffix":""},{"dropping-particle":"","family":"Wintsch","given":"Robert P.","non-dropping-particle":"","parse-names":false,"suffix":""}],"container-title":"Nature","id":"ITEM-1","issue":"7482","issued":{"date-parts":[["2014"]]},"page":"204-207","title":"Primitive layered gabbros from fast-spreading lower oceanic crust","type":"article-journal","volume":"505"},"uris":["http://www.mendeley.com/documents/?uuid=47ce156a-ed50-44c7-95a2-1cf1f3413418"]}],"mendeley":{"formattedCitation":"(Gillis, Snow, Klaus, Abe, et al., 2014)","manualFormatting":"(Gillis et al., 2014)","plainTextFormattedCitation":"(Gillis, Snow, Klaus, Abe, et al., 2014)","previouslyFormattedCitation":"(Gillis, Snow, Klaus, Abe, et al., 2014)"},"properties":{"noteIndex":0},"schema":"https://github.com/citation-style-language/schema/raw/master/csl-citation.json"}</w:instrText>
      </w:r>
      <w:r>
        <w:fldChar w:fldCharType="separate"/>
      </w:r>
      <w:r w:rsidRPr="4DF8874B">
        <w:rPr>
          <w:noProof/>
        </w:rPr>
        <w:t>(Gillis et al., 2014)</w:t>
      </w:r>
      <w:r>
        <w:fldChar w:fldCharType="end"/>
      </w:r>
      <w:r>
        <w:t xml:space="preserve">. The samples investigated were recovered from holes 1415G and 1415J. Collectively, the holes sampled three units of note: Unit 1 – surficial rubble zone, Unit 2 – oikocryst-bearing layered gabbro series, and Unit 3 – troctolite series. Hole G penetrated Unit 1, while Hole J penetrated all three units </w:t>
      </w:r>
      <w:r>
        <w:fldChar w:fldCharType="begin" w:fldLock="1"/>
      </w:r>
      <w:r>
        <w:instrText>ADDIN CSL_CITATION {"citationItems":[{"id":"ITEM-1","itemData":{"DOI":"10.2973/odp.proc.sr.147.1996","collection-title":"Proceedings of the Ocean Drilling Program","editor":[{"dropping-particle":"","family":"Mevel","given":"C.","non-dropping-particle":"","parse-names":false,"suffix":""},{"dropping-particle":"","family":"Gillis","given":"K.M.","non-dropping-particle":"","parse-names":false,"suffix":""},{"dropping-particle":"","family":"Allan","given":"J.F.","non-dropping-particle":"","parse-names":false,"suffix":""},{"dropping-particle":"","family":"Meyer","given":"P.S.","non-dropping-particle":"","parse-names":false,"suffix":""}],"id":"ITEM-1","issued":{"date-parts":[["1996","4"]]},"publisher":"Ocean Drilling Program","title":"Proceedings of the Ocean Drilling Program, 147 Scientific Results","type":"article-journal","volume":"147"},"uris":["http://www.mendeley.com/documents/?uuid=7db4e87c-a64c-40f8-bb43-3178d5378d2d"]}],"mendeley":{"formattedCitation":"(Mevel et al., 1996)","manualFormatting":"(see Mevel et al., 1996","plainTextFormattedCitation":"(Mevel et al., 1996)","previouslyFormattedCitation":"(Mevel et al., 1996)"},"properties":{"noteIndex":0},"schema":"https://github.com/citation-style-language/schema/raw/master/csl-citation.json"}</w:instrText>
      </w:r>
      <w:r>
        <w:fldChar w:fldCharType="separate"/>
      </w:r>
      <w:r w:rsidRPr="4DF8874B">
        <w:rPr>
          <w:noProof/>
        </w:rPr>
        <w:t>(</w:t>
      </w:r>
      <w:r>
        <w:rPr>
          <w:noProof/>
        </w:rPr>
        <w:t>c.f.</w:t>
      </w:r>
      <w:r w:rsidRPr="4DF8874B">
        <w:rPr>
          <w:noProof/>
        </w:rPr>
        <w:t xml:space="preserve"> Mevel et al., 1996</w:t>
      </w:r>
      <w:r>
        <w:fldChar w:fldCharType="end"/>
      </w:r>
      <w:r>
        <w:t xml:space="preserve"> for site 894 and 895 characterizations from ODP Leg 147). The sampling locations and their relation to the inferred local geology is shown in Figure </w:t>
      </w:r>
      <w:r w:rsidR="005C3691">
        <w:t>1.1</w:t>
      </w:r>
      <w:r>
        <w:t>1.</w:t>
      </w:r>
    </w:p>
    <w:p w14:paraId="78BDA17C" w14:textId="3CDB028A" w:rsidR="004F307D" w:rsidRDefault="008D10C3" w:rsidP="004F307D">
      <w:pPr>
        <w:pStyle w:val="Heading2"/>
      </w:pPr>
      <w:bookmarkStart w:id="19" w:name="_Toc109036114"/>
      <w:r>
        <w:t xml:space="preserve">2. </w:t>
      </w:r>
      <w:r w:rsidR="004F307D">
        <w:t>Sample Description</w:t>
      </w:r>
      <w:bookmarkEnd w:id="19"/>
      <w:r w:rsidR="004F307D">
        <w:t xml:space="preserve"> </w:t>
      </w:r>
    </w:p>
    <w:p w14:paraId="1DE90CB5" w14:textId="1C665247" w:rsidR="004F307D" w:rsidRPr="00197B30" w:rsidRDefault="008D10C3" w:rsidP="00F24389">
      <w:pPr>
        <w:pStyle w:val="Heading3"/>
        <w:spacing w:line="360" w:lineRule="auto"/>
      </w:pPr>
      <w:bookmarkStart w:id="20" w:name="_Toc109036115"/>
      <w:r>
        <w:t xml:space="preserve">2.1 </w:t>
      </w:r>
      <w:r w:rsidR="004F307D" w:rsidRPr="6F96FD7C">
        <w:t>Samples</w:t>
      </w:r>
      <w:bookmarkEnd w:id="20"/>
    </w:p>
    <w:p w14:paraId="1BB46061" w14:textId="77777777" w:rsidR="002D28EA" w:rsidRDefault="004F307D" w:rsidP="001E0B34">
      <w:pPr>
        <w:pStyle w:val="BodyTextFirstIndent"/>
        <w:spacing w:line="360" w:lineRule="auto"/>
      </w:pPr>
      <w:r w:rsidRPr="004679A7">
        <w:t>Sample names</w:t>
      </w:r>
      <w:r>
        <w:t xml:space="preserve"> and</w:t>
      </w:r>
      <w:r w:rsidRPr="004679A7">
        <w:t xml:space="preserve"> locations, lithologies, leg and expedition number, and drill site information are reported in Table 1</w:t>
      </w:r>
      <w:r w:rsidR="00D16C85">
        <w:t>.1</w:t>
      </w:r>
      <w:r w:rsidRPr="004679A7">
        <w:t xml:space="preserve">. Six gabbros (three each from Hess Deep and </w:t>
      </w:r>
      <w:proofErr w:type="spellStart"/>
      <w:r w:rsidRPr="004679A7">
        <w:t>Oman</w:t>
      </w:r>
      <w:r>
        <w:t>DP</w:t>
      </w:r>
      <w:proofErr w:type="spellEnd"/>
      <w:r w:rsidRPr="004679A7">
        <w:t>), one troctolite (</w:t>
      </w:r>
      <w:proofErr w:type="spellStart"/>
      <w:r w:rsidRPr="004679A7">
        <w:t>Oman</w:t>
      </w:r>
      <w:r>
        <w:t>DP</w:t>
      </w:r>
      <w:proofErr w:type="spellEnd"/>
      <w:r w:rsidRPr="004679A7">
        <w:t>), and eight harzburgitic peridotites (four from each locality) were investigated here. Representative cross-polarized light and backscatter</w:t>
      </w:r>
      <w:r w:rsidR="002D28EA">
        <w:t xml:space="preserve"> </w:t>
      </w:r>
    </w:p>
    <w:p w14:paraId="0D3D4A15" w14:textId="77777777" w:rsidR="002D28EA" w:rsidRDefault="002D28EA">
      <w:r>
        <w:br w:type="page"/>
      </w:r>
    </w:p>
    <w:p w14:paraId="67DE9826" w14:textId="77777777" w:rsidR="002D28EA" w:rsidRDefault="002D28EA">
      <w:pPr>
        <w:sectPr w:rsidR="002D28EA" w:rsidSect="002D28EA">
          <w:type w:val="continuous"/>
          <w:pgSz w:w="12240" w:h="15840"/>
          <w:pgMar w:top="1440" w:right="1440" w:bottom="1440" w:left="1440" w:header="720" w:footer="1440" w:gutter="0"/>
          <w:cols w:space="720"/>
          <w:docGrid w:linePitch="360"/>
        </w:sectPr>
      </w:pPr>
    </w:p>
    <w:p w14:paraId="273DD34F" w14:textId="77777777" w:rsidR="002D28EA" w:rsidRPr="00F00EB2" w:rsidRDefault="002D28EA" w:rsidP="002D28EA">
      <w:pPr>
        <w:pStyle w:val="Caption"/>
        <w:rPr>
          <w:b w:val="0"/>
          <w:bCs w:val="0"/>
          <w:sz w:val="20"/>
          <w:szCs w:val="20"/>
        </w:rPr>
      </w:pPr>
      <w:bookmarkStart w:id="21" w:name="_Toc109398942"/>
      <w:r w:rsidRPr="00F00EB2">
        <w:rPr>
          <w:b w:val="0"/>
          <w:bCs w:val="0"/>
          <w:sz w:val="20"/>
          <w:szCs w:val="20"/>
        </w:rPr>
        <w:lastRenderedPageBreak/>
        <w:t xml:space="preserve">Table </w:t>
      </w:r>
      <w:r>
        <w:rPr>
          <w:b w:val="0"/>
          <w:bCs w:val="0"/>
          <w:sz w:val="20"/>
          <w:szCs w:val="20"/>
        </w:rPr>
        <w:t>1.</w:t>
      </w:r>
      <w:r>
        <w:rPr>
          <w:b w:val="0"/>
          <w:bCs w:val="0"/>
          <w:sz w:val="20"/>
          <w:szCs w:val="20"/>
        </w:rPr>
        <w:fldChar w:fldCharType="begin"/>
      </w:r>
      <w:r>
        <w:rPr>
          <w:b w:val="0"/>
          <w:bCs w:val="0"/>
          <w:sz w:val="20"/>
          <w:szCs w:val="20"/>
        </w:rPr>
        <w:instrText xml:space="preserve"> SEQ Table \* ARABIC \s 1 </w:instrText>
      </w:r>
      <w:r>
        <w:rPr>
          <w:b w:val="0"/>
          <w:bCs w:val="0"/>
          <w:sz w:val="20"/>
          <w:szCs w:val="20"/>
        </w:rPr>
        <w:fldChar w:fldCharType="separate"/>
      </w:r>
      <w:r>
        <w:rPr>
          <w:b w:val="0"/>
          <w:bCs w:val="0"/>
          <w:noProof/>
          <w:sz w:val="20"/>
          <w:szCs w:val="20"/>
        </w:rPr>
        <w:t>1</w:t>
      </w:r>
      <w:r>
        <w:rPr>
          <w:b w:val="0"/>
          <w:bCs w:val="0"/>
          <w:sz w:val="20"/>
          <w:szCs w:val="20"/>
        </w:rPr>
        <w:fldChar w:fldCharType="end"/>
      </w:r>
      <w:r w:rsidRPr="00F00EB2">
        <w:rPr>
          <w:b w:val="0"/>
          <w:bCs w:val="0"/>
          <w:sz w:val="20"/>
          <w:szCs w:val="20"/>
        </w:rPr>
        <w:t>. Samples and sampling locations.</w:t>
      </w:r>
      <w:bookmarkEnd w:id="21"/>
    </w:p>
    <w:tbl>
      <w:tblPr>
        <w:tblW w:w="9814" w:type="dxa"/>
        <w:tblCellMar>
          <w:left w:w="0" w:type="dxa"/>
          <w:right w:w="0" w:type="dxa"/>
        </w:tblCellMar>
        <w:tblLook w:val="04A0" w:firstRow="1" w:lastRow="0" w:firstColumn="1" w:lastColumn="0" w:noHBand="0" w:noVBand="1"/>
      </w:tblPr>
      <w:tblGrid>
        <w:gridCol w:w="2000"/>
        <w:gridCol w:w="720"/>
        <w:gridCol w:w="880"/>
        <w:gridCol w:w="800"/>
        <w:gridCol w:w="1100"/>
        <w:gridCol w:w="1100"/>
        <w:gridCol w:w="500"/>
        <w:gridCol w:w="480"/>
        <w:gridCol w:w="880"/>
        <w:gridCol w:w="137"/>
        <w:gridCol w:w="1080"/>
        <w:gridCol w:w="103"/>
        <w:gridCol w:w="34"/>
      </w:tblGrid>
      <w:tr w:rsidR="002D28EA" w:rsidRPr="00E143F7" w14:paraId="39D2A153" w14:textId="77777777" w:rsidTr="002D28EA">
        <w:trPr>
          <w:gridAfter w:val="2"/>
          <w:wAfter w:w="137" w:type="dxa"/>
          <w:trHeight w:val="601"/>
        </w:trPr>
        <w:tc>
          <w:tcPr>
            <w:tcW w:w="200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09E03FA4" w14:textId="77777777" w:rsidR="002D28EA" w:rsidRPr="00E143F7" w:rsidRDefault="002D28EA" w:rsidP="00EC27DE">
            <w:pPr>
              <w:jc w:val="center"/>
              <w:textAlignment w:val="center"/>
              <w:rPr>
                <w:sz w:val="36"/>
                <w:szCs w:val="36"/>
              </w:rPr>
            </w:pPr>
            <w:r w:rsidRPr="00E143F7">
              <w:rPr>
                <w:b/>
                <w:bCs/>
                <w:color w:val="000000"/>
                <w:kern w:val="24"/>
                <w:sz w:val="14"/>
                <w:szCs w:val="14"/>
              </w:rPr>
              <w:t>Sample</w:t>
            </w:r>
          </w:p>
        </w:tc>
        <w:tc>
          <w:tcPr>
            <w:tcW w:w="72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7AF6240E" w14:textId="77777777" w:rsidR="002D28EA" w:rsidRPr="00E143F7" w:rsidRDefault="002D28EA" w:rsidP="00EC27DE">
            <w:pPr>
              <w:jc w:val="center"/>
              <w:textAlignment w:val="center"/>
              <w:rPr>
                <w:sz w:val="36"/>
                <w:szCs w:val="36"/>
              </w:rPr>
            </w:pPr>
            <w:r w:rsidRPr="00E143F7">
              <w:rPr>
                <w:b/>
                <w:bCs/>
                <w:color w:val="000000"/>
                <w:kern w:val="24"/>
                <w:sz w:val="14"/>
                <w:szCs w:val="14"/>
              </w:rPr>
              <w:t>Location</w:t>
            </w:r>
          </w:p>
        </w:tc>
        <w:tc>
          <w:tcPr>
            <w:tcW w:w="88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4FD2371A" w14:textId="77777777" w:rsidR="002D28EA" w:rsidRPr="00E143F7" w:rsidRDefault="002D28EA" w:rsidP="00EC27DE">
            <w:pPr>
              <w:jc w:val="center"/>
              <w:textAlignment w:val="center"/>
              <w:rPr>
                <w:sz w:val="36"/>
                <w:szCs w:val="36"/>
              </w:rPr>
            </w:pPr>
            <w:r w:rsidRPr="00E143F7">
              <w:rPr>
                <w:b/>
                <w:bCs/>
                <w:color w:val="000000"/>
                <w:kern w:val="24"/>
                <w:sz w:val="14"/>
                <w:szCs w:val="14"/>
              </w:rPr>
              <w:t>Lithology</w:t>
            </w:r>
          </w:p>
        </w:tc>
        <w:tc>
          <w:tcPr>
            <w:tcW w:w="80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4E98D0C3" w14:textId="77777777" w:rsidR="002D28EA" w:rsidRPr="00E143F7" w:rsidRDefault="002D28EA" w:rsidP="00EC27DE">
            <w:pPr>
              <w:jc w:val="center"/>
              <w:textAlignment w:val="center"/>
              <w:rPr>
                <w:sz w:val="36"/>
                <w:szCs w:val="36"/>
              </w:rPr>
            </w:pPr>
            <w:r w:rsidRPr="00E143F7">
              <w:rPr>
                <w:b/>
                <w:bCs/>
                <w:color w:val="000000"/>
                <w:kern w:val="24"/>
                <w:sz w:val="14"/>
                <w:szCs w:val="14"/>
              </w:rPr>
              <w:t>Latitude (°N)</w:t>
            </w:r>
          </w:p>
        </w:tc>
        <w:tc>
          <w:tcPr>
            <w:tcW w:w="110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578DAD64" w14:textId="77777777" w:rsidR="002D28EA" w:rsidRPr="00E143F7" w:rsidRDefault="002D28EA" w:rsidP="00EC27DE">
            <w:pPr>
              <w:jc w:val="center"/>
              <w:textAlignment w:val="center"/>
              <w:rPr>
                <w:sz w:val="36"/>
                <w:szCs w:val="36"/>
              </w:rPr>
            </w:pPr>
            <w:r w:rsidRPr="00E143F7">
              <w:rPr>
                <w:b/>
                <w:bCs/>
                <w:color w:val="000000"/>
                <w:kern w:val="24"/>
                <w:sz w:val="14"/>
                <w:szCs w:val="14"/>
              </w:rPr>
              <w:t>Longitude (°)</w:t>
            </w:r>
          </w:p>
        </w:tc>
        <w:tc>
          <w:tcPr>
            <w:tcW w:w="110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7141CC63" w14:textId="77777777" w:rsidR="002D28EA" w:rsidRPr="00E143F7" w:rsidRDefault="002D28EA" w:rsidP="00EC27DE">
            <w:pPr>
              <w:jc w:val="center"/>
              <w:textAlignment w:val="center"/>
              <w:rPr>
                <w:sz w:val="36"/>
                <w:szCs w:val="36"/>
              </w:rPr>
            </w:pPr>
            <w:r w:rsidRPr="00E143F7">
              <w:rPr>
                <w:b/>
                <w:bCs/>
                <w:color w:val="000000"/>
                <w:kern w:val="24"/>
                <w:sz w:val="14"/>
                <w:szCs w:val="14"/>
              </w:rPr>
              <w:t>Leg/Expedition Number</w:t>
            </w:r>
          </w:p>
        </w:tc>
        <w:tc>
          <w:tcPr>
            <w:tcW w:w="50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044AE3DC" w14:textId="77777777" w:rsidR="002D28EA" w:rsidRPr="00E143F7" w:rsidRDefault="002D28EA" w:rsidP="00EC27DE">
            <w:pPr>
              <w:jc w:val="center"/>
              <w:textAlignment w:val="center"/>
              <w:rPr>
                <w:sz w:val="36"/>
                <w:szCs w:val="36"/>
              </w:rPr>
            </w:pPr>
            <w:r w:rsidRPr="00E143F7">
              <w:rPr>
                <w:b/>
                <w:bCs/>
                <w:color w:val="000000"/>
                <w:kern w:val="24"/>
                <w:sz w:val="14"/>
                <w:szCs w:val="14"/>
              </w:rPr>
              <w:t>Site</w:t>
            </w:r>
          </w:p>
        </w:tc>
        <w:tc>
          <w:tcPr>
            <w:tcW w:w="48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481425FE" w14:textId="77777777" w:rsidR="002D28EA" w:rsidRPr="00E143F7" w:rsidRDefault="002D28EA" w:rsidP="00EC27DE">
            <w:pPr>
              <w:jc w:val="center"/>
              <w:textAlignment w:val="center"/>
              <w:rPr>
                <w:sz w:val="36"/>
                <w:szCs w:val="36"/>
              </w:rPr>
            </w:pPr>
            <w:r w:rsidRPr="00E143F7">
              <w:rPr>
                <w:b/>
                <w:bCs/>
                <w:color w:val="000000"/>
                <w:kern w:val="24"/>
                <w:sz w:val="14"/>
                <w:szCs w:val="14"/>
              </w:rPr>
              <w:t>Hole</w:t>
            </w:r>
          </w:p>
        </w:tc>
        <w:tc>
          <w:tcPr>
            <w:tcW w:w="1017" w:type="dxa"/>
            <w:gridSpan w:val="2"/>
            <w:tcBorders>
              <w:top w:val="nil"/>
              <w:left w:val="nil"/>
              <w:bottom w:val="single" w:sz="8" w:space="0" w:color="000000"/>
              <w:right w:val="nil"/>
            </w:tcBorders>
            <w:shd w:val="clear" w:color="auto" w:fill="auto"/>
            <w:tcMar>
              <w:top w:w="32" w:type="dxa"/>
              <w:left w:w="63" w:type="dxa"/>
              <w:bottom w:w="32" w:type="dxa"/>
              <w:right w:w="63" w:type="dxa"/>
            </w:tcMar>
            <w:vAlign w:val="bottom"/>
            <w:hideMark/>
          </w:tcPr>
          <w:p w14:paraId="48026E85" w14:textId="77777777" w:rsidR="002D28EA" w:rsidRPr="00E143F7" w:rsidRDefault="002D28EA" w:rsidP="00EC27DE">
            <w:pPr>
              <w:jc w:val="center"/>
              <w:textAlignment w:val="center"/>
              <w:rPr>
                <w:sz w:val="36"/>
                <w:szCs w:val="36"/>
              </w:rPr>
            </w:pPr>
            <w:r w:rsidRPr="00E143F7">
              <w:rPr>
                <w:b/>
                <w:bCs/>
                <w:color w:val="000000"/>
                <w:kern w:val="24"/>
                <w:sz w:val="14"/>
                <w:szCs w:val="14"/>
              </w:rPr>
              <w:t>Depth in hole (m)</w:t>
            </w:r>
          </w:p>
        </w:tc>
        <w:tc>
          <w:tcPr>
            <w:tcW w:w="1080" w:type="dxa"/>
            <w:tcBorders>
              <w:top w:val="nil"/>
              <w:left w:val="nil"/>
              <w:bottom w:val="single" w:sz="8" w:space="0" w:color="000000"/>
              <w:right w:val="nil"/>
            </w:tcBorders>
            <w:shd w:val="clear" w:color="auto" w:fill="auto"/>
            <w:tcMar>
              <w:top w:w="32" w:type="dxa"/>
              <w:left w:w="63" w:type="dxa"/>
              <w:bottom w:w="32" w:type="dxa"/>
              <w:right w:w="63" w:type="dxa"/>
            </w:tcMar>
            <w:vAlign w:val="bottom"/>
            <w:hideMark/>
          </w:tcPr>
          <w:p w14:paraId="2056B7B7" w14:textId="77777777" w:rsidR="002D28EA" w:rsidRPr="00E143F7" w:rsidRDefault="002D28EA" w:rsidP="00EC27DE">
            <w:pPr>
              <w:jc w:val="center"/>
              <w:textAlignment w:val="center"/>
              <w:rPr>
                <w:sz w:val="36"/>
                <w:szCs w:val="36"/>
              </w:rPr>
            </w:pPr>
            <w:r w:rsidRPr="00E143F7">
              <w:rPr>
                <w:b/>
                <w:bCs/>
                <w:color w:val="000000"/>
                <w:kern w:val="24"/>
                <w:sz w:val="14"/>
                <w:szCs w:val="14"/>
              </w:rPr>
              <w:t>Structural depth* (m)</w:t>
            </w:r>
          </w:p>
        </w:tc>
      </w:tr>
      <w:tr w:rsidR="002D28EA" w:rsidRPr="00E143F7" w14:paraId="04A757BC" w14:textId="77777777" w:rsidTr="002D28EA">
        <w:trPr>
          <w:gridAfter w:val="2"/>
          <w:wAfter w:w="137" w:type="dxa"/>
          <w:trHeight w:val="352"/>
        </w:trPr>
        <w:tc>
          <w:tcPr>
            <w:tcW w:w="2000" w:type="dxa"/>
            <w:tcBorders>
              <w:top w:val="single" w:sz="8" w:space="0" w:color="000000"/>
              <w:left w:val="nil"/>
              <w:bottom w:val="nil"/>
              <w:right w:val="nil"/>
            </w:tcBorders>
            <w:shd w:val="clear" w:color="auto" w:fill="auto"/>
            <w:tcMar>
              <w:top w:w="7" w:type="dxa"/>
              <w:left w:w="47" w:type="dxa"/>
              <w:bottom w:w="0" w:type="dxa"/>
              <w:right w:w="47" w:type="dxa"/>
            </w:tcMar>
            <w:vAlign w:val="bottom"/>
            <w:hideMark/>
          </w:tcPr>
          <w:p w14:paraId="6083CFAE" w14:textId="77777777" w:rsidR="002D28EA" w:rsidRPr="00E143F7" w:rsidRDefault="002D28EA" w:rsidP="00EC27DE">
            <w:pPr>
              <w:textAlignment w:val="bottom"/>
              <w:rPr>
                <w:sz w:val="36"/>
                <w:szCs w:val="36"/>
              </w:rPr>
            </w:pPr>
            <w:r w:rsidRPr="00E143F7">
              <w:rPr>
                <w:color w:val="000000"/>
                <w:kern w:val="24"/>
                <w:sz w:val="14"/>
                <w:szCs w:val="14"/>
              </w:rPr>
              <w:t>345_1415G_1R1_0-4</w:t>
            </w:r>
          </w:p>
        </w:tc>
        <w:tc>
          <w:tcPr>
            <w:tcW w:w="720" w:type="dxa"/>
            <w:tcBorders>
              <w:top w:val="single" w:sz="8" w:space="0" w:color="000000"/>
              <w:left w:val="nil"/>
              <w:bottom w:val="nil"/>
              <w:right w:val="nil"/>
            </w:tcBorders>
            <w:shd w:val="clear" w:color="auto" w:fill="auto"/>
            <w:tcMar>
              <w:top w:w="7" w:type="dxa"/>
              <w:left w:w="47" w:type="dxa"/>
              <w:bottom w:w="0" w:type="dxa"/>
              <w:right w:w="47" w:type="dxa"/>
            </w:tcMar>
            <w:vAlign w:val="center"/>
            <w:hideMark/>
          </w:tcPr>
          <w:p w14:paraId="3BC340F2" w14:textId="77777777" w:rsidR="002D28EA" w:rsidRPr="00E143F7" w:rsidRDefault="002D28EA" w:rsidP="00EC27DE">
            <w:pPr>
              <w:jc w:val="center"/>
              <w:textAlignment w:val="center"/>
              <w:rPr>
                <w:sz w:val="36"/>
                <w:szCs w:val="36"/>
              </w:rPr>
            </w:pPr>
            <w:r w:rsidRPr="00E143F7">
              <w:rPr>
                <w:color w:val="000000"/>
                <w:kern w:val="24"/>
                <w:sz w:val="14"/>
                <w:szCs w:val="14"/>
              </w:rPr>
              <w:t>HD</w:t>
            </w:r>
            <w:r w:rsidRPr="00E143F7">
              <w:rPr>
                <w:rFonts w:ascii="Calibri" w:hAnsi="Calibri"/>
                <w:color w:val="000000" w:themeColor="text1"/>
                <w:kern w:val="24"/>
                <w:sz w:val="10"/>
                <w:szCs w:val="10"/>
              </w:rPr>
              <w:t> </w:t>
            </w:r>
          </w:p>
        </w:tc>
        <w:tc>
          <w:tcPr>
            <w:tcW w:w="880" w:type="dxa"/>
            <w:tcBorders>
              <w:top w:val="single" w:sz="8" w:space="0" w:color="000000"/>
              <w:left w:val="nil"/>
              <w:bottom w:val="nil"/>
              <w:right w:val="nil"/>
            </w:tcBorders>
            <w:shd w:val="clear" w:color="auto" w:fill="auto"/>
            <w:tcMar>
              <w:top w:w="7" w:type="dxa"/>
              <w:left w:w="47" w:type="dxa"/>
              <w:bottom w:w="0" w:type="dxa"/>
              <w:right w:w="47" w:type="dxa"/>
            </w:tcMar>
            <w:vAlign w:val="center"/>
            <w:hideMark/>
          </w:tcPr>
          <w:p w14:paraId="4C9F4B9F" w14:textId="77777777" w:rsidR="002D28EA" w:rsidRPr="00E143F7" w:rsidRDefault="002D28EA" w:rsidP="00EC27DE">
            <w:pPr>
              <w:jc w:val="center"/>
              <w:textAlignment w:val="center"/>
              <w:rPr>
                <w:sz w:val="36"/>
                <w:szCs w:val="36"/>
              </w:rPr>
            </w:pPr>
            <w:r w:rsidRPr="00E143F7">
              <w:rPr>
                <w:color w:val="000000"/>
                <w:kern w:val="24"/>
                <w:sz w:val="14"/>
                <w:szCs w:val="14"/>
              </w:rPr>
              <w:t>Gabbro</w:t>
            </w:r>
          </w:p>
        </w:tc>
        <w:tc>
          <w:tcPr>
            <w:tcW w:w="800" w:type="dxa"/>
            <w:tcBorders>
              <w:top w:val="single" w:sz="8" w:space="0" w:color="000000"/>
              <w:left w:val="nil"/>
              <w:bottom w:val="nil"/>
              <w:right w:val="nil"/>
            </w:tcBorders>
            <w:shd w:val="clear" w:color="auto" w:fill="auto"/>
            <w:tcMar>
              <w:top w:w="7" w:type="dxa"/>
              <w:left w:w="47" w:type="dxa"/>
              <w:bottom w:w="0" w:type="dxa"/>
              <w:right w:w="47" w:type="dxa"/>
            </w:tcMar>
            <w:vAlign w:val="center"/>
            <w:hideMark/>
          </w:tcPr>
          <w:p w14:paraId="1624E616" w14:textId="77777777" w:rsidR="002D28EA" w:rsidRPr="00E143F7" w:rsidRDefault="002D28EA" w:rsidP="00EC27DE">
            <w:pPr>
              <w:jc w:val="center"/>
              <w:textAlignment w:val="center"/>
              <w:rPr>
                <w:sz w:val="36"/>
                <w:szCs w:val="36"/>
              </w:rPr>
            </w:pPr>
            <w:r w:rsidRPr="00E143F7">
              <w:rPr>
                <w:color w:val="000000"/>
                <w:kern w:val="24"/>
                <w:sz w:val="14"/>
                <w:szCs w:val="14"/>
              </w:rPr>
              <w:t>2°15.1</w:t>
            </w:r>
            <w:r>
              <w:rPr>
                <w:color w:val="000000"/>
                <w:kern w:val="24"/>
                <w:sz w:val="14"/>
                <w:szCs w:val="14"/>
              </w:rPr>
              <w:t>’</w:t>
            </w:r>
            <w:r w:rsidRPr="00E143F7">
              <w:rPr>
                <w:color w:val="000000"/>
                <w:kern w:val="24"/>
                <w:sz w:val="14"/>
                <w:szCs w:val="14"/>
              </w:rPr>
              <w:t>90'</w:t>
            </w:r>
          </w:p>
        </w:tc>
        <w:tc>
          <w:tcPr>
            <w:tcW w:w="1100" w:type="dxa"/>
            <w:tcBorders>
              <w:top w:val="single" w:sz="8" w:space="0" w:color="000000"/>
              <w:left w:val="nil"/>
              <w:bottom w:val="nil"/>
              <w:right w:val="nil"/>
            </w:tcBorders>
            <w:shd w:val="clear" w:color="auto" w:fill="auto"/>
            <w:tcMar>
              <w:top w:w="7" w:type="dxa"/>
              <w:left w:w="47" w:type="dxa"/>
              <w:bottom w:w="0" w:type="dxa"/>
              <w:right w:w="47" w:type="dxa"/>
            </w:tcMar>
            <w:vAlign w:val="center"/>
            <w:hideMark/>
          </w:tcPr>
          <w:p w14:paraId="209B8CDF" w14:textId="77777777" w:rsidR="002D28EA" w:rsidRPr="00E143F7" w:rsidRDefault="002D28EA" w:rsidP="00EC27DE">
            <w:pPr>
              <w:jc w:val="center"/>
              <w:textAlignment w:val="center"/>
              <w:rPr>
                <w:sz w:val="36"/>
                <w:szCs w:val="36"/>
              </w:rPr>
            </w:pPr>
            <w:r w:rsidRPr="00E143F7">
              <w:rPr>
                <w:color w:val="000000"/>
                <w:kern w:val="24"/>
                <w:sz w:val="14"/>
                <w:szCs w:val="14"/>
              </w:rPr>
              <w:t>101°32.6</w:t>
            </w:r>
            <w:r>
              <w:rPr>
                <w:color w:val="000000"/>
                <w:kern w:val="24"/>
                <w:sz w:val="14"/>
                <w:szCs w:val="14"/>
              </w:rPr>
              <w:t>’</w:t>
            </w:r>
            <w:r w:rsidRPr="00E143F7">
              <w:rPr>
                <w:color w:val="000000"/>
                <w:kern w:val="24"/>
                <w:sz w:val="14"/>
                <w:szCs w:val="14"/>
              </w:rPr>
              <w:t>63' W</w:t>
            </w:r>
          </w:p>
        </w:tc>
        <w:tc>
          <w:tcPr>
            <w:tcW w:w="1100" w:type="dxa"/>
            <w:tcBorders>
              <w:top w:val="single" w:sz="8" w:space="0" w:color="000000"/>
              <w:left w:val="nil"/>
              <w:bottom w:val="nil"/>
              <w:right w:val="nil"/>
            </w:tcBorders>
            <w:shd w:val="clear" w:color="auto" w:fill="auto"/>
            <w:tcMar>
              <w:top w:w="7" w:type="dxa"/>
              <w:left w:w="47" w:type="dxa"/>
              <w:bottom w:w="0" w:type="dxa"/>
              <w:right w:w="47" w:type="dxa"/>
            </w:tcMar>
            <w:vAlign w:val="center"/>
            <w:hideMark/>
          </w:tcPr>
          <w:p w14:paraId="0A78074E" w14:textId="77777777" w:rsidR="002D28EA" w:rsidRPr="00E143F7" w:rsidRDefault="002D28EA" w:rsidP="00EC27DE">
            <w:pPr>
              <w:jc w:val="center"/>
              <w:textAlignment w:val="center"/>
              <w:rPr>
                <w:sz w:val="36"/>
                <w:szCs w:val="36"/>
              </w:rPr>
            </w:pPr>
            <w:r w:rsidRPr="00E143F7">
              <w:rPr>
                <w:color w:val="000000"/>
                <w:kern w:val="24"/>
                <w:sz w:val="14"/>
                <w:szCs w:val="14"/>
              </w:rPr>
              <w:t>IODP Exp 345</w:t>
            </w:r>
          </w:p>
        </w:tc>
        <w:tc>
          <w:tcPr>
            <w:tcW w:w="500" w:type="dxa"/>
            <w:tcBorders>
              <w:top w:val="single" w:sz="8" w:space="0" w:color="000000"/>
              <w:left w:val="nil"/>
              <w:bottom w:val="nil"/>
              <w:right w:val="nil"/>
            </w:tcBorders>
            <w:shd w:val="clear" w:color="auto" w:fill="auto"/>
            <w:tcMar>
              <w:top w:w="7" w:type="dxa"/>
              <w:left w:w="47" w:type="dxa"/>
              <w:bottom w:w="0" w:type="dxa"/>
              <w:right w:w="47" w:type="dxa"/>
            </w:tcMar>
            <w:vAlign w:val="center"/>
            <w:hideMark/>
          </w:tcPr>
          <w:p w14:paraId="39BCE8F8" w14:textId="77777777" w:rsidR="002D28EA" w:rsidRPr="00E143F7" w:rsidRDefault="002D28EA" w:rsidP="00EC27DE">
            <w:pPr>
              <w:jc w:val="center"/>
              <w:textAlignment w:val="center"/>
              <w:rPr>
                <w:sz w:val="36"/>
                <w:szCs w:val="36"/>
              </w:rPr>
            </w:pPr>
            <w:r w:rsidRPr="00E143F7">
              <w:rPr>
                <w:color w:val="000000"/>
                <w:kern w:val="24"/>
                <w:sz w:val="14"/>
                <w:szCs w:val="14"/>
              </w:rPr>
              <w:t>1415</w:t>
            </w:r>
          </w:p>
        </w:tc>
        <w:tc>
          <w:tcPr>
            <w:tcW w:w="480" w:type="dxa"/>
            <w:tcBorders>
              <w:top w:val="single" w:sz="8" w:space="0" w:color="000000"/>
              <w:left w:val="nil"/>
              <w:bottom w:val="nil"/>
              <w:right w:val="nil"/>
            </w:tcBorders>
            <w:shd w:val="clear" w:color="auto" w:fill="auto"/>
            <w:tcMar>
              <w:top w:w="7" w:type="dxa"/>
              <w:left w:w="47" w:type="dxa"/>
              <w:bottom w:w="0" w:type="dxa"/>
              <w:right w:w="47" w:type="dxa"/>
            </w:tcMar>
            <w:vAlign w:val="center"/>
            <w:hideMark/>
          </w:tcPr>
          <w:p w14:paraId="1F423D53" w14:textId="77777777" w:rsidR="002D28EA" w:rsidRPr="00E143F7" w:rsidRDefault="002D28EA" w:rsidP="00EC27DE">
            <w:pPr>
              <w:jc w:val="center"/>
              <w:textAlignment w:val="center"/>
              <w:rPr>
                <w:sz w:val="36"/>
                <w:szCs w:val="36"/>
              </w:rPr>
            </w:pPr>
            <w:r w:rsidRPr="00E143F7">
              <w:rPr>
                <w:color w:val="000000"/>
                <w:kern w:val="24"/>
                <w:sz w:val="14"/>
                <w:szCs w:val="14"/>
              </w:rPr>
              <w:t>G</w:t>
            </w:r>
          </w:p>
        </w:tc>
        <w:tc>
          <w:tcPr>
            <w:tcW w:w="1017" w:type="dxa"/>
            <w:gridSpan w:val="2"/>
            <w:tcBorders>
              <w:top w:val="single" w:sz="8" w:space="0" w:color="000000"/>
              <w:left w:val="nil"/>
              <w:bottom w:val="nil"/>
              <w:right w:val="nil"/>
            </w:tcBorders>
            <w:shd w:val="clear" w:color="auto" w:fill="auto"/>
            <w:tcMar>
              <w:top w:w="32" w:type="dxa"/>
              <w:left w:w="63" w:type="dxa"/>
              <w:bottom w:w="32" w:type="dxa"/>
              <w:right w:w="63" w:type="dxa"/>
            </w:tcMar>
            <w:hideMark/>
          </w:tcPr>
          <w:p w14:paraId="4B375AB7" w14:textId="77777777" w:rsidR="002D28EA" w:rsidRPr="00E143F7" w:rsidRDefault="002D28EA" w:rsidP="00EC27DE">
            <w:pPr>
              <w:jc w:val="center"/>
              <w:textAlignment w:val="center"/>
              <w:rPr>
                <w:sz w:val="36"/>
                <w:szCs w:val="36"/>
              </w:rPr>
            </w:pPr>
            <w:r w:rsidRPr="00E143F7">
              <w:rPr>
                <w:color w:val="000000"/>
                <w:kern w:val="24"/>
                <w:sz w:val="14"/>
                <w:szCs w:val="14"/>
              </w:rPr>
              <w:t>0</w:t>
            </w:r>
          </w:p>
        </w:tc>
        <w:tc>
          <w:tcPr>
            <w:tcW w:w="1080" w:type="dxa"/>
            <w:tcBorders>
              <w:top w:val="single" w:sz="8" w:space="0" w:color="000000"/>
              <w:left w:val="nil"/>
              <w:bottom w:val="nil"/>
              <w:right w:val="nil"/>
            </w:tcBorders>
            <w:shd w:val="clear" w:color="auto" w:fill="auto"/>
            <w:tcMar>
              <w:top w:w="32" w:type="dxa"/>
              <w:left w:w="63" w:type="dxa"/>
              <w:bottom w:w="32" w:type="dxa"/>
              <w:right w:w="63" w:type="dxa"/>
            </w:tcMar>
            <w:hideMark/>
          </w:tcPr>
          <w:p w14:paraId="259FF5D9" w14:textId="77777777" w:rsidR="002D28EA" w:rsidRPr="00E143F7" w:rsidRDefault="002D28EA" w:rsidP="00EC27DE">
            <w:pPr>
              <w:jc w:val="center"/>
              <w:textAlignment w:val="center"/>
              <w:rPr>
                <w:sz w:val="36"/>
                <w:szCs w:val="36"/>
              </w:rPr>
            </w:pPr>
            <w:r w:rsidRPr="00E143F7">
              <w:rPr>
                <w:color w:val="000000"/>
                <w:kern w:val="24"/>
                <w:sz w:val="14"/>
                <w:szCs w:val="14"/>
              </w:rPr>
              <w:t>--</w:t>
            </w:r>
          </w:p>
        </w:tc>
      </w:tr>
      <w:tr w:rsidR="002D28EA" w:rsidRPr="00E143F7" w14:paraId="423D1FFC"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22DD68DE" w14:textId="77777777" w:rsidR="002D28EA" w:rsidRPr="00E143F7" w:rsidRDefault="002D28EA" w:rsidP="00EC27DE">
            <w:pPr>
              <w:textAlignment w:val="bottom"/>
              <w:rPr>
                <w:sz w:val="36"/>
                <w:szCs w:val="36"/>
              </w:rPr>
            </w:pPr>
            <w:r w:rsidRPr="00E143F7">
              <w:rPr>
                <w:color w:val="000000"/>
                <w:kern w:val="24"/>
                <w:sz w:val="14"/>
                <w:szCs w:val="14"/>
              </w:rPr>
              <w:t>345_1415J_4R1_2-6</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230CCE83" w14:textId="77777777" w:rsidR="002D28EA" w:rsidRPr="00E143F7" w:rsidRDefault="002D28EA" w:rsidP="00EC27DE">
            <w:pPr>
              <w:jc w:val="center"/>
              <w:textAlignment w:val="center"/>
              <w:rPr>
                <w:sz w:val="36"/>
                <w:szCs w:val="36"/>
              </w:rPr>
            </w:pPr>
            <w:r w:rsidRPr="00E143F7">
              <w:rPr>
                <w:color w:val="000000"/>
                <w:kern w:val="24"/>
                <w:sz w:val="14"/>
                <w:szCs w:val="14"/>
              </w:rPr>
              <w:t>HD</w:t>
            </w:r>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3D5B4477" w14:textId="77777777" w:rsidR="002D28EA" w:rsidRPr="00E143F7" w:rsidRDefault="002D28EA" w:rsidP="00EC27DE">
            <w:pPr>
              <w:jc w:val="center"/>
              <w:textAlignment w:val="center"/>
              <w:rPr>
                <w:sz w:val="36"/>
                <w:szCs w:val="36"/>
              </w:rPr>
            </w:pPr>
            <w:r w:rsidRPr="00E143F7">
              <w:rPr>
                <w:color w:val="000000"/>
                <w:kern w:val="24"/>
                <w:sz w:val="14"/>
                <w:szCs w:val="14"/>
              </w:rPr>
              <w:t>Gabbro</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715E7101" w14:textId="77777777" w:rsidR="002D28EA" w:rsidRPr="00E143F7" w:rsidRDefault="002D28EA" w:rsidP="00EC27DE">
            <w:pPr>
              <w:jc w:val="center"/>
              <w:textAlignment w:val="center"/>
              <w:rPr>
                <w:sz w:val="36"/>
                <w:szCs w:val="36"/>
              </w:rPr>
            </w:pPr>
            <w:r w:rsidRPr="00E143F7">
              <w:rPr>
                <w:color w:val="000000"/>
                <w:kern w:val="24"/>
                <w:sz w:val="14"/>
                <w:szCs w:val="14"/>
              </w:rPr>
              <w:t>2°15.1</w:t>
            </w:r>
            <w:r>
              <w:rPr>
                <w:color w:val="000000"/>
                <w:kern w:val="24"/>
                <w:sz w:val="14"/>
                <w:szCs w:val="14"/>
              </w:rPr>
              <w:t>’</w:t>
            </w:r>
            <w:r w:rsidRPr="00E143F7">
              <w:rPr>
                <w:color w:val="000000"/>
                <w:kern w:val="24"/>
                <w:sz w:val="14"/>
                <w:szCs w:val="14"/>
              </w:rPr>
              <w:t>04'</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4F222328" w14:textId="77777777" w:rsidR="002D28EA" w:rsidRPr="00E143F7" w:rsidRDefault="002D28EA" w:rsidP="00EC27DE">
            <w:pPr>
              <w:jc w:val="center"/>
              <w:textAlignment w:val="center"/>
              <w:rPr>
                <w:sz w:val="36"/>
                <w:szCs w:val="36"/>
              </w:rPr>
            </w:pPr>
            <w:r w:rsidRPr="00E143F7">
              <w:rPr>
                <w:color w:val="000000"/>
                <w:kern w:val="24"/>
                <w:sz w:val="14"/>
                <w:szCs w:val="14"/>
              </w:rPr>
              <w:t>101°32.6</w:t>
            </w:r>
            <w:r>
              <w:rPr>
                <w:color w:val="000000"/>
                <w:kern w:val="24"/>
                <w:sz w:val="14"/>
                <w:szCs w:val="14"/>
              </w:rPr>
              <w:t>’</w:t>
            </w:r>
            <w:r w:rsidRPr="00E143F7">
              <w:rPr>
                <w:color w:val="000000"/>
                <w:kern w:val="24"/>
                <w:sz w:val="14"/>
                <w:szCs w:val="14"/>
              </w:rPr>
              <w:t>22' W</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6BAB8FAB" w14:textId="77777777" w:rsidR="002D28EA" w:rsidRPr="00E143F7" w:rsidRDefault="002D28EA" w:rsidP="00EC27DE">
            <w:pPr>
              <w:jc w:val="center"/>
              <w:textAlignment w:val="center"/>
              <w:rPr>
                <w:sz w:val="36"/>
                <w:szCs w:val="36"/>
              </w:rPr>
            </w:pPr>
            <w:r w:rsidRPr="00E143F7">
              <w:rPr>
                <w:color w:val="000000"/>
                <w:kern w:val="24"/>
                <w:sz w:val="14"/>
                <w:szCs w:val="14"/>
              </w:rPr>
              <w:t>IODP Exp 345</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2FB380AB" w14:textId="77777777" w:rsidR="002D28EA" w:rsidRPr="00E143F7" w:rsidRDefault="002D28EA" w:rsidP="00EC27DE">
            <w:pPr>
              <w:jc w:val="center"/>
              <w:textAlignment w:val="center"/>
              <w:rPr>
                <w:sz w:val="36"/>
                <w:szCs w:val="36"/>
              </w:rPr>
            </w:pPr>
            <w:r w:rsidRPr="00E143F7">
              <w:rPr>
                <w:color w:val="000000"/>
                <w:kern w:val="24"/>
                <w:sz w:val="14"/>
                <w:szCs w:val="14"/>
              </w:rPr>
              <w:t>1415</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145BE92E" w14:textId="77777777" w:rsidR="002D28EA" w:rsidRPr="00E143F7" w:rsidRDefault="002D28EA" w:rsidP="00EC27DE">
            <w:pPr>
              <w:jc w:val="center"/>
              <w:textAlignment w:val="center"/>
              <w:rPr>
                <w:sz w:val="36"/>
                <w:szCs w:val="36"/>
              </w:rPr>
            </w:pPr>
            <w:r w:rsidRPr="00E143F7">
              <w:rPr>
                <w:color w:val="000000"/>
                <w:kern w:val="24"/>
                <w:sz w:val="14"/>
                <w:szCs w:val="14"/>
              </w:rPr>
              <w:t>J</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250D4103" w14:textId="77777777" w:rsidR="002D28EA" w:rsidRPr="00E143F7" w:rsidRDefault="002D28EA" w:rsidP="00EC27DE">
            <w:pPr>
              <w:jc w:val="center"/>
              <w:textAlignment w:val="center"/>
              <w:rPr>
                <w:sz w:val="36"/>
                <w:szCs w:val="36"/>
              </w:rPr>
            </w:pPr>
            <w:r w:rsidRPr="00E143F7">
              <w:rPr>
                <w:color w:val="000000"/>
                <w:kern w:val="24"/>
                <w:sz w:val="14"/>
                <w:szCs w:val="14"/>
              </w:rPr>
              <w:t>22.2</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0883C584" w14:textId="77777777" w:rsidR="002D28EA" w:rsidRPr="00E143F7" w:rsidRDefault="002D28EA" w:rsidP="00EC27DE">
            <w:pPr>
              <w:jc w:val="center"/>
              <w:textAlignment w:val="center"/>
              <w:rPr>
                <w:sz w:val="36"/>
                <w:szCs w:val="36"/>
              </w:rPr>
            </w:pPr>
            <w:r w:rsidRPr="00E143F7">
              <w:rPr>
                <w:color w:val="000000"/>
                <w:kern w:val="24"/>
                <w:sz w:val="14"/>
                <w:szCs w:val="14"/>
              </w:rPr>
              <w:t>--</w:t>
            </w:r>
          </w:p>
        </w:tc>
      </w:tr>
      <w:tr w:rsidR="002D28EA" w:rsidRPr="00E143F7" w14:paraId="6FD4110E"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3E00E7E1" w14:textId="77777777" w:rsidR="002D28EA" w:rsidRPr="00E143F7" w:rsidRDefault="002D28EA" w:rsidP="00EC27DE">
            <w:pPr>
              <w:textAlignment w:val="bottom"/>
              <w:rPr>
                <w:sz w:val="36"/>
                <w:szCs w:val="36"/>
              </w:rPr>
            </w:pPr>
            <w:r w:rsidRPr="00E143F7">
              <w:rPr>
                <w:color w:val="000000"/>
                <w:kern w:val="24"/>
                <w:sz w:val="14"/>
                <w:szCs w:val="14"/>
              </w:rPr>
              <w:t>147_894G_9R4_60-67</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43CC7AB4" w14:textId="77777777" w:rsidR="002D28EA" w:rsidRPr="00E143F7" w:rsidRDefault="002D28EA" w:rsidP="00EC27DE">
            <w:pPr>
              <w:jc w:val="center"/>
              <w:textAlignment w:val="center"/>
              <w:rPr>
                <w:sz w:val="36"/>
                <w:szCs w:val="36"/>
              </w:rPr>
            </w:pPr>
            <w:r w:rsidRPr="00E143F7">
              <w:rPr>
                <w:color w:val="000000"/>
                <w:kern w:val="24"/>
                <w:sz w:val="14"/>
                <w:szCs w:val="14"/>
              </w:rPr>
              <w:t>HD</w:t>
            </w:r>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168C2EAC" w14:textId="77777777" w:rsidR="002D28EA" w:rsidRPr="00E143F7" w:rsidRDefault="002D28EA" w:rsidP="00EC27DE">
            <w:pPr>
              <w:jc w:val="center"/>
              <w:textAlignment w:val="center"/>
              <w:rPr>
                <w:sz w:val="36"/>
                <w:szCs w:val="36"/>
              </w:rPr>
            </w:pPr>
            <w:r w:rsidRPr="00E143F7">
              <w:rPr>
                <w:color w:val="000000"/>
                <w:kern w:val="24"/>
                <w:sz w:val="14"/>
                <w:szCs w:val="14"/>
              </w:rPr>
              <w:t>Gabbro</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1AE749D0" w14:textId="77777777" w:rsidR="002D28EA" w:rsidRPr="00E143F7" w:rsidRDefault="002D28EA" w:rsidP="00EC27DE">
            <w:pPr>
              <w:jc w:val="center"/>
              <w:textAlignment w:val="center"/>
              <w:rPr>
                <w:sz w:val="36"/>
                <w:szCs w:val="36"/>
              </w:rPr>
            </w:pPr>
            <w:r w:rsidRPr="00E143F7">
              <w:rPr>
                <w:color w:val="000000"/>
                <w:kern w:val="24"/>
                <w:sz w:val="14"/>
                <w:szCs w:val="14"/>
              </w:rPr>
              <w:t>2°17.</w:t>
            </w:r>
            <w:r>
              <w:rPr>
                <w:color w:val="000000"/>
                <w:kern w:val="24"/>
                <w:sz w:val="14"/>
                <w:szCs w:val="14"/>
              </w:rPr>
              <w:t>’</w:t>
            </w:r>
            <w:r w:rsidRPr="00E143F7">
              <w:rPr>
                <w:color w:val="000000"/>
                <w:kern w:val="24"/>
                <w:sz w:val="14"/>
                <w:szCs w:val="14"/>
              </w:rPr>
              <w:t>77'</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3607756C" w14:textId="77777777" w:rsidR="002D28EA" w:rsidRPr="00E143F7" w:rsidRDefault="002D28EA" w:rsidP="00EC27DE">
            <w:pPr>
              <w:jc w:val="center"/>
              <w:textAlignment w:val="center"/>
              <w:rPr>
                <w:sz w:val="36"/>
                <w:szCs w:val="36"/>
              </w:rPr>
            </w:pPr>
            <w:r w:rsidRPr="00E143F7">
              <w:rPr>
                <w:color w:val="000000"/>
                <w:kern w:val="24"/>
                <w:sz w:val="14"/>
                <w:szCs w:val="14"/>
              </w:rPr>
              <w:t>101°31.</w:t>
            </w:r>
            <w:r>
              <w:rPr>
                <w:color w:val="000000"/>
                <w:kern w:val="24"/>
                <w:sz w:val="14"/>
                <w:szCs w:val="14"/>
              </w:rPr>
              <w:t>’</w:t>
            </w:r>
            <w:r w:rsidRPr="00E143F7">
              <w:rPr>
                <w:color w:val="000000"/>
                <w:kern w:val="24"/>
                <w:sz w:val="14"/>
                <w:szCs w:val="14"/>
              </w:rPr>
              <w:t>55' W</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5730874D" w14:textId="77777777" w:rsidR="002D28EA" w:rsidRPr="00E143F7" w:rsidRDefault="002D28EA" w:rsidP="00EC27DE">
            <w:pPr>
              <w:jc w:val="center"/>
              <w:textAlignment w:val="center"/>
              <w:rPr>
                <w:sz w:val="36"/>
                <w:szCs w:val="36"/>
              </w:rPr>
            </w:pPr>
            <w:r w:rsidRPr="00E143F7">
              <w:rPr>
                <w:color w:val="000000"/>
                <w:kern w:val="24"/>
                <w:sz w:val="14"/>
                <w:szCs w:val="14"/>
              </w:rPr>
              <w:t>ODP Leg 147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7BC3715B" w14:textId="77777777" w:rsidR="002D28EA" w:rsidRPr="00E143F7" w:rsidRDefault="002D28EA" w:rsidP="00EC27DE">
            <w:pPr>
              <w:jc w:val="center"/>
              <w:textAlignment w:val="center"/>
              <w:rPr>
                <w:sz w:val="36"/>
                <w:szCs w:val="36"/>
              </w:rPr>
            </w:pPr>
            <w:r w:rsidRPr="00E143F7">
              <w:rPr>
                <w:color w:val="000000"/>
                <w:kern w:val="24"/>
                <w:sz w:val="14"/>
                <w:szCs w:val="14"/>
              </w:rPr>
              <w:t>894</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13E0AED7" w14:textId="77777777" w:rsidR="002D28EA" w:rsidRPr="00E143F7" w:rsidRDefault="002D28EA" w:rsidP="00EC27DE">
            <w:pPr>
              <w:jc w:val="center"/>
              <w:textAlignment w:val="center"/>
              <w:rPr>
                <w:sz w:val="36"/>
                <w:szCs w:val="36"/>
              </w:rPr>
            </w:pPr>
            <w:r w:rsidRPr="00E143F7">
              <w:rPr>
                <w:color w:val="000000"/>
                <w:kern w:val="24"/>
                <w:sz w:val="14"/>
                <w:szCs w:val="14"/>
              </w:rPr>
              <w:t>G</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2DA02E78" w14:textId="77777777" w:rsidR="002D28EA" w:rsidRPr="00E143F7" w:rsidRDefault="002D28EA" w:rsidP="00EC27DE">
            <w:pPr>
              <w:jc w:val="center"/>
              <w:textAlignment w:val="center"/>
              <w:rPr>
                <w:sz w:val="36"/>
                <w:szCs w:val="36"/>
              </w:rPr>
            </w:pPr>
            <w:r w:rsidRPr="00E143F7">
              <w:rPr>
                <w:color w:val="000000"/>
                <w:kern w:val="24"/>
                <w:sz w:val="14"/>
                <w:szCs w:val="14"/>
              </w:rPr>
              <w:t>79.1</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75238C8E" w14:textId="77777777" w:rsidR="002D28EA" w:rsidRPr="00E143F7" w:rsidRDefault="002D28EA" w:rsidP="00EC27DE">
            <w:pPr>
              <w:jc w:val="center"/>
              <w:textAlignment w:val="center"/>
              <w:rPr>
                <w:sz w:val="36"/>
                <w:szCs w:val="36"/>
              </w:rPr>
            </w:pPr>
            <w:r w:rsidRPr="00E143F7">
              <w:rPr>
                <w:color w:val="000000"/>
                <w:kern w:val="24"/>
                <w:sz w:val="14"/>
                <w:szCs w:val="14"/>
              </w:rPr>
              <w:t>--</w:t>
            </w:r>
          </w:p>
        </w:tc>
      </w:tr>
      <w:tr w:rsidR="002D28EA" w:rsidRPr="00E143F7" w14:paraId="19C75A04"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359F2E76" w14:textId="77777777" w:rsidR="002D28EA" w:rsidRPr="00E143F7" w:rsidRDefault="002D28EA" w:rsidP="00EC27DE">
            <w:pPr>
              <w:textAlignment w:val="bottom"/>
              <w:rPr>
                <w:sz w:val="36"/>
                <w:szCs w:val="36"/>
              </w:rPr>
            </w:pPr>
            <w:r w:rsidRPr="00E143F7">
              <w:rPr>
                <w:color w:val="000000"/>
                <w:kern w:val="24"/>
                <w:sz w:val="14"/>
                <w:szCs w:val="14"/>
              </w:rPr>
              <w:t>5057_5707A_009z_03_059-063</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36C63FC2" w14:textId="77777777" w:rsidR="002D28EA" w:rsidRPr="00E143F7" w:rsidRDefault="002D28EA" w:rsidP="00EC27DE">
            <w:pPr>
              <w:jc w:val="center"/>
              <w:textAlignment w:val="center"/>
              <w:rPr>
                <w:sz w:val="36"/>
                <w:szCs w:val="36"/>
              </w:rPr>
            </w:pPr>
            <w:proofErr w:type="spellStart"/>
            <w:r w:rsidRPr="00E143F7">
              <w:rPr>
                <w:color w:val="000000"/>
                <w:kern w:val="24"/>
                <w:sz w:val="14"/>
                <w:szCs w:val="14"/>
              </w:rPr>
              <w:t>O</w:t>
            </w:r>
            <w:r>
              <w:rPr>
                <w:color w:val="000000"/>
                <w:kern w:val="24"/>
                <w:sz w:val="14"/>
                <w:szCs w:val="14"/>
              </w:rPr>
              <w:t>manDP</w:t>
            </w:r>
            <w:proofErr w:type="spellEnd"/>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6E88B59D" w14:textId="77777777" w:rsidR="002D28EA" w:rsidRPr="00E143F7" w:rsidRDefault="002D28EA" w:rsidP="00EC27DE">
            <w:pPr>
              <w:jc w:val="center"/>
              <w:textAlignment w:val="center"/>
              <w:rPr>
                <w:sz w:val="36"/>
                <w:szCs w:val="36"/>
              </w:rPr>
            </w:pPr>
            <w:r w:rsidRPr="00E143F7">
              <w:rPr>
                <w:color w:val="000000"/>
                <w:kern w:val="24"/>
                <w:sz w:val="14"/>
                <w:szCs w:val="14"/>
              </w:rPr>
              <w:t>Troctolite</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0DAC3476" w14:textId="77777777" w:rsidR="002D28EA" w:rsidRPr="00E143F7" w:rsidRDefault="002D28EA" w:rsidP="00EC27DE">
            <w:pPr>
              <w:jc w:val="center"/>
              <w:textAlignment w:val="center"/>
              <w:rPr>
                <w:sz w:val="36"/>
                <w:szCs w:val="36"/>
              </w:rPr>
            </w:pPr>
            <w:r w:rsidRPr="00E143F7">
              <w:rPr>
                <w:color w:val="000000"/>
                <w:kern w:val="24"/>
                <w:sz w:val="14"/>
                <w:szCs w:val="14"/>
              </w:rPr>
              <w:t>22°54.</w:t>
            </w:r>
            <w:r>
              <w:rPr>
                <w:color w:val="000000"/>
                <w:kern w:val="24"/>
                <w:sz w:val="14"/>
                <w:szCs w:val="14"/>
              </w:rPr>
              <w:t>’</w:t>
            </w:r>
            <w:r w:rsidRPr="00E143F7">
              <w:rPr>
                <w:color w:val="000000"/>
                <w:kern w:val="24"/>
                <w:sz w:val="14"/>
                <w:szCs w:val="14"/>
              </w:rPr>
              <w:t>35'</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2265400D" w14:textId="77777777" w:rsidR="002D28EA" w:rsidRPr="00E143F7" w:rsidRDefault="002D28EA" w:rsidP="00EC27DE">
            <w:pPr>
              <w:jc w:val="center"/>
              <w:textAlignment w:val="center"/>
              <w:rPr>
                <w:sz w:val="36"/>
                <w:szCs w:val="36"/>
              </w:rPr>
            </w:pPr>
            <w:r w:rsidRPr="00E143F7">
              <w:rPr>
                <w:color w:val="000000"/>
                <w:kern w:val="24"/>
                <w:sz w:val="14"/>
                <w:szCs w:val="14"/>
              </w:rPr>
              <w:t>58°20.</w:t>
            </w:r>
            <w:r>
              <w:rPr>
                <w:color w:val="000000"/>
                <w:kern w:val="24"/>
                <w:sz w:val="14"/>
                <w:szCs w:val="14"/>
              </w:rPr>
              <w:t>’</w:t>
            </w:r>
            <w:r w:rsidRPr="00E143F7">
              <w:rPr>
                <w:color w:val="000000"/>
                <w:kern w:val="24"/>
                <w:sz w:val="14"/>
                <w:szCs w:val="14"/>
              </w:rPr>
              <w:t>49' E</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2156FA82" w14:textId="77777777" w:rsidR="002D28EA" w:rsidRPr="00E143F7" w:rsidRDefault="002D28EA" w:rsidP="00EC27DE">
            <w:pPr>
              <w:jc w:val="center"/>
              <w:textAlignment w:val="center"/>
              <w:rPr>
                <w:sz w:val="36"/>
                <w:szCs w:val="36"/>
              </w:rPr>
            </w:pPr>
            <w:r w:rsidRPr="00E143F7">
              <w:rPr>
                <w:color w:val="000000"/>
                <w:kern w:val="24"/>
                <w:sz w:val="14"/>
                <w:szCs w:val="14"/>
              </w:rPr>
              <w:t>ICDP Exp 5057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20D50127" w14:textId="77777777" w:rsidR="002D28EA" w:rsidRPr="00E143F7" w:rsidRDefault="002D28EA" w:rsidP="00EC27DE">
            <w:pPr>
              <w:jc w:val="center"/>
              <w:textAlignment w:val="center"/>
              <w:rPr>
                <w:sz w:val="36"/>
                <w:szCs w:val="36"/>
              </w:rPr>
            </w:pPr>
            <w:r w:rsidRPr="00E143F7">
              <w:rPr>
                <w:color w:val="000000"/>
                <w:kern w:val="24"/>
                <w:sz w:val="14"/>
                <w:szCs w:val="14"/>
              </w:rPr>
              <w:t>CM1</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269A0A4A" w14:textId="77777777" w:rsidR="002D28EA" w:rsidRPr="00E143F7" w:rsidRDefault="002D28EA" w:rsidP="00EC27DE">
            <w:pPr>
              <w:jc w:val="center"/>
              <w:textAlignment w:val="center"/>
              <w:rPr>
                <w:sz w:val="36"/>
                <w:szCs w:val="36"/>
              </w:rPr>
            </w:pPr>
            <w:r w:rsidRPr="00E143F7">
              <w:rPr>
                <w:color w:val="000000"/>
                <w:kern w:val="24"/>
                <w:sz w:val="14"/>
                <w:szCs w:val="14"/>
              </w:rPr>
              <w:t>A</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7E89798B" w14:textId="77777777" w:rsidR="002D28EA" w:rsidRPr="00E143F7" w:rsidRDefault="002D28EA" w:rsidP="00EC27DE">
            <w:pPr>
              <w:jc w:val="center"/>
              <w:textAlignment w:val="center"/>
              <w:rPr>
                <w:sz w:val="36"/>
                <w:szCs w:val="36"/>
              </w:rPr>
            </w:pPr>
            <w:r w:rsidRPr="00E143F7">
              <w:rPr>
                <w:color w:val="000000"/>
                <w:kern w:val="24"/>
                <w:sz w:val="14"/>
                <w:szCs w:val="14"/>
              </w:rPr>
              <w:t>16.1</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7B08C054" w14:textId="77777777" w:rsidR="002D28EA" w:rsidRPr="00E143F7" w:rsidRDefault="002D28EA" w:rsidP="00EC27DE">
            <w:pPr>
              <w:jc w:val="center"/>
              <w:textAlignment w:val="center"/>
              <w:rPr>
                <w:sz w:val="36"/>
                <w:szCs w:val="36"/>
              </w:rPr>
            </w:pPr>
            <w:r w:rsidRPr="00E143F7">
              <w:rPr>
                <w:color w:val="000000"/>
                <w:kern w:val="24"/>
                <w:sz w:val="14"/>
                <w:szCs w:val="14"/>
              </w:rPr>
              <w:t>296.9</w:t>
            </w:r>
          </w:p>
        </w:tc>
      </w:tr>
      <w:tr w:rsidR="002D28EA" w:rsidRPr="00E143F7" w14:paraId="139683D6"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0FD51CE7" w14:textId="77777777" w:rsidR="002D28EA" w:rsidRPr="00E143F7" w:rsidRDefault="002D28EA" w:rsidP="00EC27DE">
            <w:pPr>
              <w:textAlignment w:val="bottom"/>
              <w:rPr>
                <w:sz w:val="36"/>
                <w:szCs w:val="36"/>
              </w:rPr>
            </w:pPr>
            <w:r w:rsidRPr="00E143F7">
              <w:rPr>
                <w:color w:val="000000"/>
                <w:kern w:val="24"/>
                <w:sz w:val="14"/>
                <w:szCs w:val="14"/>
              </w:rPr>
              <w:t>5057_5707A_032z_02_053-056</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7DC28E66" w14:textId="77777777" w:rsidR="002D28EA" w:rsidRPr="00E143F7" w:rsidRDefault="002D28EA" w:rsidP="00EC27DE">
            <w:pPr>
              <w:jc w:val="center"/>
              <w:textAlignment w:val="center"/>
              <w:rPr>
                <w:sz w:val="36"/>
                <w:szCs w:val="36"/>
              </w:rPr>
            </w:pPr>
            <w:proofErr w:type="spellStart"/>
            <w:r w:rsidRPr="00E143F7">
              <w:rPr>
                <w:color w:val="000000"/>
                <w:kern w:val="24"/>
                <w:sz w:val="14"/>
                <w:szCs w:val="14"/>
              </w:rPr>
              <w:t>O</w:t>
            </w:r>
            <w:r>
              <w:rPr>
                <w:color w:val="000000"/>
                <w:kern w:val="24"/>
                <w:sz w:val="14"/>
                <w:szCs w:val="14"/>
              </w:rPr>
              <w:t>manDP</w:t>
            </w:r>
            <w:proofErr w:type="spellEnd"/>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2BDDE002" w14:textId="77777777" w:rsidR="002D28EA" w:rsidRPr="00E143F7" w:rsidRDefault="002D28EA" w:rsidP="00EC27DE">
            <w:pPr>
              <w:jc w:val="center"/>
              <w:textAlignment w:val="center"/>
              <w:rPr>
                <w:sz w:val="36"/>
                <w:szCs w:val="36"/>
              </w:rPr>
            </w:pPr>
            <w:r w:rsidRPr="00E143F7">
              <w:rPr>
                <w:color w:val="000000"/>
                <w:kern w:val="24"/>
                <w:sz w:val="14"/>
                <w:szCs w:val="14"/>
              </w:rPr>
              <w:t>Gabbro</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79E7776D" w14:textId="77777777" w:rsidR="002D28EA" w:rsidRPr="00E143F7" w:rsidRDefault="002D28EA" w:rsidP="00EC27DE">
            <w:pPr>
              <w:jc w:val="center"/>
              <w:textAlignment w:val="center"/>
              <w:rPr>
                <w:sz w:val="36"/>
                <w:szCs w:val="36"/>
              </w:rPr>
            </w:pPr>
            <w:r w:rsidRPr="00E143F7">
              <w:rPr>
                <w:color w:val="000000"/>
                <w:kern w:val="24"/>
                <w:sz w:val="14"/>
                <w:szCs w:val="14"/>
              </w:rPr>
              <w:t>22°54.</w:t>
            </w:r>
            <w:r>
              <w:rPr>
                <w:color w:val="000000"/>
                <w:kern w:val="24"/>
                <w:sz w:val="14"/>
                <w:szCs w:val="14"/>
              </w:rPr>
              <w:t>’</w:t>
            </w:r>
            <w:r w:rsidRPr="00E143F7">
              <w:rPr>
                <w:color w:val="000000"/>
                <w:kern w:val="24"/>
                <w:sz w:val="14"/>
                <w:szCs w:val="14"/>
              </w:rPr>
              <w:t>35'</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3FDD9479" w14:textId="77777777" w:rsidR="002D28EA" w:rsidRPr="00E143F7" w:rsidRDefault="002D28EA" w:rsidP="00EC27DE">
            <w:pPr>
              <w:jc w:val="center"/>
              <w:textAlignment w:val="center"/>
              <w:rPr>
                <w:sz w:val="36"/>
                <w:szCs w:val="36"/>
              </w:rPr>
            </w:pPr>
            <w:r w:rsidRPr="00E143F7">
              <w:rPr>
                <w:color w:val="000000"/>
                <w:kern w:val="24"/>
                <w:sz w:val="14"/>
                <w:szCs w:val="14"/>
              </w:rPr>
              <w:t>58°20.</w:t>
            </w:r>
            <w:r>
              <w:rPr>
                <w:color w:val="000000"/>
                <w:kern w:val="24"/>
                <w:sz w:val="14"/>
                <w:szCs w:val="14"/>
              </w:rPr>
              <w:t>’</w:t>
            </w:r>
            <w:r w:rsidRPr="00E143F7">
              <w:rPr>
                <w:color w:val="000000"/>
                <w:kern w:val="24"/>
                <w:sz w:val="14"/>
                <w:szCs w:val="14"/>
              </w:rPr>
              <w:t>49' E</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3295B3CF" w14:textId="77777777" w:rsidR="002D28EA" w:rsidRPr="00E143F7" w:rsidRDefault="002D28EA" w:rsidP="00EC27DE">
            <w:pPr>
              <w:jc w:val="center"/>
              <w:textAlignment w:val="center"/>
              <w:rPr>
                <w:sz w:val="36"/>
                <w:szCs w:val="36"/>
              </w:rPr>
            </w:pPr>
            <w:r w:rsidRPr="00E143F7">
              <w:rPr>
                <w:color w:val="000000"/>
                <w:kern w:val="24"/>
                <w:sz w:val="14"/>
                <w:szCs w:val="14"/>
              </w:rPr>
              <w:t>ICDP Exp 5057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341FDB79" w14:textId="77777777" w:rsidR="002D28EA" w:rsidRPr="00E143F7" w:rsidRDefault="002D28EA" w:rsidP="00EC27DE">
            <w:pPr>
              <w:jc w:val="center"/>
              <w:textAlignment w:val="center"/>
              <w:rPr>
                <w:sz w:val="36"/>
                <w:szCs w:val="36"/>
              </w:rPr>
            </w:pPr>
            <w:r w:rsidRPr="00E143F7">
              <w:rPr>
                <w:color w:val="000000"/>
                <w:kern w:val="24"/>
                <w:sz w:val="14"/>
                <w:szCs w:val="14"/>
              </w:rPr>
              <w:t>CM1</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4533918A" w14:textId="77777777" w:rsidR="002D28EA" w:rsidRPr="00E143F7" w:rsidRDefault="002D28EA" w:rsidP="00EC27DE">
            <w:pPr>
              <w:jc w:val="center"/>
              <w:textAlignment w:val="center"/>
              <w:rPr>
                <w:sz w:val="36"/>
                <w:szCs w:val="36"/>
              </w:rPr>
            </w:pPr>
            <w:r w:rsidRPr="00E143F7">
              <w:rPr>
                <w:color w:val="000000"/>
                <w:kern w:val="24"/>
                <w:sz w:val="14"/>
                <w:szCs w:val="14"/>
              </w:rPr>
              <w:t>A</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66633A24" w14:textId="77777777" w:rsidR="002D28EA" w:rsidRPr="00E143F7" w:rsidRDefault="002D28EA" w:rsidP="00EC27DE">
            <w:pPr>
              <w:jc w:val="center"/>
              <w:textAlignment w:val="center"/>
              <w:rPr>
                <w:sz w:val="36"/>
                <w:szCs w:val="36"/>
              </w:rPr>
            </w:pPr>
            <w:r w:rsidRPr="00E143F7">
              <w:rPr>
                <w:color w:val="000000"/>
                <w:kern w:val="24"/>
                <w:sz w:val="14"/>
                <w:szCs w:val="14"/>
              </w:rPr>
              <w:t>72</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07BA5D36" w14:textId="77777777" w:rsidR="002D28EA" w:rsidRPr="00E143F7" w:rsidRDefault="002D28EA" w:rsidP="00EC27DE">
            <w:pPr>
              <w:jc w:val="center"/>
              <w:textAlignment w:val="center"/>
              <w:rPr>
                <w:sz w:val="36"/>
                <w:szCs w:val="36"/>
              </w:rPr>
            </w:pPr>
            <w:r w:rsidRPr="00E143F7">
              <w:rPr>
                <w:color w:val="000000"/>
                <w:kern w:val="24"/>
                <w:sz w:val="14"/>
                <w:szCs w:val="14"/>
              </w:rPr>
              <w:t>241</w:t>
            </w:r>
          </w:p>
        </w:tc>
      </w:tr>
      <w:tr w:rsidR="002D28EA" w:rsidRPr="00E143F7" w14:paraId="68DA54F8"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104C6A75" w14:textId="77777777" w:rsidR="002D28EA" w:rsidRPr="00E143F7" w:rsidRDefault="002D28EA" w:rsidP="00EC27DE">
            <w:pPr>
              <w:textAlignment w:val="bottom"/>
              <w:rPr>
                <w:sz w:val="36"/>
                <w:szCs w:val="36"/>
              </w:rPr>
            </w:pPr>
            <w:r w:rsidRPr="00E143F7">
              <w:rPr>
                <w:color w:val="000000"/>
                <w:kern w:val="24"/>
                <w:sz w:val="14"/>
                <w:szCs w:val="14"/>
              </w:rPr>
              <w:t>5057_5707A_059z_04_004-008</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5E9CC971" w14:textId="77777777" w:rsidR="002D28EA" w:rsidRPr="00E143F7" w:rsidRDefault="002D28EA" w:rsidP="00EC27DE">
            <w:pPr>
              <w:jc w:val="center"/>
              <w:textAlignment w:val="center"/>
              <w:rPr>
                <w:sz w:val="36"/>
                <w:szCs w:val="36"/>
              </w:rPr>
            </w:pPr>
            <w:proofErr w:type="spellStart"/>
            <w:r w:rsidRPr="00E143F7">
              <w:rPr>
                <w:color w:val="000000"/>
                <w:kern w:val="24"/>
                <w:sz w:val="14"/>
                <w:szCs w:val="14"/>
              </w:rPr>
              <w:t>O</w:t>
            </w:r>
            <w:r>
              <w:rPr>
                <w:color w:val="000000"/>
                <w:kern w:val="24"/>
                <w:sz w:val="14"/>
                <w:szCs w:val="14"/>
              </w:rPr>
              <w:t>manDP</w:t>
            </w:r>
            <w:proofErr w:type="spellEnd"/>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3FE8E412" w14:textId="77777777" w:rsidR="002D28EA" w:rsidRPr="00E143F7" w:rsidRDefault="002D28EA" w:rsidP="00EC27DE">
            <w:pPr>
              <w:jc w:val="center"/>
              <w:textAlignment w:val="center"/>
              <w:rPr>
                <w:sz w:val="36"/>
                <w:szCs w:val="36"/>
              </w:rPr>
            </w:pPr>
            <w:r w:rsidRPr="00E143F7">
              <w:rPr>
                <w:color w:val="000000"/>
                <w:kern w:val="24"/>
                <w:sz w:val="14"/>
                <w:szCs w:val="14"/>
              </w:rPr>
              <w:t>Gabbro</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64824F38" w14:textId="77777777" w:rsidR="002D28EA" w:rsidRPr="00E143F7" w:rsidRDefault="002D28EA" w:rsidP="00EC27DE">
            <w:pPr>
              <w:jc w:val="center"/>
              <w:textAlignment w:val="center"/>
              <w:rPr>
                <w:sz w:val="36"/>
                <w:szCs w:val="36"/>
              </w:rPr>
            </w:pPr>
            <w:r w:rsidRPr="00E143F7">
              <w:rPr>
                <w:color w:val="000000"/>
                <w:kern w:val="24"/>
                <w:sz w:val="14"/>
                <w:szCs w:val="14"/>
              </w:rPr>
              <w:t>22°54.</w:t>
            </w:r>
            <w:r>
              <w:rPr>
                <w:color w:val="000000"/>
                <w:kern w:val="24"/>
                <w:sz w:val="14"/>
                <w:szCs w:val="14"/>
              </w:rPr>
              <w:t>’</w:t>
            </w:r>
            <w:r w:rsidRPr="00E143F7">
              <w:rPr>
                <w:color w:val="000000"/>
                <w:kern w:val="24"/>
                <w:sz w:val="14"/>
                <w:szCs w:val="14"/>
              </w:rPr>
              <w:t>35'</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7625F886" w14:textId="77777777" w:rsidR="002D28EA" w:rsidRPr="00E143F7" w:rsidRDefault="002D28EA" w:rsidP="00EC27DE">
            <w:pPr>
              <w:jc w:val="center"/>
              <w:textAlignment w:val="center"/>
              <w:rPr>
                <w:sz w:val="36"/>
                <w:szCs w:val="36"/>
              </w:rPr>
            </w:pPr>
            <w:r w:rsidRPr="00E143F7">
              <w:rPr>
                <w:color w:val="000000"/>
                <w:kern w:val="24"/>
                <w:sz w:val="14"/>
                <w:szCs w:val="14"/>
              </w:rPr>
              <w:t>58°20.</w:t>
            </w:r>
            <w:r>
              <w:rPr>
                <w:color w:val="000000"/>
                <w:kern w:val="24"/>
                <w:sz w:val="14"/>
                <w:szCs w:val="14"/>
              </w:rPr>
              <w:t>’</w:t>
            </w:r>
            <w:r w:rsidRPr="00E143F7">
              <w:rPr>
                <w:color w:val="000000"/>
                <w:kern w:val="24"/>
                <w:sz w:val="14"/>
                <w:szCs w:val="14"/>
              </w:rPr>
              <w:t>49' E</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29BC1D13" w14:textId="77777777" w:rsidR="002D28EA" w:rsidRPr="00E143F7" w:rsidRDefault="002D28EA" w:rsidP="00EC27DE">
            <w:pPr>
              <w:jc w:val="center"/>
              <w:textAlignment w:val="center"/>
              <w:rPr>
                <w:sz w:val="36"/>
                <w:szCs w:val="36"/>
              </w:rPr>
            </w:pPr>
            <w:r w:rsidRPr="00E143F7">
              <w:rPr>
                <w:color w:val="000000"/>
                <w:kern w:val="24"/>
                <w:sz w:val="14"/>
                <w:szCs w:val="14"/>
              </w:rPr>
              <w:t>ICDP Exp 5057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30B42710" w14:textId="77777777" w:rsidR="002D28EA" w:rsidRPr="00E143F7" w:rsidRDefault="002D28EA" w:rsidP="00EC27DE">
            <w:pPr>
              <w:jc w:val="center"/>
              <w:textAlignment w:val="center"/>
              <w:rPr>
                <w:sz w:val="36"/>
                <w:szCs w:val="36"/>
              </w:rPr>
            </w:pPr>
            <w:r w:rsidRPr="00E143F7">
              <w:rPr>
                <w:color w:val="000000"/>
                <w:kern w:val="24"/>
                <w:sz w:val="14"/>
                <w:szCs w:val="14"/>
              </w:rPr>
              <w:t>CM1</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0A4B5D65" w14:textId="77777777" w:rsidR="002D28EA" w:rsidRPr="00E143F7" w:rsidRDefault="002D28EA" w:rsidP="00EC27DE">
            <w:pPr>
              <w:jc w:val="center"/>
              <w:textAlignment w:val="center"/>
              <w:rPr>
                <w:sz w:val="36"/>
                <w:szCs w:val="36"/>
              </w:rPr>
            </w:pPr>
            <w:r w:rsidRPr="00E143F7">
              <w:rPr>
                <w:color w:val="000000"/>
                <w:kern w:val="24"/>
                <w:sz w:val="14"/>
                <w:szCs w:val="14"/>
              </w:rPr>
              <w:t>A</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084A913C" w14:textId="77777777" w:rsidR="002D28EA" w:rsidRPr="00E143F7" w:rsidRDefault="002D28EA" w:rsidP="00EC27DE">
            <w:pPr>
              <w:jc w:val="center"/>
              <w:textAlignment w:val="center"/>
              <w:rPr>
                <w:sz w:val="36"/>
                <w:szCs w:val="36"/>
              </w:rPr>
            </w:pPr>
            <w:r w:rsidRPr="00E143F7">
              <w:rPr>
                <w:color w:val="000000"/>
                <w:kern w:val="24"/>
                <w:sz w:val="14"/>
                <w:szCs w:val="14"/>
              </w:rPr>
              <w:t>148</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2FB25E59" w14:textId="77777777" w:rsidR="002D28EA" w:rsidRPr="00E143F7" w:rsidRDefault="002D28EA" w:rsidP="00EC27DE">
            <w:pPr>
              <w:jc w:val="center"/>
              <w:textAlignment w:val="center"/>
              <w:rPr>
                <w:sz w:val="36"/>
                <w:szCs w:val="36"/>
              </w:rPr>
            </w:pPr>
            <w:r w:rsidRPr="00E143F7">
              <w:rPr>
                <w:color w:val="000000"/>
                <w:kern w:val="24"/>
                <w:sz w:val="14"/>
                <w:szCs w:val="14"/>
              </w:rPr>
              <w:t>165</w:t>
            </w:r>
          </w:p>
        </w:tc>
      </w:tr>
      <w:tr w:rsidR="002D28EA" w:rsidRPr="00E143F7" w14:paraId="64B7DE34"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1AFAA9BA" w14:textId="77777777" w:rsidR="002D28EA" w:rsidRPr="00E143F7" w:rsidRDefault="002D28EA" w:rsidP="00EC27DE">
            <w:pPr>
              <w:textAlignment w:val="bottom"/>
              <w:rPr>
                <w:sz w:val="36"/>
                <w:szCs w:val="36"/>
              </w:rPr>
            </w:pPr>
            <w:r w:rsidRPr="00E143F7">
              <w:rPr>
                <w:color w:val="000000"/>
                <w:kern w:val="24"/>
                <w:sz w:val="14"/>
                <w:szCs w:val="14"/>
              </w:rPr>
              <w:t>5057_5707A_113z_03_036-040</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1D4E132C" w14:textId="77777777" w:rsidR="002D28EA" w:rsidRPr="00E143F7" w:rsidRDefault="002D28EA" w:rsidP="00EC27DE">
            <w:pPr>
              <w:jc w:val="center"/>
              <w:textAlignment w:val="center"/>
              <w:rPr>
                <w:sz w:val="36"/>
                <w:szCs w:val="36"/>
              </w:rPr>
            </w:pPr>
            <w:proofErr w:type="spellStart"/>
            <w:r w:rsidRPr="00E143F7">
              <w:rPr>
                <w:color w:val="000000"/>
                <w:kern w:val="24"/>
                <w:sz w:val="14"/>
                <w:szCs w:val="14"/>
              </w:rPr>
              <w:t>O</w:t>
            </w:r>
            <w:r>
              <w:rPr>
                <w:color w:val="000000"/>
                <w:kern w:val="24"/>
                <w:sz w:val="14"/>
                <w:szCs w:val="14"/>
              </w:rPr>
              <w:t>manDP</w:t>
            </w:r>
            <w:proofErr w:type="spellEnd"/>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57424737" w14:textId="77777777" w:rsidR="002D28EA" w:rsidRPr="00E143F7" w:rsidRDefault="002D28EA" w:rsidP="00EC27DE">
            <w:pPr>
              <w:jc w:val="center"/>
              <w:textAlignment w:val="center"/>
              <w:rPr>
                <w:sz w:val="36"/>
                <w:szCs w:val="36"/>
              </w:rPr>
            </w:pPr>
            <w:r w:rsidRPr="00E143F7">
              <w:rPr>
                <w:color w:val="000000"/>
                <w:kern w:val="24"/>
                <w:sz w:val="14"/>
                <w:szCs w:val="14"/>
              </w:rPr>
              <w:t>Gabbro</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24B2E6B8" w14:textId="77777777" w:rsidR="002D28EA" w:rsidRPr="00E143F7" w:rsidRDefault="002D28EA" w:rsidP="00EC27DE">
            <w:pPr>
              <w:jc w:val="center"/>
              <w:textAlignment w:val="center"/>
              <w:rPr>
                <w:sz w:val="36"/>
                <w:szCs w:val="36"/>
              </w:rPr>
            </w:pPr>
            <w:r w:rsidRPr="00E143F7">
              <w:rPr>
                <w:color w:val="000000"/>
                <w:kern w:val="24"/>
                <w:sz w:val="14"/>
                <w:szCs w:val="14"/>
              </w:rPr>
              <w:t>22°54.</w:t>
            </w:r>
            <w:r>
              <w:rPr>
                <w:color w:val="000000"/>
                <w:kern w:val="24"/>
                <w:sz w:val="14"/>
                <w:szCs w:val="14"/>
              </w:rPr>
              <w:t>’</w:t>
            </w:r>
            <w:r w:rsidRPr="00E143F7">
              <w:rPr>
                <w:color w:val="000000"/>
                <w:kern w:val="24"/>
                <w:sz w:val="14"/>
                <w:szCs w:val="14"/>
              </w:rPr>
              <w:t>35'</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7E49DD3C" w14:textId="77777777" w:rsidR="002D28EA" w:rsidRPr="00E143F7" w:rsidRDefault="002D28EA" w:rsidP="00EC27DE">
            <w:pPr>
              <w:jc w:val="center"/>
              <w:textAlignment w:val="center"/>
              <w:rPr>
                <w:sz w:val="36"/>
                <w:szCs w:val="36"/>
              </w:rPr>
            </w:pPr>
            <w:r w:rsidRPr="00E143F7">
              <w:rPr>
                <w:color w:val="000000"/>
                <w:kern w:val="24"/>
                <w:sz w:val="14"/>
                <w:szCs w:val="14"/>
              </w:rPr>
              <w:t>58°20.</w:t>
            </w:r>
            <w:r>
              <w:rPr>
                <w:color w:val="000000"/>
                <w:kern w:val="24"/>
                <w:sz w:val="14"/>
                <w:szCs w:val="14"/>
              </w:rPr>
              <w:t>’</w:t>
            </w:r>
            <w:r w:rsidRPr="00E143F7">
              <w:rPr>
                <w:color w:val="000000"/>
                <w:kern w:val="24"/>
                <w:sz w:val="14"/>
                <w:szCs w:val="14"/>
              </w:rPr>
              <w:t>49' E</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72B93012" w14:textId="77777777" w:rsidR="002D28EA" w:rsidRPr="00E143F7" w:rsidRDefault="002D28EA" w:rsidP="00EC27DE">
            <w:pPr>
              <w:jc w:val="center"/>
              <w:textAlignment w:val="center"/>
              <w:rPr>
                <w:sz w:val="36"/>
                <w:szCs w:val="36"/>
              </w:rPr>
            </w:pPr>
            <w:r w:rsidRPr="00E143F7">
              <w:rPr>
                <w:color w:val="000000"/>
                <w:kern w:val="24"/>
                <w:sz w:val="14"/>
                <w:szCs w:val="14"/>
              </w:rPr>
              <w:t>ICDP Exp 5057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45760452" w14:textId="77777777" w:rsidR="002D28EA" w:rsidRPr="00E143F7" w:rsidRDefault="002D28EA" w:rsidP="00EC27DE">
            <w:pPr>
              <w:jc w:val="center"/>
              <w:textAlignment w:val="center"/>
              <w:rPr>
                <w:sz w:val="36"/>
                <w:szCs w:val="36"/>
              </w:rPr>
            </w:pPr>
            <w:r w:rsidRPr="00E143F7">
              <w:rPr>
                <w:color w:val="000000"/>
                <w:kern w:val="24"/>
                <w:sz w:val="14"/>
                <w:szCs w:val="14"/>
              </w:rPr>
              <w:t>CM1</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5B909946" w14:textId="77777777" w:rsidR="002D28EA" w:rsidRPr="00E143F7" w:rsidRDefault="002D28EA" w:rsidP="00EC27DE">
            <w:pPr>
              <w:jc w:val="center"/>
              <w:textAlignment w:val="center"/>
              <w:rPr>
                <w:sz w:val="36"/>
                <w:szCs w:val="36"/>
              </w:rPr>
            </w:pPr>
            <w:r w:rsidRPr="00E143F7">
              <w:rPr>
                <w:color w:val="000000"/>
                <w:kern w:val="24"/>
                <w:sz w:val="14"/>
                <w:szCs w:val="14"/>
              </w:rPr>
              <w:t>A</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55550A50" w14:textId="77777777" w:rsidR="002D28EA" w:rsidRPr="00E143F7" w:rsidRDefault="002D28EA" w:rsidP="00EC27DE">
            <w:pPr>
              <w:jc w:val="center"/>
              <w:textAlignment w:val="center"/>
              <w:rPr>
                <w:sz w:val="36"/>
                <w:szCs w:val="36"/>
              </w:rPr>
            </w:pPr>
            <w:r w:rsidRPr="00E143F7">
              <w:rPr>
                <w:color w:val="000000"/>
                <w:kern w:val="24"/>
                <w:sz w:val="14"/>
                <w:szCs w:val="14"/>
              </w:rPr>
              <w:t>259</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3A7990E1" w14:textId="77777777" w:rsidR="002D28EA" w:rsidRPr="00E143F7" w:rsidRDefault="002D28EA" w:rsidP="00EC27DE">
            <w:pPr>
              <w:jc w:val="center"/>
              <w:textAlignment w:val="center"/>
              <w:rPr>
                <w:sz w:val="36"/>
                <w:szCs w:val="36"/>
              </w:rPr>
            </w:pPr>
            <w:r w:rsidRPr="00E143F7">
              <w:rPr>
                <w:color w:val="000000"/>
                <w:kern w:val="24"/>
                <w:sz w:val="14"/>
                <w:szCs w:val="14"/>
              </w:rPr>
              <w:t>54</w:t>
            </w:r>
          </w:p>
        </w:tc>
      </w:tr>
      <w:tr w:rsidR="002D28EA" w:rsidRPr="00E143F7" w14:paraId="7EB86263"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7CD46241" w14:textId="77777777" w:rsidR="002D28EA" w:rsidRPr="00E143F7" w:rsidRDefault="002D28EA" w:rsidP="00EC27DE">
            <w:pPr>
              <w:textAlignment w:val="bottom"/>
              <w:rPr>
                <w:sz w:val="36"/>
                <w:szCs w:val="36"/>
              </w:rPr>
            </w:pPr>
            <w:r w:rsidRPr="00E143F7">
              <w:rPr>
                <w:color w:val="000000"/>
                <w:kern w:val="24"/>
                <w:sz w:val="14"/>
                <w:szCs w:val="14"/>
              </w:rPr>
              <w:t>147_895D_3R1_22-27</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7ACA50FE" w14:textId="77777777" w:rsidR="002D28EA" w:rsidRPr="00E143F7" w:rsidRDefault="002D28EA" w:rsidP="00EC27DE">
            <w:pPr>
              <w:jc w:val="center"/>
              <w:textAlignment w:val="center"/>
              <w:rPr>
                <w:sz w:val="36"/>
                <w:szCs w:val="36"/>
              </w:rPr>
            </w:pPr>
            <w:r w:rsidRPr="00E143F7">
              <w:rPr>
                <w:color w:val="000000"/>
                <w:kern w:val="24"/>
                <w:sz w:val="14"/>
                <w:szCs w:val="14"/>
              </w:rPr>
              <w:t>HD</w:t>
            </w:r>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3E922A5E" w14:textId="77777777" w:rsidR="002D28EA" w:rsidRPr="00E143F7" w:rsidRDefault="002D28EA" w:rsidP="00EC27DE">
            <w:pPr>
              <w:jc w:val="center"/>
              <w:textAlignment w:val="center"/>
              <w:rPr>
                <w:sz w:val="36"/>
                <w:szCs w:val="36"/>
              </w:rPr>
            </w:pPr>
            <w:r w:rsidRPr="00E143F7">
              <w:rPr>
                <w:color w:val="000000"/>
                <w:kern w:val="24"/>
                <w:sz w:val="14"/>
                <w:szCs w:val="14"/>
              </w:rPr>
              <w:t>Harzburgite</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08702900" w14:textId="77777777" w:rsidR="002D28EA" w:rsidRPr="00E143F7" w:rsidRDefault="002D28EA" w:rsidP="00EC27DE">
            <w:pPr>
              <w:jc w:val="center"/>
              <w:textAlignment w:val="center"/>
              <w:rPr>
                <w:sz w:val="36"/>
                <w:szCs w:val="36"/>
              </w:rPr>
            </w:pPr>
            <w:r w:rsidRPr="00E143F7">
              <w:rPr>
                <w:color w:val="000000"/>
                <w:kern w:val="24"/>
                <w:sz w:val="14"/>
                <w:szCs w:val="14"/>
              </w:rPr>
              <w:t>2°16.</w:t>
            </w:r>
            <w:r>
              <w:rPr>
                <w:color w:val="000000"/>
                <w:kern w:val="24"/>
                <w:sz w:val="14"/>
                <w:szCs w:val="14"/>
              </w:rPr>
              <w:t>’</w:t>
            </w:r>
            <w:r w:rsidRPr="00E143F7">
              <w:rPr>
                <w:color w:val="000000"/>
                <w:kern w:val="24"/>
                <w:sz w:val="14"/>
                <w:szCs w:val="14"/>
              </w:rPr>
              <w:t>35'</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51E1981A" w14:textId="77777777" w:rsidR="002D28EA" w:rsidRPr="00E143F7" w:rsidRDefault="002D28EA" w:rsidP="00EC27DE">
            <w:pPr>
              <w:jc w:val="center"/>
              <w:textAlignment w:val="center"/>
              <w:rPr>
                <w:sz w:val="36"/>
                <w:szCs w:val="36"/>
              </w:rPr>
            </w:pPr>
            <w:r w:rsidRPr="00E143F7">
              <w:rPr>
                <w:color w:val="000000"/>
                <w:kern w:val="24"/>
                <w:sz w:val="14"/>
                <w:szCs w:val="14"/>
              </w:rPr>
              <w:t>101°26</w:t>
            </w:r>
            <w:r>
              <w:rPr>
                <w:color w:val="000000"/>
                <w:kern w:val="24"/>
                <w:sz w:val="14"/>
                <w:szCs w:val="14"/>
              </w:rPr>
              <w:t>’</w:t>
            </w:r>
            <w:r w:rsidRPr="00E143F7">
              <w:rPr>
                <w:color w:val="000000"/>
                <w:kern w:val="24"/>
                <w:sz w:val="14"/>
                <w:szCs w:val="14"/>
              </w:rPr>
              <w:t>77' W</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5694F2A3" w14:textId="77777777" w:rsidR="002D28EA" w:rsidRPr="00E143F7" w:rsidRDefault="002D28EA" w:rsidP="00EC27DE">
            <w:pPr>
              <w:jc w:val="center"/>
              <w:textAlignment w:val="center"/>
              <w:rPr>
                <w:sz w:val="36"/>
                <w:szCs w:val="36"/>
              </w:rPr>
            </w:pPr>
            <w:r w:rsidRPr="00E143F7">
              <w:rPr>
                <w:color w:val="000000"/>
                <w:kern w:val="24"/>
                <w:sz w:val="14"/>
                <w:szCs w:val="14"/>
              </w:rPr>
              <w:t>ODP Leg 147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2B2D4536" w14:textId="77777777" w:rsidR="002D28EA" w:rsidRPr="00E143F7" w:rsidRDefault="002D28EA" w:rsidP="00EC27DE">
            <w:pPr>
              <w:jc w:val="center"/>
              <w:textAlignment w:val="center"/>
              <w:rPr>
                <w:sz w:val="36"/>
                <w:szCs w:val="36"/>
              </w:rPr>
            </w:pPr>
            <w:r w:rsidRPr="00E143F7">
              <w:rPr>
                <w:color w:val="000000"/>
                <w:kern w:val="24"/>
                <w:sz w:val="14"/>
                <w:szCs w:val="14"/>
              </w:rPr>
              <w:t>895</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02C4F4F9" w14:textId="77777777" w:rsidR="002D28EA" w:rsidRPr="00E143F7" w:rsidRDefault="002D28EA" w:rsidP="00EC27DE">
            <w:pPr>
              <w:jc w:val="center"/>
              <w:textAlignment w:val="center"/>
              <w:rPr>
                <w:sz w:val="36"/>
                <w:szCs w:val="36"/>
              </w:rPr>
            </w:pPr>
            <w:r w:rsidRPr="00E143F7">
              <w:rPr>
                <w:color w:val="000000"/>
                <w:kern w:val="24"/>
                <w:sz w:val="14"/>
                <w:szCs w:val="14"/>
              </w:rPr>
              <w:t>D</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58F6AB74" w14:textId="77777777" w:rsidR="002D28EA" w:rsidRPr="00E143F7" w:rsidRDefault="002D28EA" w:rsidP="00EC27DE">
            <w:pPr>
              <w:jc w:val="center"/>
              <w:textAlignment w:val="center"/>
              <w:rPr>
                <w:sz w:val="36"/>
                <w:szCs w:val="36"/>
              </w:rPr>
            </w:pPr>
            <w:r w:rsidRPr="00E143F7">
              <w:rPr>
                <w:color w:val="000000"/>
                <w:kern w:val="24"/>
                <w:sz w:val="14"/>
                <w:szCs w:val="14"/>
              </w:rPr>
              <w:t>26.2</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0A1C676C" w14:textId="77777777" w:rsidR="002D28EA" w:rsidRPr="00E143F7" w:rsidRDefault="002D28EA" w:rsidP="00EC27DE">
            <w:pPr>
              <w:jc w:val="center"/>
              <w:textAlignment w:val="center"/>
              <w:rPr>
                <w:sz w:val="36"/>
                <w:szCs w:val="36"/>
              </w:rPr>
            </w:pPr>
            <w:r w:rsidRPr="00E143F7">
              <w:rPr>
                <w:color w:val="000000"/>
                <w:kern w:val="24"/>
                <w:sz w:val="14"/>
                <w:szCs w:val="14"/>
              </w:rPr>
              <w:t>--</w:t>
            </w:r>
          </w:p>
        </w:tc>
      </w:tr>
      <w:tr w:rsidR="002D28EA" w:rsidRPr="00E143F7" w14:paraId="6FF7D490"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02A36D19" w14:textId="77777777" w:rsidR="002D28EA" w:rsidRPr="00E143F7" w:rsidRDefault="002D28EA" w:rsidP="00EC27DE">
            <w:pPr>
              <w:textAlignment w:val="bottom"/>
              <w:rPr>
                <w:sz w:val="36"/>
                <w:szCs w:val="36"/>
              </w:rPr>
            </w:pPr>
            <w:r w:rsidRPr="00E143F7">
              <w:rPr>
                <w:color w:val="000000"/>
                <w:kern w:val="24"/>
                <w:sz w:val="14"/>
                <w:szCs w:val="14"/>
              </w:rPr>
              <w:t>147_895D_3R1_66-69</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529D18BF" w14:textId="77777777" w:rsidR="002D28EA" w:rsidRPr="00E143F7" w:rsidRDefault="002D28EA" w:rsidP="00EC27DE">
            <w:pPr>
              <w:jc w:val="center"/>
              <w:textAlignment w:val="center"/>
              <w:rPr>
                <w:sz w:val="36"/>
                <w:szCs w:val="36"/>
              </w:rPr>
            </w:pPr>
            <w:r w:rsidRPr="00E143F7">
              <w:rPr>
                <w:color w:val="000000"/>
                <w:kern w:val="24"/>
                <w:sz w:val="14"/>
                <w:szCs w:val="14"/>
              </w:rPr>
              <w:t>HD</w:t>
            </w:r>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6FCB27DC" w14:textId="77777777" w:rsidR="002D28EA" w:rsidRPr="00E143F7" w:rsidRDefault="002D28EA" w:rsidP="00EC27DE">
            <w:pPr>
              <w:jc w:val="center"/>
              <w:textAlignment w:val="center"/>
              <w:rPr>
                <w:sz w:val="36"/>
                <w:szCs w:val="36"/>
              </w:rPr>
            </w:pPr>
            <w:r w:rsidRPr="00E143F7">
              <w:rPr>
                <w:color w:val="000000"/>
                <w:kern w:val="24"/>
                <w:sz w:val="14"/>
                <w:szCs w:val="14"/>
              </w:rPr>
              <w:t>Harzburgite</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5FC516E9" w14:textId="77777777" w:rsidR="002D28EA" w:rsidRPr="00E143F7" w:rsidRDefault="002D28EA" w:rsidP="00EC27DE">
            <w:pPr>
              <w:jc w:val="center"/>
              <w:textAlignment w:val="center"/>
              <w:rPr>
                <w:sz w:val="36"/>
                <w:szCs w:val="36"/>
              </w:rPr>
            </w:pPr>
            <w:r w:rsidRPr="00E143F7">
              <w:rPr>
                <w:color w:val="000000"/>
                <w:kern w:val="24"/>
                <w:sz w:val="14"/>
                <w:szCs w:val="14"/>
              </w:rPr>
              <w:t>2°16.</w:t>
            </w:r>
            <w:r>
              <w:rPr>
                <w:color w:val="000000"/>
                <w:kern w:val="24"/>
                <w:sz w:val="14"/>
                <w:szCs w:val="14"/>
              </w:rPr>
              <w:t>’</w:t>
            </w:r>
            <w:r w:rsidRPr="00E143F7">
              <w:rPr>
                <w:color w:val="000000"/>
                <w:kern w:val="24"/>
                <w:sz w:val="14"/>
                <w:szCs w:val="14"/>
              </w:rPr>
              <w:t>35'</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270CC961" w14:textId="77777777" w:rsidR="002D28EA" w:rsidRPr="00E143F7" w:rsidRDefault="002D28EA" w:rsidP="00EC27DE">
            <w:pPr>
              <w:jc w:val="center"/>
              <w:textAlignment w:val="center"/>
              <w:rPr>
                <w:sz w:val="36"/>
                <w:szCs w:val="36"/>
              </w:rPr>
            </w:pPr>
            <w:r w:rsidRPr="00E143F7">
              <w:rPr>
                <w:color w:val="000000"/>
                <w:kern w:val="24"/>
                <w:sz w:val="14"/>
                <w:szCs w:val="14"/>
              </w:rPr>
              <w:t>101°26</w:t>
            </w:r>
            <w:r>
              <w:rPr>
                <w:color w:val="000000"/>
                <w:kern w:val="24"/>
                <w:sz w:val="14"/>
                <w:szCs w:val="14"/>
              </w:rPr>
              <w:t>’</w:t>
            </w:r>
            <w:r w:rsidRPr="00E143F7">
              <w:rPr>
                <w:color w:val="000000"/>
                <w:kern w:val="24"/>
                <w:sz w:val="14"/>
                <w:szCs w:val="14"/>
              </w:rPr>
              <w:t>77' W</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309654D2" w14:textId="77777777" w:rsidR="002D28EA" w:rsidRPr="00E143F7" w:rsidRDefault="002D28EA" w:rsidP="00EC27DE">
            <w:pPr>
              <w:jc w:val="center"/>
              <w:textAlignment w:val="center"/>
              <w:rPr>
                <w:sz w:val="36"/>
                <w:szCs w:val="36"/>
              </w:rPr>
            </w:pPr>
            <w:r w:rsidRPr="00E143F7">
              <w:rPr>
                <w:color w:val="000000"/>
                <w:kern w:val="24"/>
                <w:sz w:val="14"/>
                <w:szCs w:val="14"/>
              </w:rPr>
              <w:t>ODP Leg 147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1240DA2D" w14:textId="77777777" w:rsidR="002D28EA" w:rsidRPr="00E143F7" w:rsidRDefault="002D28EA" w:rsidP="00EC27DE">
            <w:pPr>
              <w:jc w:val="center"/>
              <w:textAlignment w:val="center"/>
              <w:rPr>
                <w:sz w:val="36"/>
                <w:szCs w:val="36"/>
              </w:rPr>
            </w:pPr>
            <w:r w:rsidRPr="00E143F7">
              <w:rPr>
                <w:color w:val="000000"/>
                <w:kern w:val="24"/>
                <w:sz w:val="14"/>
                <w:szCs w:val="14"/>
              </w:rPr>
              <w:t>895</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5CFEBAAD" w14:textId="77777777" w:rsidR="002D28EA" w:rsidRPr="00E143F7" w:rsidRDefault="002D28EA" w:rsidP="00EC27DE">
            <w:pPr>
              <w:jc w:val="center"/>
              <w:textAlignment w:val="center"/>
              <w:rPr>
                <w:sz w:val="36"/>
                <w:szCs w:val="36"/>
              </w:rPr>
            </w:pPr>
            <w:r w:rsidRPr="00E143F7">
              <w:rPr>
                <w:color w:val="000000"/>
                <w:kern w:val="24"/>
                <w:sz w:val="14"/>
                <w:szCs w:val="14"/>
              </w:rPr>
              <w:t>D</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334C5FE2" w14:textId="77777777" w:rsidR="002D28EA" w:rsidRPr="00E143F7" w:rsidRDefault="002D28EA" w:rsidP="00EC27DE">
            <w:pPr>
              <w:jc w:val="center"/>
              <w:textAlignment w:val="center"/>
              <w:rPr>
                <w:sz w:val="36"/>
                <w:szCs w:val="36"/>
              </w:rPr>
            </w:pPr>
            <w:r w:rsidRPr="00E143F7">
              <w:rPr>
                <w:color w:val="000000"/>
                <w:kern w:val="24"/>
                <w:sz w:val="14"/>
                <w:szCs w:val="14"/>
              </w:rPr>
              <w:t>26.6</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14071D32" w14:textId="77777777" w:rsidR="002D28EA" w:rsidRPr="00E143F7" w:rsidRDefault="002D28EA" w:rsidP="00EC27DE">
            <w:pPr>
              <w:jc w:val="center"/>
              <w:textAlignment w:val="center"/>
              <w:rPr>
                <w:sz w:val="36"/>
                <w:szCs w:val="36"/>
              </w:rPr>
            </w:pPr>
            <w:r w:rsidRPr="00E143F7">
              <w:rPr>
                <w:color w:val="000000"/>
                <w:kern w:val="24"/>
                <w:sz w:val="14"/>
                <w:szCs w:val="14"/>
              </w:rPr>
              <w:t>--</w:t>
            </w:r>
          </w:p>
        </w:tc>
      </w:tr>
      <w:tr w:rsidR="002D28EA" w:rsidRPr="00E143F7" w14:paraId="36F720E8"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11A28A82" w14:textId="77777777" w:rsidR="002D28EA" w:rsidRPr="00E143F7" w:rsidRDefault="002D28EA" w:rsidP="00EC27DE">
            <w:pPr>
              <w:textAlignment w:val="bottom"/>
              <w:rPr>
                <w:sz w:val="36"/>
                <w:szCs w:val="36"/>
              </w:rPr>
            </w:pPr>
            <w:r w:rsidRPr="00E143F7">
              <w:rPr>
                <w:color w:val="000000"/>
                <w:kern w:val="24"/>
                <w:sz w:val="14"/>
                <w:szCs w:val="14"/>
              </w:rPr>
              <w:t>147_895D_5R1_70-76</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23A849D0" w14:textId="77777777" w:rsidR="002D28EA" w:rsidRPr="00E143F7" w:rsidRDefault="002D28EA" w:rsidP="00EC27DE">
            <w:pPr>
              <w:jc w:val="center"/>
              <w:textAlignment w:val="center"/>
              <w:rPr>
                <w:sz w:val="36"/>
                <w:szCs w:val="36"/>
              </w:rPr>
            </w:pPr>
            <w:r w:rsidRPr="00E143F7">
              <w:rPr>
                <w:color w:val="000000"/>
                <w:kern w:val="24"/>
                <w:sz w:val="14"/>
                <w:szCs w:val="14"/>
              </w:rPr>
              <w:t>HD</w:t>
            </w:r>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0A2466F7" w14:textId="77777777" w:rsidR="002D28EA" w:rsidRPr="00E143F7" w:rsidRDefault="002D28EA" w:rsidP="00EC27DE">
            <w:pPr>
              <w:jc w:val="center"/>
              <w:textAlignment w:val="center"/>
              <w:rPr>
                <w:sz w:val="36"/>
                <w:szCs w:val="36"/>
              </w:rPr>
            </w:pPr>
            <w:r w:rsidRPr="00E143F7">
              <w:rPr>
                <w:color w:val="000000"/>
                <w:kern w:val="24"/>
                <w:sz w:val="14"/>
                <w:szCs w:val="14"/>
              </w:rPr>
              <w:t>Harzburgite</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318EC043" w14:textId="77777777" w:rsidR="002D28EA" w:rsidRPr="00E143F7" w:rsidRDefault="002D28EA" w:rsidP="00EC27DE">
            <w:pPr>
              <w:jc w:val="center"/>
              <w:textAlignment w:val="center"/>
              <w:rPr>
                <w:sz w:val="36"/>
                <w:szCs w:val="36"/>
              </w:rPr>
            </w:pPr>
            <w:r w:rsidRPr="00E143F7">
              <w:rPr>
                <w:color w:val="000000"/>
                <w:kern w:val="24"/>
                <w:sz w:val="14"/>
                <w:szCs w:val="14"/>
              </w:rPr>
              <w:t>2°16.</w:t>
            </w:r>
            <w:r>
              <w:rPr>
                <w:color w:val="000000"/>
                <w:kern w:val="24"/>
                <w:sz w:val="14"/>
                <w:szCs w:val="14"/>
              </w:rPr>
              <w:t>’</w:t>
            </w:r>
            <w:r w:rsidRPr="00E143F7">
              <w:rPr>
                <w:color w:val="000000"/>
                <w:kern w:val="24"/>
                <w:sz w:val="14"/>
                <w:szCs w:val="14"/>
              </w:rPr>
              <w:t>35'</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4C729C76" w14:textId="77777777" w:rsidR="002D28EA" w:rsidRPr="00E143F7" w:rsidRDefault="002D28EA" w:rsidP="00EC27DE">
            <w:pPr>
              <w:jc w:val="center"/>
              <w:textAlignment w:val="center"/>
              <w:rPr>
                <w:sz w:val="36"/>
                <w:szCs w:val="36"/>
              </w:rPr>
            </w:pPr>
            <w:r w:rsidRPr="00E143F7">
              <w:rPr>
                <w:color w:val="000000"/>
                <w:kern w:val="24"/>
                <w:sz w:val="14"/>
                <w:szCs w:val="14"/>
              </w:rPr>
              <w:t>101°26</w:t>
            </w:r>
            <w:r>
              <w:rPr>
                <w:color w:val="000000"/>
                <w:kern w:val="24"/>
                <w:sz w:val="14"/>
                <w:szCs w:val="14"/>
              </w:rPr>
              <w:t>’</w:t>
            </w:r>
            <w:r w:rsidRPr="00E143F7">
              <w:rPr>
                <w:color w:val="000000"/>
                <w:kern w:val="24"/>
                <w:sz w:val="14"/>
                <w:szCs w:val="14"/>
              </w:rPr>
              <w:t>77' W</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63E937B4" w14:textId="77777777" w:rsidR="002D28EA" w:rsidRPr="00E143F7" w:rsidRDefault="002D28EA" w:rsidP="00EC27DE">
            <w:pPr>
              <w:jc w:val="center"/>
              <w:textAlignment w:val="center"/>
              <w:rPr>
                <w:sz w:val="36"/>
                <w:szCs w:val="36"/>
              </w:rPr>
            </w:pPr>
            <w:r w:rsidRPr="00E143F7">
              <w:rPr>
                <w:color w:val="000000"/>
                <w:kern w:val="24"/>
                <w:sz w:val="14"/>
                <w:szCs w:val="14"/>
              </w:rPr>
              <w:t>ODP Leg 147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050AD042" w14:textId="77777777" w:rsidR="002D28EA" w:rsidRPr="00E143F7" w:rsidRDefault="002D28EA" w:rsidP="00EC27DE">
            <w:pPr>
              <w:jc w:val="center"/>
              <w:textAlignment w:val="center"/>
              <w:rPr>
                <w:sz w:val="36"/>
                <w:szCs w:val="36"/>
              </w:rPr>
            </w:pPr>
            <w:r w:rsidRPr="00E143F7">
              <w:rPr>
                <w:color w:val="000000"/>
                <w:kern w:val="24"/>
                <w:sz w:val="14"/>
                <w:szCs w:val="14"/>
              </w:rPr>
              <w:t>895</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0AE41B9E" w14:textId="77777777" w:rsidR="002D28EA" w:rsidRPr="00E143F7" w:rsidRDefault="002D28EA" w:rsidP="00EC27DE">
            <w:pPr>
              <w:jc w:val="center"/>
              <w:textAlignment w:val="center"/>
              <w:rPr>
                <w:sz w:val="36"/>
                <w:szCs w:val="36"/>
              </w:rPr>
            </w:pPr>
            <w:r w:rsidRPr="00E143F7">
              <w:rPr>
                <w:color w:val="000000"/>
                <w:kern w:val="24"/>
                <w:sz w:val="14"/>
                <w:szCs w:val="14"/>
              </w:rPr>
              <w:t>D</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6C04333E" w14:textId="77777777" w:rsidR="002D28EA" w:rsidRPr="00E143F7" w:rsidRDefault="002D28EA" w:rsidP="00EC27DE">
            <w:pPr>
              <w:jc w:val="center"/>
              <w:textAlignment w:val="center"/>
              <w:rPr>
                <w:sz w:val="36"/>
                <w:szCs w:val="36"/>
              </w:rPr>
            </w:pPr>
            <w:r w:rsidRPr="00E143F7">
              <w:rPr>
                <w:color w:val="000000"/>
                <w:kern w:val="24"/>
                <w:sz w:val="14"/>
                <w:szCs w:val="14"/>
              </w:rPr>
              <w:t>44</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782ED039" w14:textId="77777777" w:rsidR="002D28EA" w:rsidRPr="00E143F7" w:rsidRDefault="002D28EA" w:rsidP="00EC27DE">
            <w:pPr>
              <w:jc w:val="center"/>
              <w:textAlignment w:val="center"/>
              <w:rPr>
                <w:sz w:val="36"/>
                <w:szCs w:val="36"/>
              </w:rPr>
            </w:pPr>
            <w:r w:rsidRPr="00E143F7">
              <w:rPr>
                <w:color w:val="000000"/>
                <w:kern w:val="24"/>
                <w:sz w:val="14"/>
                <w:szCs w:val="14"/>
              </w:rPr>
              <w:t>--</w:t>
            </w:r>
          </w:p>
        </w:tc>
      </w:tr>
      <w:tr w:rsidR="002D28EA" w:rsidRPr="00E143F7" w14:paraId="0EF8144A"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41B6240C" w14:textId="77777777" w:rsidR="002D28EA" w:rsidRPr="00E143F7" w:rsidRDefault="002D28EA" w:rsidP="00EC27DE">
            <w:pPr>
              <w:textAlignment w:val="bottom"/>
              <w:rPr>
                <w:sz w:val="36"/>
                <w:szCs w:val="36"/>
              </w:rPr>
            </w:pPr>
            <w:r w:rsidRPr="00E143F7">
              <w:rPr>
                <w:color w:val="000000"/>
                <w:kern w:val="24"/>
                <w:sz w:val="14"/>
                <w:szCs w:val="14"/>
              </w:rPr>
              <w:t>147_895D_5R1_140-144</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0391A9F1" w14:textId="77777777" w:rsidR="002D28EA" w:rsidRPr="00E143F7" w:rsidRDefault="002D28EA" w:rsidP="00EC27DE">
            <w:pPr>
              <w:jc w:val="center"/>
              <w:textAlignment w:val="center"/>
              <w:rPr>
                <w:sz w:val="36"/>
                <w:szCs w:val="36"/>
              </w:rPr>
            </w:pPr>
            <w:r w:rsidRPr="00E143F7">
              <w:rPr>
                <w:color w:val="000000"/>
                <w:kern w:val="24"/>
                <w:sz w:val="14"/>
                <w:szCs w:val="14"/>
              </w:rPr>
              <w:t>HD</w:t>
            </w:r>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06314444" w14:textId="77777777" w:rsidR="002D28EA" w:rsidRPr="00E143F7" w:rsidRDefault="002D28EA" w:rsidP="00EC27DE">
            <w:pPr>
              <w:jc w:val="center"/>
              <w:textAlignment w:val="center"/>
              <w:rPr>
                <w:sz w:val="36"/>
                <w:szCs w:val="36"/>
              </w:rPr>
            </w:pPr>
            <w:r w:rsidRPr="00E143F7">
              <w:rPr>
                <w:color w:val="000000"/>
                <w:kern w:val="24"/>
                <w:sz w:val="14"/>
                <w:szCs w:val="14"/>
              </w:rPr>
              <w:t>Harzburgite</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2B14A3A5" w14:textId="77777777" w:rsidR="002D28EA" w:rsidRPr="00E143F7" w:rsidRDefault="002D28EA" w:rsidP="00EC27DE">
            <w:pPr>
              <w:jc w:val="center"/>
              <w:textAlignment w:val="center"/>
              <w:rPr>
                <w:sz w:val="36"/>
                <w:szCs w:val="36"/>
              </w:rPr>
            </w:pPr>
            <w:r w:rsidRPr="00E143F7">
              <w:rPr>
                <w:color w:val="000000"/>
                <w:kern w:val="24"/>
                <w:sz w:val="14"/>
                <w:szCs w:val="14"/>
              </w:rPr>
              <w:t>2°16.</w:t>
            </w:r>
            <w:r>
              <w:rPr>
                <w:color w:val="000000"/>
                <w:kern w:val="24"/>
                <w:sz w:val="14"/>
                <w:szCs w:val="14"/>
              </w:rPr>
              <w:t>’</w:t>
            </w:r>
            <w:r w:rsidRPr="00E143F7">
              <w:rPr>
                <w:color w:val="000000"/>
                <w:kern w:val="24"/>
                <w:sz w:val="14"/>
                <w:szCs w:val="14"/>
              </w:rPr>
              <w:t>35'</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51D6BA98" w14:textId="77777777" w:rsidR="002D28EA" w:rsidRPr="00E143F7" w:rsidRDefault="002D28EA" w:rsidP="00EC27DE">
            <w:pPr>
              <w:jc w:val="center"/>
              <w:textAlignment w:val="center"/>
              <w:rPr>
                <w:sz w:val="36"/>
                <w:szCs w:val="36"/>
              </w:rPr>
            </w:pPr>
            <w:r w:rsidRPr="00E143F7">
              <w:rPr>
                <w:color w:val="000000"/>
                <w:kern w:val="24"/>
                <w:sz w:val="14"/>
                <w:szCs w:val="14"/>
              </w:rPr>
              <w:t>101°26</w:t>
            </w:r>
            <w:r>
              <w:rPr>
                <w:color w:val="000000"/>
                <w:kern w:val="24"/>
                <w:sz w:val="14"/>
                <w:szCs w:val="14"/>
              </w:rPr>
              <w:t>’</w:t>
            </w:r>
            <w:r w:rsidRPr="00E143F7">
              <w:rPr>
                <w:color w:val="000000"/>
                <w:kern w:val="24"/>
                <w:sz w:val="14"/>
                <w:szCs w:val="14"/>
              </w:rPr>
              <w:t>77' W</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35C14843" w14:textId="77777777" w:rsidR="002D28EA" w:rsidRPr="00E143F7" w:rsidRDefault="002D28EA" w:rsidP="00EC27DE">
            <w:pPr>
              <w:jc w:val="center"/>
              <w:textAlignment w:val="center"/>
              <w:rPr>
                <w:sz w:val="36"/>
                <w:szCs w:val="36"/>
              </w:rPr>
            </w:pPr>
            <w:r w:rsidRPr="00E143F7">
              <w:rPr>
                <w:color w:val="000000"/>
                <w:kern w:val="24"/>
                <w:sz w:val="14"/>
                <w:szCs w:val="14"/>
              </w:rPr>
              <w:t>ODP Leg 147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52FE1385" w14:textId="77777777" w:rsidR="002D28EA" w:rsidRPr="00E143F7" w:rsidRDefault="002D28EA" w:rsidP="00EC27DE">
            <w:pPr>
              <w:jc w:val="center"/>
              <w:textAlignment w:val="center"/>
              <w:rPr>
                <w:sz w:val="36"/>
                <w:szCs w:val="36"/>
              </w:rPr>
            </w:pPr>
            <w:r w:rsidRPr="00E143F7">
              <w:rPr>
                <w:color w:val="000000"/>
                <w:kern w:val="24"/>
                <w:sz w:val="14"/>
                <w:szCs w:val="14"/>
              </w:rPr>
              <w:t>895</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783FC5B5" w14:textId="77777777" w:rsidR="002D28EA" w:rsidRPr="00E143F7" w:rsidRDefault="002D28EA" w:rsidP="00EC27DE">
            <w:pPr>
              <w:jc w:val="center"/>
              <w:textAlignment w:val="center"/>
              <w:rPr>
                <w:sz w:val="36"/>
                <w:szCs w:val="36"/>
              </w:rPr>
            </w:pPr>
            <w:r w:rsidRPr="00E143F7">
              <w:rPr>
                <w:color w:val="000000"/>
                <w:kern w:val="24"/>
                <w:sz w:val="14"/>
                <w:szCs w:val="14"/>
              </w:rPr>
              <w:t>D</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41909C47" w14:textId="77777777" w:rsidR="002D28EA" w:rsidRPr="00E143F7" w:rsidRDefault="002D28EA" w:rsidP="00EC27DE">
            <w:pPr>
              <w:jc w:val="center"/>
              <w:textAlignment w:val="center"/>
              <w:rPr>
                <w:sz w:val="36"/>
                <w:szCs w:val="36"/>
              </w:rPr>
            </w:pPr>
            <w:r w:rsidRPr="00E143F7">
              <w:rPr>
                <w:color w:val="000000"/>
                <w:kern w:val="24"/>
                <w:sz w:val="14"/>
                <w:szCs w:val="14"/>
              </w:rPr>
              <w:t>44.7</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63C81C71" w14:textId="77777777" w:rsidR="002D28EA" w:rsidRPr="00E143F7" w:rsidRDefault="002D28EA" w:rsidP="00EC27DE">
            <w:pPr>
              <w:jc w:val="center"/>
              <w:textAlignment w:val="center"/>
              <w:rPr>
                <w:sz w:val="36"/>
                <w:szCs w:val="36"/>
              </w:rPr>
            </w:pPr>
            <w:r w:rsidRPr="00E143F7">
              <w:rPr>
                <w:color w:val="000000"/>
                <w:kern w:val="24"/>
                <w:sz w:val="14"/>
                <w:szCs w:val="14"/>
              </w:rPr>
              <w:t>--</w:t>
            </w:r>
          </w:p>
        </w:tc>
      </w:tr>
      <w:tr w:rsidR="002D28EA" w:rsidRPr="00E143F7" w14:paraId="31A90C71"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5E2F0A50" w14:textId="77777777" w:rsidR="002D28EA" w:rsidRPr="00E143F7" w:rsidRDefault="002D28EA" w:rsidP="00EC27DE">
            <w:pPr>
              <w:textAlignment w:val="bottom"/>
              <w:rPr>
                <w:sz w:val="36"/>
                <w:szCs w:val="36"/>
              </w:rPr>
            </w:pPr>
            <w:r w:rsidRPr="00E143F7">
              <w:rPr>
                <w:color w:val="000000"/>
                <w:kern w:val="24"/>
                <w:sz w:val="14"/>
                <w:szCs w:val="14"/>
              </w:rPr>
              <w:t>5057_5708B_100z_03_035-040</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4DAB7814" w14:textId="77777777" w:rsidR="002D28EA" w:rsidRPr="00E143F7" w:rsidRDefault="002D28EA" w:rsidP="00EC27DE">
            <w:pPr>
              <w:jc w:val="center"/>
              <w:textAlignment w:val="center"/>
              <w:rPr>
                <w:sz w:val="36"/>
                <w:szCs w:val="36"/>
              </w:rPr>
            </w:pPr>
            <w:proofErr w:type="spellStart"/>
            <w:r w:rsidRPr="00E143F7">
              <w:rPr>
                <w:color w:val="000000"/>
                <w:kern w:val="24"/>
                <w:sz w:val="14"/>
                <w:szCs w:val="14"/>
              </w:rPr>
              <w:t>O</w:t>
            </w:r>
            <w:r>
              <w:rPr>
                <w:color w:val="000000"/>
                <w:kern w:val="24"/>
                <w:sz w:val="14"/>
                <w:szCs w:val="14"/>
              </w:rPr>
              <w:t>manDP</w:t>
            </w:r>
            <w:proofErr w:type="spellEnd"/>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462A6903" w14:textId="77777777" w:rsidR="002D28EA" w:rsidRPr="00E143F7" w:rsidRDefault="002D28EA" w:rsidP="00EC27DE">
            <w:pPr>
              <w:jc w:val="center"/>
              <w:textAlignment w:val="center"/>
              <w:rPr>
                <w:sz w:val="36"/>
                <w:szCs w:val="36"/>
              </w:rPr>
            </w:pPr>
            <w:r w:rsidRPr="00E143F7">
              <w:rPr>
                <w:color w:val="000000"/>
                <w:kern w:val="24"/>
                <w:sz w:val="14"/>
                <w:szCs w:val="14"/>
              </w:rPr>
              <w:t>Harzburgite</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640B7872" w14:textId="77777777" w:rsidR="002D28EA" w:rsidRPr="00E143F7" w:rsidRDefault="002D28EA" w:rsidP="00EC27DE">
            <w:pPr>
              <w:jc w:val="center"/>
              <w:textAlignment w:val="center"/>
              <w:rPr>
                <w:sz w:val="36"/>
                <w:szCs w:val="36"/>
              </w:rPr>
            </w:pPr>
            <w:r w:rsidRPr="00E143F7">
              <w:rPr>
                <w:color w:val="000000"/>
                <w:kern w:val="24"/>
                <w:sz w:val="14"/>
                <w:szCs w:val="14"/>
              </w:rPr>
              <w:t>22°54.</w:t>
            </w:r>
            <w:r>
              <w:rPr>
                <w:color w:val="000000"/>
                <w:kern w:val="24"/>
                <w:sz w:val="14"/>
                <w:szCs w:val="14"/>
              </w:rPr>
              <w:t>’</w:t>
            </w:r>
            <w:r w:rsidRPr="00E143F7">
              <w:rPr>
                <w:color w:val="000000"/>
                <w:kern w:val="24"/>
                <w:sz w:val="14"/>
                <w:szCs w:val="14"/>
              </w:rPr>
              <w:t>60'</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27189DE2" w14:textId="77777777" w:rsidR="002D28EA" w:rsidRPr="00E143F7" w:rsidRDefault="002D28EA" w:rsidP="00EC27DE">
            <w:pPr>
              <w:jc w:val="center"/>
              <w:textAlignment w:val="center"/>
              <w:rPr>
                <w:sz w:val="36"/>
                <w:szCs w:val="36"/>
              </w:rPr>
            </w:pPr>
            <w:r w:rsidRPr="00E143F7">
              <w:rPr>
                <w:color w:val="000000"/>
                <w:kern w:val="24"/>
                <w:sz w:val="14"/>
                <w:szCs w:val="14"/>
              </w:rPr>
              <w:t>58°20.</w:t>
            </w:r>
            <w:r>
              <w:rPr>
                <w:color w:val="000000"/>
                <w:kern w:val="24"/>
                <w:sz w:val="14"/>
                <w:szCs w:val="14"/>
              </w:rPr>
              <w:t>’</w:t>
            </w:r>
            <w:r w:rsidRPr="00E143F7">
              <w:rPr>
                <w:color w:val="000000"/>
                <w:kern w:val="24"/>
                <w:sz w:val="14"/>
                <w:szCs w:val="14"/>
              </w:rPr>
              <w:t>49' E</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766DB33A" w14:textId="77777777" w:rsidR="002D28EA" w:rsidRPr="00E143F7" w:rsidRDefault="002D28EA" w:rsidP="00EC27DE">
            <w:pPr>
              <w:jc w:val="center"/>
              <w:textAlignment w:val="center"/>
              <w:rPr>
                <w:sz w:val="36"/>
                <w:szCs w:val="36"/>
              </w:rPr>
            </w:pPr>
            <w:r w:rsidRPr="00E143F7">
              <w:rPr>
                <w:color w:val="000000"/>
                <w:kern w:val="24"/>
                <w:sz w:val="14"/>
                <w:szCs w:val="14"/>
              </w:rPr>
              <w:t>ICDP Exp 5057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6981A6E3" w14:textId="77777777" w:rsidR="002D28EA" w:rsidRPr="00E143F7" w:rsidRDefault="002D28EA" w:rsidP="00EC27DE">
            <w:pPr>
              <w:jc w:val="center"/>
              <w:textAlignment w:val="center"/>
              <w:rPr>
                <w:sz w:val="36"/>
                <w:szCs w:val="36"/>
              </w:rPr>
            </w:pPr>
            <w:r w:rsidRPr="00E143F7">
              <w:rPr>
                <w:color w:val="000000"/>
                <w:kern w:val="24"/>
                <w:sz w:val="14"/>
                <w:szCs w:val="14"/>
              </w:rPr>
              <w:t>CM2</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2DEC452E" w14:textId="77777777" w:rsidR="002D28EA" w:rsidRPr="00E143F7" w:rsidRDefault="002D28EA" w:rsidP="00EC27DE">
            <w:pPr>
              <w:jc w:val="center"/>
              <w:textAlignment w:val="center"/>
              <w:rPr>
                <w:sz w:val="36"/>
                <w:szCs w:val="36"/>
              </w:rPr>
            </w:pPr>
            <w:r w:rsidRPr="00E143F7">
              <w:rPr>
                <w:color w:val="000000"/>
                <w:kern w:val="24"/>
                <w:sz w:val="14"/>
                <w:szCs w:val="14"/>
              </w:rPr>
              <w:t>B</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5C26D312" w14:textId="77777777" w:rsidR="002D28EA" w:rsidRPr="00E143F7" w:rsidRDefault="002D28EA" w:rsidP="00EC27DE">
            <w:pPr>
              <w:jc w:val="center"/>
              <w:textAlignment w:val="center"/>
              <w:rPr>
                <w:sz w:val="36"/>
                <w:szCs w:val="36"/>
              </w:rPr>
            </w:pPr>
            <w:r w:rsidRPr="00E143F7">
              <w:rPr>
                <w:color w:val="000000"/>
                <w:kern w:val="24"/>
                <w:sz w:val="14"/>
                <w:szCs w:val="14"/>
              </w:rPr>
              <w:t>223</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587C3FD1" w14:textId="77777777" w:rsidR="002D28EA" w:rsidRPr="00E143F7" w:rsidRDefault="002D28EA" w:rsidP="00EC27DE">
            <w:pPr>
              <w:jc w:val="center"/>
              <w:textAlignment w:val="center"/>
              <w:rPr>
                <w:sz w:val="36"/>
                <w:szCs w:val="36"/>
              </w:rPr>
            </w:pPr>
            <w:r w:rsidRPr="00E143F7">
              <w:rPr>
                <w:color w:val="000000"/>
                <w:kern w:val="24"/>
                <w:sz w:val="14"/>
                <w:szCs w:val="14"/>
              </w:rPr>
              <w:t>-71.9</w:t>
            </w:r>
          </w:p>
        </w:tc>
      </w:tr>
      <w:tr w:rsidR="002D28EA" w:rsidRPr="00E143F7" w14:paraId="0DEFEBC1"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3D4F2AE2" w14:textId="77777777" w:rsidR="002D28EA" w:rsidRPr="00E143F7" w:rsidRDefault="002D28EA" w:rsidP="00EC27DE">
            <w:pPr>
              <w:textAlignment w:val="bottom"/>
              <w:rPr>
                <w:sz w:val="36"/>
                <w:szCs w:val="36"/>
              </w:rPr>
            </w:pPr>
            <w:r w:rsidRPr="00E143F7">
              <w:rPr>
                <w:color w:val="000000"/>
                <w:kern w:val="24"/>
                <w:sz w:val="14"/>
                <w:szCs w:val="14"/>
              </w:rPr>
              <w:t>5057_5708B_114z_02_030-034</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212D0628" w14:textId="77777777" w:rsidR="002D28EA" w:rsidRPr="00E143F7" w:rsidRDefault="002D28EA" w:rsidP="00EC27DE">
            <w:pPr>
              <w:jc w:val="center"/>
              <w:textAlignment w:val="center"/>
              <w:rPr>
                <w:sz w:val="36"/>
                <w:szCs w:val="36"/>
              </w:rPr>
            </w:pPr>
            <w:proofErr w:type="spellStart"/>
            <w:r w:rsidRPr="00E143F7">
              <w:rPr>
                <w:color w:val="000000"/>
                <w:kern w:val="24"/>
                <w:sz w:val="14"/>
                <w:szCs w:val="14"/>
              </w:rPr>
              <w:t>O</w:t>
            </w:r>
            <w:r>
              <w:rPr>
                <w:color w:val="000000"/>
                <w:kern w:val="24"/>
                <w:sz w:val="14"/>
                <w:szCs w:val="14"/>
              </w:rPr>
              <w:t>manDP</w:t>
            </w:r>
            <w:proofErr w:type="spellEnd"/>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5751EF24" w14:textId="77777777" w:rsidR="002D28EA" w:rsidRPr="00E143F7" w:rsidRDefault="002D28EA" w:rsidP="00EC27DE">
            <w:pPr>
              <w:jc w:val="center"/>
              <w:textAlignment w:val="center"/>
              <w:rPr>
                <w:sz w:val="36"/>
                <w:szCs w:val="36"/>
              </w:rPr>
            </w:pPr>
            <w:r w:rsidRPr="00E143F7">
              <w:rPr>
                <w:color w:val="000000"/>
                <w:kern w:val="24"/>
                <w:sz w:val="14"/>
                <w:szCs w:val="14"/>
              </w:rPr>
              <w:t>Harzburgite</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7D502445" w14:textId="77777777" w:rsidR="002D28EA" w:rsidRPr="00E143F7" w:rsidRDefault="002D28EA" w:rsidP="00EC27DE">
            <w:pPr>
              <w:jc w:val="center"/>
              <w:textAlignment w:val="center"/>
              <w:rPr>
                <w:sz w:val="36"/>
                <w:szCs w:val="36"/>
              </w:rPr>
            </w:pPr>
            <w:r w:rsidRPr="00E143F7">
              <w:rPr>
                <w:color w:val="000000"/>
                <w:kern w:val="24"/>
                <w:sz w:val="14"/>
                <w:szCs w:val="14"/>
              </w:rPr>
              <w:t>22°54.</w:t>
            </w:r>
            <w:r>
              <w:rPr>
                <w:color w:val="000000"/>
                <w:kern w:val="24"/>
                <w:sz w:val="14"/>
                <w:szCs w:val="14"/>
              </w:rPr>
              <w:t>’</w:t>
            </w:r>
            <w:r w:rsidRPr="00E143F7">
              <w:rPr>
                <w:color w:val="000000"/>
                <w:kern w:val="24"/>
                <w:sz w:val="14"/>
                <w:szCs w:val="14"/>
              </w:rPr>
              <w:t>60'</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068C765D" w14:textId="77777777" w:rsidR="002D28EA" w:rsidRPr="00E143F7" w:rsidRDefault="002D28EA" w:rsidP="00EC27DE">
            <w:pPr>
              <w:jc w:val="center"/>
              <w:textAlignment w:val="center"/>
              <w:rPr>
                <w:sz w:val="36"/>
                <w:szCs w:val="36"/>
              </w:rPr>
            </w:pPr>
            <w:r w:rsidRPr="00E143F7">
              <w:rPr>
                <w:color w:val="000000"/>
                <w:kern w:val="24"/>
                <w:sz w:val="14"/>
                <w:szCs w:val="14"/>
              </w:rPr>
              <w:t>58°20.</w:t>
            </w:r>
            <w:r>
              <w:rPr>
                <w:color w:val="000000"/>
                <w:kern w:val="24"/>
                <w:sz w:val="14"/>
                <w:szCs w:val="14"/>
              </w:rPr>
              <w:t>’</w:t>
            </w:r>
            <w:r w:rsidRPr="00E143F7">
              <w:rPr>
                <w:color w:val="000000"/>
                <w:kern w:val="24"/>
                <w:sz w:val="14"/>
                <w:szCs w:val="14"/>
              </w:rPr>
              <w:t>49' E</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55A574AC" w14:textId="77777777" w:rsidR="002D28EA" w:rsidRPr="00E143F7" w:rsidRDefault="002D28EA" w:rsidP="00EC27DE">
            <w:pPr>
              <w:jc w:val="center"/>
              <w:textAlignment w:val="center"/>
              <w:rPr>
                <w:sz w:val="36"/>
                <w:szCs w:val="36"/>
              </w:rPr>
            </w:pPr>
            <w:r w:rsidRPr="00E143F7">
              <w:rPr>
                <w:color w:val="000000"/>
                <w:kern w:val="24"/>
                <w:sz w:val="14"/>
                <w:szCs w:val="14"/>
              </w:rPr>
              <w:t>ICDP Exp 5057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4779CEBD" w14:textId="77777777" w:rsidR="002D28EA" w:rsidRPr="00E143F7" w:rsidRDefault="002D28EA" w:rsidP="00EC27DE">
            <w:pPr>
              <w:jc w:val="center"/>
              <w:textAlignment w:val="center"/>
              <w:rPr>
                <w:sz w:val="36"/>
                <w:szCs w:val="36"/>
              </w:rPr>
            </w:pPr>
            <w:r w:rsidRPr="00E143F7">
              <w:rPr>
                <w:color w:val="000000"/>
                <w:kern w:val="24"/>
                <w:sz w:val="14"/>
                <w:szCs w:val="14"/>
              </w:rPr>
              <w:t>CM2</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26FD03DA" w14:textId="77777777" w:rsidR="002D28EA" w:rsidRPr="00E143F7" w:rsidRDefault="002D28EA" w:rsidP="00EC27DE">
            <w:pPr>
              <w:jc w:val="center"/>
              <w:textAlignment w:val="center"/>
              <w:rPr>
                <w:sz w:val="36"/>
                <w:szCs w:val="36"/>
              </w:rPr>
            </w:pPr>
            <w:r w:rsidRPr="00E143F7">
              <w:rPr>
                <w:color w:val="000000"/>
                <w:kern w:val="24"/>
                <w:sz w:val="14"/>
                <w:szCs w:val="14"/>
              </w:rPr>
              <w:t>B</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538977D8" w14:textId="77777777" w:rsidR="002D28EA" w:rsidRPr="00E143F7" w:rsidRDefault="002D28EA" w:rsidP="00EC27DE">
            <w:pPr>
              <w:jc w:val="center"/>
              <w:textAlignment w:val="center"/>
              <w:rPr>
                <w:sz w:val="36"/>
                <w:szCs w:val="36"/>
              </w:rPr>
            </w:pPr>
            <w:r w:rsidRPr="00E143F7">
              <w:rPr>
                <w:color w:val="000000"/>
                <w:kern w:val="24"/>
                <w:sz w:val="14"/>
                <w:szCs w:val="14"/>
              </w:rPr>
              <w:t>261</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5BC77568" w14:textId="77777777" w:rsidR="002D28EA" w:rsidRPr="00E143F7" w:rsidRDefault="002D28EA" w:rsidP="00EC27DE">
            <w:pPr>
              <w:jc w:val="center"/>
              <w:textAlignment w:val="center"/>
              <w:rPr>
                <w:sz w:val="36"/>
                <w:szCs w:val="36"/>
              </w:rPr>
            </w:pPr>
            <w:r w:rsidRPr="00E143F7">
              <w:rPr>
                <w:color w:val="000000"/>
                <w:kern w:val="24"/>
                <w:sz w:val="14"/>
                <w:szCs w:val="14"/>
              </w:rPr>
              <w:t>-104.8</w:t>
            </w:r>
          </w:p>
        </w:tc>
      </w:tr>
      <w:tr w:rsidR="002D28EA" w:rsidRPr="00E143F7" w14:paraId="06C7C5F1" w14:textId="77777777" w:rsidTr="002D28EA">
        <w:trPr>
          <w:gridAfter w:val="2"/>
          <w:wAfter w:w="137" w:type="dxa"/>
          <w:trHeight w:val="352"/>
        </w:trPr>
        <w:tc>
          <w:tcPr>
            <w:tcW w:w="2000" w:type="dxa"/>
            <w:tcBorders>
              <w:top w:val="nil"/>
              <w:left w:val="nil"/>
              <w:bottom w:val="nil"/>
              <w:right w:val="nil"/>
            </w:tcBorders>
            <w:shd w:val="clear" w:color="auto" w:fill="auto"/>
            <w:tcMar>
              <w:top w:w="7" w:type="dxa"/>
              <w:left w:w="47" w:type="dxa"/>
              <w:bottom w:w="0" w:type="dxa"/>
              <w:right w:w="47" w:type="dxa"/>
            </w:tcMar>
            <w:vAlign w:val="bottom"/>
            <w:hideMark/>
          </w:tcPr>
          <w:p w14:paraId="4833FDD7" w14:textId="77777777" w:rsidR="002D28EA" w:rsidRPr="00E143F7" w:rsidRDefault="002D28EA" w:rsidP="00EC27DE">
            <w:pPr>
              <w:textAlignment w:val="bottom"/>
              <w:rPr>
                <w:sz w:val="36"/>
                <w:szCs w:val="36"/>
              </w:rPr>
            </w:pPr>
            <w:r w:rsidRPr="00E143F7">
              <w:rPr>
                <w:color w:val="000000"/>
                <w:kern w:val="24"/>
                <w:sz w:val="14"/>
                <w:szCs w:val="14"/>
              </w:rPr>
              <w:t>5057_5708B_119z_03_006-009</w:t>
            </w:r>
          </w:p>
        </w:tc>
        <w:tc>
          <w:tcPr>
            <w:tcW w:w="720" w:type="dxa"/>
            <w:tcBorders>
              <w:top w:val="nil"/>
              <w:left w:val="nil"/>
              <w:bottom w:val="nil"/>
              <w:right w:val="nil"/>
            </w:tcBorders>
            <w:shd w:val="clear" w:color="auto" w:fill="auto"/>
            <w:tcMar>
              <w:top w:w="7" w:type="dxa"/>
              <w:left w:w="47" w:type="dxa"/>
              <w:bottom w:w="0" w:type="dxa"/>
              <w:right w:w="47" w:type="dxa"/>
            </w:tcMar>
            <w:vAlign w:val="center"/>
            <w:hideMark/>
          </w:tcPr>
          <w:p w14:paraId="0D9DF9D3" w14:textId="77777777" w:rsidR="002D28EA" w:rsidRPr="00E143F7" w:rsidRDefault="002D28EA" w:rsidP="00EC27DE">
            <w:pPr>
              <w:jc w:val="center"/>
              <w:textAlignment w:val="center"/>
              <w:rPr>
                <w:sz w:val="36"/>
                <w:szCs w:val="36"/>
              </w:rPr>
            </w:pPr>
            <w:proofErr w:type="spellStart"/>
            <w:r w:rsidRPr="00E143F7">
              <w:rPr>
                <w:color w:val="000000"/>
                <w:kern w:val="24"/>
                <w:sz w:val="14"/>
                <w:szCs w:val="14"/>
              </w:rPr>
              <w:t>O</w:t>
            </w:r>
            <w:r>
              <w:rPr>
                <w:color w:val="000000"/>
                <w:kern w:val="24"/>
                <w:sz w:val="14"/>
                <w:szCs w:val="14"/>
              </w:rPr>
              <w:t>manDP</w:t>
            </w:r>
            <w:proofErr w:type="spellEnd"/>
          </w:p>
        </w:tc>
        <w:tc>
          <w:tcPr>
            <w:tcW w:w="880" w:type="dxa"/>
            <w:tcBorders>
              <w:top w:val="nil"/>
              <w:left w:val="nil"/>
              <w:bottom w:val="nil"/>
              <w:right w:val="nil"/>
            </w:tcBorders>
            <w:shd w:val="clear" w:color="auto" w:fill="auto"/>
            <w:tcMar>
              <w:top w:w="7" w:type="dxa"/>
              <w:left w:w="47" w:type="dxa"/>
              <w:bottom w:w="0" w:type="dxa"/>
              <w:right w:w="47" w:type="dxa"/>
            </w:tcMar>
            <w:vAlign w:val="center"/>
            <w:hideMark/>
          </w:tcPr>
          <w:p w14:paraId="0085C988" w14:textId="77777777" w:rsidR="002D28EA" w:rsidRPr="00E143F7" w:rsidRDefault="002D28EA" w:rsidP="00EC27DE">
            <w:pPr>
              <w:jc w:val="center"/>
              <w:textAlignment w:val="center"/>
              <w:rPr>
                <w:sz w:val="36"/>
                <w:szCs w:val="36"/>
              </w:rPr>
            </w:pPr>
            <w:r w:rsidRPr="00E143F7">
              <w:rPr>
                <w:color w:val="000000"/>
                <w:kern w:val="24"/>
                <w:sz w:val="14"/>
                <w:szCs w:val="14"/>
              </w:rPr>
              <w:t>Harzburgite</w:t>
            </w:r>
          </w:p>
        </w:tc>
        <w:tc>
          <w:tcPr>
            <w:tcW w:w="800" w:type="dxa"/>
            <w:tcBorders>
              <w:top w:val="nil"/>
              <w:left w:val="nil"/>
              <w:bottom w:val="nil"/>
              <w:right w:val="nil"/>
            </w:tcBorders>
            <w:shd w:val="clear" w:color="auto" w:fill="auto"/>
            <w:tcMar>
              <w:top w:w="7" w:type="dxa"/>
              <w:left w:w="47" w:type="dxa"/>
              <w:bottom w:w="0" w:type="dxa"/>
              <w:right w:w="47" w:type="dxa"/>
            </w:tcMar>
            <w:vAlign w:val="center"/>
            <w:hideMark/>
          </w:tcPr>
          <w:p w14:paraId="27910A86" w14:textId="77777777" w:rsidR="002D28EA" w:rsidRPr="00E143F7" w:rsidRDefault="002D28EA" w:rsidP="00EC27DE">
            <w:pPr>
              <w:jc w:val="center"/>
              <w:textAlignment w:val="center"/>
              <w:rPr>
                <w:sz w:val="36"/>
                <w:szCs w:val="36"/>
              </w:rPr>
            </w:pPr>
            <w:r w:rsidRPr="00E143F7">
              <w:rPr>
                <w:color w:val="000000"/>
                <w:kern w:val="24"/>
                <w:sz w:val="14"/>
                <w:szCs w:val="14"/>
              </w:rPr>
              <w:t>22°54.</w:t>
            </w:r>
            <w:r>
              <w:rPr>
                <w:color w:val="000000"/>
                <w:kern w:val="24"/>
                <w:sz w:val="14"/>
                <w:szCs w:val="14"/>
              </w:rPr>
              <w:t>’</w:t>
            </w:r>
            <w:r w:rsidRPr="00E143F7">
              <w:rPr>
                <w:color w:val="000000"/>
                <w:kern w:val="24"/>
                <w:sz w:val="14"/>
                <w:szCs w:val="14"/>
              </w:rPr>
              <w:t>60'</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024D7F4A" w14:textId="77777777" w:rsidR="002D28EA" w:rsidRPr="00E143F7" w:rsidRDefault="002D28EA" w:rsidP="00EC27DE">
            <w:pPr>
              <w:jc w:val="center"/>
              <w:textAlignment w:val="center"/>
              <w:rPr>
                <w:sz w:val="36"/>
                <w:szCs w:val="36"/>
              </w:rPr>
            </w:pPr>
            <w:r w:rsidRPr="00E143F7">
              <w:rPr>
                <w:color w:val="000000"/>
                <w:kern w:val="24"/>
                <w:sz w:val="14"/>
                <w:szCs w:val="14"/>
              </w:rPr>
              <w:t>58°20.</w:t>
            </w:r>
            <w:r>
              <w:rPr>
                <w:color w:val="000000"/>
                <w:kern w:val="24"/>
                <w:sz w:val="14"/>
                <w:szCs w:val="14"/>
              </w:rPr>
              <w:t>’</w:t>
            </w:r>
            <w:r w:rsidRPr="00E143F7">
              <w:rPr>
                <w:color w:val="000000"/>
                <w:kern w:val="24"/>
                <w:sz w:val="14"/>
                <w:szCs w:val="14"/>
              </w:rPr>
              <w:t>49' E</w:t>
            </w:r>
          </w:p>
        </w:tc>
        <w:tc>
          <w:tcPr>
            <w:tcW w:w="1100" w:type="dxa"/>
            <w:tcBorders>
              <w:top w:val="nil"/>
              <w:left w:val="nil"/>
              <w:bottom w:val="nil"/>
              <w:right w:val="nil"/>
            </w:tcBorders>
            <w:shd w:val="clear" w:color="auto" w:fill="auto"/>
            <w:tcMar>
              <w:top w:w="7" w:type="dxa"/>
              <w:left w:w="47" w:type="dxa"/>
              <w:bottom w:w="0" w:type="dxa"/>
              <w:right w:w="47" w:type="dxa"/>
            </w:tcMar>
            <w:vAlign w:val="center"/>
            <w:hideMark/>
          </w:tcPr>
          <w:p w14:paraId="7218F93B" w14:textId="77777777" w:rsidR="002D28EA" w:rsidRPr="00E143F7" w:rsidRDefault="002D28EA" w:rsidP="00EC27DE">
            <w:pPr>
              <w:jc w:val="center"/>
              <w:textAlignment w:val="center"/>
              <w:rPr>
                <w:sz w:val="36"/>
                <w:szCs w:val="36"/>
              </w:rPr>
            </w:pPr>
            <w:r w:rsidRPr="00E143F7">
              <w:rPr>
                <w:color w:val="000000"/>
                <w:kern w:val="24"/>
                <w:sz w:val="14"/>
                <w:szCs w:val="14"/>
              </w:rPr>
              <w:t>ICDP Exp 5057</w:t>
            </w:r>
          </w:p>
        </w:tc>
        <w:tc>
          <w:tcPr>
            <w:tcW w:w="500" w:type="dxa"/>
            <w:tcBorders>
              <w:top w:val="nil"/>
              <w:left w:val="nil"/>
              <w:bottom w:val="nil"/>
              <w:right w:val="nil"/>
            </w:tcBorders>
            <w:shd w:val="clear" w:color="auto" w:fill="auto"/>
            <w:tcMar>
              <w:top w:w="7" w:type="dxa"/>
              <w:left w:w="47" w:type="dxa"/>
              <w:bottom w:w="0" w:type="dxa"/>
              <w:right w:w="47" w:type="dxa"/>
            </w:tcMar>
            <w:vAlign w:val="center"/>
            <w:hideMark/>
          </w:tcPr>
          <w:p w14:paraId="431E4F99" w14:textId="77777777" w:rsidR="002D28EA" w:rsidRPr="00E143F7" w:rsidRDefault="002D28EA" w:rsidP="00EC27DE">
            <w:pPr>
              <w:jc w:val="center"/>
              <w:textAlignment w:val="center"/>
              <w:rPr>
                <w:sz w:val="36"/>
                <w:szCs w:val="36"/>
              </w:rPr>
            </w:pPr>
            <w:r w:rsidRPr="00E143F7">
              <w:rPr>
                <w:color w:val="000000"/>
                <w:kern w:val="24"/>
                <w:sz w:val="14"/>
                <w:szCs w:val="14"/>
              </w:rPr>
              <w:t>CM2</w:t>
            </w:r>
          </w:p>
        </w:tc>
        <w:tc>
          <w:tcPr>
            <w:tcW w:w="480" w:type="dxa"/>
            <w:tcBorders>
              <w:top w:val="nil"/>
              <w:left w:val="nil"/>
              <w:bottom w:val="nil"/>
              <w:right w:val="nil"/>
            </w:tcBorders>
            <w:shd w:val="clear" w:color="auto" w:fill="auto"/>
            <w:tcMar>
              <w:top w:w="7" w:type="dxa"/>
              <w:left w:w="47" w:type="dxa"/>
              <w:bottom w:w="0" w:type="dxa"/>
              <w:right w:w="47" w:type="dxa"/>
            </w:tcMar>
            <w:vAlign w:val="center"/>
            <w:hideMark/>
          </w:tcPr>
          <w:p w14:paraId="7CE07CD1" w14:textId="77777777" w:rsidR="002D28EA" w:rsidRPr="00E143F7" w:rsidRDefault="002D28EA" w:rsidP="00EC27DE">
            <w:pPr>
              <w:jc w:val="center"/>
              <w:textAlignment w:val="center"/>
              <w:rPr>
                <w:sz w:val="36"/>
                <w:szCs w:val="36"/>
              </w:rPr>
            </w:pPr>
            <w:r w:rsidRPr="00E143F7">
              <w:rPr>
                <w:color w:val="000000"/>
                <w:kern w:val="24"/>
                <w:sz w:val="14"/>
                <w:szCs w:val="14"/>
              </w:rPr>
              <w:t>B</w:t>
            </w:r>
          </w:p>
        </w:tc>
        <w:tc>
          <w:tcPr>
            <w:tcW w:w="1017" w:type="dxa"/>
            <w:gridSpan w:val="2"/>
            <w:tcBorders>
              <w:top w:val="nil"/>
              <w:left w:val="nil"/>
              <w:bottom w:val="nil"/>
              <w:right w:val="nil"/>
            </w:tcBorders>
            <w:shd w:val="clear" w:color="auto" w:fill="auto"/>
            <w:tcMar>
              <w:top w:w="32" w:type="dxa"/>
              <w:left w:w="63" w:type="dxa"/>
              <w:bottom w:w="32" w:type="dxa"/>
              <w:right w:w="63" w:type="dxa"/>
            </w:tcMar>
            <w:hideMark/>
          </w:tcPr>
          <w:p w14:paraId="4B214EC4" w14:textId="77777777" w:rsidR="002D28EA" w:rsidRPr="00E143F7" w:rsidRDefault="002D28EA" w:rsidP="00EC27DE">
            <w:pPr>
              <w:jc w:val="center"/>
              <w:textAlignment w:val="center"/>
              <w:rPr>
                <w:sz w:val="36"/>
                <w:szCs w:val="36"/>
              </w:rPr>
            </w:pPr>
            <w:r w:rsidRPr="00E143F7">
              <w:rPr>
                <w:color w:val="000000"/>
                <w:kern w:val="24"/>
                <w:sz w:val="14"/>
                <w:szCs w:val="14"/>
              </w:rPr>
              <w:t>274</w:t>
            </w:r>
          </w:p>
        </w:tc>
        <w:tc>
          <w:tcPr>
            <w:tcW w:w="1080" w:type="dxa"/>
            <w:tcBorders>
              <w:top w:val="nil"/>
              <w:left w:val="nil"/>
              <w:bottom w:val="nil"/>
              <w:right w:val="nil"/>
            </w:tcBorders>
            <w:shd w:val="clear" w:color="auto" w:fill="auto"/>
            <w:tcMar>
              <w:top w:w="32" w:type="dxa"/>
              <w:left w:w="63" w:type="dxa"/>
              <w:bottom w:w="32" w:type="dxa"/>
              <w:right w:w="63" w:type="dxa"/>
            </w:tcMar>
            <w:hideMark/>
          </w:tcPr>
          <w:p w14:paraId="57D7A452" w14:textId="77777777" w:rsidR="002D28EA" w:rsidRPr="00E143F7" w:rsidRDefault="002D28EA" w:rsidP="00EC27DE">
            <w:pPr>
              <w:jc w:val="center"/>
              <w:textAlignment w:val="center"/>
              <w:rPr>
                <w:sz w:val="36"/>
                <w:szCs w:val="36"/>
              </w:rPr>
            </w:pPr>
            <w:r w:rsidRPr="00E143F7">
              <w:rPr>
                <w:color w:val="000000"/>
                <w:kern w:val="24"/>
                <w:sz w:val="14"/>
                <w:szCs w:val="14"/>
              </w:rPr>
              <w:t>-116</w:t>
            </w:r>
          </w:p>
        </w:tc>
      </w:tr>
      <w:tr w:rsidR="002D28EA" w:rsidRPr="00E143F7" w14:paraId="6EC0AC37" w14:textId="77777777" w:rsidTr="002D28EA">
        <w:trPr>
          <w:gridAfter w:val="2"/>
          <w:wAfter w:w="137" w:type="dxa"/>
          <w:trHeight w:val="352"/>
        </w:trPr>
        <w:tc>
          <w:tcPr>
            <w:tcW w:w="2000" w:type="dxa"/>
            <w:tcBorders>
              <w:top w:val="nil"/>
              <w:left w:val="nil"/>
              <w:bottom w:val="single" w:sz="8" w:space="0" w:color="000000"/>
              <w:right w:val="nil"/>
            </w:tcBorders>
            <w:shd w:val="clear" w:color="auto" w:fill="auto"/>
            <w:tcMar>
              <w:top w:w="7" w:type="dxa"/>
              <w:left w:w="47" w:type="dxa"/>
              <w:bottom w:w="0" w:type="dxa"/>
              <w:right w:w="47" w:type="dxa"/>
            </w:tcMar>
            <w:vAlign w:val="bottom"/>
            <w:hideMark/>
          </w:tcPr>
          <w:p w14:paraId="39017476" w14:textId="77777777" w:rsidR="002D28EA" w:rsidRPr="00E143F7" w:rsidRDefault="002D28EA" w:rsidP="00EC27DE">
            <w:pPr>
              <w:textAlignment w:val="bottom"/>
              <w:rPr>
                <w:sz w:val="36"/>
                <w:szCs w:val="36"/>
              </w:rPr>
            </w:pPr>
            <w:r w:rsidRPr="00E143F7">
              <w:rPr>
                <w:color w:val="000000"/>
                <w:kern w:val="24"/>
                <w:sz w:val="14"/>
                <w:szCs w:val="14"/>
              </w:rPr>
              <w:t>5057_5708B_124z_02_076-081</w:t>
            </w:r>
          </w:p>
        </w:tc>
        <w:tc>
          <w:tcPr>
            <w:tcW w:w="720" w:type="dxa"/>
            <w:tcBorders>
              <w:top w:val="nil"/>
              <w:left w:val="nil"/>
              <w:bottom w:val="single" w:sz="8" w:space="0" w:color="000000"/>
              <w:right w:val="nil"/>
            </w:tcBorders>
            <w:shd w:val="clear" w:color="auto" w:fill="auto"/>
            <w:tcMar>
              <w:top w:w="7" w:type="dxa"/>
              <w:left w:w="47" w:type="dxa"/>
              <w:bottom w:w="0" w:type="dxa"/>
              <w:right w:w="47" w:type="dxa"/>
            </w:tcMar>
            <w:vAlign w:val="center"/>
            <w:hideMark/>
          </w:tcPr>
          <w:p w14:paraId="07DD9868" w14:textId="77777777" w:rsidR="002D28EA" w:rsidRPr="00E143F7" w:rsidRDefault="002D28EA" w:rsidP="00EC27DE">
            <w:pPr>
              <w:jc w:val="center"/>
              <w:textAlignment w:val="center"/>
              <w:rPr>
                <w:sz w:val="36"/>
                <w:szCs w:val="36"/>
              </w:rPr>
            </w:pPr>
            <w:proofErr w:type="spellStart"/>
            <w:r w:rsidRPr="00E143F7">
              <w:rPr>
                <w:color w:val="000000"/>
                <w:kern w:val="24"/>
                <w:sz w:val="14"/>
                <w:szCs w:val="14"/>
              </w:rPr>
              <w:t>O</w:t>
            </w:r>
            <w:r>
              <w:rPr>
                <w:color w:val="000000"/>
                <w:kern w:val="24"/>
                <w:sz w:val="14"/>
                <w:szCs w:val="14"/>
              </w:rPr>
              <w:t>manDP</w:t>
            </w:r>
            <w:proofErr w:type="spellEnd"/>
          </w:p>
        </w:tc>
        <w:tc>
          <w:tcPr>
            <w:tcW w:w="880" w:type="dxa"/>
            <w:tcBorders>
              <w:top w:val="nil"/>
              <w:left w:val="nil"/>
              <w:bottom w:val="single" w:sz="8" w:space="0" w:color="000000"/>
              <w:right w:val="nil"/>
            </w:tcBorders>
            <w:shd w:val="clear" w:color="auto" w:fill="auto"/>
            <w:tcMar>
              <w:top w:w="7" w:type="dxa"/>
              <w:left w:w="47" w:type="dxa"/>
              <w:bottom w:w="0" w:type="dxa"/>
              <w:right w:w="47" w:type="dxa"/>
            </w:tcMar>
            <w:vAlign w:val="center"/>
            <w:hideMark/>
          </w:tcPr>
          <w:p w14:paraId="5B2C7079" w14:textId="77777777" w:rsidR="002D28EA" w:rsidRPr="00E143F7" w:rsidRDefault="002D28EA" w:rsidP="00EC27DE">
            <w:pPr>
              <w:jc w:val="center"/>
              <w:textAlignment w:val="center"/>
              <w:rPr>
                <w:sz w:val="36"/>
                <w:szCs w:val="36"/>
              </w:rPr>
            </w:pPr>
            <w:r w:rsidRPr="00E143F7">
              <w:rPr>
                <w:color w:val="000000"/>
                <w:kern w:val="24"/>
                <w:sz w:val="14"/>
                <w:szCs w:val="14"/>
              </w:rPr>
              <w:t>Harzburgite</w:t>
            </w:r>
          </w:p>
        </w:tc>
        <w:tc>
          <w:tcPr>
            <w:tcW w:w="800" w:type="dxa"/>
            <w:tcBorders>
              <w:top w:val="nil"/>
              <w:left w:val="nil"/>
              <w:bottom w:val="single" w:sz="8" w:space="0" w:color="000000"/>
              <w:right w:val="nil"/>
            </w:tcBorders>
            <w:shd w:val="clear" w:color="auto" w:fill="auto"/>
            <w:tcMar>
              <w:top w:w="7" w:type="dxa"/>
              <w:left w:w="47" w:type="dxa"/>
              <w:bottom w:w="0" w:type="dxa"/>
              <w:right w:w="47" w:type="dxa"/>
            </w:tcMar>
            <w:vAlign w:val="center"/>
            <w:hideMark/>
          </w:tcPr>
          <w:p w14:paraId="52E3AF9E" w14:textId="77777777" w:rsidR="002D28EA" w:rsidRPr="00E143F7" w:rsidRDefault="002D28EA" w:rsidP="00EC27DE">
            <w:pPr>
              <w:jc w:val="center"/>
              <w:textAlignment w:val="center"/>
              <w:rPr>
                <w:sz w:val="36"/>
                <w:szCs w:val="36"/>
              </w:rPr>
            </w:pPr>
            <w:r w:rsidRPr="00E143F7">
              <w:rPr>
                <w:color w:val="000000"/>
                <w:kern w:val="24"/>
                <w:sz w:val="14"/>
                <w:szCs w:val="14"/>
              </w:rPr>
              <w:t>22°54.</w:t>
            </w:r>
            <w:r>
              <w:rPr>
                <w:color w:val="000000"/>
                <w:kern w:val="24"/>
                <w:sz w:val="14"/>
                <w:szCs w:val="14"/>
              </w:rPr>
              <w:t>’</w:t>
            </w:r>
            <w:r w:rsidRPr="00E143F7">
              <w:rPr>
                <w:color w:val="000000"/>
                <w:kern w:val="24"/>
                <w:sz w:val="14"/>
                <w:szCs w:val="14"/>
              </w:rPr>
              <w:t>60'</w:t>
            </w:r>
          </w:p>
        </w:tc>
        <w:tc>
          <w:tcPr>
            <w:tcW w:w="1100" w:type="dxa"/>
            <w:tcBorders>
              <w:top w:val="nil"/>
              <w:left w:val="nil"/>
              <w:bottom w:val="single" w:sz="8" w:space="0" w:color="000000"/>
              <w:right w:val="nil"/>
            </w:tcBorders>
            <w:shd w:val="clear" w:color="auto" w:fill="auto"/>
            <w:tcMar>
              <w:top w:w="7" w:type="dxa"/>
              <w:left w:w="47" w:type="dxa"/>
              <w:bottom w:w="0" w:type="dxa"/>
              <w:right w:w="47" w:type="dxa"/>
            </w:tcMar>
            <w:vAlign w:val="center"/>
            <w:hideMark/>
          </w:tcPr>
          <w:p w14:paraId="03D51C31" w14:textId="77777777" w:rsidR="002D28EA" w:rsidRPr="00E143F7" w:rsidRDefault="002D28EA" w:rsidP="00EC27DE">
            <w:pPr>
              <w:jc w:val="center"/>
              <w:textAlignment w:val="center"/>
              <w:rPr>
                <w:sz w:val="36"/>
                <w:szCs w:val="36"/>
              </w:rPr>
            </w:pPr>
            <w:r w:rsidRPr="00E143F7">
              <w:rPr>
                <w:color w:val="000000"/>
                <w:kern w:val="24"/>
                <w:sz w:val="14"/>
                <w:szCs w:val="14"/>
              </w:rPr>
              <w:t>58°20.</w:t>
            </w:r>
            <w:r>
              <w:rPr>
                <w:color w:val="000000"/>
                <w:kern w:val="24"/>
                <w:sz w:val="14"/>
                <w:szCs w:val="14"/>
              </w:rPr>
              <w:t>’</w:t>
            </w:r>
            <w:r w:rsidRPr="00E143F7">
              <w:rPr>
                <w:color w:val="000000"/>
                <w:kern w:val="24"/>
                <w:sz w:val="14"/>
                <w:szCs w:val="14"/>
              </w:rPr>
              <w:t>49' E</w:t>
            </w:r>
          </w:p>
        </w:tc>
        <w:tc>
          <w:tcPr>
            <w:tcW w:w="1100" w:type="dxa"/>
            <w:tcBorders>
              <w:top w:val="nil"/>
              <w:left w:val="nil"/>
              <w:bottom w:val="single" w:sz="8" w:space="0" w:color="000000"/>
              <w:right w:val="nil"/>
            </w:tcBorders>
            <w:shd w:val="clear" w:color="auto" w:fill="auto"/>
            <w:tcMar>
              <w:top w:w="7" w:type="dxa"/>
              <w:left w:w="47" w:type="dxa"/>
              <w:bottom w:w="0" w:type="dxa"/>
              <w:right w:w="47" w:type="dxa"/>
            </w:tcMar>
            <w:vAlign w:val="center"/>
            <w:hideMark/>
          </w:tcPr>
          <w:p w14:paraId="21A72479" w14:textId="77777777" w:rsidR="002D28EA" w:rsidRPr="00E143F7" w:rsidRDefault="002D28EA" w:rsidP="00EC27DE">
            <w:pPr>
              <w:jc w:val="center"/>
              <w:textAlignment w:val="center"/>
              <w:rPr>
                <w:sz w:val="36"/>
                <w:szCs w:val="36"/>
              </w:rPr>
            </w:pPr>
            <w:r w:rsidRPr="00E143F7">
              <w:rPr>
                <w:color w:val="000000"/>
                <w:kern w:val="24"/>
                <w:sz w:val="14"/>
                <w:szCs w:val="14"/>
              </w:rPr>
              <w:t>ICDP Exp 5057</w:t>
            </w:r>
          </w:p>
        </w:tc>
        <w:tc>
          <w:tcPr>
            <w:tcW w:w="500" w:type="dxa"/>
            <w:tcBorders>
              <w:top w:val="nil"/>
              <w:left w:val="nil"/>
              <w:bottom w:val="single" w:sz="8" w:space="0" w:color="000000"/>
              <w:right w:val="nil"/>
            </w:tcBorders>
            <w:shd w:val="clear" w:color="auto" w:fill="auto"/>
            <w:tcMar>
              <w:top w:w="7" w:type="dxa"/>
              <w:left w:w="47" w:type="dxa"/>
              <w:bottom w:w="0" w:type="dxa"/>
              <w:right w:w="47" w:type="dxa"/>
            </w:tcMar>
            <w:vAlign w:val="center"/>
            <w:hideMark/>
          </w:tcPr>
          <w:p w14:paraId="242EF0ED" w14:textId="77777777" w:rsidR="002D28EA" w:rsidRPr="00E143F7" w:rsidRDefault="002D28EA" w:rsidP="00EC27DE">
            <w:pPr>
              <w:jc w:val="center"/>
              <w:textAlignment w:val="center"/>
              <w:rPr>
                <w:sz w:val="36"/>
                <w:szCs w:val="36"/>
              </w:rPr>
            </w:pPr>
            <w:r w:rsidRPr="00E143F7">
              <w:rPr>
                <w:color w:val="000000"/>
                <w:kern w:val="24"/>
                <w:sz w:val="14"/>
                <w:szCs w:val="14"/>
              </w:rPr>
              <w:t>CM2</w:t>
            </w:r>
          </w:p>
        </w:tc>
        <w:tc>
          <w:tcPr>
            <w:tcW w:w="480" w:type="dxa"/>
            <w:tcBorders>
              <w:top w:val="nil"/>
              <w:left w:val="nil"/>
              <w:bottom w:val="single" w:sz="8" w:space="0" w:color="000000"/>
              <w:right w:val="nil"/>
            </w:tcBorders>
            <w:shd w:val="clear" w:color="auto" w:fill="auto"/>
            <w:tcMar>
              <w:top w:w="7" w:type="dxa"/>
              <w:left w:w="47" w:type="dxa"/>
              <w:bottom w:w="0" w:type="dxa"/>
              <w:right w:w="47" w:type="dxa"/>
            </w:tcMar>
            <w:vAlign w:val="center"/>
            <w:hideMark/>
          </w:tcPr>
          <w:p w14:paraId="37DD8C10" w14:textId="77777777" w:rsidR="002D28EA" w:rsidRPr="00E143F7" w:rsidRDefault="002D28EA" w:rsidP="00EC27DE">
            <w:pPr>
              <w:jc w:val="center"/>
              <w:textAlignment w:val="center"/>
              <w:rPr>
                <w:sz w:val="36"/>
                <w:szCs w:val="36"/>
              </w:rPr>
            </w:pPr>
            <w:r w:rsidRPr="00E143F7">
              <w:rPr>
                <w:color w:val="000000"/>
                <w:kern w:val="24"/>
                <w:sz w:val="14"/>
                <w:szCs w:val="14"/>
              </w:rPr>
              <w:t>B</w:t>
            </w:r>
          </w:p>
        </w:tc>
        <w:tc>
          <w:tcPr>
            <w:tcW w:w="1017" w:type="dxa"/>
            <w:gridSpan w:val="2"/>
            <w:tcBorders>
              <w:top w:val="nil"/>
              <w:left w:val="nil"/>
              <w:bottom w:val="single" w:sz="8" w:space="0" w:color="000000"/>
              <w:right w:val="nil"/>
            </w:tcBorders>
            <w:shd w:val="clear" w:color="auto" w:fill="auto"/>
            <w:tcMar>
              <w:top w:w="32" w:type="dxa"/>
              <w:left w:w="63" w:type="dxa"/>
              <w:bottom w:w="32" w:type="dxa"/>
              <w:right w:w="63" w:type="dxa"/>
            </w:tcMar>
            <w:hideMark/>
          </w:tcPr>
          <w:p w14:paraId="49532518" w14:textId="77777777" w:rsidR="002D28EA" w:rsidRPr="00E143F7" w:rsidRDefault="002D28EA" w:rsidP="00EC27DE">
            <w:pPr>
              <w:jc w:val="center"/>
              <w:textAlignment w:val="center"/>
              <w:rPr>
                <w:sz w:val="36"/>
                <w:szCs w:val="36"/>
              </w:rPr>
            </w:pPr>
            <w:r w:rsidRPr="00E143F7">
              <w:rPr>
                <w:color w:val="000000"/>
                <w:kern w:val="24"/>
                <w:sz w:val="14"/>
                <w:szCs w:val="14"/>
              </w:rPr>
              <w:t>286</w:t>
            </w:r>
          </w:p>
        </w:tc>
        <w:tc>
          <w:tcPr>
            <w:tcW w:w="1080" w:type="dxa"/>
            <w:tcBorders>
              <w:top w:val="nil"/>
              <w:left w:val="nil"/>
              <w:bottom w:val="single" w:sz="8" w:space="0" w:color="000000"/>
              <w:right w:val="nil"/>
            </w:tcBorders>
            <w:shd w:val="clear" w:color="auto" w:fill="auto"/>
            <w:tcMar>
              <w:top w:w="32" w:type="dxa"/>
              <w:left w:w="63" w:type="dxa"/>
              <w:bottom w:w="32" w:type="dxa"/>
              <w:right w:w="63" w:type="dxa"/>
            </w:tcMar>
            <w:hideMark/>
          </w:tcPr>
          <w:p w14:paraId="15C2D70C" w14:textId="77777777" w:rsidR="002D28EA" w:rsidRPr="00E143F7" w:rsidRDefault="002D28EA" w:rsidP="00EC27DE">
            <w:pPr>
              <w:jc w:val="center"/>
              <w:textAlignment w:val="center"/>
              <w:rPr>
                <w:sz w:val="36"/>
                <w:szCs w:val="36"/>
              </w:rPr>
            </w:pPr>
            <w:r w:rsidRPr="00E143F7">
              <w:rPr>
                <w:color w:val="000000"/>
                <w:kern w:val="24"/>
                <w:sz w:val="14"/>
                <w:szCs w:val="14"/>
              </w:rPr>
              <w:t>-126</w:t>
            </w:r>
          </w:p>
        </w:tc>
      </w:tr>
      <w:tr w:rsidR="002D28EA" w:rsidRPr="00E143F7" w14:paraId="3DF1B2AB" w14:textId="77777777" w:rsidTr="002D28EA">
        <w:trPr>
          <w:trHeight w:val="515"/>
        </w:trPr>
        <w:tc>
          <w:tcPr>
            <w:tcW w:w="8460" w:type="dxa"/>
            <w:gridSpan w:val="9"/>
            <w:tcBorders>
              <w:top w:val="single" w:sz="8" w:space="0" w:color="000000"/>
              <w:left w:val="nil"/>
              <w:bottom w:val="nil"/>
              <w:right w:val="nil"/>
            </w:tcBorders>
            <w:shd w:val="clear" w:color="auto" w:fill="auto"/>
            <w:tcMar>
              <w:top w:w="32" w:type="dxa"/>
              <w:left w:w="63" w:type="dxa"/>
              <w:bottom w:w="32" w:type="dxa"/>
              <w:right w:w="63" w:type="dxa"/>
            </w:tcMar>
            <w:hideMark/>
          </w:tcPr>
          <w:p w14:paraId="709BB768" w14:textId="77777777" w:rsidR="002D28EA" w:rsidRPr="00E143F7" w:rsidRDefault="002D28EA" w:rsidP="00EC27DE">
            <w:pPr>
              <w:textAlignment w:val="bottom"/>
              <w:rPr>
                <w:sz w:val="36"/>
                <w:szCs w:val="36"/>
              </w:rPr>
            </w:pPr>
            <w:r w:rsidRPr="00E143F7">
              <w:rPr>
                <w:color w:val="000000"/>
                <w:kern w:val="24"/>
                <w:sz w:val="14"/>
                <w:szCs w:val="14"/>
              </w:rPr>
              <w:t>*Relative to base of crust-mantle transition zone a</w:t>
            </w:r>
            <w:r w:rsidRPr="00011758">
              <w:rPr>
                <w:color w:val="000000"/>
                <w:kern w:val="24"/>
                <w:sz w:val="14"/>
                <w:szCs w:val="14"/>
              </w:rPr>
              <w:t xml:space="preserve">s </w:t>
            </w:r>
            <w:r w:rsidRPr="008B60BF">
              <w:rPr>
                <w:color w:val="000000"/>
                <w:kern w:val="24"/>
                <w:sz w:val="14"/>
                <w:szCs w:val="14"/>
              </w:rPr>
              <w:t xml:space="preserve">defined by the onset of </w:t>
            </w:r>
            <w:r w:rsidRPr="00011758">
              <w:rPr>
                <w:color w:val="000000"/>
                <w:kern w:val="24"/>
                <w:sz w:val="14"/>
                <w:szCs w:val="14"/>
              </w:rPr>
              <w:t>dunitic</w:t>
            </w:r>
            <w:r>
              <w:rPr>
                <w:color w:val="000000"/>
                <w:kern w:val="24"/>
                <w:sz w:val="14"/>
                <w:szCs w:val="14"/>
              </w:rPr>
              <w:t xml:space="preserve"> units</w:t>
            </w:r>
            <w:r w:rsidRPr="00E143F7">
              <w:rPr>
                <w:color w:val="000000"/>
                <w:kern w:val="24"/>
                <w:sz w:val="14"/>
                <w:szCs w:val="14"/>
              </w:rPr>
              <w:t xml:space="preserve">. (HD = Hess Deep, </w:t>
            </w:r>
            <w:proofErr w:type="spellStart"/>
            <w:r w:rsidRPr="00E143F7">
              <w:rPr>
                <w:color w:val="000000"/>
                <w:kern w:val="24"/>
                <w:sz w:val="14"/>
                <w:szCs w:val="14"/>
              </w:rPr>
              <w:t>O</w:t>
            </w:r>
            <w:r>
              <w:rPr>
                <w:color w:val="000000"/>
                <w:kern w:val="24"/>
                <w:sz w:val="14"/>
                <w:szCs w:val="14"/>
              </w:rPr>
              <w:t>man</w:t>
            </w:r>
            <w:r w:rsidRPr="00E143F7">
              <w:rPr>
                <w:color w:val="000000"/>
                <w:kern w:val="24"/>
                <w:sz w:val="14"/>
                <w:szCs w:val="14"/>
              </w:rPr>
              <w:t>DP</w:t>
            </w:r>
            <w:proofErr w:type="spellEnd"/>
            <w:r w:rsidRPr="00E143F7">
              <w:rPr>
                <w:color w:val="000000"/>
                <w:kern w:val="24"/>
                <w:sz w:val="14"/>
                <w:szCs w:val="14"/>
              </w:rPr>
              <w:t xml:space="preserve"> = Oman Drilling Project).</w:t>
            </w:r>
          </w:p>
        </w:tc>
        <w:tc>
          <w:tcPr>
            <w:tcW w:w="1320" w:type="dxa"/>
            <w:gridSpan w:val="3"/>
            <w:tcBorders>
              <w:top w:val="single" w:sz="8" w:space="0" w:color="000000"/>
              <w:left w:val="nil"/>
              <w:bottom w:val="nil"/>
              <w:right w:val="nil"/>
            </w:tcBorders>
            <w:shd w:val="clear" w:color="auto" w:fill="auto"/>
            <w:tcMar>
              <w:top w:w="32" w:type="dxa"/>
              <w:left w:w="63" w:type="dxa"/>
              <w:bottom w:w="32" w:type="dxa"/>
              <w:right w:w="63" w:type="dxa"/>
            </w:tcMar>
            <w:hideMark/>
          </w:tcPr>
          <w:p w14:paraId="20D813AF" w14:textId="77777777" w:rsidR="002D28EA" w:rsidRPr="00E143F7" w:rsidRDefault="002D28EA" w:rsidP="00EC27DE">
            <w:pPr>
              <w:rPr>
                <w:sz w:val="36"/>
                <w:szCs w:val="36"/>
              </w:rPr>
            </w:pPr>
          </w:p>
        </w:tc>
        <w:tc>
          <w:tcPr>
            <w:tcW w:w="34"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1C77E0A4" w14:textId="77777777" w:rsidR="002D28EA" w:rsidRPr="00E143F7" w:rsidRDefault="002D28EA" w:rsidP="00EC27DE">
            <w:pPr>
              <w:textAlignment w:val="center"/>
              <w:rPr>
                <w:sz w:val="36"/>
                <w:szCs w:val="36"/>
              </w:rPr>
            </w:pPr>
          </w:p>
        </w:tc>
      </w:tr>
    </w:tbl>
    <w:p w14:paraId="26CF3534" w14:textId="7DD276A0" w:rsidR="002D28EA" w:rsidRDefault="002D28EA">
      <w:r>
        <w:br w:type="page"/>
      </w:r>
    </w:p>
    <w:p w14:paraId="16110A9A" w14:textId="77777777" w:rsidR="002D28EA" w:rsidRDefault="002D28EA" w:rsidP="002D28EA">
      <w:pPr>
        <w:pStyle w:val="BodyTextFirstIndent"/>
        <w:spacing w:line="360" w:lineRule="auto"/>
        <w:ind w:firstLine="0"/>
        <w:sectPr w:rsidR="002D28EA" w:rsidSect="002D28EA">
          <w:pgSz w:w="15840" w:h="12240" w:orient="landscape"/>
          <w:pgMar w:top="1440" w:right="1440" w:bottom="1440" w:left="1440" w:header="720" w:footer="1440" w:gutter="0"/>
          <w:cols w:space="720"/>
          <w:docGrid w:linePitch="360"/>
        </w:sectPr>
      </w:pPr>
    </w:p>
    <w:p w14:paraId="5C5895B0" w14:textId="034FC899" w:rsidR="00F00EB2" w:rsidRDefault="004F307D" w:rsidP="002D28EA">
      <w:pPr>
        <w:pStyle w:val="BodyTextFirstIndent"/>
        <w:spacing w:line="360" w:lineRule="auto"/>
        <w:ind w:firstLine="0"/>
      </w:pPr>
      <w:r w:rsidRPr="004679A7">
        <w:lastRenderedPageBreak/>
        <w:t xml:space="preserve">electron micrographs are shown in Figure </w:t>
      </w:r>
      <w:r w:rsidR="005C3691">
        <w:t>1.</w:t>
      </w:r>
      <w:r w:rsidRPr="004679A7">
        <w:t xml:space="preserve">2. To first order, sample characteristics are similar for the two localities. </w:t>
      </w:r>
    </w:p>
    <w:p w14:paraId="39535D7D" w14:textId="44B6B07C" w:rsidR="00EB54E6" w:rsidRDefault="004F307D" w:rsidP="00140C59">
      <w:pPr>
        <w:pStyle w:val="BodyTextFirstIndent"/>
        <w:spacing w:line="360" w:lineRule="auto"/>
      </w:pPr>
      <w:r>
        <w:t xml:space="preserve">Gabbros are poikilitic, medium grained (0.25-1 mm) and granular consisting of euhedral to subhedral plagioclase and anhedral clinopyroxene (e.g., Figure </w:t>
      </w:r>
      <w:r w:rsidR="005C3691">
        <w:t>1.</w:t>
      </w:r>
      <w:r>
        <w:t xml:space="preserve">2a, d) and olivine. Clinopyroxenes in Hess Deep gabbros occasionally host exsolution lamellae and are often </w:t>
      </w:r>
      <w:proofErr w:type="spellStart"/>
      <w:r>
        <w:t>oikocrystic</w:t>
      </w:r>
      <w:proofErr w:type="spellEnd"/>
      <w:r>
        <w:t xml:space="preserve"> with plagioclase </w:t>
      </w:r>
      <w:proofErr w:type="spellStart"/>
      <w:r>
        <w:t>chadacrysts</w:t>
      </w:r>
      <w:proofErr w:type="spellEnd"/>
      <w:r>
        <w:t xml:space="preserve">. </w:t>
      </w:r>
      <w:proofErr w:type="spellStart"/>
      <w:r>
        <w:t>OmanDP</w:t>
      </w:r>
      <w:proofErr w:type="spellEnd"/>
      <w:r>
        <w:t xml:space="preserve"> </w:t>
      </w:r>
      <w:proofErr w:type="spellStart"/>
      <w:r>
        <w:t>gabbros</w:t>
      </w:r>
      <w:proofErr w:type="spellEnd"/>
      <w:r>
        <w:t xml:space="preserve"> have fewer clinopyroxene oikocrysts and exsolution lamellae are largely absent. One pyroxene-free </w:t>
      </w:r>
    </w:p>
    <w:p w14:paraId="5EE6E506" w14:textId="5233B6D9" w:rsidR="00F00EB2" w:rsidRDefault="004F307D" w:rsidP="00EB54E6">
      <w:pPr>
        <w:pStyle w:val="BodyTextFirstIndent"/>
        <w:spacing w:line="360" w:lineRule="auto"/>
        <w:ind w:firstLine="0"/>
      </w:pPr>
      <w:r>
        <w:t>troctolite was analyzed in this study (</w:t>
      </w:r>
      <w:proofErr w:type="spellStart"/>
      <w:r>
        <w:t>OmanDP</w:t>
      </w:r>
      <w:proofErr w:type="spellEnd"/>
      <w:r>
        <w:t xml:space="preserve">). This sample contains subhedral olivine, with grain sizes of 0.5-1 mm and 0.5-1 mm euhedral to subhedral plagioclase. </w:t>
      </w:r>
      <w:proofErr w:type="spellStart"/>
      <w:r>
        <w:t>Olivines</w:t>
      </w:r>
      <w:proofErr w:type="spellEnd"/>
      <w:r>
        <w:t xml:space="preserve"> in the troctolite are relatively fresh, but olivine grain rims and fractured interiors are </w:t>
      </w:r>
      <w:proofErr w:type="spellStart"/>
      <w:r>
        <w:t>serpentinized</w:t>
      </w:r>
      <w:proofErr w:type="spellEnd"/>
      <w:r>
        <w:t xml:space="preserve">. </w:t>
      </w:r>
    </w:p>
    <w:p w14:paraId="4E6B840C" w14:textId="6FC096F2" w:rsidR="00F00EB2" w:rsidRDefault="004F307D" w:rsidP="001E0B34">
      <w:pPr>
        <w:pStyle w:val="BodyTextFirstIndent"/>
        <w:spacing w:line="360" w:lineRule="auto"/>
      </w:pPr>
      <w:proofErr w:type="spellStart"/>
      <w:r>
        <w:t>Olivines</w:t>
      </w:r>
      <w:proofErr w:type="spellEnd"/>
      <w:r>
        <w:t xml:space="preserve"> in the </w:t>
      </w:r>
      <w:proofErr w:type="spellStart"/>
      <w:r>
        <w:t>gabbros</w:t>
      </w:r>
      <w:proofErr w:type="spellEnd"/>
      <w:r>
        <w:t xml:space="preserve"> (both localities) are interstitial and fractured but remain fresh relative to </w:t>
      </w:r>
      <w:proofErr w:type="spellStart"/>
      <w:r>
        <w:t>olivines</w:t>
      </w:r>
      <w:proofErr w:type="spellEnd"/>
      <w:r>
        <w:t xml:space="preserve"> in the peridotites. Based on visual inspection of the thin sections and the core descriptions, we estimate that total gabbro alteration ranges from ~5 to 20% and is mostly concentrated among </w:t>
      </w:r>
      <w:proofErr w:type="spellStart"/>
      <w:r>
        <w:t>olivines</w:t>
      </w:r>
      <w:proofErr w:type="spellEnd"/>
      <w:r>
        <w:t xml:space="preserve"> and clinopyroxene rims. Hess Deep gabbros are altered homogeneously across the thin sections while </w:t>
      </w:r>
      <w:proofErr w:type="spellStart"/>
      <w:r>
        <w:t>OmanDP</w:t>
      </w:r>
      <w:proofErr w:type="spellEnd"/>
      <w:r>
        <w:t xml:space="preserve"> </w:t>
      </w:r>
      <w:proofErr w:type="spellStart"/>
      <w:r>
        <w:t>gabbros</w:t>
      </w:r>
      <w:proofErr w:type="spellEnd"/>
      <w:r>
        <w:t xml:space="preserve"> are altered in ~1mm thick anastomosing veins of variable spacing, decorated by </w:t>
      </w:r>
      <w:proofErr w:type="spellStart"/>
      <w:r>
        <w:t>magnetites</w:t>
      </w:r>
      <w:proofErr w:type="spellEnd"/>
      <w:r>
        <w:t>, and occasional patches of alteration several mm across. Sample 147_894G_9R4_60-67 (Hess Deep) and 5057_5707A_059z_04_004-008 (</w:t>
      </w:r>
      <w:proofErr w:type="spellStart"/>
      <w:r>
        <w:t>OmanDP</w:t>
      </w:r>
      <w:proofErr w:type="spellEnd"/>
      <w:r>
        <w:t xml:space="preserve">), show higher degrees of alteration (60-70% total; e.g., </w:t>
      </w:r>
      <w:r>
        <w:fldChar w:fldCharType="begin" w:fldLock="1"/>
      </w:r>
      <w:r>
        <w:instrText>ADDIN CSL_CITATION {"citationItems":[{"id":"ITEM-1","itemData":{"DOI":"10.2973/odp.proc.sr.147.1996","collection-title":"Proceedings of the Ocean Drilling Program","editor":[{"dropping-particle":"","family":"Mevel","given":"C.","non-dropping-particle":"","parse-names":false,"suffix":""},{"dropping-particle":"","family":"Gillis","given":"K.M.","non-dropping-particle":"","parse-names":false,"suffix":""},{"dropping-particle":"","family":"Allan","given":"J.F.","non-dropping-particle":"","parse-names":false,"suffix":""},{"dropping-particle":"","family":"Meyer","given":"P.S.","non-dropping-particle":"","parse-names":false,"suffix":""}],"id":"ITEM-1","issued":{"date-parts":[["1996","4"]]},"publisher":"Ocean Drilling Program","title":"Proceedings of the Ocean Drilling Program, 147 Scientific Results","type":"article-journal","volume":"147"},"uris":["http://www.mendeley.com/documents/?uuid=7db4e87c-a64c-40f8-bb43-3178d5378d2d"]}],"mendeley":{"formattedCitation":"(Mevel et al., 1996)","plainTextFormattedCitation":"(Mevel et al., 1996)","previouslyFormattedCitation":"(Mevel et al., 1996)"},"properties":{"noteIndex":0},"schema":"https://github.com/citation-style-language/schema/raw/master/csl-citation.json"}</w:instrText>
      </w:r>
      <w:r>
        <w:fldChar w:fldCharType="separate"/>
      </w:r>
      <w:r w:rsidRPr="00942C5F">
        <w:rPr>
          <w:noProof/>
        </w:rPr>
        <w:t>Mevel et al., 1996</w:t>
      </w:r>
      <w:r>
        <w:fldChar w:fldCharType="end"/>
      </w:r>
      <w:r>
        <w:t xml:space="preserve">, Table </w:t>
      </w:r>
      <w:r w:rsidR="00D16C85">
        <w:t>1.</w:t>
      </w:r>
      <w:r>
        <w:t>3), but in all cases, fresh mineral grains are present for analysis.</w:t>
      </w:r>
    </w:p>
    <w:p w14:paraId="673BA8A4" w14:textId="77777777" w:rsidR="002D28EA" w:rsidRDefault="004F307D" w:rsidP="00F24389">
      <w:pPr>
        <w:pStyle w:val="BodyTextFirstIndent"/>
        <w:spacing w:line="360" w:lineRule="auto"/>
      </w:pPr>
      <w:r>
        <w:t xml:space="preserve">Peridotites (all clinopyroxene-poor harzburgites) are </w:t>
      </w:r>
      <w:proofErr w:type="spellStart"/>
      <w:r>
        <w:t>porphyroclastic</w:t>
      </w:r>
      <w:proofErr w:type="spellEnd"/>
      <w:r>
        <w:t xml:space="preserve"> and extensively altered (~75-95% Table </w:t>
      </w:r>
      <w:r w:rsidR="00D16C85">
        <w:t>1.</w:t>
      </w:r>
      <w:r>
        <w:t xml:space="preserve">3). </w:t>
      </w:r>
      <w:proofErr w:type="spellStart"/>
      <w:r>
        <w:t>Olivines</w:t>
      </w:r>
      <w:proofErr w:type="spellEnd"/>
      <w:r>
        <w:t xml:space="preserve"> are almost completely </w:t>
      </w:r>
      <w:proofErr w:type="spellStart"/>
      <w:r>
        <w:t>seprentinized</w:t>
      </w:r>
      <w:proofErr w:type="spellEnd"/>
      <w:r>
        <w:t xml:space="preserve">, however, dispersed remnants of olivine grain interiors are present in all peridotites (Figure </w:t>
      </w:r>
      <w:r w:rsidR="005C3691">
        <w:t>1.</w:t>
      </w:r>
      <w:r>
        <w:t xml:space="preserve">2b, c, e, f). Original olivine grain size was estimated by finding the average radius across unaltered relics of matched birefringence, and/or using magnetite decorations that indicate original grain boundaries. Most clinopyroxenes in peridotite samples are small (~100μm), subhedral to euhedral, and interstitial (e.g., Figure </w:t>
      </w:r>
      <w:r w:rsidR="005C3691">
        <w:t>1.</w:t>
      </w:r>
      <w:r>
        <w:t xml:space="preserve">2c, f), but in some cases larger grains up to several mm </w:t>
      </w:r>
      <w:proofErr w:type="gramStart"/>
      <w:r>
        <w:t>are</w:t>
      </w:r>
      <w:proofErr w:type="gramEnd"/>
      <w:r>
        <w:t xml:space="preserve"> present (Figure </w:t>
      </w:r>
      <w:r w:rsidR="005C3691">
        <w:t>1.</w:t>
      </w:r>
      <w:r>
        <w:t xml:space="preserve">2b). Orthopyroxene </w:t>
      </w:r>
      <w:proofErr w:type="spellStart"/>
      <w:r>
        <w:t>porphyroclasts</w:t>
      </w:r>
      <w:proofErr w:type="spellEnd"/>
    </w:p>
    <w:p w14:paraId="79FB566C" w14:textId="77777777" w:rsidR="002D28EA" w:rsidRDefault="002D28EA">
      <w:r>
        <w:br w:type="page"/>
      </w:r>
    </w:p>
    <w:p w14:paraId="485219DA" w14:textId="77777777" w:rsidR="002D28EA" w:rsidRDefault="002D28EA" w:rsidP="002D28EA">
      <w:pPr>
        <w:keepNext/>
        <w:jc w:val="center"/>
      </w:pPr>
      <w:r>
        <w:rPr>
          <w:noProof/>
        </w:rPr>
        <w:lastRenderedPageBreak/>
        <w:drawing>
          <wp:anchor distT="0" distB="0" distL="114300" distR="114300" simplePos="0" relativeHeight="251651072" behindDoc="0" locked="0" layoutInCell="1" allowOverlap="1" wp14:anchorId="4A344670" wp14:editId="4193B121">
            <wp:simplePos x="0" y="0"/>
            <wp:positionH relativeFrom="column">
              <wp:posOffset>161925</wp:posOffset>
            </wp:positionH>
            <wp:positionV relativeFrom="paragraph">
              <wp:posOffset>0</wp:posOffset>
            </wp:positionV>
            <wp:extent cx="5618817" cy="6219825"/>
            <wp:effectExtent l="0" t="0" r="0" b="0"/>
            <wp:wrapTopAndBottom/>
            <wp:docPr id="48" name="Picture 1" descr="Map&#10;&#10;Description automatically generated with medium confidence">
              <a:extLst xmlns:a="http://schemas.openxmlformats.org/drawingml/2006/main">
                <a:ext uri="{FF2B5EF4-FFF2-40B4-BE49-F238E27FC236}">
                  <a16:creationId xmlns:a16="http://schemas.microsoft.com/office/drawing/2014/main" id="{5DBC7647-7559-45FA-BF84-16E03D57E170}"/>
                </a:ext>
              </a:extLst>
            </wp:docPr>
            <wp:cNvGraphicFramePr/>
            <a:graphic xmlns:a="http://schemas.openxmlformats.org/drawingml/2006/main">
              <a:graphicData uri="http://schemas.openxmlformats.org/drawingml/2006/picture">
                <pic:pic xmlns:pic="http://schemas.openxmlformats.org/drawingml/2006/picture">
                  <pic:nvPicPr>
                    <pic:cNvPr id="48" name="Picture 1" descr="Map&#10;&#10;Description automatically generated with medium confidence">
                      <a:extLst>
                        <a:ext uri="{FF2B5EF4-FFF2-40B4-BE49-F238E27FC236}">
                          <a16:creationId xmlns:a16="http://schemas.microsoft.com/office/drawing/2014/main" id="{5DBC7647-7559-45FA-BF84-16E03D57E170}"/>
                        </a:ext>
                      </a:extLst>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8817" cy="6219825"/>
                    </a:xfrm>
                    <a:prstGeom prst="rect">
                      <a:avLst/>
                    </a:prstGeom>
                    <a:noFill/>
                  </pic:spPr>
                </pic:pic>
              </a:graphicData>
            </a:graphic>
          </wp:anchor>
        </w:drawing>
      </w:r>
    </w:p>
    <w:p w14:paraId="4971E8D4" w14:textId="70A25B57" w:rsidR="002D28EA" w:rsidRDefault="002D28EA" w:rsidP="002D28EA">
      <w:bookmarkStart w:id="22" w:name="_Toc109738664"/>
      <w:r w:rsidRPr="00C17E5E">
        <w:rPr>
          <w:sz w:val="20"/>
          <w:szCs w:val="20"/>
        </w:rPr>
        <w:t xml:space="preserve">Figure </w:t>
      </w:r>
      <w:r>
        <w:rPr>
          <w:sz w:val="20"/>
          <w:szCs w:val="20"/>
        </w:rPr>
        <w:t>1.</w:t>
      </w:r>
      <w:r>
        <w:rPr>
          <w:b/>
          <w:bCs/>
          <w:sz w:val="20"/>
          <w:szCs w:val="20"/>
        </w:rPr>
        <w:fldChar w:fldCharType="begin"/>
      </w:r>
      <w:r>
        <w:rPr>
          <w:sz w:val="20"/>
          <w:szCs w:val="20"/>
        </w:rPr>
        <w:instrText xml:space="preserve"> SEQ Figure \* ARABIC \s 1 </w:instrText>
      </w:r>
      <w:r>
        <w:rPr>
          <w:b/>
          <w:bCs/>
          <w:sz w:val="20"/>
          <w:szCs w:val="20"/>
        </w:rPr>
        <w:fldChar w:fldCharType="separate"/>
      </w:r>
      <w:r w:rsidR="008701A2">
        <w:rPr>
          <w:noProof/>
          <w:sz w:val="20"/>
          <w:szCs w:val="20"/>
        </w:rPr>
        <w:t>2</w:t>
      </w:r>
      <w:r>
        <w:rPr>
          <w:b/>
          <w:bCs/>
          <w:sz w:val="20"/>
          <w:szCs w:val="20"/>
        </w:rPr>
        <w:fldChar w:fldCharType="end"/>
      </w:r>
      <w:r w:rsidRPr="00C17E5E">
        <w:rPr>
          <w:sz w:val="20"/>
          <w:szCs w:val="20"/>
        </w:rPr>
        <w:t>.</w:t>
      </w:r>
      <w:r w:rsidRPr="00C17E5E">
        <w:rPr>
          <w:sz w:val="16"/>
          <w:szCs w:val="16"/>
        </w:rPr>
        <w:t xml:space="preserve"> </w:t>
      </w:r>
      <w:r w:rsidRPr="00F00EB2">
        <w:rPr>
          <w:sz w:val="20"/>
          <w:szCs w:val="20"/>
        </w:rPr>
        <w:t xml:space="preserve">Representative cross polarized light and backscatter electron photomicrographs of samples from Hess Deep and Oman Drilling Project (left and right columns, respectively). (a) is a crustal gabbro from site 1415G, IODP Expedition 345 and (b) and (c) are upper mantle peridotites from hole 895D of ODP Leg 147. (d) is a crustal gabbro from hole CM1 and (e) and (f) are peridotites from the crust-mantle transition of hole CM2. Red spots in (a) correspond to LA-ICP-MS spot numbers shown in Figure </w:t>
      </w:r>
      <w:r>
        <w:rPr>
          <w:sz w:val="20"/>
          <w:szCs w:val="20"/>
        </w:rPr>
        <w:t>1.</w:t>
      </w:r>
      <w:r w:rsidRPr="00F00EB2">
        <w:rPr>
          <w:sz w:val="20"/>
          <w:szCs w:val="20"/>
        </w:rPr>
        <w:t xml:space="preserve">5. According to petrographic observation and modal mineralogy (Table </w:t>
      </w:r>
      <w:r>
        <w:rPr>
          <w:sz w:val="20"/>
          <w:szCs w:val="20"/>
        </w:rPr>
        <w:t>1.</w:t>
      </w:r>
      <w:r w:rsidRPr="00F00EB2">
        <w:rPr>
          <w:sz w:val="20"/>
          <w:szCs w:val="20"/>
        </w:rPr>
        <w:t xml:space="preserve">3), clinopyroxenes interpreted to be residual are shown in the middle row; the bottom row (c), (f) shows samples with minor clinopyroxene that may have exsolved at </w:t>
      </w:r>
      <w:proofErr w:type="spellStart"/>
      <w:r w:rsidRPr="00F00EB2">
        <w:rPr>
          <w:sz w:val="20"/>
          <w:szCs w:val="20"/>
        </w:rPr>
        <w:t>subsolidus</w:t>
      </w:r>
      <w:proofErr w:type="spellEnd"/>
      <w:r w:rsidRPr="00F00EB2">
        <w:rPr>
          <w:sz w:val="20"/>
          <w:szCs w:val="20"/>
        </w:rPr>
        <w:t xml:space="preserve"> temperatures, and/or crystallized from melt present during cooling.</w:t>
      </w:r>
      <w:bookmarkEnd w:id="22"/>
      <w:r>
        <w:br w:type="page"/>
      </w:r>
    </w:p>
    <w:p w14:paraId="52C203D8" w14:textId="31FDF4B8" w:rsidR="004F307D" w:rsidRDefault="004F307D" w:rsidP="002D28EA">
      <w:pPr>
        <w:pStyle w:val="BodyTextFirstIndent"/>
        <w:spacing w:line="360" w:lineRule="auto"/>
        <w:ind w:firstLine="0"/>
      </w:pPr>
      <w:r>
        <w:lastRenderedPageBreak/>
        <w:t xml:space="preserve">are typically fresh, one to several mm in diameter, and anhedral to subhedral, with minor or absent exsolution lamellae (e.g., Figure </w:t>
      </w:r>
      <w:r w:rsidR="005C3691">
        <w:t>1.</w:t>
      </w:r>
      <w:r>
        <w:t xml:space="preserve">2e, c, f).  </w:t>
      </w:r>
    </w:p>
    <w:p w14:paraId="0701A458" w14:textId="77777777" w:rsidR="00904D4C" w:rsidRDefault="00904D4C" w:rsidP="00904D4C">
      <w:pPr>
        <w:pStyle w:val="Heading2"/>
      </w:pPr>
      <w:bookmarkStart w:id="23" w:name="_Toc109036116"/>
      <w:r>
        <w:t xml:space="preserve">3. </w:t>
      </w:r>
      <w:r w:rsidRPr="00FB2B82">
        <w:t>Analytical Methods</w:t>
      </w:r>
      <w:bookmarkEnd w:id="23"/>
      <w:r w:rsidRPr="00FB2B82">
        <w:t xml:space="preserve"> </w:t>
      </w:r>
    </w:p>
    <w:p w14:paraId="650A7BCA" w14:textId="77777777" w:rsidR="00904D4C" w:rsidRPr="00632690" w:rsidRDefault="00904D4C" w:rsidP="00904D4C">
      <w:pPr>
        <w:pStyle w:val="Heading3"/>
        <w:spacing w:line="360" w:lineRule="auto"/>
      </w:pPr>
      <w:r w:rsidRPr="00FB2B82">
        <w:t xml:space="preserve"> </w:t>
      </w:r>
      <w:bookmarkStart w:id="24" w:name="_Toc109036117"/>
      <w:r>
        <w:t xml:space="preserve">3.1 </w:t>
      </w:r>
      <w:r w:rsidRPr="00632690">
        <w:t>Major Element Analysis</w:t>
      </w:r>
      <w:bookmarkEnd w:id="24"/>
    </w:p>
    <w:p w14:paraId="3A79ADF9" w14:textId="37EE760E" w:rsidR="00F00EB2" w:rsidRPr="003F11E8" w:rsidRDefault="00904D4C" w:rsidP="00EB54E6">
      <w:pPr>
        <w:spacing w:line="360" w:lineRule="auto"/>
        <w:ind w:firstLine="360"/>
      </w:pPr>
      <w:r w:rsidRPr="003F11E8">
        <w:t xml:space="preserve">Analytical work was conducted at the University of Texas at Austin and the University of Tennessee, Knoxville on thin sections of standard or double thickness. Major elements were analyzed in Hess Deep samples at the University of Texas; major elements were analyzed in </w:t>
      </w:r>
      <w:proofErr w:type="spellStart"/>
      <w:r>
        <w:t>OmanDP</w:t>
      </w:r>
      <w:proofErr w:type="spellEnd"/>
      <w:r w:rsidRPr="003F11E8">
        <w:t xml:space="preserve"> samples at the University of Tennessee. Analyses at the University of Texas were conducted using a focused beam on a JEOL JXA-8200 electron microprobe. Olivine, orthopyroxene, clinopyroxene, chromite, and plagioclase were analyzed at 15kV and 30nA beam current. Na signal intensity was monitored as a function of time during plagioclase analysis and did not exhibit statistically significant</w:t>
      </w:r>
      <w:r>
        <w:t xml:space="preserve"> </w:t>
      </w:r>
      <w:r w:rsidR="00F00EB2" w:rsidRPr="003F11E8">
        <w:t xml:space="preserve">decay or merit application of a Time Dependent Intensity correction </w:t>
      </w:r>
      <w:r w:rsidR="00F00EB2" w:rsidRPr="41D6D6B7">
        <w:rPr>
          <w:rFonts w:eastAsiaTheme="minorEastAsia"/>
        </w:rPr>
        <w:fldChar w:fldCharType="begin" w:fldLock="1"/>
      </w:r>
      <w:r w:rsidR="00F00EB2">
        <w:rPr>
          <w:rFonts w:eastAsiaTheme="minorEastAsia"/>
        </w:rPr>
        <w:instrText>ADDIN CSL_CITATION {"citationItems":[{"id":"ITEM-1","itemData":{"author":[{"dropping-particle":"","family":"Donovan","given":"John J","non-dropping-particle":"","parse-names":false,"suffix":""},{"dropping-particle":"","family":"Kremser","given":"Dan","non-dropping-particle":"","parse-names":false,"suffix":""},{"dropping-particle":"","family":"Fournelle","given":"John","non-dropping-particle":"","parse-names":false,"suffix":""},{"dropping-particle":"","family":"Karsten","given":"Goemann","non-dropping-particle":"","parse-names":false,"suffix":""}],"container-title":"Probe Software, Inc.","id":"ITEM-1","issued":{"date-parts":[["2016"]]},"title":"Probe for EPMA User's Guide and Reference","type":"article"},"uris":["http://www.mendeley.com/documents/?uuid=be55eca8-e231-40cf-8b33-2edf4e7b32ac"]}],"mendeley":{"formattedCitation":"(Donovan et al., 2016)","manualFormatting":"(Donovan et al., 2016)","plainTextFormattedCitation":"(Donovan et al., 2016)","previouslyFormattedCitation":"(Donovan et al., 2016)"},"properties":{"noteIndex":0},"schema":"https://github.com/citation-style-language/schema/raw/master/csl-citation.json"}</w:instrText>
      </w:r>
      <w:r w:rsidR="00F00EB2" w:rsidRPr="41D6D6B7">
        <w:rPr>
          <w:rFonts w:eastAsiaTheme="minorEastAsia"/>
        </w:rPr>
        <w:fldChar w:fldCharType="separate"/>
      </w:r>
      <w:r w:rsidR="00F00EB2" w:rsidRPr="00164BA9">
        <w:rPr>
          <w:rFonts w:eastAsiaTheme="minorEastAsia"/>
          <w:noProof/>
        </w:rPr>
        <w:t>(Donovan</w:t>
      </w:r>
      <w:r w:rsidR="00F00EB2">
        <w:rPr>
          <w:rFonts w:eastAsiaTheme="minorEastAsia"/>
          <w:noProof/>
        </w:rPr>
        <w:t xml:space="preserve"> et al.</w:t>
      </w:r>
      <w:r w:rsidR="00F00EB2" w:rsidRPr="00164BA9">
        <w:rPr>
          <w:rFonts w:eastAsiaTheme="minorEastAsia"/>
          <w:noProof/>
        </w:rPr>
        <w:t>, 2016)</w:t>
      </w:r>
      <w:r w:rsidR="00F00EB2" w:rsidRPr="41D6D6B7">
        <w:rPr>
          <w:rFonts w:eastAsiaTheme="minorEastAsia"/>
        </w:rPr>
        <w:fldChar w:fldCharType="end"/>
      </w:r>
      <w:r w:rsidR="00F00EB2" w:rsidRPr="003F11E8">
        <w:t xml:space="preserve">. Counting intervals were </w:t>
      </w:r>
      <w:r w:rsidR="00F00EB2">
        <w:t>typically</w:t>
      </w:r>
      <w:r w:rsidR="00F00EB2" w:rsidRPr="003F11E8">
        <w:t xml:space="preserve"> 30 seconds on peak and 15 seconds on background; for Ca in olivine, they were 40 seconds on peak and 20 seconds on background. Based on counting statistics, we estimate </w:t>
      </w:r>
      <w:proofErr w:type="spellStart"/>
      <w:r w:rsidR="00F00EB2" w:rsidRPr="003F11E8">
        <w:t>CaO</w:t>
      </w:r>
      <w:proofErr w:type="spellEnd"/>
      <w:r w:rsidR="00F00EB2" w:rsidRPr="003F11E8">
        <w:t xml:space="preserve"> detection limits of ~0.014 </w:t>
      </w:r>
      <w:proofErr w:type="spellStart"/>
      <w:r w:rsidR="00F00EB2" w:rsidRPr="003F11E8">
        <w:t>wt</w:t>
      </w:r>
      <w:proofErr w:type="spellEnd"/>
      <w:r w:rsidR="00F00EB2" w:rsidRPr="003F11E8">
        <w:t xml:space="preserve">% for olivine. Natural and synthetic reference materials were </w:t>
      </w:r>
      <w:proofErr w:type="gramStart"/>
      <w:r w:rsidR="00F00EB2" w:rsidRPr="003F11E8">
        <w:t>employed</w:t>
      </w:r>
      <w:proofErr w:type="gramEnd"/>
      <w:r w:rsidR="00F00EB2" w:rsidRPr="003F11E8">
        <w:t xml:space="preserve"> and data were processed using a ZAF matrix correction procedure. </w:t>
      </w:r>
    </w:p>
    <w:p w14:paraId="6913F0A3" w14:textId="77777777" w:rsidR="00F00EB2" w:rsidRPr="00D631CA" w:rsidRDefault="00F00EB2" w:rsidP="00F24389">
      <w:pPr>
        <w:spacing w:line="360" w:lineRule="auto"/>
        <w:ind w:firstLine="360"/>
      </w:pPr>
      <w:r w:rsidRPr="003F11E8">
        <w:t xml:space="preserve">Analyses at the University of Tennessee were conducted using a </w:t>
      </w:r>
      <w:proofErr w:type="spellStart"/>
      <w:r w:rsidRPr="003F11E8">
        <w:t>Cameca</w:t>
      </w:r>
      <w:proofErr w:type="spellEnd"/>
      <w:r w:rsidRPr="003F11E8">
        <w:t xml:space="preserve"> SX-100 electron microprobe. Olivine, orthopyroxene, clinopyroxene, and chromite were analyzed using a 1μm beam at 15kV and 30nA. Counting intervals were generally 30 seconds on peak and 15 seconds on background; for Al and Ca in olivine, they were 100 seconds on peak and 50 seconds on background. Based on counting statistics, we estimate detection limits for </w:t>
      </w:r>
      <w:proofErr w:type="spellStart"/>
      <w:r w:rsidRPr="003F11E8">
        <w:t>CaO</w:t>
      </w:r>
      <w:proofErr w:type="spellEnd"/>
      <w:r w:rsidRPr="003F11E8">
        <w:t xml:space="preserve"> and Al</w:t>
      </w:r>
      <w:r w:rsidRPr="003F11E8">
        <w:rPr>
          <w:vertAlign w:val="subscript"/>
        </w:rPr>
        <w:t>2</w:t>
      </w:r>
      <w:r w:rsidRPr="003F11E8">
        <w:t>O</w:t>
      </w:r>
      <w:r w:rsidRPr="003F11E8">
        <w:rPr>
          <w:vertAlign w:val="subscript"/>
        </w:rPr>
        <w:t>3</w:t>
      </w:r>
      <w:r w:rsidRPr="003F11E8">
        <w:t xml:space="preserve"> in olivine of 0.012 and 0.009 </w:t>
      </w:r>
      <w:proofErr w:type="spellStart"/>
      <w:r w:rsidRPr="003F11E8">
        <w:t>wt</w:t>
      </w:r>
      <w:proofErr w:type="spellEnd"/>
      <w:r w:rsidRPr="003F11E8">
        <w:t xml:space="preserve">%, respectively. Plagioclase was analyzed using a 5μm beam at 15kV and 10nA with counting intervals of 30 seconds on peak and 15 seconds on background. Natural and synthetic reference materials were </w:t>
      </w:r>
      <w:proofErr w:type="gramStart"/>
      <w:r w:rsidRPr="003F11E8">
        <w:t>employed</w:t>
      </w:r>
      <w:proofErr w:type="gramEnd"/>
      <w:r w:rsidRPr="003F11E8">
        <w:t xml:space="preserve"> and data were processed using a ZAF correction applied using the </w:t>
      </w:r>
      <w:proofErr w:type="spellStart"/>
      <w:r w:rsidRPr="003F11E8">
        <w:t>Cameca</w:t>
      </w:r>
      <w:proofErr w:type="spellEnd"/>
      <w:r w:rsidRPr="003F11E8">
        <w:t xml:space="preserve"> PAP procedure.</w:t>
      </w:r>
    </w:p>
    <w:p w14:paraId="3D038C7C" w14:textId="0F262CD7" w:rsidR="00F00EB2" w:rsidRPr="00FB2B82" w:rsidRDefault="008D10C3" w:rsidP="00F24389">
      <w:pPr>
        <w:pStyle w:val="Heading3"/>
        <w:spacing w:line="360" w:lineRule="auto"/>
      </w:pPr>
      <w:bookmarkStart w:id="25" w:name="_Toc109036118"/>
      <w:r>
        <w:lastRenderedPageBreak/>
        <w:t xml:space="preserve">3.2 </w:t>
      </w:r>
      <w:r w:rsidR="00F00EB2" w:rsidRPr="00FB2B82">
        <w:t>Trace Element Analysis</w:t>
      </w:r>
      <w:bookmarkEnd w:id="25"/>
    </w:p>
    <w:p w14:paraId="4C3140C5" w14:textId="4CA39FD1" w:rsidR="00F00EB2" w:rsidRDefault="00F00EB2" w:rsidP="00F24389">
      <w:pPr>
        <w:spacing w:line="360" w:lineRule="auto"/>
        <w:ind w:firstLine="360"/>
      </w:pPr>
      <w:r>
        <w:t xml:space="preserve">Mg, Si, Li, Sc, </w:t>
      </w:r>
      <w:proofErr w:type="spellStart"/>
      <w:r>
        <w:t>Ti</w:t>
      </w:r>
      <w:proofErr w:type="spellEnd"/>
      <w:r>
        <w:t>, Sr, Zr, Nb, Pb, Y, and REEs were analyzed in orthopyroxene, clinopyroxene and plagioclase at the University of Texas using a New Wave UP193FX laser with a dual-volume sample chamber coupled to an Agilent 7500ce Quadrupole Inductively Coupled Plasma Mass Spectrometer (ICP-MS). Samples were analyzed in three separate analytical sessions, at a laser frequency of 10 hertz, with fluences of 2.6, 2.9, and 1.4 J/cm</w:t>
      </w:r>
      <w:r w:rsidRPr="00FB2B82">
        <w:rPr>
          <w:vertAlign w:val="superscript"/>
        </w:rPr>
        <w:t>2</w:t>
      </w:r>
      <w:r>
        <w:t xml:space="preserve">. The different fluences were selected according to count returns and ablation signal time for analytes of interest in preliminary analyses of the unknowns. Optimal conditions varied according to thin section thickness and the phases to be </w:t>
      </w:r>
      <w:proofErr w:type="gramStart"/>
      <w:r>
        <w:t>analyzed, and</w:t>
      </w:r>
      <w:proofErr w:type="gramEnd"/>
      <w:r>
        <w:t xml:space="preserve"> ensured introduction of measurable quantities of REEs into the ICP-MS with 60 second ablations that penetrated through the samples completely. Synthetic NIST glasses (610 and 612) and a natural basalt (BCR-2G) were used as reference materials. Data were processed in </w:t>
      </w:r>
      <w:proofErr w:type="spellStart"/>
      <w:r>
        <w:t>LasyBoy</w:t>
      </w:r>
      <w:proofErr w:type="spellEnd"/>
      <w:r>
        <w:t xml:space="preserve"> </w:t>
      </w:r>
      <w:r>
        <w:fldChar w:fldCharType="begin" w:fldLock="1"/>
      </w:r>
      <w:r>
        <w:instrText>ADDIN CSL_CITATION {"citationItems":[{"id":"ITEM-1","itemData":{"author":[{"dropping-particle":"","family":"Sparks","given":"J.","non-dropping-particle":"","parse-names":false,"suffix":""}],"id":"ITEM-1","issued":{"date-parts":[["2011"]]},"number":"3.00","publisher-place":"Boston University, U.S.A.","title":"LasyBoy","type":"article"},"uris":["http://www.mendeley.com/documents/?uuid=f77e1549-1f1b-47f2-82db-5e30358d54dd"]}],"mendeley":{"formattedCitation":"(Sparks, 2011)","plainTextFormattedCitation":"(Sparks, 2011)","previouslyFormattedCitation":"(Sparks, 2011)"},"properties":{"noteIndex":0},"schema":"https://github.com/citation-style-language/schema/raw/master/csl-citation.json"}</w:instrText>
      </w:r>
      <w:r>
        <w:fldChar w:fldCharType="separate"/>
      </w:r>
      <w:r w:rsidRPr="6F96FD7C">
        <w:rPr>
          <w:noProof/>
        </w:rPr>
        <w:t>(Sparks, 2011)</w:t>
      </w:r>
      <w:r>
        <w:fldChar w:fldCharType="end"/>
      </w:r>
      <w:r>
        <w:t xml:space="preserve"> with Si as the reference analyte. Spot sizes ranged from 40-100µm. The largest spots possible were used (up to 100µm) while avoiding cracks or alteration. Reference materials were analyzed twice or in triplicate before and after the unknowns using the same or similar spot sizes as the unknowns. REE detection limits vary depending on ICP-MS background counts, ranging from a few to tens of ppb for each analysis. Replicate analyses of BCR-2G are reported in Table 1</w:t>
      </w:r>
      <w:r w:rsidR="00D16C85">
        <w:t xml:space="preserve">.4 </w:t>
      </w:r>
      <w:r w:rsidR="00207486">
        <w:t xml:space="preserve">(Attachment Chapter_1_Data_Tables.xlsx) </w:t>
      </w:r>
      <w:r>
        <w:t xml:space="preserve">for the analytical sessions in which trace element data were obtained, and demonstrate good reproducibility (≤6%) and recovery within ~10% of </w:t>
      </w:r>
      <w:proofErr w:type="spellStart"/>
      <w:r>
        <w:t>GeoReM</w:t>
      </w:r>
      <w:proofErr w:type="spellEnd"/>
      <w:r>
        <w:t xml:space="preserve"> accepted values </w:t>
      </w:r>
      <w:r>
        <w:fldChar w:fldCharType="begin" w:fldLock="1"/>
      </w:r>
      <w:r>
        <w:instrText>ADDIN CSL_CITATION {"citationItems":[{"id":"ITEM-1","itemData":{"DOI":"10.1111/j.1751-908x.2005.tb00904.x","ISSN":"16394488","abstract":"We have developed a new database named GeoReM (http://georem.mpch-mainz. gwdg.de) for reference materials and isotopic standards of geochemical and mineralogical interest. Reference samples include rock powders originating from the USGS, GSJ, GIT-IWG, synthetic and natural reference glasses originating from NIST, USGS, MPI-DING, as well as mineral (e.g., 91500 zircon), isotopic (e.g., La Jolla, E&amp;A, NIST SRM 981), river water and seawater reference materials. GeoReM is a relational database, which strongly follows the concept of the three EARTHCHEM databases. It contains published analytical and compilation values (major and trace element concentrations, radiogenic and stable isotope ratios), important metadata about the analytical values, such as uncertainty, uncertainty type, method and laboratory. Sample information and references are also included. Three different ways of interrogating the database are possible: (1) sample names or material types, (2) chemical criteria and (3) bibliography. Some typical applications are described. GeoReM currently (October 2005) contains more than 750 geological reference materials, 6000 individual sets of results and references to 650 publications.","author":[{"dropping-particle":"","family":"Jochum","given":"Klaus Peter","non-dropping-particle":"","parse-names":false,"suffix":""},{"dropping-particle":"","family":"Nohl","given":"Uwe","non-dropping-particle":"","parse-names":false,"suffix":""},{"dropping-particle":"","family":"Herwig","given":"Kirstin","non-dropping-particle":"","parse-names":false,"suffix":""},{"dropping-particle":"","family":"Lammel","given":"Esin","non-dropping-particle":"","parse-names":false,"suffix":""},{"dropping-particle":"","family":"Stoll","given":"Brigitte","non-dropping-particle":"","parse-names":false,"suffix":""},{"dropping-particle":"","family":"Hofmann","given":"Albrecht W.","non-dropping-particle":"","parse-names":false,"suffix":""}],"container-title":"Geostandards and Geoanalytical Research","id":"ITEM-1","issue":"3","issued":{"date-parts":[["2005"]]},"page":"333-338","title":"GeoReM: A new geochemical database for reference materials and isotopic standards","type":"article-journal","volume":"29"},"uris":["http://www.mendeley.com/documents/?uuid=f3140bc3-5efd-4ed7-9603-ca98cd67c32b"]}],"mendeley":{"formattedCitation":"(Jochum et al., 2005)","plainTextFormattedCitation":"(Jochum et al., 2005)","previouslyFormattedCitation":"(Jochum et al., 2005)"},"properties":{"noteIndex":0},"schema":"https://github.com/citation-style-language/schema/raw/master/csl-citation.json"}</w:instrText>
      </w:r>
      <w:r>
        <w:fldChar w:fldCharType="separate"/>
      </w:r>
      <w:r w:rsidRPr="6F96FD7C">
        <w:rPr>
          <w:noProof/>
        </w:rPr>
        <w:t>(Jochum et al., 2005)</w:t>
      </w:r>
      <w:r>
        <w:fldChar w:fldCharType="end"/>
      </w:r>
      <w:r>
        <w:t xml:space="preserve">.  </w:t>
      </w:r>
    </w:p>
    <w:p w14:paraId="188EA999" w14:textId="1A00AFC4" w:rsidR="00F00EB2" w:rsidRDefault="008D10C3" w:rsidP="00F24389">
      <w:pPr>
        <w:pStyle w:val="Heading2"/>
        <w:spacing w:line="360" w:lineRule="auto"/>
      </w:pPr>
      <w:bookmarkStart w:id="26" w:name="_Toc109036119"/>
      <w:r>
        <w:t xml:space="preserve">4. </w:t>
      </w:r>
      <w:r w:rsidR="00F00EB2">
        <w:t>Analytical and Thermometric Results</w:t>
      </w:r>
      <w:bookmarkEnd w:id="26"/>
      <w:r w:rsidR="00F00EB2">
        <w:t xml:space="preserve"> </w:t>
      </w:r>
    </w:p>
    <w:p w14:paraId="340D18DE" w14:textId="06C03FC5" w:rsidR="00F00EB2" w:rsidRPr="00AC3D41" w:rsidRDefault="008D10C3" w:rsidP="00F24389">
      <w:pPr>
        <w:pStyle w:val="Heading3"/>
        <w:spacing w:line="360" w:lineRule="auto"/>
      </w:pPr>
      <w:bookmarkStart w:id="27" w:name="_Toc109036120"/>
      <w:r>
        <w:t xml:space="preserve">4.1 </w:t>
      </w:r>
      <w:r w:rsidR="00F00EB2" w:rsidRPr="00AC3D41">
        <w:t>Major elements</w:t>
      </w:r>
      <w:bookmarkEnd w:id="27"/>
    </w:p>
    <w:p w14:paraId="5EC29BAD" w14:textId="77777777" w:rsidR="002D28EA" w:rsidRDefault="00F00EB2" w:rsidP="00140C59">
      <w:pPr>
        <w:spacing w:line="360" w:lineRule="auto"/>
        <w:ind w:firstLine="360"/>
      </w:pPr>
      <w:r>
        <w:t xml:space="preserve">Major elements in clinopyroxene, orthopyroxene, plagioclase, olivine, and spinel are presented in Tables </w:t>
      </w:r>
      <w:r w:rsidR="005C3691">
        <w:t>1.</w:t>
      </w:r>
      <w:r w:rsidR="00D16C85">
        <w:t>5</w:t>
      </w:r>
      <w:r>
        <w:t>-</w:t>
      </w:r>
      <w:r w:rsidR="006B5A3B">
        <w:t>11</w:t>
      </w:r>
      <w:r w:rsidR="00D16C85">
        <w:t xml:space="preserve"> </w:t>
      </w:r>
      <w:r w:rsidR="006B5A3B">
        <w:t>(Attachment Chapter_1_Data_Tables.xlsx)</w:t>
      </w:r>
      <w:r>
        <w:t xml:space="preserve"> respectively, as averages, with 1σ standard deviations of replicate analyses for each thin section (see Section 4.1.1 for a description of major element zoning). Averaged major element variations in plagioclase, clinopyroxene, olivine and spinel are plotted in Figure </w:t>
      </w:r>
      <w:r w:rsidR="005C3691">
        <w:t>1.</w:t>
      </w:r>
      <w:r>
        <w:t xml:space="preserve">3. Samples from Hess Deep are shown as orange diamonds, </w:t>
      </w:r>
      <w:proofErr w:type="spellStart"/>
      <w:r>
        <w:t>OmanDP</w:t>
      </w:r>
      <w:proofErr w:type="spellEnd"/>
      <w:r>
        <w:t xml:space="preserve"> samples are </w:t>
      </w:r>
    </w:p>
    <w:p w14:paraId="77FC34BD" w14:textId="77777777" w:rsidR="002D28EA" w:rsidRDefault="002D28EA" w:rsidP="002D28EA">
      <w:pPr>
        <w:pStyle w:val="BodyTextFirstIndent"/>
        <w:keepNext/>
        <w:ind w:firstLine="0"/>
        <w:jc w:val="center"/>
      </w:pPr>
      <w:r>
        <w:rPr>
          <w:noProof/>
        </w:rPr>
        <w:lastRenderedPageBreak/>
        <w:drawing>
          <wp:anchor distT="0" distB="0" distL="114300" distR="114300" simplePos="0" relativeHeight="251648000" behindDoc="0" locked="0" layoutInCell="1" allowOverlap="1" wp14:anchorId="4DC5B99E" wp14:editId="59FF15AE">
            <wp:simplePos x="0" y="0"/>
            <wp:positionH relativeFrom="column">
              <wp:posOffset>704850</wp:posOffset>
            </wp:positionH>
            <wp:positionV relativeFrom="paragraph">
              <wp:posOffset>0</wp:posOffset>
            </wp:positionV>
            <wp:extent cx="4530406" cy="6372225"/>
            <wp:effectExtent l="0" t="0" r="0" b="0"/>
            <wp:wrapTopAndBottom/>
            <wp:docPr id="49" name="Picture 1" descr="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49" name="Picture 1" descr="Calenda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30406" cy="6372225"/>
                    </a:xfrm>
                    <a:prstGeom prst="rect">
                      <a:avLst/>
                    </a:prstGeom>
                  </pic:spPr>
                </pic:pic>
              </a:graphicData>
            </a:graphic>
          </wp:anchor>
        </w:drawing>
      </w:r>
    </w:p>
    <w:p w14:paraId="731244A4" w14:textId="40115CBE" w:rsidR="002D28EA" w:rsidRDefault="002D28EA" w:rsidP="002D28EA">
      <w:bookmarkStart w:id="28" w:name="_Toc109738665"/>
      <w:r w:rsidRPr="00C17E5E">
        <w:rPr>
          <w:sz w:val="20"/>
          <w:szCs w:val="20"/>
        </w:rPr>
        <w:t xml:space="preserve">Figure </w:t>
      </w:r>
      <w:r>
        <w:rPr>
          <w:sz w:val="20"/>
          <w:szCs w:val="20"/>
        </w:rPr>
        <w:t>1.</w:t>
      </w:r>
      <w:r>
        <w:rPr>
          <w:b/>
          <w:bCs/>
          <w:sz w:val="20"/>
          <w:szCs w:val="20"/>
        </w:rPr>
        <w:fldChar w:fldCharType="begin"/>
      </w:r>
      <w:r>
        <w:rPr>
          <w:sz w:val="20"/>
          <w:szCs w:val="20"/>
        </w:rPr>
        <w:instrText xml:space="preserve"> SEQ Figure \* ARABIC \s 1 </w:instrText>
      </w:r>
      <w:r>
        <w:rPr>
          <w:b/>
          <w:bCs/>
          <w:sz w:val="20"/>
          <w:szCs w:val="20"/>
        </w:rPr>
        <w:fldChar w:fldCharType="separate"/>
      </w:r>
      <w:r w:rsidR="008701A2">
        <w:rPr>
          <w:noProof/>
          <w:sz w:val="20"/>
          <w:szCs w:val="20"/>
        </w:rPr>
        <w:t>3</w:t>
      </w:r>
      <w:r>
        <w:rPr>
          <w:b/>
          <w:bCs/>
          <w:sz w:val="20"/>
          <w:szCs w:val="20"/>
        </w:rPr>
        <w:fldChar w:fldCharType="end"/>
      </w:r>
      <w:r w:rsidRPr="00C17E5E">
        <w:rPr>
          <w:sz w:val="20"/>
          <w:szCs w:val="20"/>
        </w:rPr>
        <w:t>.</w:t>
      </w:r>
      <w:r w:rsidRPr="00C17E5E">
        <w:rPr>
          <w:sz w:val="16"/>
          <w:szCs w:val="16"/>
        </w:rPr>
        <w:t xml:space="preserve"> </w:t>
      </w:r>
      <w:r w:rsidRPr="00E90C9E">
        <w:rPr>
          <w:sz w:val="20"/>
          <w:szCs w:val="20"/>
        </w:rPr>
        <w:t>Variations in major element compositions of minerals in samples from this study (averages) and the literature. Gabbros are shown in the first row (a, b) and peridotites are shown in the second and third rows (c-f). Samples from this study are shown as orange diamonds (Hess Deep) and purple squares (</w:t>
      </w:r>
      <w:proofErr w:type="spellStart"/>
      <w:r w:rsidRPr="00E90C9E">
        <w:rPr>
          <w:sz w:val="20"/>
          <w:szCs w:val="20"/>
        </w:rPr>
        <w:t>OmanDP</w:t>
      </w:r>
      <w:proofErr w:type="spellEnd"/>
      <w:r w:rsidRPr="00E90C9E">
        <w:rPr>
          <w:sz w:val="20"/>
          <w:szCs w:val="20"/>
        </w:rPr>
        <w:t xml:space="preserve">). Ophiolitic gabbros and peridotites from </w:t>
      </w:r>
      <w:proofErr w:type="spellStart"/>
      <w:r w:rsidRPr="00E90C9E">
        <w:rPr>
          <w:sz w:val="20"/>
          <w:szCs w:val="20"/>
        </w:rPr>
        <w:t>petDB</w:t>
      </w:r>
      <w:proofErr w:type="spellEnd"/>
      <w:r w:rsidRPr="00E90C9E">
        <w:rPr>
          <w:sz w:val="20"/>
          <w:szCs w:val="20"/>
        </w:rPr>
        <w:t xml:space="preserve"> and </w:t>
      </w:r>
      <w:r w:rsidRPr="00E90C9E">
        <w:rPr>
          <w:b/>
          <w:bCs/>
          <w:i/>
          <w:iCs/>
          <w:sz w:val="20"/>
          <w:szCs w:val="20"/>
        </w:rPr>
        <w:fldChar w:fldCharType="begin" w:fldLock="1"/>
      </w:r>
      <w:r w:rsidRPr="00E90C9E">
        <w:rPr>
          <w:sz w:val="20"/>
          <w:szCs w:val="20"/>
        </w:rPr>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2017)","manualFormatting":"Dygert et al., 2017","plainTextFormattedCitation":"(Dygert et al., 2017)","previouslyFormattedCitation":"(Dygert et al., 2017)"},"properties":{"noteIndex":0},"schema":"https://github.com/citation-style-language/schema/raw/master/csl-citation.json"}</w:instrText>
      </w:r>
      <w:r w:rsidRPr="00E90C9E">
        <w:rPr>
          <w:b/>
          <w:bCs/>
          <w:i/>
          <w:iCs/>
          <w:sz w:val="20"/>
          <w:szCs w:val="20"/>
        </w:rPr>
        <w:fldChar w:fldCharType="separate"/>
      </w:r>
      <w:r w:rsidRPr="00E90C9E">
        <w:rPr>
          <w:noProof/>
          <w:sz w:val="20"/>
          <w:szCs w:val="20"/>
        </w:rPr>
        <w:t>Dygert et al., 2017</w:t>
      </w:r>
      <w:r w:rsidRPr="00E90C9E">
        <w:rPr>
          <w:b/>
          <w:bCs/>
          <w:i/>
          <w:iCs/>
          <w:sz w:val="20"/>
          <w:szCs w:val="20"/>
        </w:rPr>
        <w:fldChar w:fldCharType="end"/>
      </w:r>
      <w:r w:rsidRPr="00E90C9E">
        <w:rPr>
          <w:sz w:val="20"/>
          <w:szCs w:val="20"/>
        </w:rPr>
        <w:t xml:space="preserve">, are shown as gray and blue dots, respectively, and abyssal peridotites from </w:t>
      </w:r>
      <w:r w:rsidRPr="00E90C9E">
        <w:rPr>
          <w:b/>
          <w:bCs/>
          <w:i/>
          <w:iCs/>
          <w:sz w:val="20"/>
          <w:szCs w:val="20"/>
        </w:rPr>
        <w:fldChar w:fldCharType="begin" w:fldLock="1"/>
      </w:r>
      <w:r w:rsidRPr="00E90C9E">
        <w:rPr>
          <w:sz w:val="20"/>
          <w:szCs w:val="20"/>
        </w:rPr>
        <w:instrText>ADDIN CSL_CITATION {"citationItems":[{"id":"ITEM-1","itemData":{"DOI":"10.1016/j.lithos.2015.12.023","ISBN":"0024-4937","ISSN":"18726143","abstract":"Abyssal peridotites are ultramafic rocks collected from mid-ocean ridges that are the residues of adiabatic decompression melting. Their compositions provide information on the degree of melting and melt-rock interaction involved in the formation of oceanic lithosphere, as well as providing constraints on pre-existing mantle heterogeneities. This review presents a compilation of abyssal peridotite geochemical data (modes, mineral major elements, and clinopyroxene trace elements) for &gt; 1200 samples from 53 localities on 6 major ridge systems. On the basis of composition and petrography, peridotites are classified into one of five lithological groups: (1) residual peridotite, (2) dunite, (3) gabbro-veined and/or plagioclase-bearing peridotite, (4) pyroxenite-veined peridotite, and (5) other types of melt-added peridotite. Almost a third of abyssal peridotites are veined, indicating that the oceanic lithospheric mantle is more fertile, on average, than estimates based on residual peridotites alone imply. All veins appear to have formed recently during melt transport beneath the ridge, though some pyroxenites may be derived from melting of recycled oceanic crust.A limited number of samples are available at intermediate and fast spreading rates, with samples from the East Pacific Rise indicating high degrees of melting. At slow and ultra-slow spreading rates, residual abyssal peridotites define a large (0-15% modal clinopyroxene and spinel Cr# = 0.1-0.6) compositional range. These variations do not match the prediction for how degree of melting should vary as a function of spreading rate. Instead, the compositional ranges of residual peridotites are derived from a combination of melting, melt-rock interaction and pre-existing compositional variability, where melt-rock interaction is used here as a general term to refer to the wide range of processes that can occur during melt transport in the mantle. Globally, ~10% of abyssal peridotites are refractory (0% clinopyroxene, spinel Cr# &gt; 0.5, bulk Al2O3&lt; 1 wt.%) and some ridge sections are dominated by harzburgites while lacking a significant basaltic crust. Abyssal ultramafic samples thus indicate that the mantle is multi-component, probably consisting of at least three components (lherzolite, harzburgite, and pyroxenite). Overall, the large compositional range among residual and melt-added peridotites implies that the oceanic lithospheric mantle is heterogeneous, which will lead to the generation of further he…","author":[{"dropping-particle":"","family":"Warren","given":"Jessica M.","non-dropping-particle":"","parse-names":false,"suffix":""}],"container-title":"Lithos","id":"ITEM-1","issued":{"date-parts":[["2016"]]},"page":"193-219","publisher":"The Author","title":"Global variations in abyssal peridotite compositions","type":"article-journal","volume":"248-251"},"uris":["http://www.mendeley.com/documents/?uuid=7663cc40-df48-4c9d-9c88-fd0e7eaa218f"]}],"mendeley":{"formattedCitation":"(Warren, 2016)","manualFormatting":"Warren, 2016","plainTextFormattedCitation":"(Warren, 2016)","previouslyFormattedCitation":"(Warren, 2016)"},"properties":{"noteIndex":0},"schema":"https://github.com/citation-style-language/schema/raw/master/csl-citation.json"}</w:instrText>
      </w:r>
      <w:r w:rsidRPr="00E90C9E">
        <w:rPr>
          <w:b/>
          <w:bCs/>
          <w:i/>
          <w:iCs/>
          <w:sz w:val="20"/>
          <w:szCs w:val="20"/>
        </w:rPr>
        <w:fldChar w:fldCharType="separate"/>
      </w:r>
      <w:r w:rsidRPr="00E90C9E">
        <w:rPr>
          <w:noProof/>
          <w:sz w:val="20"/>
          <w:szCs w:val="20"/>
        </w:rPr>
        <w:t>Warren, 2016</w:t>
      </w:r>
      <w:r w:rsidRPr="00E90C9E">
        <w:rPr>
          <w:b/>
          <w:bCs/>
          <w:i/>
          <w:iCs/>
          <w:sz w:val="20"/>
          <w:szCs w:val="20"/>
        </w:rPr>
        <w:fldChar w:fldCharType="end"/>
      </w:r>
      <w:r w:rsidRPr="00E90C9E">
        <w:rPr>
          <w:sz w:val="20"/>
          <w:szCs w:val="20"/>
        </w:rPr>
        <w:t>, are shown as gray dots. MgO in plagioclase data shown in (a) and used in thermometric interpretations (this study) were collected by LA-ICP-MS. We note MgO concentrations in the literature data shown in (a) may not have been collected under optimized analytical conditions, perhaps accounting for some of the scatter.</w:t>
      </w:r>
      <w:bookmarkEnd w:id="28"/>
      <w:r>
        <w:br w:type="page"/>
      </w:r>
    </w:p>
    <w:p w14:paraId="2BCF035A" w14:textId="6ADB1DC7" w:rsidR="00904D4C" w:rsidRDefault="00F00EB2" w:rsidP="002D28EA">
      <w:pPr>
        <w:spacing w:line="360" w:lineRule="auto"/>
      </w:pPr>
      <w:r>
        <w:lastRenderedPageBreak/>
        <w:t xml:space="preserve">shown as purple </w:t>
      </w:r>
      <w:proofErr w:type="gramStart"/>
      <w:r>
        <w:t>squares, and</w:t>
      </w:r>
      <w:proofErr w:type="gramEnd"/>
      <w:r>
        <w:t xml:space="preserve"> are compared to ophiolitic and abyssal data from the literature (blue and gray circles, respectively). In general, among both gabbros (Figures </w:t>
      </w:r>
      <w:r w:rsidR="005C3691">
        <w:t>1.</w:t>
      </w:r>
      <w:r>
        <w:t xml:space="preserve">3a, b) and peridotites (Figures </w:t>
      </w:r>
      <w:r w:rsidR="005C3691">
        <w:t>1.</w:t>
      </w:r>
      <w:r>
        <w:t xml:space="preserve">3c-f), mineral compositions for the two localities cluster tightly compared to the global distribution of abyssal and ophiolitic data. In gabbroic plagioclase, </w:t>
      </w:r>
      <w:proofErr w:type="spellStart"/>
      <w:r>
        <w:t>X</w:t>
      </w:r>
      <w:r w:rsidRPr="12A4365E">
        <w:rPr>
          <w:vertAlign w:val="subscript"/>
        </w:rPr>
        <w:t>An</w:t>
      </w:r>
      <w:proofErr w:type="spellEnd"/>
      <w:r>
        <w:t xml:space="preserve"> (Ca/(</w:t>
      </w:r>
      <w:proofErr w:type="spellStart"/>
      <w:r>
        <w:t>Ca+Na</w:t>
      </w:r>
      <w:proofErr w:type="spellEnd"/>
      <w:r>
        <w:t xml:space="preserve">), in moles) ranges from ~0.65 to 0.9 (Figure </w:t>
      </w:r>
      <w:r w:rsidR="005C3691">
        <w:t>1.</w:t>
      </w:r>
      <w:r>
        <w:t xml:space="preserve">3a), while plagioclase MgO abundances plot near the upper end of the global distribution (~0.5-0.12 </w:t>
      </w:r>
      <w:proofErr w:type="spellStart"/>
      <w:r>
        <w:t>wt</w:t>
      </w:r>
      <w:proofErr w:type="spellEnd"/>
      <w:r>
        <w:t xml:space="preserve">%). In clinopyroxene-saturated systems, partitioning of Mg in plagioclase is known to be temperature dependent, with higher temperatures favoring higher Mg concentrations </w:t>
      </w:r>
      <w:r>
        <w:fldChar w:fldCharType="begin" w:fldLock="1"/>
      </w:r>
      <w:r>
        <w:instrText>ADDIN CSL_CITATION {"citationItems":[{"id":"ITEM-1","itemData":{"DOI":"10.1016/j.gca.2013.05.009","ISSN":"00167037","abstract":"The temperature-sensitive exchange of Mg between plagioclase (Pl) and clinopyroxene (Cpx) has been studied experimentally, accounting for different anorthite-contents in plagioclase (XAn) and various silica activities (aSiO2) in the system. The partitioning of Mg between plagioclase and clinopyroxene was determined over a temperature range of 1100-1200°C, using plagioclase single crystals of different compositions (XAn=0.5-0.8), surrounded by different clinopyroxene-bearing matrix powders to account for different silica activities from 0.55 to 1.0. The experimental design also allows the diffusivity (DMgPl) of Mg in plagioclase under these conditions to be determined. Both KMgPl/Cpx (defined as KMgPl/Cpx=CMgPl/CMgCpx) and DMgPl decrease with temperature and increase with aSiO2. Isothermal data for different XAnin plagioclase show a linear increase of lnKMgPl/Cpx with increasing XAn, but DMgPl appears to be insensitive to XAn. The partitioning data allow a new geothermometer to be calibrated, which may be widely applicable to terrestrial and extraterrestrial rocks where plagioclase and clinopyroxene coexist:T[K]=(-9219+2034XAn)/(lnKMgPl/Cpx-1.6-lnaSiO2).Application of this geothermometer to experimental data from this study reproduces the experimental temperatures within ±20. °C. Diffusion of Mg in plagioclase is described by. DMgPl[m2s-1]=1.25×10-4[m2s-1]exp(-320,924[J mol-1]/(RT))(aSiO2)2.6. © 2013 Elsevier Ltd.","author":[{"dropping-particle":"","family":"Faak","given":"Kathrin","non-dropping-particle":"","parse-names":false,"suffix":""},{"dropping-particle":"","family":"Chakraborty","given":"Sumit","non-dropping-particle":"","parse-names":false,"suffix":""},{"dropping-particle":"","family":"Coogan","given":"Laurence A.","non-dropping-particle":"","parse-names":false,"suffix":""}],"container-title":"Geochimica et Cosmochimica Acta","id":"ITEM-1","issued":{"date-parts":[["2013"]]},"page":"195-217","publisher":"Elsevier Ltd","title":"Mg in plagioclase: Experimental calibration of a new geothermometer and diffusion coefficients","type":"article-journal","volume":"123"},"uris":["http://www.mendeley.com/documents/?uuid=70e470b4-f719-42d7-b2c4-1edc3d25d270"]},{"id":"ITEM-2","itemData":{"DOI":"10.1016/j.epsl.2018.01.032","ISSN":"0012821X","abstract":"A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Letters","id":"ITEM-2","issued":{"date-parts":[["2018","2","12"]]},"page":"165-178","publisher":"Elsevier B.V.","title":"aFormation of fast-spreading lower oceanic crust as revealed by a new Mg–REE coupled geospeedometer","type":"article-journal","volume":"487"},"uris":["http://www.mendeley.com/documents/?uuid=f486dd42-88a6-4fd7-8dea-0a2ba656c4dd"]}],"mendeley":{"formattedCitation":"(Faak et al., 2013; Sun &amp; Lissenberg, 2018a)","plainTextFormattedCitation":"(Faak et al., 2013; Sun &amp; Lissenberg, 2018a)","previouslyFormattedCitation":"(Faak et al., 2013; Sun &amp; Lissenberg, 2018a)"},"properties":{"noteIndex":0},"schema":"https://github.com/citation-style-language/schema/raw/master/csl-citation.json"}</w:instrText>
      </w:r>
      <w:r>
        <w:fldChar w:fldCharType="separate"/>
      </w:r>
      <w:r w:rsidRPr="12A4365E">
        <w:rPr>
          <w:noProof/>
        </w:rPr>
        <w:t>(Faak et al., 2013; Sun &amp; Lissenberg, 2018a)</w:t>
      </w:r>
      <w:r>
        <w:fldChar w:fldCharType="end"/>
      </w:r>
      <w:r>
        <w:t xml:space="preserve">. Slow cooling from magmatic temperatures would promote temperature-dependent exchange (loss) of </w:t>
      </w:r>
    </w:p>
    <w:p w14:paraId="593D5247" w14:textId="10691ECB" w:rsidR="00F00EB2" w:rsidRDefault="00F00EB2" w:rsidP="00904D4C">
      <w:pPr>
        <w:spacing w:line="360" w:lineRule="auto"/>
      </w:pPr>
      <w:r>
        <w:t>Mg in plagioclase for Ca with clinopyroxene, while fast cooling from magmatic temperatures would lock in the elevated Mg concentrations associated with magmatic temperatures. Thus, the high MgO abundances observed here may be consistent with relatively fast cooling of the gabbros from high initial temperatures. Gabbroic clinopyroxenes demonstrate a broad range of TiO</w:t>
      </w:r>
      <w:r w:rsidRPr="12A4365E">
        <w:rPr>
          <w:vertAlign w:val="subscript"/>
        </w:rPr>
        <w:t>2</w:t>
      </w:r>
      <w:r>
        <w:t xml:space="preserve"> (0-0.2 </w:t>
      </w:r>
      <w:proofErr w:type="spellStart"/>
      <w:r>
        <w:t>wt</w:t>
      </w:r>
      <w:proofErr w:type="spellEnd"/>
      <w:r>
        <w:t>%) and fall in the middle of the global Al</w:t>
      </w:r>
      <w:r w:rsidRPr="12A4365E">
        <w:rPr>
          <w:vertAlign w:val="subscript"/>
        </w:rPr>
        <w:t>2</w:t>
      </w:r>
      <w:r>
        <w:t>O</w:t>
      </w:r>
      <w:r w:rsidRPr="12A4365E">
        <w:rPr>
          <w:vertAlign w:val="subscript"/>
        </w:rPr>
        <w:t>3</w:t>
      </w:r>
      <w:r>
        <w:t xml:space="preserve"> distribution (2-4 </w:t>
      </w:r>
      <w:proofErr w:type="spellStart"/>
      <w:r>
        <w:t>wt</w:t>
      </w:r>
      <w:proofErr w:type="spellEnd"/>
      <w:r>
        <w:t xml:space="preserve">%, Figure </w:t>
      </w:r>
      <w:r w:rsidR="005C3691">
        <w:t>1.</w:t>
      </w:r>
      <w:r>
        <w:t xml:space="preserve">3b). Gabbroic </w:t>
      </w:r>
      <w:proofErr w:type="spellStart"/>
      <w:r>
        <w:t>olivines</w:t>
      </w:r>
      <w:proofErr w:type="spellEnd"/>
      <w:r>
        <w:t xml:space="preserve"> (Table </w:t>
      </w:r>
      <w:r w:rsidR="00D16C85">
        <w:t>1.8</w:t>
      </w:r>
      <w:r>
        <w:t xml:space="preserve">, not shown in Figure </w:t>
      </w:r>
      <w:r w:rsidR="005C3691">
        <w:t>1.</w:t>
      </w:r>
      <w:r>
        <w:t xml:space="preserve">3) have </w:t>
      </w:r>
      <w:proofErr w:type="spellStart"/>
      <w:r>
        <w:t>Mg#s</w:t>
      </w:r>
      <w:proofErr w:type="spellEnd"/>
      <w:r>
        <w:t xml:space="preserve"> </w:t>
      </w:r>
      <w:r>
        <w:rPr>
          <w:bdr w:val="none" w:sz="0" w:space="0" w:color="auto" w:frame="1"/>
        </w:rPr>
        <w:t>(Mg/(</w:t>
      </w:r>
      <w:proofErr w:type="spellStart"/>
      <w:r>
        <w:rPr>
          <w:bdr w:val="none" w:sz="0" w:space="0" w:color="auto" w:frame="1"/>
        </w:rPr>
        <w:t>Mg+</w:t>
      </w:r>
      <w:proofErr w:type="gramStart"/>
      <w:r>
        <w:rPr>
          <w:bdr w:val="none" w:sz="0" w:space="0" w:color="auto" w:frame="1"/>
        </w:rPr>
        <w:t>Fe</w:t>
      </w:r>
      <w:proofErr w:type="spellEnd"/>
      <w:r>
        <w:rPr>
          <w:bdr w:val="none" w:sz="0" w:space="0" w:color="auto" w:frame="1"/>
        </w:rPr>
        <w:t>)*</w:t>
      </w:r>
      <w:proofErr w:type="gramEnd"/>
      <w:r>
        <w:rPr>
          <w:bdr w:val="none" w:sz="0" w:space="0" w:color="auto" w:frame="1"/>
        </w:rPr>
        <w:t xml:space="preserve">100, in moles) </w:t>
      </w:r>
      <w:r>
        <w:t xml:space="preserve">of 74-89 which decrease </w:t>
      </w:r>
      <w:proofErr w:type="spellStart"/>
      <w:r>
        <w:t>downsection</w:t>
      </w:r>
      <w:proofErr w:type="spellEnd"/>
      <w:r>
        <w:t xml:space="preserve">; all have </w:t>
      </w:r>
      <w:proofErr w:type="spellStart"/>
      <w:r>
        <w:t>CaO</w:t>
      </w:r>
      <w:proofErr w:type="spellEnd"/>
      <w:r>
        <w:t xml:space="preserve"> abundances of ~0.04 </w:t>
      </w:r>
      <w:proofErr w:type="spellStart"/>
      <w:r>
        <w:t>wt</w:t>
      </w:r>
      <w:proofErr w:type="spellEnd"/>
      <w:r>
        <w:t>%.</w:t>
      </w:r>
    </w:p>
    <w:p w14:paraId="76B3C373" w14:textId="76C55544" w:rsidR="00F00EB2" w:rsidRPr="00270937" w:rsidRDefault="00F00EB2" w:rsidP="001E0B34">
      <w:pPr>
        <w:spacing w:line="360" w:lineRule="auto"/>
        <w:ind w:firstLine="360"/>
        <w:rPr>
          <w:rFonts w:eastAsiaTheme="minorEastAsia"/>
        </w:rPr>
      </w:pPr>
      <w:r>
        <w:t xml:space="preserve">In </w:t>
      </w:r>
      <w:proofErr w:type="spellStart"/>
      <w:r>
        <w:t>peridotitic</w:t>
      </w:r>
      <w:proofErr w:type="spellEnd"/>
      <w:r>
        <w:t xml:space="preserve"> clinopyroxenes, Al</w:t>
      </w:r>
      <w:r w:rsidRPr="00AC3D41">
        <w:rPr>
          <w:vertAlign w:val="subscript"/>
        </w:rPr>
        <w:t>2</w:t>
      </w:r>
      <w:r>
        <w:t>O</w:t>
      </w:r>
      <w:r w:rsidRPr="00AC3D41">
        <w:rPr>
          <w:vertAlign w:val="subscript"/>
        </w:rPr>
        <w:t>3</w:t>
      </w:r>
      <w:r>
        <w:t xml:space="preserve"> and TiO</w:t>
      </w:r>
      <w:r w:rsidRPr="00AC3D41">
        <w:rPr>
          <w:vertAlign w:val="subscript"/>
        </w:rPr>
        <w:t>2</w:t>
      </w:r>
      <w:r>
        <w:t xml:space="preserve"> from both localities cluster at the lower end of the ranges exhibited by ophiolites and abyssal peridotites globally (Figure </w:t>
      </w:r>
      <w:r w:rsidR="005C3691">
        <w:t>1.</w:t>
      </w:r>
      <w:r>
        <w:t>3c); orthopyroxenes are similarly depleted in Al</w:t>
      </w:r>
      <w:r w:rsidRPr="00AC3D41">
        <w:rPr>
          <w:vertAlign w:val="subscript"/>
        </w:rPr>
        <w:t>2</w:t>
      </w:r>
      <w:r>
        <w:t>O</w:t>
      </w:r>
      <w:r w:rsidRPr="00AC3D41">
        <w:rPr>
          <w:vertAlign w:val="subscript"/>
        </w:rPr>
        <w:t>3</w:t>
      </w:r>
      <w:r>
        <w:t xml:space="preserve"> (Figure </w:t>
      </w:r>
      <w:r w:rsidR="005C3691">
        <w:t>1.</w:t>
      </w:r>
      <w:r>
        <w:t xml:space="preserve">3d). Low concentrations of these incompatible minor elements may be attributed to the high extents of melting experienced by these melting residues. </w:t>
      </w:r>
      <w:proofErr w:type="spellStart"/>
      <w:r>
        <w:t>CaO</w:t>
      </w:r>
      <w:proofErr w:type="spellEnd"/>
      <w:r>
        <w:t xml:space="preserve"> in orthopyroxenes is high compared to many other ophiolitic rocks but in the middle of the range of abyssal peridotites (1.5-2.5 </w:t>
      </w:r>
      <w:proofErr w:type="spellStart"/>
      <w:r>
        <w:t>wt</w:t>
      </w:r>
      <w:proofErr w:type="spellEnd"/>
      <w:r>
        <w:t xml:space="preserve">%, Figure </w:t>
      </w:r>
      <w:r w:rsidR="005C3691">
        <w:t>1.</w:t>
      </w:r>
      <w:r>
        <w:t xml:space="preserve">3d). As exchange of </w:t>
      </w:r>
      <w:proofErr w:type="spellStart"/>
      <w:r>
        <w:t>CaO</w:t>
      </w:r>
      <w:proofErr w:type="spellEnd"/>
      <w:r>
        <w:t xml:space="preserve"> between orthopyroxene and clinopyroxene around the pyroxene solvus is temperature dependent, the elevated </w:t>
      </w:r>
      <w:proofErr w:type="spellStart"/>
      <w:r>
        <w:t>CaO</w:t>
      </w:r>
      <w:proofErr w:type="spellEnd"/>
      <w:r>
        <w:t xml:space="preserve"> abundances suggest relatively fast cooling of the Hess Deep and </w:t>
      </w:r>
      <w:proofErr w:type="spellStart"/>
      <w:r>
        <w:t>OmanDP</w:t>
      </w:r>
      <w:proofErr w:type="spellEnd"/>
      <w:r>
        <w:t xml:space="preserve"> peridotites from high initial </w:t>
      </w:r>
      <w:r w:rsidRPr="00337B6C">
        <w:t xml:space="preserve">temperatures </w:t>
      </w:r>
      <w:r w:rsidRPr="00337B6C">
        <w:fldChar w:fldCharType="begin" w:fldLock="1"/>
      </w:r>
      <w:r>
        <w:instrText>ADDIN CSL_CITATION {"citationItems":[{"id":"ITEM-1","itemData":{"DOI":"https://doi.org/10.1093/petrology/31.6.1353","author":[{"dropping-particle":"","family":"Brey","given":"G. P.","non-dropping-particle":"","parse-names":false,"suffix":""},{"dropping-particle":"","family":"Köhler","given":"T. P.","non-dropping-particle":"","parse-names":false,"suffix":""}],"container-title":"Journal of Petrology","id":"ITEM-1","issue":"6","issued":{"date-parts":[["1990"]]},"page":"1353-1378","title":"Geothermobarometry in Four-phase Lherzolites II . New Thermobarometers , and Practical Assessment of Existing Thermobarometers","type":"article-journal","volume":"31"},"prefix":"e.g. ","uris":["http://www.mendeley.com/documents/?uuid=a74c01ed-42e1-4e11-8756-60a802850c71"]}],"mendeley":{"formattedCitation":"(e.g. Brey &amp; Köhler, 1990)","plainTextFormattedCitation":"(e.g. Brey &amp; Köhler, 1990)","previouslyFormattedCitation":"(e.g. Brey &amp; Köhler, 1990)"},"properties":{"noteIndex":0},"schema":"https://github.com/citation-style-language/schema/raw/master/csl-citation.json"}</w:instrText>
      </w:r>
      <w:r w:rsidRPr="00337B6C">
        <w:fldChar w:fldCharType="separate"/>
      </w:r>
      <w:r w:rsidRPr="00337B6C">
        <w:rPr>
          <w:noProof/>
        </w:rPr>
        <w:t>(e.g. Brey &amp; Köhler, 1990)</w:t>
      </w:r>
      <w:r w:rsidRPr="00337B6C">
        <w:fldChar w:fldCharType="end"/>
      </w:r>
      <w:r w:rsidRPr="00337B6C">
        <w:t>.</w:t>
      </w:r>
      <w:r w:rsidRPr="5DE9AB8D">
        <w:rPr>
          <w:rFonts w:eastAsiaTheme="minorEastAsia"/>
        </w:rPr>
        <w:t xml:space="preserve"> </w:t>
      </w:r>
    </w:p>
    <w:p w14:paraId="7559B4C9" w14:textId="73539BF6" w:rsidR="00F00EB2" w:rsidRPr="002C3385" w:rsidRDefault="00F00EB2" w:rsidP="00F24389">
      <w:pPr>
        <w:spacing w:line="360" w:lineRule="auto"/>
        <w:ind w:firstLine="360"/>
        <w:rPr>
          <w:rFonts w:eastAsiaTheme="minorEastAsia"/>
          <w:bdr w:val="none" w:sz="0" w:space="0" w:color="auto" w:frame="1"/>
        </w:rPr>
      </w:pPr>
      <w:r>
        <w:rPr>
          <w:bdr w:val="none" w:sz="0" w:space="0" w:color="auto" w:frame="1"/>
        </w:rPr>
        <w:t xml:space="preserve">In Figure </w:t>
      </w:r>
      <w:r w:rsidR="005C3691">
        <w:rPr>
          <w:bdr w:val="none" w:sz="0" w:space="0" w:color="auto" w:frame="1"/>
        </w:rPr>
        <w:t>1.</w:t>
      </w:r>
      <w:r>
        <w:rPr>
          <w:bdr w:val="none" w:sz="0" w:space="0" w:color="auto" w:frame="1"/>
        </w:rPr>
        <w:t xml:space="preserve">3e, the Mg# of the </w:t>
      </w:r>
      <w:proofErr w:type="spellStart"/>
      <w:r>
        <w:rPr>
          <w:bdr w:val="none" w:sz="0" w:space="0" w:color="auto" w:frame="1"/>
        </w:rPr>
        <w:t>peridotitic</w:t>
      </w:r>
      <w:proofErr w:type="spellEnd"/>
      <w:r>
        <w:rPr>
          <w:bdr w:val="none" w:sz="0" w:space="0" w:color="auto" w:frame="1"/>
        </w:rPr>
        <w:t xml:space="preserve"> </w:t>
      </w:r>
      <w:proofErr w:type="spellStart"/>
      <w:r>
        <w:rPr>
          <w:bdr w:val="none" w:sz="0" w:space="0" w:color="auto" w:frame="1"/>
        </w:rPr>
        <w:t>olivines</w:t>
      </w:r>
      <w:proofErr w:type="spellEnd"/>
      <w:r>
        <w:rPr>
          <w:bdr w:val="none" w:sz="0" w:space="0" w:color="auto" w:frame="1"/>
        </w:rPr>
        <w:t xml:space="preserve"> is compared to the Cr# (Cr/(</w:t>
      </w:r>
      <w:proofErr w:type="spellStart"/>
      <w:r>
        <w:rPr>
          <w:bdr w:val="none" w:sz="0" w:space="0" w:color="auto" w:frame="1"/>
        </w:rPr>
        <w:t>Cr+</w:t>
      </w:r>
      <w:proofErr w:type="gramStart"/>
      <w:r>
        <w:rPr>
          <w:bdr w:val="none" w:sz="0" w:space="0" w:color="auto" w:frame="1"/>
        </w:rPr>
        <w:t>Al</w:t>
      </w:r>
      <w:proofErr w:type="spellEnd"/>
      <w:r>
        <w:rPr>
          <w:bdr w:val="none" w:sz="0" w:space="0" w:color="auto" w:frame="1"/>
        </w:rPr>
        <w:t>)*</w:t>
      </w:r>
      <w:proofErr w:type="gramEnd"/>
      <w:r>
        <w:rPr>
          <w:bdr w:val="none" w:sz="0" w:space="0" w:color="auto" w:frame="1"/>
        </w:rPr>
        <w:t xml:space="preserve">100) in spinel. The </w:t>
      </w:r>
      <w:proofErr w:type="spellStart"/>
      <w:r w:rsidRPr="00AC3D41">
        <w:rPr>
          <w:bdr w:val="none" w:sz="0" w:space="0" w:color="auto" w:frame="1"/>
        </w:rPr>
        <w:t>Mg#</w:t>
      </w:r>
      <w:r>
        <w:rPr>
          <w:bdr w:val="none" w:sz="0" w:space="0" w:color="auto" w:frame="1"/>
        </w:rPr>
        <w:t>s</w:t>
      </w:r>
      <w:proofErr w:type="spellEnd"/>
      <w:r>
        <w:rPr>
          <w:bdr w:val="none" w:sz="0" w:space="0" w:color="auto" w:frame="1"/>
        </w:rPr>
        <w:t xml:space="preserve"> of </w:t>
      </w:r>
      <w:proofErr w:type="spellStart"/>
      <w:r>
        <w:rPr>
          <w:bdr w:val="none" w:sz="0" w:space="0" w:color="auto" w:frame="1"/>
        </w:rPr>
        <w:t>olivines</w:t>
      </w:r>
      <w:proofErr w:type="spellEnd"/>
      <w:r>
        <w:rPr>
          <w:bdr w:val="none" w:sz="0" w:space="0" w:color="auto" w:frame="1"/>
        </w:rPr>
        <w:t xml:space="preserve"> </w:t>
      </w:r>
      <w:proofErr w:type="gramStart"/>
      <w:r>
        <w:rPr>
          <w:bdr w:val="none" w:sz="0" w:space="0" w:color="auto" w:frame="1"/>
        </w:rPr>
        <w:t>are</w:t>
      </w:r>
      <w:proofErr w:type="gramEnd"/>
      <w:r>
        <w:rPr>
          <w:bdr w:val="none" w:sz="0" w:space="0" w:color="auto" w:frame="1"/>
        </w:rPr>
        <w:t xml:space="preserve"> consistent with normal values for </w:t>
      </w:r>
      <w:proofErr w:type="spellStart"/>
      <w:r>
        <w:rPr>
          <w:bdr w:val="none" w:sz="0" w:space="0" w:color="auto" w:frame="1"/>
        </w:rPr>
        <w:lastRenderedPageBreak/>
        <w:t>peridotitic</w:t>
      </w:r>
      <w:proofErr w:type="spellEnd"/>
      <w:r>
        <w:rPr>
          <w:bdr w:val="none" w:sz="0" w:space="0" w:color="auto" w:frame="1"/>
        </w:rPr>
        <w:t xml:space="preserve"> residues of partial melting (90.7-91.4). The Cr# in </w:t>
      </w:r>
      <w:proofErr w:type="spellStart"/>
      <w:r>
        <w:rPr>
          <w:bdr w:val="none" w:sz="0" w:space="0" w:color="auto" w:frame="1"/>
        </w:rPr>
        <w:t>spinels</w:t>
      </w:r>
      <w:proofErr w:type="spellEnd"/>
      <w:r>
        <w:rPr>
          <w:bdr w:val="none" w:sz="0" w:space="0" w:color="auto" w:frame="1"/>
        </w:rPr>
        <w:t xml:space="preserve"> (32-43) are near the high end of our compilation, but fall within the distribution of samples from abyssal environments (</w:t>
      </w:r>
      <w:proofErr w:type="spellStart"/>
      <w:r>
        <w:rPr>
          <w:bdr w:val="none" w:sz="0" w:space="0" w:color="auto" w:frame="1"/>
        </w:rPr>
        <w:t>Cr#s</w:t>
      </w:r>
      <w:proofErr w:type="spellEnd"/>
      <w:r>
        <w:rPr>
          <w:bdr w:val="none" w:sz="0" w:space="0" w:color="auto" w:frame="1"/>
        </w:rPr>
        <w:t xml:space="preserve"> &lt;60), consistent with adiabatic decompression melting in anhydrous sett</w:t>
      </w:r>
      <w:r w:rsidRPr="000428B3">
        <w:rPr>
          <w:bdr w:val="none" w:sz="0" w:space="0" w:color="auto" w:frame="1"/>
        </w:rPr>
        <w:t xml:space="preserve">ings </w:t>
      </w:r>
      <w:r w:rsidRPr="000428B3">
        <w:rPr>
          <w:bdr w:val="none" w:sz="0" w:space="0" w:color="auto" w:frame="1"/>
        </w:rPr>
        <w:fldChar w:fldCharType="begin" w:fldLock="1"/>
      </w:r>
      <w:r>
        <w:rPr>
          <w:bdr w:val="none" w:sz="0" w:space="0" w:color="auto" w:frame="1"/>
        </w:rPr>
        <w:instrText>ADDIN CSL_CITATION {"citationItems":[{"id":"ITEM-1","itemData":{"DOI":"10.1007/BF00373711","ISSN":"00107999","abstract":"The composition of chromian spinel in alpine-type peridotites has a large reciprocal range of Cr and Al, with increasing Cr# (Cr/(Cr+Al)) reflecting increasing degrees of partial melting in the mantle. Using spinel compositions, alpine-type peridotites can be divided into three groups. Type I peridotites and associated volcanic rocks contain spinels with Cr#&lt;0.60; Type III peridotites and associated volcanics contain spinels with Cr#&gt;0.60, and Type II peridotites and volcanics are a transitional group and contain spinels spanning the full range of spinel compositions in Type I and Type II peridotites. Spinels in abyssal peridotites lie entirely within the Type I spinel field, making ophiolites with Type I alpine-type peridotites the most likely candidates for sections of ocean lithosphere formed at a midocean ridge. The only modern analogs for Type III peridotites and associated volcanic rocks are found in arc-related volcanic and intrusive rocks, continental intrusive assemblages, and oceanic plateau basalts. We infer a sub-volcanic arc petrogenesis for most Type III alpine-type peridotites. Type II alpine-type peridotites apparently reflect composite origins, such as the formation of an island-arc on ocean crust, resulting in large variations in the degree and provenance of melting over relatively short distances. The essential difference between Type I and Type III peridotites appears to be the presence or absence of diopside in the residue at the end of melting. Based on an examination of co-existing rock and spinel compositions in lavas, it appears that spinel is a sensitive indicator of melt composition and pressure of crystallization. The close similarity of spinel composition fields in genetically related basalts, dunites and peridotites at localities in the oceans and in ophiolite complexes indicates that its composition reflects the degree of melting in the mantle source region. Accordingly, we infer from the restricted range of spinel compositions in abyssal basalts that the degree of mantle melting beneath mid-ocean ridges is generally limited to that found in Type I alpine-type peridotites. It is apparent, therefore, that the phase boundary OL-EN-DI-SP +melt</w:instrText>
      </w:r>
      <w:r>
        <w:rPr>
          <w:rFonts w:ascii="Cambria Math" w:hAnsi="Cambria Math" w:cs="Cambria Math"/>
          <w:bdr w:val="none" w:sz="0" w:space="0" w:color="auto" w:frame="1"/>
        </w:rPr>
        <w:instrText>⇋</w:instrText>
      </w:r>
      <w:r>
        <w:rPr>
          <w:bdr w:val="none" w:sz="0" w:space="0" w:color="auto" w:frame="1"/>
        </w:rPr>
        <w:instrText>OL-EN-SP+melt has limited the degree of melting of the mantle beneath mid-ocean ridges. This was clearly not the case for many alpine-type peridotites, implying very different melting conditions in the mantle, probably involving the presence of water. © 1984 Springer-Verlag.","author":[{"dropping-particle":"","family":"Dick","given":"Henry J.B.","non-dropping-particle":"","parse-names":false,"suffix":""},{"dropping-particle":"","family":"Bullen","given":"Thomas","non-dropping-particle":"","parse-names":false,"suffix":""}],"container-title":"Contributions to Mineralogy and Petrology","id":"ITEM-1","issue":"1","issued":{"date-parts":[["1984"]]},"page":"54-76","title":"Chromian spinel as a petrogenetic indicator in abyssal and alpine-type peridotites and spatially associated lavas","type":"article-journal","volume":"86"},"uris":["http://www.mendeley.com/documents/?uuid=7536ea82-5976-4e61-a0e5-9a51471b4613"]},{"id":"ITEM-2","itemData":{"ISSN":"00283649","abstract":"Spinel peridotites from the upper mantle have a narrow compositional range in terms of the combination of the Fo content of the olivine and Cr* (= Cr/(Cr + Al) atomic ratio) of chromian spinel, thus forming a narrow band on the Fe-Cr* plane which is defined as the olivine-spinel mantle array. Harzburgites and lherzolites, respectively, constitute the Cr*-rich and Cr*-poor halves of the array. The olivine-spinel mantle array is probably due to various degrees of magma extraction from some primitive mantle peridotite, and is severely altered by mantle metasomatism. The array terminates at approx Fo88 and Cr* 0.08 for the fertile end. The least depleted spinel peridotite can therefore be calculated by averaging bulk compositions of the peridotites located at the fertile end of the array. The least depleted spinel peridotite composition is surprisingly coincident with that of pyrolite, but has specified mineral compositions. The olivine- spinel mantle array can be used to evaluate the degrees both of magma extraction and of mantle metasomatism which mantle peridotites have experienced. -R.A.H.","author":[{"dropping-particle":"","family":"Arai","given":"S.","non-dropping-particle":"","parse-names":false,"suffix":""}],"container-title":"Neues Jahrbuch fur Mineralogie, Monatshefte","id":"ITEM-2","issue":"January 1987","issued":{"date-parts":[["1987"]]},"page":"347-354","title":"An estimation of the least depleted spinel peridotite on the basis of olivine-spinel mantle array.","type":"article-journal"},"prefix":"e.g. ","uris":["http://www.mendeley.com/documents/?uuid=7a7e534d-841b-4b58-abb9-d11f3ebe674a"]}],"mendeley":{"formattedCitation":"(e.g. Arai, 1987; Dick &amp; Bullen, 1984)","plainTextFormattedCitation":"(e.g. Arai, 1987; Dick &amp; Bullen, 1984)","previouslyFormattedCitation":"(e.g. Arai, 1987; Dick &amp; Bullen, 1984)"},"properties":{"noteIndex":0},"schema":"https://github.com/citation-style-language/schema/raw/master/csl-citation.json"}</w:instrText>
      </w:r>
      <w:r w:rsidRPr="000428B3">
        <w:rPr>
          <w:bdr w:val="none" w:sz="0" w:space="0" w:color="auto" w:frame="1"/>
        </w:rPr>
        <w:fldChar w:fldCharType="separate"/>
      </w:r>
      <w:r w:rsidRPr="000428B3">
        <w:rPr>
          <w:noProof/>
          <w:bdr w:val="none" w:sz="0" w:space="0" w:color="auto" w:frame="1"/>
        </w:rPr>
        <w:t>(e.g. Arai, 1987; Dick &amp; Bullen, 1984)</w:t>
      </w:r>
      <w:r w:rsidRPr="000428B3">
        <w:rPr>
          <w:bdr w:val="none" w:sz="0" w:space="0" w:color="auto" w:frame="1"/>
        </w:rPr>
        <w:fldChar w:fldCharType="end"/>
      </w:r>
      <w:r w:rsidRPr="000428B3">
        <w:rPr>
          <w:bdr w:val="none" w:sz="0" w:space="0" w:color="auto" w:frame="1"/>
        </w:rPr>
        <w:t>.</w:t>
      </w:r>
      <w:r w:rsidRPr="4A632B4A">
        <w:rPr>
          <w:rFonts w:eastAsiaTheme="minorEastAsia"/>
        </w:rPr>
        <w:t xml:space="preserve"> </w:t>
      </w:r>
      <w:proofErr w:type="spellStart"/>
      <w:r w:rsidRPr="000428B3">
        <w:rPr>
          <w:bdr w:val="none" w:sz="0" w:space="0" w:color="auto" w:frame="1"/>
        </w:rPr>
        <w:t>CaO</w:t>
      </w:r>
      <w:proofErr w:type="spellEnd"/>
      <w:r w:rsidRPr="000428B3">
        <w:rPr>
          <w:bdr w:val="none" w:sz="0" w:space="0" w:color="auto" w:frame="1"/>
        </w:rPr>
        <w:t xml:space="preserve"> in</w:t>
      </w:r>
      <w:r>
        <w:rPr>
          <w:bdr w:val="none" w:sz="0" w:space="0" w:color="auto" w:frame="1"/>
        </w:rPr>
        <w:t xml:space="preserve"> </w:t>
      </w:r>
      <w:proofErr w:type="spellStart"/>
      <w:r>
        <w:rPr>
          <w:bdr w:val="none" w:sz="0" w:space="0" w:color="auto" w:frame="1"/>
        </w:rPr>
        <w:t>olivines</w:t>
      </w:r>
      <w:proofErr w:type="spellEnd"/>
      <w:r>
        <w:rPr>
          <w:bdr w:val="none" w:sz="0" w:space="0" w:color="auto" w:frame="1"/>
        </w:rPr>
        <w:t xml:space="preserve"> is approximately 0.05-0.1 </w:t>
      </w:r>
      <w:proofErr w:type="spellStart"/>
      <w:r>
        <w:rPr>
          <w:bdr w:val="none" w:sz="0" w:space="0" w:color="auto" w:frame="1"/>
        </w:rPr>
        <w:t>wt</w:t>
      </w:r>
      <w:proofErr w:type="spellEnd"/>
      <w:r>
        <w:rPr>
          <w:bdr w:val="none" w:sz="0" w:space="0" w:color="auto" w:frame="1"/>
        </w:rPr>
        <w:t xml:space="preserve">%, elevated compared to most ophiolitic peridotites but consistent with many abyssal peridotites (Figure </w:t>
      </w:r>
      <w:r w:rsidR="005C3691">
        <w:rPr>
          <w:bdr w:val="none" w:sz="0" w:space="0" w:color="auto" w:frame="1"/>
        </w:rPr>
        <w:t>1.</w:t>
      </w:r>
      <w:r>
        <w:rPr>
          <w:bdr w:val="none" w:sz="0" w:space="0" w:color="auto" w:frame="1"/>
        </w:rPr>
        <w:t xml:space="preserve">3f). </w:t>
      </w:r>
      <w:r>
        <w:rPr>
          <w:bdr w:val="none" w:sz="0" w:space="0" w:color="auto" w:frame="1"/>
        </w:rPr>
        <w:fldChar w:fldCharType="begin" w:fldLock="1"/>
      </w:r>
      <w:r>
        <w:rPr>
          <w:bdr w:val="none" w:sz="0" w:space="0" w:color="auto" w:frame="1"/>
        </w:rPr>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applications","type":"article-journal","volume":"54"},"prefix":"e.g. ","uris":["http://www.mendeley.com/documents/?uuid=91096bb6-4f27-4518-9a4e-e0c9afe14114"]}],"mendeley":{"formattedCitation":"(e.g. Köhler &amp; Brey, 1990)","plainTextFormattedCitation":"(e.g. Köhler &amp; Brey, 1990)","previouslyFormattedCitation":"(e.g. Köhler &amp; Brey, 1990)"},"properties":{"noteIndex":0},"schema":"https://github.com/citation-style-language/schema/raw/master/csl-citation.json"}</w:instrText>
      </w:r>
      <w:r>
        <w:rPr>
          <w:bdr w:val="none" w:sz="0" w:space="0" w:color="auto" w:frame="1"/>
        </w:rPr>
        <w:fldChar w:fldCharType="separate"/>
      </w:r>
      <w:r w:rsidRPr="00794B1B">
        <w:rPr>
          <w:noProof/>
        </w:rPr>
        <w:t>(e.g. Köhler &amp; Brey, 1990)</w:t>
      </w:r>
      <w:r>
        <w:rPr>
          <w:bdr w:val="none" w:sz="0" w:space="0" w:color="auto" w:frame="1"/>
        </w:rPr>
        <w:fldChar w:fldCharType="end"/>
      </w:r>
    </w:p>
    <w:p w14:paraId="0D797391" w14:textId="4CEBAAF1" w:rsidR="00F00EB2" w:rsidRPr="00270937" w:rsidRDefault="008D10C3" w:rsidP="00F24389">
      <w:pPr>
        <w:pStyle w:val="Style1"/>
        <w:spacing w:line="360" w:lineRule="auto"/>
      </w:pPr>
      <w:bookmarkStart w:id="29" w:name="_Toc109036121"/>
      <w:r>
        <w:t xml:space="preserve">4.1.1 </w:t>
      </w:r>
      <w:r w:rsidR="00F00EB2" w:rsidRPr="00270937">
        <w:t>Major element zonation</w:t>
      </w:r>
      <w:bookmarkEnd w:id="29"/>
    </w:p>
    <w:p w14:paraId="07532E90" w14:textId="77777777" w:rsidR="00F00EB2" w:rsidRDefault="00F00EB2" w:rsidP="00F24389">
      <w:pPr>
        <w:spacing w:line="360" w:lineRule="auto"/>
        <w:ind w:firstLine="360"/>
      </w:pPr>
      <w:r>
        <w:t xml:space="preserve">Characterization and scrutiny of major element zoning is critical for evaluating the significance of temperatures determined using thermometers (e.g., see Section 5.1), and is described below for gabbros (Hess Deep and then </w:t>
      </w:r>
      <w:proofErr w:type="spellStart"/>
      <w:r>
        <w:t>OmanDP</w:t>
      </w:r>
      <w:proofErr w:type="spellEnd"/>
      <w:r>
        <w:t xml:space="preserve">), and peridotites (again, Hess </w:t>
      </w:r>
      <w:proofErr w:type="gramStart"/>
      <w:r>
        <w:t>Deep</w:t>
      </w:r>
      <w:proofErr w:type="gramEnd"/>
      <w:r>
        <w:t xml:space="preserve"> and then </w:t>
      </w:r>
      <w:proofErr w:type="spellStart"/>
      <w:r>
        <w:t>OmanDP</w:t>
      </w:r>
      <w:proofErr w:type="spellEnd"/>
      <w:r>
        <w:t xml:space="preserve">). Major element mineral zonation was evaluated by electron microprobe traverses across representative </w:t>
      </w:r>
      <w:r w:rsidRPr="00AD0AFF">
        <w:t xml:space="preserve">grains, and/or </w:t>
      </w:r>
      <w:r>
        <w:t xml:space="preserve">using representative </w:t>
      </w:r>
      <w:r w:rsidRPr="00AD0AFF">
        <w:t xml:space="preserve">core and rim analyses. </w:t>
      </w:r>
    </w:p>
    <w:p w14:paraId="4896254B" w14:textId="41DDD872" w:rsidR="00F00EB2" w:rsidRDefault="00F00EB2" w:rsidP="001E0B34">
      <w:pPr>
        <w:spacing w:line="360" w:lineRule="auto"/>
        <w:ind w:firstLine="360"/>
      </w:pPr>
      <w:r>
        <w:t xml:space="preserve">In all Hess Deep gabbros, significant grain-scale compositional variations in clinopyroxenes and plagioclase are observed. Single plagioclase grains record </w:t>
      </w:r>
      <w:proofErr w:type="spellStart"/>
      <w:r>
        <w:t>X</w:t>
      </w:r>
      <w:r w:rsidRPr="4A632B4A">
        <w:rPr>
          <w:vertAlign w:val="subscript"/>
        </w:rPr>
        <w:t>An</w:t>
      </w:r>
      <w:proofErr w:type="spellEnd"/>
      <w:r>
        <w:t xml:space="preserve"> variations of up to ~0.1. Some clinopyroxenes are zoned in Fe-Mg-Ca, exhibiting near constant </w:t>
      </w:r>
      <w:proofErr w:type="spellStart"/>
      <w:r>
        <w:t>Mg#s</w:t>
      </w:r>
      <w:proofErr w:type="spellEnd"/>
      <w:r>
        <w:t xml:space="preserve"> but significant </w:t>
      </w:r>
      <w:proofErr w:type="spellStart"/>
      <w:r>
        <w:t>CaO</w:t>
      </w:r>
      <w:proofErr w:type="spellEnd"/>
      <w:r>
        <w:t xml:space="preserve"> depletions (up to 10 </w:t>
      </w:r>
      <w:proofErr w:type="spellStart"/>
      <w:r>
        <w:t>wt</w:t>
      </w:r>
      <w:proofErr w:type="spellEnd"/>
      <w:r>
        <w:t>%) in grain rims. These observations are consistent with carefully documented zoning reported in</w:t>
      </w:r>
      <w:r>
        <w:fldChar w:fldCharType="begin" w:fldLock="1"/>
      </w:r>
      <w:r>
        <w:instrText>ADDIN CSL_CITATION {"citationItems":[{"id":"ITEM-1","itemData":{"DOI":"10.1093/petrology/egw074","ISSN":"14602415","abstract":"Mid-ocean ridge basalts (MORB) provide fundamental information about the composition and melting processes in the Earth's upper mantle. To use MORB to further our understanding of the mantle, is imperative that their crustal evolution is well understood and can thus be accounted for when estimating primary melt compositions. Here, we present the evidence for the occurrence of reactive porous flow, whereby migrating melts react with a crystal mush in mid-ocean ridge magma chambers. This evidence comprises both the textures and mineral major and trace element geochemistry of rocks recovered from the lower oceanic crust, and occurs on a range of scales. Reaction textures include dissolution fronts in minerals, ragged grain boundaries between different phases and clinopyroxene-brown amphibole symplectites. However, an important finding is that reaction, even when pervasive, can equally leave no textural evidence. Geochemically, reactive porous flow leads to shifts in mineral modes (e.g. the net replacement of olivine by clinopyroxene) and compositions (e.g. clinopyroxene Mg-Ti-Cr relationships) away from those predicted by fractional crystallization. Furthermore, clinopyroxene trace elements record a progressive core-rim over-enrichment (relative to fractional crystallization) of more-to-less incompatible elements as a result of reactive porous flow. The fact that this over-enrichment occurs over a distance of up to 8mm, and that clinopyroxenes showing this signature preserve zoning in Fe-Mg, rules out a diffusion control on trace element distributions. Instead, it can be explained by crystal-melt reactions in a crystal mush. The data indicate that reactive flow occurs not only on a grain scale, but also on a sample scale, where it can transform one rock type into another [e.g. troctolite to olivine gabbro, olivine gabbro to (oxide) gabbro], and extends to the scale of the entire lower oceanic crust. Melts undergoing these reactive processes change in composition, which can explain both the major element and trace element arrays of MORB compositions. In particular, reactive porous flow can account for the MORB MgO-CaO-Al2O3 relationships that have previously been interpreted as a result of high-pressure (up to 8 kbar) crystal fractionation, and for over-enrichment in incompatible elements when compared with the effects of fractional crystallization. The finding of a significant role for reactive porous flow in mid-ocean ridge magma chambers fits very well w…","author":[{"dropping-particle":"","family":"Lissenberg","given":"C. Johan","non-dropping-particle":"","parse-names":false,"suffix":""},{"dropping-particle":"","family":"MacLeod","given":"Christopher J.","non-dropping-particle":"","parse-names":false,"suffix":""}],"container-title":"Journal of Petrology","id":"ITEM-1","issue":"11-12","issued":{"date-parts":[["2016"]]},"page":"2195-2220","title":"A reactive porous flow control on mid-ocean ridge magmatic evolution","type":"article-journal","volume":"57"},"uris":["http://www.mendeley.com/documents/?uuid=7784fd01-0243-4877-9f9f-12773515b882"]}],"mendeley":{"formattedCitation":"(Lissenberg &amp; MacLeod, 2016)","manualFormatting":" (Lissenberg &amp; MacLeod, (2016),)","plainTextFormattedCitation":"(Lissenberg &amp; MacLeod, 2016)","previouslyFormattedCitation":"(Lissenberg &amp; MacLeod, 2016)"},"properties":{"noteIndex":0},"schema":"https://github.com/citation-style-language/schema/raw/master/csl-citation.json"}</w:instrText>
      </w:r>
      <w:r>
        <w:fldChar w:fldCharType="separate"/>
      </w:r>
      <w:r>
        <w:rPr>
          <w:noProof/>
        </w:rPr>
        <w:t xml:space="preserve"> Lissenberg et al. (2013) and </w:t>
      </w:r>
      <w:r w:rsidRPr="0017269F">
        <w:rPr>
          <w:noProof/>
        </w:rPr>
        <w:t xml:space="preserve">Lissenberg &amp; MacLeod </w:t>
      </w:r>
      <w:r>
        <w:rPr>
          <w:noProof/>
        </w:rPr>
        <w:t>(</w:t>
      </w:r>
      <w:r w:rsidRPr="0017269F">
        <w:rPr>
          <w:noProof/>
        </w:rPr>
        <w:t>2016</w:t>
      </w:r>
      <w:r>
        <w:rPr>
          <w:noProof/>
        </w:rPr>
        <w:t>)</w:t>
      </w:r>
      <w:r>
        <w:fldChar w:fldCharType="end"/>
      </w:r>
      <w:r w:rsidRPr="00FB2B82">
        <w:t xml:space="preserve"> </w:t>
      </w:r>
      <w:r>
        <w:t xml:space="preserve">for Hess Deep gabbros, </w:t>
      </w:r>
      <w:r w:rsidRPr="00FB2B82">
        <w:t>which was attributed to reactive porous flow</w:t>
      </w:r>
      <w:r>
        <w:t xml:space="preserve"> (</w:t>
      </w:r>
      <w:bookmarkStart w:id="30" w:name="_Hlk89340908"/>
      <w:r>
        <w:t>we refer the reader to those publications for graphical representations of the zoning patterns described here</w:t>
      </w:r>
      <w:bookmarkEnd w:id="30"/>
      <w:r>
        <w:t>). In all Hess Deep gabbros, Al</w:t>
      </w:r>
      <w:r w:rsidRPr="4A632B4A">
        <w:rPr>
          <w:vertAlign w:val="subscript"/>
        </w:rPr>
        <w:t>2</w:t>
      </w:r>
      <w:r>
        <w:t>O</w:t>
      </w:r>
      <w:r w:rsidRPr="4A632B4A">
        <w:rPr>
          <w:vertAlign w:val="subscript"/>
        </w:rPr>
        <w:t>3</w:t>
      </w:r>
      <w:r>
        <w:t xml:space="preserve"> is enriched in clinopyroxene rims relative to cores, by up to 4 </w:t>
      </w:r>
      <w:proofErr w:type="spellStart"/>
      <w:r>
        <w:t>wt</w:t>
      </w:r>
      <w:proofErr w:type="spellEnd"/>
      <w:r>
        <w:t xml:space="preserve">%. In contrast, Hess Deep gabbroic </w:t>
      </w:r>
      <w:proofErr w:type="spellStart"/>
      <w:r>
        <w:t>olivines</w:t>
      </w:r>
      <w:proofErr w:type="spellEnd"/>
      <w:r>
        <w:t xml:space="preserve"> are uniform in composition within analytical uncertainty. </w:t>
      </w:r>
    </w:p>
    <w:p w14:paraId="7B4E648E" w14:textId="776A3E1D" w:rsidR="00F00EB2" w:rsidRPr="008B01E4" w:rsidRDefault="00F00EB2" w:rsidP="001E0B34">
      <w:pPr>
        <w:spacing w:line="360" w:lineRule="auto"/>
        <w:ind w:firstLine="360"/>
      </w:pPr>
      <w:r>
        <w:t xml:space="preserve">Oman Drilling Project troctolite plagioclase and gabbroic plagioclase and clinopyroxene exhibit little to no zonation. In three samples, </w:t>
      </w:r>
      <w:r w:rsidRPr="008B01E4">
        <w:t xml:space="preserve">major element variations across grains are within analytical uncertainty. In gabbro </w:t>
      </w:r>
      <w:r w:rsidRPr="00270937">
        <w:rPr>
          <w:color w:val="000000"/>
          <w:kern w:val="24"/>
        </w:rPr>
        <w:t>5057_5707A_032z_02_053-056</w:t>
      </w:r>
      <w:r w:rsidRPr="008B01E4">
        <w:t>, minor core-rim zonation is observed in clinopyroxene</w:t>
      </w:r>
      <w:r>
        <w:t>s</w:t>
      </w:r>
      <w:r w:rsidRPr="008B01E4">
        <w:t>, with Al</w:t>
      </w:r>
      <w:r w:rsidRPr="008B01E4">
        <w:rPr>
          <w:vertAlign w:val="subscript"/>
        </w:rPr>
        <w:t>2</w:t>
      </w:r>
      <w:r w:rsidRPr="008B01E4">
        <w:t>O</w:t>
      </w:r>
      <w:r w:rsidRPr="007D553B">
        <w:rPr>
          <w:vertAlign w:val="subscript"/>
        </w:rPr>
        <w:t>3</w:t>
      </w:r>
      <w:r w:rsidRPr="007D553B">
        <w:t xml:space="preserve"> variation of 2.8-3.5</w:t>
      </w:r>
      <w:r>
        <w:t xml:space="preserve"> </w:t>
      </w:r>
      <w:proofErr w:type="spellStart"/>
      <w:r w:rsidRPr="008B01E4">
        <w:t>wt</w:t>
      </w:r>
      <w:proofErr w:type="spellEnd"/>
      <w:r w:rsidRPr="008B01E4">
        <w:t xml:space="preserve">% from rim to core, and rim-core </w:t>
      </w:r>
      <w:proofErr w:type="spellStart"/>
      <w:r w:rsidRPr="008B01E4">
        <w:t>FeO</w:t>
      </w:r>
      <w:proofErr w:type="spellEnd"/>
      <w:r w:rsidRPr="008B01E4">
        <w:t xml:space="preserve"> variations of similar magnitude.</w:t>
      </w:r>
      <w:r>
        <w:t xml:space="preserve"> Within analytical uncertainty, </w:t>
      </w:r>
      <w:proofErr w:type="spellStart"/>
      <w:r>
        <w:t>OmanDP</w:t>
      </w:r>
      <w:proofErr w:type="spellEnd"/>
      <w:r>
        <w:t xml:space="preserve"> gabbroic </w:t>
      </w:r>
      <w:proofErr w:type="spellStart"/>
      <w:r>
        <w:t>olivines</w:t>
      </w:r>
      <w:proofErr w:type="spellEnd"/>
      <w:r>
        <w:t xml:space="preserve"> are uniform in composition across the grains.</w:t>
      </w:r>
    </w:p>
    <w:p w14:paraId="56984803" w14:textId="7847D95A" w:rsidR="00F00EB2" w:rsidRDefault="00F00EB2" w:rsidP="001E0B34">
      <w:pPr>
        <w:spacing w:line="360" w:lineRule="auto"/>
        <w:ind w:firstLine="360"/>
      </w:pPr>
      <w:r>
        <w:lastRenderedPageBreak/>
        <w:t>For</w:t>
      </w:r>
      <w:r w:rsidRPr="008B01E4">
        <w:t xml:space="preserve"> Hes</w:t>
      </w:r>
      <w:r w:rsidRPr="007D553B">
        <w:t>s Deep peridotites</w:t>
      </w:r>
      <w:r w:rsidRPr="00270937">
        <w:t xml:space="preserve">, </w:t>
      </w:r>
      <w:proofErr w:type="spellStart"/>
      <w:r w:rsidRPr="00270937">
        <w:t>olivine</w:t>
      </w:r>
      <w:r>
        <w:t>s</w:t>
      </w:r>
      <w:proofErr w:type="spellEnd"/>
      <w:r w:rsidRPr="008B01E4">
        <w:t xml:space="preserve"> and </w:t>
      </w:r>
      <w:proofErr w:type="spellStart"/>
      <w:r w:rsidRPr="008B01E4">
        <w:t>spinel</w:t>
      </w:r>
      <w:r>
        <w:t>s</w:t>
      </w:r>
      <w:proofErr w:type="spellEnd"/>
      <w:r w:rsidRPr="008B01E4">
        <w:t xml:space="preserve"> in all samples are </w:t>
      </w:r>
      <w:proofErr w:type="spellStart"/>
      <w:r w:rsidRPr="008B01E4">
        <w:t>unzoned</w:t>
      </w:r>
      <w:proofErr w:type="spellEnd"/>
      <w:r>
        <w:t>, w</w:t>
      </w:r>
      <w:r w:rsidRPr="00270937">
        <w:t>ithin analytical uncertainty</w:t>
      </w:r>
      <w:r w:rsidRPr="008B01E4">
        <w:t xml:space="preserve">. </w:t>
      </w:r>
      <w:r>
        <w:t>T</w:t>
      </w:r>
      <w:r w:rsidRPr="008B01E4">
        <w:t>he large</w:t>
      </w:r>
      <w:r>
        <w:t xml:space="preserve"> clinopyroxene</w:t>
      </w:r>
      <w:r w:rsidRPr="008B01E4">
        <w:t xml:space="preserve"> grain in </w:t>
      </w:r>
      <w:r w:rsidRPr="00270937">
        <w:rPr>
          <w:color w:val="000000"/>
          <w:kern w:val="24"/>
        </w:rPr>
        <w:t>147_895D_3R1_66-69</w:t>
      </w:r>
      <w:r w:rsidRPr="008B01E4">
        <w:t xml:space="preserve"> (Figure </w:t>
      </w:r>
      <w:r w:rsidR="005C3691">
        <w:t>1.</w:t>
      </w:r>
      <w:r w:rsidRPr="008B01E4">
        <w:t>2b</w:t>
      </w:r>
      <w:r w:rsidRPr="007D553B">
        <w:t>), exhibits minor Cr</w:t>
      </w:r>
      <w:r w:rsidRPr="007D553B">
        <w:rPr>
          <w:vertAlign w:val="subscript"/>
        </w:rPr>
        <w:t>2</w:t>
      </w:r>
      <w:r w:rsidRPr="00270937">
        <w:t>O</w:t>
      </w:r>
      <w:r w:rsidRPr="00270937">
        <w:rPr>
          <w:vertAlign w:val="subscript"/>
        </w:rPr>
        <w:t>3</w:t>
      </w:r>
      <w:r w:rsidRPr="00270937">
        <w:t xml:space="preserve"> variations ranging from 1.1</w:t>
      </w:r>
      <w:r>
        <w:t xml:space="preserve"> </w:t>
      </w:r>
      <w:proofErr w:type="spellStart"/>
      <w:r w:rsidRPr="00270937">
        <w:t>wt</w:t>
      </w:r>
      <w:proofErr w:type="spellEnd"/>
      <w:r w:rsidRPr="00270937">
        <w:t xml:space="preserve">% at the rim to 1.4 </w:t>
      </w:r>
      <w:proofErr w:type="spellStart"/>
      <w:r w:rsidRPr="00270937">
        <w:t>wt</w:t>
      </w:r>
      <w:proofErr w:type="spellEnd"/>
      <w:r w:rsidRPr="00270937">
        <w:t xml:space="preserve">% in the core, clinopyroxenes are </w:t>
      </w:r>
      <w:r>
        <w:t>otherwise not</w:t>
      </w:r>
      <w:r w:rsidRPr="008B01E4">
        <w:t xml:space="preserve"> zoned. Orthopyroxenes are </w:t>
      </w:r>
      <w:r>
        <w:t xml:space="preserve">also </w:t>
      </w:r>
      <w:proofErr w:type="spellStart"/>
      <w:r w:rsidRPr="008B01E4">
        <w:t>unzoned</w:t>
      </w:r>
      <w:proofErr w:type="spellEnd"/>
      <w:r w:rsidRPr="008B01E4">
        <w:t xml:space="preserve">, </w:t>
      </w:r>
      <w:r w:rsidRPr="007D553B">
        <w:t xml:space="preserve">except in sample </w:t>
      </w:r>
      <w:r w:rsidRPr="00270937">
        <w:rPr>
          <w:color w:val="000000"/>
          <w:kern w:val="24"/>
        </w:rPr>
        <w:t>47_895D_3R1_22-27</w:t>
      </w:r>
      <w:r w:rsidRPr="008B01E4">
        <w:t xml:space="preserve">, which exhibits minor </w:t>
      </w:r>
      <w:r>
        <w:t xml:space="preserve">core-rim </w:t>
      </w:r>
      <w:proofErr w:type="spellStart"/>
      <w:r w:rsidRPr="008B01E4">
        <w:t>CaO</w:t>
      </w:r>
      <w:proofErr w:type="spellEnd"/>
      <w:r w:rsidRPr="008B01E4">
        <w:t xml:space="preserve"> zoning, (1.4</w:t>
      </w:r>
      <w:r>
        <w:t xml:space="preserve"> </w:t>
      </w:r>
      <w:proofErr w:type="spellStart"/>
      <w:r>
        <w:t>wt</w:t>
      </w:r>
      <w:proofErr w:type="spellEnd"/>
      <w:r>
        <w:t>% at rims to 1</w:t>
      </w:r>
      <w:r w:rsidRPr="008B01E4">
        <w:t xml:space="preserve">.7 </w:t>
      </w:r>
      <w:proofErr w:type="spellStart"/>
      <w:r w:rsidRPr="008B01E4">
        <w:t>wt</w:t>
      </w:r>
      <w:proofErr w:type="spellEnd"/>
      <w:r w:rsidRPr="008B01E4">
        <w:t>%</w:t>
      </w:r>
      <w:r>
        <w:t xml:space="preserve"> in cores</w:t>
      </w:r>
      <w:r w:rsidRPr="008B01E4">
        <w:t>). No zoning beyond analytical uncertainty</w:t>
      </w:r>
      <w:r>
        <w:t xml:space="preserve"> was observed in </w:t>
      </w:r>
      <w:proofErr w:type="spellStart"/>
      <w:r>
        <w:t>olivines</w:t>
      </w:r>
      <w:proofErr w:type="spellEnd"/>
      <w:r>
        <w:t xml:space="preserve"> or </w:t>
      </w:r>
      <w:proofErr w:type="spellStart"/>
      <w:r>
        <w:t>spinels</w:t>
      </w:r>
      <w:proofErr w:type="spellEnd"/>
      <w:r>
        <w:t xml:space="preserve">. </w:t>
      </w:r>
    </w:p>
    <w:p w14:paraId="50202283" w14:textId="15232E17" w:rsidR="00E90C9E" w:rsidRDefault="00F00EB2" w:rsidP="00904D4C">
      <w:pPr>
        <w:pStyle w:val="BodyTextFirstIndent"/>
        <w:spacing w:line="360" w:lineRule="auto"/>
      </w:pPr>
      <w:r>
        <w:t xml:space="preserve">Oman Drilling Project peridotites exhibit more significant but </w:t>
      </w:r>
      <w:r w:rsidRPr="008B01E4">
        <w:t xml:space="preserve">still minor grain-scale variations. Clinopyroxenes are generally </w:t>
      </w:r>
      <w:proofErr w:type="spellStart"/>
      <w:r w:rsidRPr="008B01E4">
        <w:t>unzoned</w:t>
      </w:r>
      <w:proofErr w:type="spellEnd"/>
      <w:r w:rsidRPr="008B01E4">
        <w:t xml:space="preserve">, but </w:t>
      </w:r>
      <w:r w:rsidRPr="007D553B">
        <w:t xml:space="preserve">sample </w:t>
      </w:r>
      <w:r w:rsidRPr="00270937">
        <w:rPr>
          <w:color w:val="000000"/>
          <w:kern w:val="24"/>
        </w:rPr>
        <w:t xml:space="preserve">5057_5708B_119z_03_006-009 </w:t>
      </w:r>
      <w:r w:rsidRPr="008B01E4">
        <w:t>exhibits</w:t>
      </w:r>
      <w:r>
        <w:t xml:space="preserve"> relatively </w:t>
      </w:r>
      <w:r w:rsidRPr="008B01E4">
        <w:t>Al</w:t>
      </w:r>
      <w:r w:rsidRPr="008B01E4">
        <w:rPr>
          <w:vertAlign w:val="subscript"/>
        </w:rPr>
        <w:t>2</w:t>
      </w:r>
      <w:r w:rsidRPr="007D553B">
        <w:t>O</w:t>
      </w:r>
      <w:r w:rsidRPr="007D553B">
        <w:rPr>
          <w:vertAlign w:val="subscript"/>
        </w:rPr>
        <w:t>3</w:t>
      </w:r>
      <w:r w:rsidRPr="007D553B">
        <w:t xml:space="preserve"> </w:t>
      </w:r>
      <w:r>
        <w:t xml:space="preserve">enriched cores (2.9 </w:t>
      </w:r>
      <w:proofErr w:type="spellStart"/>
      <w:r>
        <w:t>wt</w:t>
      </w:r>
      <w:proofErr w:type="spellEnd"/>
      <w:r>
        <w:t xml:space="preserve">%) trending toward rims depleted by up to 0.5 </w:t>
      </w:r>
      <w:proofErr w:type="spellStart"/>
      <w:r>
        <w:t>wt</w:t>
      </w:r>
      <w:proofErr w:type="spellEnd"/>
      <w:r>
        <w:t>%. All orthopyroxenes exhibit minor Al</w:t>
      </w:r>
      <w:r>
        <w:rPr>
          <w:vertAlign w:val="subscript"/>
        </w:rPr>
        <w:t>2</w:t>
      </w:r>
      <w:r>
        <w:t>O</w:t>
      </w:r>
      <w:r>
        <w:rPr>
          <w:vertAlign w:val="subscript"/>
        </w:rPr>
        <w:t>3</w:t>
      </w:r>
      <w:r>
        <w:t xml:space="preserve"> and Cr</w:t>
      </w:r>
      <w:r>
        <w:rPr>
          <w:vertAlign w:val="subscript"/>
        </w:rPr>
        <w:t>2</w:t>
      </w:r>
      <w:r>
        <w:t>O</w:t>
      </w:r>
      <w:r>
        <w:rPr>
          <w:vertAlign w:val="subscript"/>
        </w:rPr>
        <w:t>3</w:t>
      </w:r>
      <w:r>
        <w:t xml:space="preserve"> zoning, with </w:t>
      </w:r>
      <w:r w:rsidRPr="008B01E4">
        <w:t>relatively enriched cores</w:t>
      </w:r>
      <w:r>
        <w:t xml:space="preserve"> (1.9-2.4 </w:t>
      </w:r>
      <w:proofErr w:type="spellStart"/>
      <w:r>
        <w:t>wt</w:t>
      </w:r>
      <w:proofErr w:type="spellEnd"/>
      <w:r>
        <w:t>% Al</w:t>
      </w:r>
      <w:r w:rsidRPr="00833E20">
        <w:rPr>
          <w:vertAlign w:val="subscript"/>
        </w:rPr>
        <w:t>2</w:t>
      </w:r>
      <w:r>
        <w:t>O</w:t>
      </w:r>
      <w:r w:rsidRPr="00833E20">
        <w:rPr>
          <w:vertAlign w:val="subscript"/>
        </w:rPr>
        <w:t>3</w:t>
      </w:r>
      <w:r>
        <w:t xml:space="preserve"> and 0.7-0.8 </w:t>
      </w:r>
      <w:proofErr w:type="spellStart"/>
      <w:r>
        <w:t>wt</w:t>
      </w:r>
      <w:proofErr w:type="spellEnd"/>
      <w:r>
        <w:t>% Cr</w:t>
      </w:r>
      <w:r w:rsidRPr="00833E20">
        <w:rPr>
          <w:vertAlign w:val="subscript"/>
        </w:rPr>
        <w:t>2</w:t>
      </w:r>
      <w:r>
        <w:t>O</w:t>
      </w:r>
      <w:r w:rsidRPr="00833E20">
        <w:rPr>
          <w:vertAlign w:val="subscript"/>
        </w:rPr>
        <w:t>3</w:t>
      </w:r>
      <w:r>
        <w:t>)</w:t>
      </w:r>
      <w:r w:rsidRPr="008B01E4">
        <w:t>, and rims depleted by up to 0.5</w:t>
      </w:r>
      <w:r>
        <w:t xml:space="preserve"> </w:t>
      </w:r>
      <w:proofErr w:type="spellStart"/>
      <w:r w:rsidRPr="008B01E4">
        <w:t>wt</w:t>
      </w:r>
      <w:proofErr w:type="spellEnd"/>
      <w:r w:rsidRPr="008B01E4">
        <w:t xml:space="preserve">% </w:t>
      </w:r>
      <w:r>
        <w:t>in</w:t>
      </w:r>
      <w:r w:rsidRPr="008B01E4">
        <w:t xml:space="preserve"> Al</w:t>
      </w:r>
      <w:r w:rsidRPr="008B01E4">
        <w:rPr>
          <w:vertAlign w:val="subscript"/>
        </w:rPr>
        <w:t>2</w:t>
      </w:r>
      <w:r w:rsidRPr="007D553B">
        <w:t>O</w:t>
      </w:r>
      <w:r w:rsidRPr="007D553B">
        <w:rPr>
          <w:vertAlign w:val="subscript"/>
        </w:rPr>
        <w:t>3</w:t>
      </w:r>
      <w:r w:rsidRPr="007D553B">
        <w:t xml:space="preserve"> and up to 0.3 </w:t>
      </w:r>
      <w:proofErr w:type="spellStart"/>
      <w:r w:rsidRPr="007D553B">
        <w:t>wt</w:t>
      </w:r>
      <w:proofErr w:type="spellEnd"/>
      <w:r w:rsidRPr="007D553B">
        <w:t xml:space="preserve">% </w:t>
      </w:r>
      <w:r>
        <w:t>in</w:t>
      </w:r>
      <w:r w:rsidRPr="007D553B">
        <w:t xml:space="preserve"> Cr</w:t>
      </w:r>
      <w:r w:rsidRPr="00270937">
        <w:rPr>
          <w:vertAlign w:val="subscript"/>
        </w:rPr>
        <w:t>2</w:t>
      </w:r>
      <w:r w:rsidRPr="00270937">
        <w:t>O</w:t>
      </w:r>
      <w:r w:rsidRPr="00270937">
        <w:rPr>
          <w:vertAlign w:val="subscript"/>
        </w:rPr>
        <w:t>3</w:t>
      </w:r>
      <w:r w:rsidRPr="00270937">
        <w:t>. Two samples (</w:t>
      </w:r>
      <w:r w:rsidRPr="00270937">
        <w:rPr>
          <w:color w:val="000000"/>
          <w:kern w:val="24"/>
        </w:rPr>
        <w:t>5057_5708B_114z_02_030-034</w:t>
      </w:r>
      <w:r>
        <w:rPr>
          <w:color w:val="000000"/>
          <w:kern w:val="24"/>
        </w:rPr>
        <w:t xml:space="preserve"> </w:t>
      </w:r>
      <w:r w:rsidRPr="008B01E4">
        <w:t xml:space="preserve">and </w:t>
      </w:r>
      <w:r w:rsidRPr="00270937">
        <w:rPr>
          <w:color w:val="000000"/>
          <w:kern w:val="24"/>
        </w:rPr>
        <w:t>5057_5708B_119z_03_006-009</w:t>
      </w:r>
      <w:r w:rsidRPr="008B01E4">
        <w:t xml:space="preserve">) exhibit relatively enriched </w:t>
      </w:r>
      <w:proofErr w:type="spellStart"/>
      <w:r w:rsidRPr="008B01E4">
        <w:t>CaO</w:t>
      </w:r>
      <w:proofErr w:type="spellEnd"/>
      <w:r w:rsidRPr="008B01E4">
        <w:t xml:space="preserve"> abundances in grain cores </w:t>
      </w:r>
      <w:r>
        <w:t xml:space="preserve">(1.8-2.0 </w:t>
      </w:r>
      <w:proofErr w:type="spellStart"/>
      <w:r>
        <w:t>wt</w:t>
      </w:r>
      <w:proofErr w:type="spellEnd"/>
      <w:r>
        <w:t xml:space="preserve">%) </w:t>
      </w:r>
      <w:r w:rsidRPr="008B01E4">
        <w:t xml:space="preserve">and depletions of up to 0.5 </w:t>
      </w:r>
      <w:proofErr w:type="spellStart"/>
      <w:r w:rsidRPr="008B01E4">
        <w:t>wt</w:t>
      </w:r>
      <w:proofErr w:type="spellEnd"/>
      <w:r w:rsidRPr="008B01E4">
        <w:t xml:space="preserve">% at rims. </w:t>
      </w:r>
      <w:proofErr w:type="spellStart"/>
      <w:r w:rsidRPr="008B01E4">
        <w:t>Olivines</w:t>
      </w:r>
      <w:proofErr w:type="spellEnd"/>
      <w:r w:rsidRPr="008B01E4">
        <w:t xml:space="preserve"> </w:t>
      </w:r>
      <w:r>
        <w:t xml:space="preserve">do not exhibit </w:t>
      </w:r>
      <w:proofErr w:type="spellStart"/>
      <w:r>
        <w:t>CaO</w:t>
      </w:r>
      <w:proofErr w:type="spellEnd"/>
      <w:r>
        <w:t xml:space="preserve"> abundance variations beyond analytical uncertainty.</w:t>
      </w:r>
    </w:p>
    <w:p w14:paraId="7F6FCEE1" w14:textId="0A6F6DB4" w:rsidR="00E90C9E" w:rsidRPr="00AC3D41" w:rsidRDefault="008D10C3" w:rsidP="00F24389">
      <w:pPr>
        <w:pStyle w:val="Heading3"/>
        <w:spacing w:line="360" w:lineRule="auto"/>
      </w:pPr>
      <w:bookmarkStart w:id="31" w:name="_Toc109036122"/>
      <w:r>
        <w:t xml:space="preserve">4.2 </w:t>
      </w:r>
      <w:r w:rsidR="00E90C9E" w:rsidRPr="6F96FD7C">
        <w:t>Trace elements</w:t>
      </w:r>
      <w:bookmarkEnd w:id="31"/>
    </w:p>
    <w:p w14:paraId="1D5823FC" w14:textId="3CAA9CA2" w:rsidR="00E90C9E" w:rsidRDefault="00E90C9E" w:rsidP="001E0B34">
      <w:pPr>
        <w:spacing w:line="360" w:lineRule="auto"/>
        <w:ind w:firstLine="360"/>
      </w:pPr>
      <w:r w:rsidRPr="00D65303">
        <w:t xml:space="preserve">Average trace element </w:t>
      </w:r>
      <w:r>
        <w:t>abundances</w:t>
      </w:r>
      <w:r w:rsidRPr="00D65303">
        <w:t xml:space="preserve"> from LA-ICP-MS analysis</w:t>
      </w:r>
      <w:r>
        <w:t xml:space="preserve"> of clinopyroxenes, orthopyroxenes and plagioclase </w:t>
      </w:r>
      <w:r w:rsidRPr="00D65303">
        <w:t xml:space="preserve">are </w:t>
      </w:r>
      <w:r>
        <w:t>reported</w:t>
      </w:r>
      <w:r w:rsidRPr="00D65303">
        <w:t xml:space="preserve"> in Table</w:t>
      </w:r>
      <w:r>
        <w:t>s</w:t>
      </w:r>
      <w:r w:rsidRPr="00D65303">
        <w:t xml:space="preserve"> </w:t>
      </w:r>
      <w:r w:rsidR="006C6530">
        <w:t>1.9</w:t>
      </w:r>
      <w:r w:rsidRPr="00EB31A0">
        <w:t xml:space="preserve">, </w:t>
      </w:r>
      <w:r w:rsidR="006C6530">
        <w:t>1.10</w:t>
      </w:r>
      <w:r w:rsidRPr="00EB31A0">
        <w:t xml:space="preserve">, </w:t>
      </w:r>
      <w:r>
        <w:t xml:space="preserve">and </w:t>
      </w:r>
      <w:r w:rsidR="006C6530">
        <w:t>1.11</w:t>
      </w:r>
      <w:r>
        <w:t xml:space="preserve"> </w:t>
      </w:r>
      <w:r w:rsidR="006B5A3B">
        <w:t>(Attachment Chapter_1_Data_Tables.xlsx)</w:t>
      </w:r>
      <w:r w:rsidR="006C6530">
        <w:t xml:space="preserve"> </w:t>
      </w:r>
      <w:r>
        <w:t xml:space="preserve">respectively. </w:t>
      </w:r>
      <w:r>
        <w:rPr>
          <w:bdr w:val="none" w:sz="0" w:space="0" w:color="auto" w:frame="1"/>
        </w:rPr>
        <w:t xml:space="preserve">Chondrite normalized spider diagrams are plotted for mineral averages from all samples in Figure </w:t>
      </w:r>
      <w:r w:rsidR="005C3691">
        <w:rPr>
          <w:bdr w:val="none" w:sz="0" w:space="0" w:color="auto" w:frame="1"/>
        </w:rPr>
        <w:t>1.</w:t>
      </w:r>
      <w:r>
        <w:rPr>
          <w:bdr w:val="none" w:sz="0" w:space="0" w:color="auto" w:frame="1"/>
        </w:rPr>
        <w:t xml:space="preserve">4. Colored lines represent sample averages, while light gray lines represent individual spot analyses. Error bars represent 1σ standard deviations of replicate analyses for each thin section. </w:t>
      </w:r>
      <w:r>
        <w:t xml:space="preserve">Here we briefly describe the REE patterns, starting with the gabbros. </w:t>
      </w:r>
    </w:p>
    <w:p w14:paraId="133C62B6" w14:textId="77777777" w:rsidR="00CE6E5A" w:rsidRDefault="00E90C9E" w:rsidP="001E0B34">
      <w:pPr>
        <w:spacing w:line="360" w:lineRule="auto"/>
        <w:ind w:firstLine="360"/>
      </w:pPr>
      <w:r>
        <w:rPr>
          <w:bdr w:val="none" w:sz="0" w:space="0" w:color="auto" w:frame="1"/>
        </w:rPr>
        <w:t xml:space="preserve">Plagioclase from both localities exhibit a positive Eu anomaly (Eu/Eu*, 10.8 to 14.2 in Hess Deep gabbros and 11.3 to 16.7 in </w:t>
      </w:r>
      <w:proofErr w:type="spellStart"/>
      <w:r>
        <w:rPr>
          <w:bdr w:val="none" w:sz="0" w:space="0" w:color="auto" w:frame="1"/>
        </w:rPr>
        <w:t>OmanDP</w:t>
      </w:r>
      <w:proofErr w:type="spellEnd"/>
      <w:r>
        <w:rPr>
          <w:bdr w:val="none" w:sz="0" w:space="0" w:color="auto" w:frame="1"/>
        </w:rPr>
        <w:t xml:space="preserve"> </w:t>
      </w:r>
      <w:proofErr w:type="spellStart"/>
      <w:r>
        <w:rPr>
          <w:bdr w:val="none" w:sz="0" w:space="0" w:color="auto" w:frame="1"/>
        </w:rPr>
        <w:t>gabbros</w:t>
      </w:r>
      <w:proofErr w:type="spellEnd"/>
      <w:r>
        <w:rPr>
          <w:bdr w:val="none" w:sz="0" w:space="0" w:color="auto" w:frame="1"/>
        </w:rPr>
        <w:t xml:space="preserve">) and steeply dipping </w:t>
      </w:r>
      <w:proofErr w:type="gramStart"/>
      <w:r>
        <w:rPr>
          <w:bdr w:val="none" w:sz="0" w:space="0" w:color="auto" w:frame="1"/>
        </w:rPr>
        <w:t>light-heavy</w:t>
      </w:r>
      <w:proofErr w:type="gramEnd"/>
      <w:r>
        <w:rPr>
          <w:bdr w:val="none" w:sz="0" w:space="0" w:color="auto" w:frame="1"/>
        </w:rPr>
        <w:t xml:space="preserve"> REE patterns. H</w:t>
      </w:r>
      <w:r>
        <w:t xml:space="preserve">eavy REEs (HREEs) are below detection limit in all </w:t>
      </w:r>
      <w:proofErr w:type="gramStart"/>
      <w:r>
        <w:t>plagioclase</w:t>
      </w:r>
      <w:proofErr w:type="gramEnd"/>
      <w:r>
        <w:t xml:space="preserve">. </w:t>
      </w:r>
      <w:r>
        <w:rPr>
          <w:bdr w:val="none" w:sz="0" w:space="0" w:color="auto" w:frame="1"/>
        </w:rPr>
        <w:t>Some c</w:t>
      </w:r>
      <w:r>
        <w:t xml:space="preserve">oexisting clinopyroxenes have small negative Eu anomalies in Hess Deep samples (Eu/Eu* = 0.66 to 1.00), Eu anomalies in </w:t>
      </w:r>
      <w:proofErr w:type="spellStart"/>
      <w:r>
        <w:t>OmanDP</w:t>
      </w:r>
      <w:proofErr w:type="spellEnd"/>
      <w:r>
        <w:t xml:space="preserve"> </w:t>
      </w:r>
      <w:proofErr w:type="spellStart"/>
      <w:r>
        <w:t>gabbros</w:t>
      </w:r>
      <w:proofErr w:type="spellEnd"/>
      <w:r>
        <w:t xml:space="preserve"> are minor or </w:t>
      </w:r>
      <w:r w:rsidR="00CE6E5A">
        <w:br w:type="page"/>
      </w:r>
    </w:p>
    <w:p w14:paraId="6C109907" w14:textId="77777777" w:rsidR="00CE6E5A" w:rsidRDefault="00CE6E5A" w:rsidP="00CE6E5A">
      <w:pPr>
        <w:keepNext/>
        <w:jc w:val="center"/>
      </w:pPr>
      <w:r>
        <w:rPr>
          <w:noProof/>
        </w:rPr>
        <w:lastRenderedPageBreak/>
        <w:drawing>
          <wp:anchor distT="0" distB="0" distL="114300" distR="114300" simplePos="0" relativeHeight="251644928" behindDoc="0" locked="0" layoutInCell="1" allowOverlap="1" wp14:anchorId="4109C7C2" wp14:editId="29EF941F">
            <wp:simplePos x="0" y="0"/>
            <wp:positionH relativeFrom="column">
              <wp:posOffset>0</wp:posOffset>
            </wp:positionH>
            <wp:positionV relativeFrom="paragraph">
              <wp:posOffset>0</wp:posOffset>
            </wp:positionV>
            <wp:extent cx="5943600" cy="3109788"/>
            <wp:effectExtent l="0" t="0" r="0" b="0"/>
            <wp:wrapTopAndBottom/>
            <wp:docPr id="50"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 descr="A screenshot of a computer&#10;&#10;Description automatically generated with medium confidence"/>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109788"/>
                    </a:xfrm>
                    <a:prstGeom prst="rect">
                      <a:avLst/>
                    </a:prstGeom>
                  </pic:spPr>
                </pic:pic>
              </a:graphicData>
            </a:graphic>
          </wp:anchor>
        </w:drawing>
      </w:r>
    </w:p>
    <w:p w14:paraId="6D51DDDD" w14:textId="7BFECEA3" w:rsidR="00CE6E5A" w:rsidRDefault="00CE6E5A" w:rsidP="00CE6E5A">
      <w:bookmarkStart w:id="32" w:name="_Toc109738666"/>
      <w:r w:rsidRPr="00C17E5E">
        <w:rPr>
          <w:sz w:val="20"/>
          <w:szCs w:val="20"/>
        </w:rPr>
        <w:t xml:space="preserve">Figure </w:t>
      </w:r>
      <w:r>
        <w:rPr>
          <w:sz w:val="20"/>
          <w:szCs w:val="20"/>
        </w:rPr>
        <w:t>1.</w:t>
      </w:r>
      <w:r w:rsidRPr="00CE6E5A">
        <w:rPr>
          <w:sz w:val="20"/>
          <w:szCs w:val="20"/>
        </w:rPr>
        <w:fldChar w:fldCharType="begin"/>
      </w:r>
      <w:r>
        <w:rPr>
          <w:sz w:val="20"/>
          <w:szCs w:val="20"/>
        </w:rPr>
        <w:instrText xml:space="preserve"> SEQ Figure \* ARABIC \s 1 </w:instrText>
      </w:r>
      <w:r w:rsidRPr="00CE6E5A">
        <w:rPr>
          <w:sz w:val="20"/>
          <w:szCs w:val="20"/>
        </w:rPr>
        <w:fldChar w:fldCharType="separate"/>
      </w:r>
      <w:r w:rsidR="008701A2">
        <w:rPr>
          <w:noProof/>
          <w:sz w:val="20"/>
          <w:szCs w:val="20"/>
        </w:rPr>
        <w:t>4</w:t>
      </w:r>
      <w:r w:rsidRPr="00CE6E5A">
        <w:rPr>
          <w:sz w:val="20"/>
          <w:szCs w:val="20"/>
        </w:rPr>
        <w:fldChar w:fldCharType="end"/>
      </w:r>
      <w:r w:rsidRPr="00C17E5E">
        <w:rPr>
          <w:sz w:val="20"/>
          <w:szCs w:val="20"/>
        </w:rPr>
        <w:t>. C</w:t>
      </w:r>
      <w:r w:rsidRPr="00E90C9E">
        <w:rPr>
          <w:sz w:val="20"/>
          <w:szCs w:val="20"/>
        </w:rPr>
        <w:t xml:space="preserve">hondrite normalized REE+Y abundances in minerals from the crust and mantle sections of Oman Drilling Project (a) and Hess Deep (b). Individual spot analyses are shown in gray in the background, and sample averages are shown as thicker colored lines, error bars are 1σ standard </w:t>
      </w:r>
      <w:r w:rsidR="003748C4" w:rsidRPr="003748C4">
        <w:rPr>
          <w:sz w:val="20"/>
          <w:szCs w:val="20"/>
        </w:rPr>
        <w:t>deviations of replicate analyses for each sample. Minerals in crustal samples are green (plagioclase) and red (clinopyroxene), minerals in peridotites are magenta (clinopyroxene) and blue (orthopyroxene)</w:t>
      </w:r>
      <w:r w:rsidR="00E20D9F">
        <w:rPr>
          <w:sz w:val="20"/>
          <w:szCs w:val="20"/>
        </w:rPr>
        <w:t>.</w:t>
      </w:r>
      <w:bookmarkEnd w:id="32"/>
      <w:r>
        <w:br w:type="page"/>
      </w:r>
    </w:p>
    <w:p w14:paraId="78B95175" w14:textId="77777777" w:rsidR="00CE6E5A" w:rsidRDefault="00CE6E5A" w:rsidP="00CE6E5A">
      <w:pPr>
        <w:spacing w:line="360" w:lineRule="auto"/>
        <w:sectPr w:rsidR="00CE6E5A" w:rsidSect="002D28EA">
          <w:pgSz w:w="12240" w:h="15840"/>
          <w:pgMar w:top="1440" w:right="1440" w:bottom="1440" w:left="1440" w:header="720" w:footer="1440" w:gutter="0"/>
          <w:cols w:space="720"/>
          <w:docGrid w:linePitch="360"/>
        </w:sectPr>
      </w:pPr>
    </w:p>
    <w:p w14:paraId="34761E13" w14:textId="365EC900" w:rsidR="00E90C9E" w:rsidRDefault="00E90C9E" w:rsidP="00CE6E5A">
      <w:pPr>
        <w:spacing w:line="360" w:lineRule="auto"/>
      </w:pPr>
      <w:r>
        <w:lastRenderedPageBreak/>
        <w:t xml:space="preserve">unresolvable, within analytical uncertainty (Eu/Eu* = 0.87 to 1.12). Gabbroic clinopyroxenes from both localities have flat mid- to heavy-REE patterns and are strongly light-REE (LREE) depleted. Gabbroic clinopyroxenes from Hess Deep exhibit relatively large standard deviations and trace element variations among spots in individual samples which reflect grain-scale zoning (Figure </w:t>
      </w:r>
      <w:r w:rsidR="005C3691">
        <w:t>1.</w:t>
      </w:r>
      <w:r>
        <w:t xml:space="preserve">5), while </w:t>
      </w:r>
      <w:proofErr w:type="spellStart"/>
      <w:r>
        <w:t>OmanDP</w:t>
      </w:r>
      <w:proofErr w:type="spellEnd"/>
      <w:r>
        <w:t xml:space="preserve"> gabbroic clinopyroxenes are homogeneous within analytical uncertainty.</w:t>
      </w:r>
    </w:p>
    <w:p w14:paraId="019DFD18" w14:textId="5D5B20D6" w:rsidR="00461533" w:rsidRDefault="00E90C9E" w:rsidP="00140C59">
      <w:pPr>
        <w:spacing w:line="360" w:lineRule="auto"/>
        <w:ind w:firstLine="360"/>
        <w:rPr>
          <w:noProof/>
        </w:rPr>
      </w:pPr>
      <w:r>
        <w:t xml:space="preserve">In the peridotites, REE patterns are steeply LREE depleted and below analytical detection limit for many clinopyroxenes and all orthopyroxenes; two Hess Deep samples with resolvable LREEs have spoon-shaped patterns defined by slight enrichments in La relative to Ce. Rare earth element abundances in clinopyroxenes from both localities fall near the depleted end of the global distribution of abyssal harzburgites </w:t>
      </w:r>
      <w:r w:rsidRPr="00290145">
        <w:fldChar w:fldCharType="begin" w:fldLock="1"/>
      </w:r>
      <w:r w:rsidRPr="006770F0">
        <w:instrText>ADDIN CSL_CITATION {"citationItems":[{"id":"ITEM-1","itemData":{"DOI":"10.1029/JB095iB03p02661","ISBN":"0148-0227","ISSN":"2156-2202","abstract":"A systematic study of rare earth and other trace elements in discrete diopsides from residual abyssal peridotires sampled from 5000 km of ocean ridge demonstrates that they are the residues of variable degrees of melting in the garnet and spinel peridotitc fields. Further, the data clearly demonstrate that the peridotires are the residues of near-fractional melting, not batch melting, and that typical abyssal basalt can evolve from aggregated fractional melts. Ion microprobe analyses of diopsides in abyssal peridotires from fracture zones along the America-Antarctica and Southwest Indian ridges reveal ubiquitous extreme fractionation of rare earth elements (REE) ([Ce/Yb]n=0.002-0.05); depletion of Ti 000-1600 ppm), Zr (0.1-10 ppm), and Sr (0.1-10 ppm); and fractionation of Zr relative to Ti (Ti/Zr=250-4000). Ti and Zr in diopsides decrease with decreasing modal cpx in the peridotires, and samples dredged near hotspots are more depleted in incompatible elements than those dredged away from hotspots, consistent with higher degrees upper mantle melting in the former. All studied samples exhibit marked negative anomalies in Ti and Zr relative to REE. Incompatible element concentrations in peridotite clinopyroxenes are well modeled by repeated melting and segregation in _&lt;0.1% increments to a total of 5-25% melting, a process very close to Rayleigh (fractional) melting; batch melting of a LREE-depleted source cannot account for the observed trace element concentrations in abyssal peridotites. The shapes of some REE patterns are consistent with variable degrees of melting initiated within the garnet stability field. Trace element concentrations in calculated integrated fractional liquids approximate the composition of primitive ocean floor basalts, consistent with postsegregation aggregation of small increment melts produced over a depth and melting interval.","author":[{"dropping-particle":"","family":"Johnson","given":"Kevin T M","non-dropping-particle":"","parse-names":false,"suffix":""},{"dropping-particle":"","family":"Dick","given":"Henry J.B.","non-dropping-particle":"","parse-names":false,"suffix":""},{"dropping-particle":"","family":"Shimizu","given":"Nobumichi","non-dropping-particle":"","parse-names":false,"suffix":""}],"container-title":"Journal of Geophysical Research","id":"ITEM-1","issue":"10","issued":{"date-parts":[["1990"]]},"page":"2661-2678","title":"Melting in the Oceanic Upper Mantle' An Ion Microprobe Study of Diopsides in Abyssal Peridotites","type":"article-journal","volume":"95"},"prefix":"e.g. ","uris":["http://www.mendeley.com/documents/?uuid=3a45ac14-735e-42be-906b-f52793305593"]},{"id":"ITEM-2","itemData":{"DOI":"10.1016/j.lithos.2015.12.023","ISBN":"0024-4937","ISSN":"18726143","abstract":"Abyssal peridotites are ultramafic rocks collected from mid-ocean ridges that are the residues of adiabatic decompression melting. Their compositions provide information on the degree of melting and melt-rock interaction involved in the formation of oceanic lithosphere, as well as providing constraints on pre-existing mantle heterogeneities. This review presents a compilation of abyssal peridotite geochemical data (modes, mineral major elements, and clinopyroxene trace elements) for &gt; 1200 samples from 53 localities on 6 major ridge systems. On the basis of composition and petrography, peridotites are classified into one of five lithological groups: (1) residual peridotite, (2) dunite, (3) gabbro-veined and/or plagioclase-bearing peridotite, (4) pyroxenite-veined peridotite, and (5) other types of melt-added peridotite. Almost a third of abyssal peridotites are veined, indicating that the oceanic lithospheric mantle is more fertile, on average, than estimates based on residual peridotites alone imply. All veins appear to have formed recently during melt transport beneath the ridge, though some pyroxenites may be derived from melting of recycled oceanic crust.A limited number of samples are available at intermediate and fast spreading rates, with samples from the East Pacific Rise indicating high degrees of melting. At slow and ultra-slow spreading rates, residual abyssal peridotites define a large (0-15% modal clinopyroxene and spinel Cr# = 0.1-0.6) compositional range. These variations do not match the prediction for how degree of melting should vary as a function of spreading rate. Instead, the compositional ranges of residual peridotites are derived from a combination of melting, melt-rock interaction and pre-existing compositional variability, where melt-rock interaction is used here as a general term to refer to the wide range of processes that can occur during melt transport in the mantle. Globally, ~10% of abyssal peridotites are refractory (0% clinopyroxene, spinel Cr# &gt; 0.5, bulk Al2O3&lt; 1 wt.%) and some ridge sections are dominated by harzburgites while lacking a significant basaltic crust. Abyssal ultramafic samples thus indicate that the mantle is multi-component, probably consisting of at least three components (lherzolite, harzburgite, and pyroxenite). Overall, the large compositional range among residual and melt-added peridotites implies that the oceanic lithospheric mantle is heterogeneous, which will lead to the generation of further he…","author":[{"dropping-particle":"","family":"Warren","given":"Jessica M.","non-dropping-particle":"","parse-names":false,"suffix":""}],"container-title":"Lithos","id":"ITEM-2","issued":{"date-parts":[["2016"]]},"page":"193-219","publisher":"The Author","title":"Global variations in abyssal peridotite compositions","type":"article-journal","volume":"248-251"},"uris":["http://www.mendeley.com/documents/?uuid=7663cc40-df48-4c9d-9c88-fd0e7eaa218f"]}],"mendeley":{"formattedCitation":"(e.g. Johnson et al., 1990; Warren, 2016)","plainTextFormattedCitation":"(e.g. Johnson et al., 1990; Warren, 2016)","previouslyFormattedCitation":"(e.g. Johnson et al., 1990; Warren, 2016)"},"properties":{"noteIndex":0},"schema":"https://github.com/citation-style-language/schema/raw/master/csl-citation.json"}</w:instrText>
      </w:r>
      <w:r w:rsidRPr="00290145">
        <w:fldChar w:fldCharType="separate"/>
      </w:r>
      <w:r w:rsidRPr="00290145">
        <w:rPr>
          <w:noProof/>
        </w:rPr>
        <w:t xml:space="preserve">(e.g. Johnson et </w:t>
      </w:r>
    </w:p>
    <w:p w14:paraId="5C9C4164" w14:textId="7AEC5FA5" w:rsidR="00E90C9E" w:rsidRDefault="00E90C9E" w:rsidP="00593E51">
      <w:pPr>
        <w:spacing w:line="360" w:lineRule="auto"/>
      </w:pPr>
      <w:r w:rsidRPr="00290145">
        <w:rPr>
          <w:noProof/>
        </w:rPr>
        <w:t>al., 1990; Warren, 2016)</w:t>
      </w:r>
      <w:r w:rsidRPr="00290145">
        <w:fldChar w:fldCharType="end"/>
      </w:r>
      <w:r w:rsidRPr="00290145">
        <w:t xml:space="preserve">, </w:t>
      </w:r>
      <w:r w:rsidRPr="006770F0">
        <w:t xml:space="preserve">in agreement with previous analyses of Hess Deep and </w:t>
      </w:r>
      <w:r>
        <w:t xml:space="preserve">southern </w:t>
      </w:r>
      <w:proofErr w:type="spellStart"/>
      <w:r w:rsidRPr="006770F0">
        <w:t>Samail</w:t>
      </w:r>
      <w:proofErr w:type="spellEnd"/>
      <w:r w:rsidRPr="006770F0">
        <w:t xml:space="preserve"> ophiolite peridotites </w:t>
      </w:r>
      <w:r w:rsidRPr="006770F0">
        <w:fldChar w:fldCharType="begin" w:fldLock="1"/>
      </w:r>
      <w:r>
        <w:instrText>ADDIN CSL_CITATION {"citationItems":[{"id":"ITEM-1","itemData":{"DOI":"10.1016/j.lithos.2015.06.011","ISBN":"0024-4937","ISSN":"18726143","abstract":"Abyssal spinel peridotites from Hess Deep, East Pacific Rise (ODP Leg 147) were investigated concerning their major, minor, and trace element mineral chemistry and the incorporation of structural water in orthopyroxene. The rocks are partially serpentinized harzburgites containing primary minerals of olivine, orthopyroxene, clinopyroxene, and spinel. Orthopyroxene is enstatitic with Mg# (Mg/(Mg+Fe)) between 0.90 and 0.92 and Al&lt;inf&gt;2&lt;/inf&gt;O&lt;inf&gt;3&lt;/inf&gt; from 0.5 to 2.9wt.%. The residual harzburgite experienced high degrees of melt removal in the spinel peridotite stability field. The average degree of partial melting was calculated to be 17.5% (range: 16.4-17.8%). Trace element data of ortho- and clinopyroxenes reflect this strong depletion, characteristic for the restitic nature of abyssal peridotites. Mantle re-equilibration temperatures around 1000°C indicate that, after melt extraction and before exhumation to the ocean floor, the rocks experienced significant cooling in the spinel peridotite facies. Water contents of orthopyroxene range from 86 to 233wt. ppm H&lt;inf&gt;2&lt;/inf&gt;O with an average concentration of 142wt. ppm H&lt;inf&gt;2&lt;/inf&gt;O. These results represent the first data on water contents in the sub-pacific mantle obtained by direct measurements of sub-oceanic peridotite. The water contents are not related to mineral chemistry, stratigraphy, melting degree, mantle equilibrium conditions or oxidation state. Calculated post-melt peridotite water contents vary between 40 and 100wt. ppm H&lt;inf&gt;2&lt;/inf&gt;O.Compared to Mid-Atlantic Ridge peridotites, the East Pacific Rise samples of Leg 147 contain somewhat lower water concentrations than samples from Leg 153 and considerably higher contents than those of Leg 209 (Gose et al., 2009; Schmädicke et al., 2011). In Leg 147, the strongest OH absorbtion band occurs at 3420cm&lt;sup&gt;-1&lt;/sup&gt;, wheras orthopyroxene from MAR peridotite (Legs 153 and 209) has its strongest absorbtion band at 3566 and 3522cm&lt;sup&gt;-1&lt;/sup&gt;. The mantle equilibrium temperature of Leg 147 peridotites is lower than that of Leg 209 (~1250°C) but close to that of Leg 153 samples (950-1000°C). The high degree of partial melting of Leg 147 peridotite samples overlaps with the Leg 209 samples. In accordance to this data we conclude that in order to obtain relatively high water contents of up to 233wt. ppm in depleted peridotite, after melt removal water must have re-entered the orthopyroxene structure. We suggest that re-equilibration of water contents…","author":[{"dropping-particle":"","family":"Hesse","given":"Kirsten T.","non-dropping-particle":"","parse-names":false,"suffix":""},{"dropping-particle":"","family":"Gose","given":"Jürgen","non-dropping-particle":"","parse-names":false,"suffix":""},{"dropping-particle":"","family":"Stalder","given":"Roland","non-dropping-particle":"","parse-names":false,"suffix":""},{"dropping-particle":"","family":"Schmädicke","given":"Esther","non-dropping-particle":"","parse-names":false,"suffix":""}],"container-title":"Lithos","id":"ITEM-1","issued":{"date-parts":[["2015"]]},"page":"23-34","publisher":"Elsevier B.V.","title":"Water in orthopyroxene from abyssal spinel peridotites of the East Pacific Rise (ODP Leg 147: Hess Deep)","type":"article-journal","volume":"232"},"uris":["http://www.mendeley.com/documents/?uuid=6d33aeda-6908-4b3c-8bdb-e34faa318321"]},{"id":"ITEM-2","itemData":{"DOI":"10.1016/j.epsl.2017.02.038","ISSN":"0012821X","abstract":"To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Letters","id":"ITEM-2","issued":{"date-parts":[["2017"]]},"page":"134-144","publisher":"Elsevier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 Hesse et al., 2015)","manualFormatting":"(e.g. Dygert et al., 2017; Hesse et al., 2015)","plainTextFormattedCitation":"(Dygert et al., 2017; Hesse et al., 2015)","previouslyFormattedCitation":"(Dygert et al., 2017; Hesse et al., 2015)"},"properties":{"noteIndex":0},"schema":"https://github.com/citation-style-language/schema/raw/master/csl-citation.json"}</w:instrText>
      </w:r>
      <w:r w:rsidRPr="006770F0">
        <w:fldChar w:fldCharType="separate"/>
      </w:r>
      <w:r w:rsidRPr="006770F0">
        <w:rPr>
          <w:noProof/>
        </w:rPr>
        <w:t>(e.g. Dygert et al., 2017; Hesse et al., 2015)</w:t>
      </w:r>
      <w:r w:rsidRPr="006770F0">
        <w:fldChar w:fldCharType="end"/>
      </w:r>
      <w:r w:rsidRPr="006770F0">
        <w:t>.</w:t>
      </w:r>
      <w:r>
        <w:t xml:space="preserve"> In orthopyroxenes, the REE patterns are sub-parallel to the clinopyroxenes, with abundances ~0.5-1 order of magnitude lower.</w:t>
      </w:r>
    </w:p>
    <w:p w14:paraId="6BACD75B" w14:textId="13459933" w:rsidR="00E90C9E" w:rsidRDefault="008D10C3" w:rsidP="00F24389">
      <w:pPr>
        <w:pStyle w:val="Style1"/>
        <w:spacing w:line="360" w:lineRule="auto"/>
      </w:pPr>
      <w:bookmarkStart w:id="33" w:name="_Toc109036123"/>
      <w:r>
        <w:t xml:space="preserve">4.2.2 </w:t>
      </w:r>
      <w:r w:rsidR="00E90C9E" w:rsidRPr="6F96FD7C">
        <w:t>Trace element zoning</w:t>
      </w:r>
      <w:bookmarkEnd w:id="33"/>
    </w:p>
    <w:p w14:paraId="74C7F4B5" w14:textId="5A654A9D" w:rsidR="00E90C9E" w:rsidRPr="00593E51" w:rsidRDefault="00E90C9E" w:rsidP="00593E51">
      <w:pPr>
        <w:spacing w:line="360" w:lineRule="auto"/>
        <w:ind w:firstLine="360"/>
      </w:pPr>
      <w:r>
        <w:rPr>
          <w:bdr w:val="none" w:sz="0" w:space="0" w:color="auto" w:frame="1"/>
        </w:rPr>
        <w:t>Hess Deep gabbros exhibit zoning in plagioclase and especially clinopyroxene. We plot concentration variations across paired mineral grains</w:t>
      </w:r>
      <w:r w:rsidRPr="00D65303">
        <w:t xml:space="preserve"> </w:t>
      </w:r>
      <w:r>
        <w:t>from</w:t>
      </w:r>
      <w:r w:rsidRPr="00D65303">
        <w:t xml:space="preserve"> </w:t>
      </w:r>
      <w:r>
        <w:t>a representative sample</w:t>
      </w:r>
      <w:r w:rsidRPr="00D65303">
        <w:t xml:space="preserve"> </w:t>
      </w:r>
      <w:r>
        <w:t xml:space="preserve">in Figure </w:t>
      </w:r>
      <w:r w:rsidR="005C3691">
        <w:t>1.</w:t>
      </w:r>
      <w:r>
        <w:t xml:space="preserve">5 (spot locations are shown in </w:t>
      </w:r>
      <w:r w:rsidRPr="00D65303">
        <w:t xml:space="preserve">Figure </w:t>
      </w:r>
      <w:r w:rsidR="005C3691">
        <w:t>1.</w:t>
      </w:r>
      <w:r w:rsidRPr="00C3212B">
        <w:t>2a</w:t>
      </w:r>
      <w:r>
        <w:t>)</w:t>
      </w:r>
      <w:r w:rsidRPr="00C3212B">
        <w:t xml:space="preserve">. </w:t>
      </w:r>
      <w:r w:rsidRPr="00C3212B">
        <w:rPr>
          <w:bdr w:val="none" w:sz="0" w:space="0" w:color="auto" w:frame="1"/>
        </w:rPr>
        <w:t>E</w:t>
      </w:r>
      <w:r>
        <w:rPr>
          <w:bdr w:val="none" w:sz="0" w:space="0" w:color="auto" w:frame="1"/>
        </w:rPr>
        <w:t>lemental abundances vary across grains well beyond analytical uncertainty</w:t>
      </w:r>
      <w:r w:rsidDel="00583E99">
        <w:rPr>
          <w:bdr w:val="none" w:sz="0" w:space="0" w:color="auto" w:frame="1"/>
        </w:rPr>
        <w:t xml:space="preserve">, </w:t>
      </w:r>
      <w:r>
        <w:rPr>
          <w:bdr w:val="none" w:sz="0" w:space="0" w:color="auto" w:frame="1"/>
        </w:rPr>
        <w:t xml:space="preserve">as previously documented by </w:t>
      </w:r>
      <w:proofErr w:type="spellStart"/>
      <w:r>
        <w:rPr>
          <w:bdr w:val="none" w:sz="0" w:space="0" w:color="auto" w:frame="1"/>
        </w:rPr>
        <w:t>Lissenberg</w:t>
      </w:r>
      <w:proofErr w:type="spellEnd"/>
      <w:r>
        <w:rPr>
          <w:bdr w:val="none" w:sz="0" w:space="0" w:color="auto" w:frame="1"/>
        </w:rPr>
        <w:t xml:space="preserve"> et al. (2013) and </w:t>
      </w:r>
      <w:proofErr w:type="spellStart"/>
      <w:r>
        <w:rPr>
          <w:bdr w:val="none" w:sz="0" w:space="0" w:color="auto" w:frame="1"/>
        </w:rPr>
        <w:t>Lissenberg</w:t>
      </w:r>
      <w:proofErr w:type="spellEnd"/>
      <w:r>
        <w:rPr>
          <w:bdr w:val="none" w:sz="0" w:space="0" w:color="auto" w:frame="1"/>
        </w:rPr>
        <w:t xml:space="preserve"> &amp; </w:t>
      </w:r>
      <w:proofErr w:type="spellStart"/>
      <w:r>
        <w:rPr>
          <w:bdr w:val="none" w:sz="0" w:space="0" w:color="auto" w:frame="1"/>
        </w:rPr>
        <w:t>Maclennan</w:t>
      </w:r>
      <w:proofErr w:type="spellEnd"/>
      <w:r>
        <w:rPr>
          <w:bdr w:val="none" w:sz="0" w:space="0" w:color="auto" w:frame="1"/>
        </w:rPr>
        <w:t xml:space="preserve">, 2016. </w:t>
      </w:r>
      <w:r w:rsidRPr="00290145">
        <w:rPr>
          <w:bdr w:val="none" w:sz="0" w:space="0" w:color="auto" w:frame="1"/>
        </w:rPr>
        <w:t xml:space="preserve">The </w:t>
      </w:r>
      <w:r>
        <w:t>minor</w:t>
      </w:r>
      <w:r w:rsidRPr="00290145">
        <w:rPr>
          <w:bdr w:val="none" w:sz="0" w:space="0" w:color="auto" w:frame="1"/>
        </w:rPr>
        <w:t xml:space="preserve"> intrasample trace element abundance variations exhibited by Hess Deep peridotites and </w:t>
      </w:r>
      <w:proofErr w:type="spellStart"/>
      <w:r>
        <w:rPr>
          <w:bdr w:val="none" w:sz="0" w:space="0" w:color="auto" w:frame="1"/>
        </w:rPr>
        <w:t>OmanDP</w:t>
      </w:r>
      <w:proofErr w:type="spellEnd"/>
      <w:r w:rsidRPr="00290145">
        <w:rPr>
          <w:bdr w:val="none" w:sz="0" w:space="0" w:color="auto" w:frame="1"/>
        </w:rPr>
        <w:t xml:space="preserve"> </w:t>
      </w:r>
      <w:proofErr w:type="spellStart"/>
      <w:r w:rsidRPr="00290145">
        <w:rPr>
          <w:bdr w:val="none" w:sz="0" w:space="0" w:color="auto" w:frame="1"/>
        </w:rPr>
        <w:t>gabbros</w:t>
      </w:r>
      <w:proofErr w:type="spellEnd"/>
      <w:r w:rsidRPr="00290145">
        <w:rPr>
          <w:bdr w:val="none" w:sz="0" w:space="0" w:color="auto" w:frame="1"/>
        </w:rPr>
        <w:t xml:space="preserve"> and peridotites (Figure </w:t>
      </w:r>
      <w:r w:rsidR="005C3691">
        <w:rPr>
          <w:bdr w:val="none" w:sz="0" w:space="0" w:color="auto" w:frame="1"/>
        </w:rPr>
        <w:t>1.</w:t>
      </w:r>
      <w:r w:rsidRPr="00290145">
        <w:rPr>
          <w:bdr w:val="none" w:sz="0" w:space="0" w:color="auto" w:frame="1"/>
        </w:rPr>
        <w:t xml:space="preserve">4) </w:t>
      </w:r>
      <w:r w:rsidRPr="006770F0">
        <w:rPr>
          <w:bdr w:val="none" w:sz="0" w:space="0" w:color="auto" w:frame="1"/>
        </w:rPr>
        <w:t>establishes</w:t>
      </w:r>
      <w:r w:rsidRPr="00290145">
        <w:rPr>
          <w:bdr w:val="none" w:sz="0" w:space="0" w:color="auto" w:frame="1"/>
        </w:rPr>
        <w:t xml:space="preserve"> that zoning in those phases and samples is within analytical uncertainty</w:t>
      </w:r>
      <w:r w:rsidRPr="006770F0">
        <w:rPr>
          <w:bdr w:val="none" w:sz="0" w:space="0" w:color="auto" w:frame="1"/>
        </w:rPr>
        <w:t xml:space="preserve">, as </w:t>
      </w:r>
      <w:r>
        <w:rPr>
          <w:bdr w:val="none" w:sz="0" w:space="0" w:color="auto" w:frame="1"/>
        </w:rPr>
        <w:t xml:space="preserve">representative </w:t>
      </w:r>
      <w:r w:rsidRPr="006770F0">
        <w:rPr>
          <w:bdr w:val="none" w:sz="0" w:space="0" w:color="auto" w:frame="1"/>
        </w:rPr>
        <w:t xml:space="preserve">data were collected from </w:t>
      </w:r>
      <w:r>
        <w:rPr>
          <w:bdr w:val="none" w:sz="0" w:space="0" w:color="auto" w:frame="1"/>
        </w:rPr>
        <w:t xml:space="preserve">mineral </w:t>
      </w:r>
      <w:r w:rsidRPr="006770F0">
        <w:rPr>
          <w:bdr w:val="none" w:sz="0" w:space="0" w:color="auto" w:frame="1"/>
        </w:rPr>
        <w:t xml:space="preserve">cores </w:t>
      </w:r>
      <w:r>
        <w:rPr>
          <w:bdr w:val="none" w:sz="0" w:space="0" w:color="auto" w:frame="1"/>
        </w:rPr>
        <w:t>and</w:t>
      </w:r>
      <w:r w:rsidRPr="006770F0">
        <w:rPr>
          <w:bdr w:val="none" w:sz="0" w:space="0" w:color="auto" w:frame="1"/>
        </w:rPr>
        <w:t xml:space="preserve"> rims whenever possible</w:t>
      </w:r>
      <w:r w:rsidRPr="00290145">
        <w:rPr>
          <w:bdr w:val="none" w:sz="0" w:space="0" w:color="auto" w:frame="1"/>
        </w:rPr>
        <w:t>.</w:t>
      </w:r>
    </w:p>
    <w:p w14:paraId="6B670F4B" w14:textId="034D0201" w:rsidR="00E90C9E" w:rsidRDefault="008D10C3" w:rsidP="00F24389">
      <w:pPr>
        <w:pStyle w:val="Heading3"/>
        <w:spacing w:line="360" w:lineRule="auto"/>
      </w:pPr>
      <w:bookmarkStart w:id="34" w:name="_Toc109036124"/>
      <w:r>
        <w:t xml:space="preserve">4.3 </w:t>
      </w:r>
      <w:r w:rsidR="00E90C9E" w:rsidRPr="6F96FD7C">
        <w:t>Temperatures</w:t>
      </w:r>
      <w:bookmarkEnd w:id="34"/>
    </w:p>
    <w:p w14:paraId="08E9BF2E" w14:textId="77777777" w:rsidR="00CE6E5A" w:rsidRDefault="00E90C9E" w:rsidP="00140C59">
      <w:pPr>
        <w:spacing w:line="360" w:lineRule="auto"/>
        <w:ind w:firstLine="360"/>
        <w:rPr>
          <w:noProof/>
        </w:rPr>
      </w:pPr>
      <w:r w:rsidRPr="00FB2B82">
        <w:t xml:space="preserve">Thermometers were applied to the crustal gabbros and mantle peridotites according to mineral assemblages present. Gabbros were investigated using a Ca-in-olivine thermometer </w:t>
      </w:r>
      <w:r w:rsidRPr="006770F0">
        <w:fldChar w:fldCharType="begin" w:fldLock="1"/>
      </w:r>
      <w:r w:rsidRPr="006770F0">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applications","type":"article-journal","volume":"54"},"uris":["http://www.mendeley.com/documents/?uuid=91096bb6-4f27-4518-9a4e-e0c9afe14114"]}],"mendeley":{"formattedCitation":"(Köhler &amp; Brey, 1990)","plainTextFormattedCitation":"(Köhler &amp; Brey, 1990)","previouslyFormattedCitation":"(Köhler &amp; Brey, 1990)"},"properties":{"noteIndex":0},"schema":"https://github.com/citation-style-language/schema/raw/master/csl-citation.json"}</w:instrText>
      </w:r>
      <w:r w:rsidRPr="006770F0">
        <w:fldChar w:fldCharType="separate"/>
      </w:r>
      <w:r w:rsidRPr="006770F0">
        <w:rPr>
          <w:noProof/>
        </w:rPr>
        <w:t>(Köhler &amp; Brey, 1990)</w:t>
      </w:r>
      <w:r w:rsidRPr="006770F0">
        <w:fldChar w:fldCharType="end"/>
      </w:r>
      <w:r w:rsidRPr="00FB2B82">
        <w:t xml:space="preserve">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REE-in-clinopyroxene thermometer </w:t>
      </w:r>
      <w:r>
        <w:fldChar w:fldCharType="begin" w:fldLock="1"/>
      </w:r>
      <w:r>
        <w:instrText>ADDIN CSL_CITATION {"citationItems":[{"id":"ITEM-1","itemData":{"DOI":"10.1007/s00410-016-1326-9","ISBN":"0041001613","ISSN":"00107999","abstract":"differences appear between the REE-and Mg-exchange thermometers for the volcanic and cumulate rocks. Through numerical simulations of diffusion in plagioclase-clinopy-roxene systems, we demonstrate that (1) due to their slower diffusion rates, REE in minerals preferentially records crys-tallization or near-crystallization temperatures of the rock, and that (2) Mg is readily rest to lower temperatures for rocks from intermediately or slowly cooled magma bodies but records the initial crystallization temperatures of rocks from rapidly cooled magmas. Given their distinct diffusive responses to temperature changes, REE and Mg closure temperatures recorded by the two thermometers can be used in concert to study thermal and magmatic histories of plagioclase-and clinopyroxene-bearing rocks.","author":[{"dropping-particle":"","family":"Sun","given":"Chenguang","non-dropping-particle":"","parse-names":false,"suffix":""},{"dropping-particle":"","family":"Liang","given":"Yan","non-dropping-particle":"","parse-names":false,"suffix":""}],"container-title":"Contributions to Mineralogy and Petrology","id":"ITEM-1","issue":"4","issued":{"date-parts":[["2017"]]},"page":"1-20","publisher":"Springer Berlin Heidelberg","title":"A REE-in-plagioclase–clinopyroxene thermometer for crustal rocks","type":"article-journal","volume":"172"},"uris":["http://www.mendeley.com/documents/?uuid=3aed1e81-ac55-444c-aa5b-566f814d31e5"]}],"mendeley":{"formattedCitation":"(Sun &amp; Liang, 2017)","plainTextFormattedCitation":"(Sun &amp; Liang, 2017)","previouslyFormattedCitation":"(Sun &amp; Liang, 2017)"},"properties":{"noteIndex":0},"schema":"https://github.com/citation-style-language/schema/raw/master/csl-citation.json"}</w:instrText>
      </w:r>
      <w:r>
        <w:fldChar w:fldCharType="separate"/>
      </w:r>
      <w:r w:rsidRPr="00A67C11">
        <w:rPr>
          <w:noProof/>
        </w:rPr>
        <w:t xml:space="preserve">(Sun </w:t>
      </w:r>
      <w:r w:rsidR="00CE6E5A">
        <w:rPr>
          <w:noProof/>
        </w:rPr>
        <w:br w:type="page"/>
      </w:r>
    </w:p>
    <w:p w14:paraId="41AEB0DD" w14:textId="77777777" w:rsidR="00CE6E5A" w:rsidRDefault="00CE6E5A" w:rsidP="00CE6E5A">
      <w:pPr>
        <w:keepNext/>
        <w:jc w:val="center"/>
      </w:pPr>
      <w:r>
        <w:rPr>
          <w:noProof/>
          <w:bdr w:val="none" w:sz="0" w:space="0" w:color="auto" w:frame="1"/>
        </w:rPr>
        <w:lastRenderedPageBreak/>
        <w:drawing>
          <wp:anchor distT="0" distB="0" distL="114300" distR="114300" simplePos="0" relativeHeight="251654144" behindDoc="0" locked="0" layoutInCell="1" allowOverlap="1" wp14:anchorId="26459577" wp14:editId="67122FEB">
            <wp:simplePos x="0" y="0"/>
            <wp:positionH relativeFrom="column">
              <wp:posOffset>1047750</wp:posOffset>
            </wp:positionH>
            <wp:positionV relativeFrom="paragraph">
              <wp:posOffset>0</wp:posOffset>
            </wp:positionV>
            <wp:extent cx="3839115" cy="4097309"/>
            <wp:effectExtent l="0" t="0" r="0" b="0"/>
            <wp:wrapTopAndBottom/>
            <wp:docPr id="51" name="Picture 51" descr="A picture containing text, ligh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 light, display&#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839115" cy="4097309"/>
                    </a:xfrm>
                    <a:prstGeom prst="rect">
                      <a:avLst/>
                    </a:prstGeom>
                    <a:noFill/>
                    <a:ln>
                      <a:noFill/>
                    </a:ln>
                  </pic:spPr>
                </pic:pic>
              </a:graphicData>
            </a:graphic>
          </wp:anchor>
        </w:drawing>
      </w:r>
    </w:p>
    <w:p w14:paraId="65C3DEC2" w14:textId="2D144E03" w:rsidR="00CE6E5A" w:rsidRDefault="00CE6E5A" w:rsidP="00CE6E5A">
      <w:pPr>
        <w:pStyle w:val="Caption"/>
      </w:pPr>
      <w:bookmarkStart w:id="35" w:name="_Toc109738667"/>
      <w:r w:rsidRPr="00C17E5E">
        <w:rPr>
          <w:b w:val="0"/>
          <w:bCs w:val="0"/>
          <w:sz w:val="20"/>
          <w:szCs w:val="20"/>
        </w:rPr>
        <w:t xml:space="preserve">Figure </w:t>
      </w:r>
      <w:r>
        <w:rPr>
          <w:b w:val="0"/>
          <w:bCs w:val="0"/>
          <w:sz w:val="20"/>
          <w:szCs w:val="20"/>
        </w:rPr>
        <w:t>1.</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5</w:t>
      </w:r>
      <w:r>
        <w:rPr>
          <w:b w:val="0"/>
          <w:bCs w:val="0"/>
          <w:sz w:val="20"/>
          <w:szCs w:val="20"/>
        </w:rPr>
        <w:fldChar w:fldCharType="end"/>
      </w:r>
      <w:r w:rsidRPr="00C17E5E">
        <w:rPr>
          <w:b w:val="0"/>
          <w:bCs w:val="0"/>
          <w:sz w:val="20"/>
          <w:szCs w:val="20"/>
        </w:rPr>
        <w:t xml:space="preserve">. </w:t>
      </w:r>
      <w:r w:rsidRPr="00E90C9E">
        <w:rPr>
          <w:b w:val="0"/>
          <w:bCs w:val="0"/>
          <w:sz w:val="20"/>
          <w:szCs w:val="20"/>
        </w:rPr>
        <w:t>Ce and Nd concentrations in paired plagioclase and clinopyroxene grains measured by LA-ICP-MS.</w:t>
      </w:r>
      <w:r w:rsidRPr="00E90C9E">
        <w:rPr>
          <w:rFonts w:cstheme="minorBidi"/>
          <w:b w:val="0"/>
          <w:bCs w:val="0"/>
          <w:kern w:val="24"/>
          <w:sz w:val="20"/>
          <w:szCs w:val="20"/>
        </w:rPr>
        <w:t xml:space="preserve"> </w:t>
      </w:r>
      <w:r w:rsidRPr="00E90C9E">
        <w:rPr>
          <w:b w:val="0"/>
          <w:bCs w:val="0"/>
          <w:sz w:val="20"/>
          <w:szCs w:val="20"/>
        </w:rPr>
        <w:t>Analytical uncertainty (relative) is estimated at 10% of the concentration. Trace element abundances vary beyond the analytical uncertainty in the plagioclase grain on the left and in the clinopyroxene. These variations are representative of Hess Deep gabbros in general, and the variations are interpreted to reflect magmatic processes. See Section 5.1.1 and Lissenberg et al., 2013, and Lissenberg &amp; Macleod, 2016.</w:t>
      </w:r>
      <w:bookmarkEnd w:id="35"/>
    </w:p>
    <w:p w14:paraId="0CDF5621" w14:textId="3FDDF938" w:rsidR="00CE6E5A" w:rsidRDefault="00CE6E5A" w:rsidP="00CE6E5A">
      <w:pPr>
        <w:spacing w:line="360" w:lineRule="auto"/>
        <w:rPr>
          <w:noProof/>
        </w:rPr>
      </w:pPr>
      <w:r>
        <w:rPr>
          <w:noProof/>
        </w:rPr>
        <w:br w:type="page"/>
      </w:r>
    </w:p>
    <w:p w14:paraId="161F8F27" w14:textId="6D0FA950" w:rsidR="00DA1556" w:rsidRDefault="00E90C9E" w:rsidP="00CE6E5A">
      <w:pPr>
        <w:spacing w:line="360" w:lineRule="auto"/>
      </w:pPr>
      <w:r w:rsidRPr="00A67C11">
        <w:rPr>
          <w:noProof/>
        </w:rPr>
        <w:lastRenderedPageBreak/>
        <w:t>&amp; Liang, 2017)</w:t>
      </w:r>
      <w:r>
        <w:fldChar w:fldCharType="end"/>
      </w:r>
      <w:r w:rsidRPr="00FB2B82">
        <w:t xml:space="preserve"> (</w:t>
      </w:r>
      <w:r w:rsidRPr="00FB2B82">
        <w:rPr>
          <w:i/>
        </w:rPr>
        <w:t>T</w:t>
      </w:r>
      <w:r w:rsidRPr="00FB2B82">
        <w:rPr>
          <w:i/>
          <w:vertAlign w:val="subscript"/>
        </w:rPr>
        <w:t>REE-in-</w:t>
      </w:r>
      <w:proofErr w:type="spellStart"/>
      <w:r w:rsidRPr="00FB2B82">
        <w:rPr>
          <w:i/>
          <w:vertAlign w:val="subscript"/>
        </w:rPr>
        <w:t>Cpx</w:t>
      </w:r>
      <w:proofErr w:type="spellEnd"/>
      <w:r w:rsidRPr="00FB2B82">
        <w:rPr>
          <w:i/>
          <w:vertAlign w:val="subscript"/>
        </w:rPr>
        <w:t>-</w:t>
      </w:r>
      <w:proofErr w:type="spellStart"/>
      <w:r w:rsidRPr="00FB2B82">
        <w:rPr>
          <w:i/>
          <w:vertAlign w:val="subscript"/>
        </w:rPr>
        <w:t>Plag</w:t>
      </w:r>
      <w:proofErr w:type="spellEnd"/>
      <w:r w:rsidRPr="00FB2B82">
        <w:t xml:space="preserve">), and a magnesium-in-plagioclase thermometer </w:t>
      </w:r>
      <w:r>
        <w:fldChar w:fldCharType="begin" w:fldLock="1"/>
      </w:r>
      <w:r>
        <w:instrText>ADDIN CSL_CITATION {"citationItems":[{"id":"ITEM-1","itemData":{"DOI":"10.1016/j.gca.2014.06.005","ISBN":"0016-7037","ISSN":"00167037","abstract":"We present a new Mg-in-plagioclase geospeedometer based on the diffusive exchange of Mg between plagioclase and clinopyroxene that allows cooling rates of a wide range of mafic rocks to be determined. The major element composition of plagioclase is shown to play an important role in driving the flux of Mg as well as the partitioning of Mg between plagioclase and clinopyroxene. Therefore, commonly used analytical solutions to the diffusion equation are not applicable in this system and an alternate approach is developed. Practical aspects of the method such as the role of anorthite zoning patterns and influence of shapes of cooling paths and grain geometries in controlling the Mg concentration profile shapes are discussed. Propagation of uncertainties in the knowledge of diffusion and partition coefficients shows that the method is capable of resolving small differences in cooling rates (e.g., log[dT/dt°Cyr-1]=-3±0.3 in one example). The approach is illustrated by application to two samples from the lower oceanic crust. © 2014 Elsevier Ltd.","author":[{"dropping-particle":"","family":"Faak","given":"Kathrin","non-dropping-particle":"","parse-names":false,"suffix":""},{"dropping-particle":"","family":"Coogan","given":"Laurence A.","non-dropping-particle":"","parse-names":false,"suffix":""},{"dropping-particle":"","family":"Chakraborty","given":"Sumit","non-dropping-particle":"","parse-names":false,"suffix":""}],"container-title":"Geochimica et Cosmochimica Acta","id":"ITEM-1","issued":{"date-parts":[["2014"]]},"page":"691-707","publisher":"Elsevier Ltd","title":"A new Mg-in-plagioclase geospeedometer for the determination of cooling rates of mafic rocks","type":"article-journal","volume":"140"},"uris":["http://www.mendeley.com/documents/?uuid=963f7023-c079-4393-9e90-debb7105cff9"]},{"id":"ITEM-2","itemData":{"DOI":"10.1016/j.epsl.2018.01.032","ISSN":"0012821X","abstract":"A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Letters","id":"ITEM-2","issued":{"date-parts":[["2018","2","12"]]},"page":"165-178","publisher":"Elsevier B.V.","title":"aFormation of fast-spreading lower oceanic crust as revealed by a new Mg–REE coupled geospeedometer","type":"article-journal","volume":"487"},"uris":["http://www.mendeley.com/documents/?uuid=f486dd42-88a6-4fd7-8dea-0a2ba656c4dd"]}],"mendeley":{"formattedCitation":"(Faak et al., 2014; Sun &amp; Lissenberg, 2018a)","plainTextFormattedCitation":"(Faak et al., 2014; Sun &amp; Lissenberg, 2018a)","previouslyFormattedCitation":"(Faak et al., 2014; Sun &amp; Lissenberg, 2018a)"},"properties":{"noteIndex":0},"schema":"https://github.com/citation-style-language/schema/raw/master/csl-citation.json"}</w:instrText>
      </w:r>
      <w:r>
        <w:fldChar w:fldCharType="separate"/>
      </w:r>
      <w:r w:rsidRPr="00794B1B">
        <w:rPr>
          <w:noProof/>
        </w:rPr>
        <w:t>(Faak et al., 2014; Sun &amp; Lissenberg, 2018a)</w:t>
      </w:r>
      <w:r>
        <w:fldChar w:fldCharType="end"/>
      </w:r>
      <w:r w:rsidRPr="00FB2B82">
        <w:t xml:space="preserve"> (</w:t>
      </w:r>
      <w:proofErr w:type="spellStart"/>
      <w:r w:rsidRPr="00FB2B82">
        <w:rPr>
          <w:i/>
        </w:rPr>
        <w:t>T</w:t>
      </w:r>
      <w:r w:rsidRPr="00FB2B82">
        <w:rPr>
          <w:i/>
          <w:vertAlign w:val="subscript"/>
        </w:rPr>
        <w:t>Mg</w:t>
      </w:r>
      <w:proofErr w:type="spellEnd"/>
      <w:r w:rsidRPr="00FB2B82">
        <w:rPr>
          <w:i/>
          <w:vertAlign w:val="subscript"/>
        </w:rPr>
        <w:t>-in-</w:t>
      </w:r>
      <w:proofErr w:type="spellStart"/>
      <w:r w:rsidRPr="00FB2B82">
        <w:rPr>
          <w:i/>
          <w:vertAlign w:val="subscript"/>
        </w:rPr>
        <w:t>Plag</w:t>
      </w:r>
      <w:proofErr w:type="spellEnd"/>
      <w:r w:rsidRPr="00FB2B82">
        <w:t xml:space="preserve">). Peridotites were investigated using the Köhler &amp; Brey, 1990 Ca-in-olivine thermometer and several two-pyroxene solvus thermometers; </w:t>
      </w:r>
      <w:r w:rsidRPr="006770F0">
        <w:fldChar w:fldCharType="begin" w:fldLock="1"/>
      </w:r>
      <w:r>
        <w:instrText>ADDIN CSL_CITATION {"citationItems":[{"id":"ITEM-1","itemData":{"DOI":"https://doi.org/10.1093/petrology/31.6.1353","author":[{"dropping-particle":"","family":"Brey","given":"G. P.","non-dropping-particle":"","parse-names":false,"suffix":""},{"dropping-particle":"","family":"Köhler","given":"T. P.","non-dropping-particle":"","parse-names":false,"suffix":""}],"container-title":"Journal of Petrology","id":"ITEM-1","issue":"6","issued":{"date-parts":[["1990"]]},"page":"1353-1378","title":"Geothermobarometry in Four-phase Lherzolites II . New Thermobarometers , and Practical Assessment of Existing Thermobarometers","type":"article-journal","volume":"31"},"uris":["http://www.mendeley.com/documents/?uuid=a74c01ed-42e1-4e11-8756-60a802850c71"]}],"mendeley":{"formattedCitation":"(Brey &amp; Köhler, 1990)","manualFormatting":"Brey &amp; Köhler, 1990","plainTextFormattedCitation":"(Brey &amp; Köhler, 1990)","previouslyFormattedCitation":"(Brey &amp; Köhler, 1990)"},"properties":{"noteIndex":0},"schema":"https://github.com/citation-style-language/schema/raw/master/csl-citation.json"}</w:instrText>
      </w:r>
      <w:r w:rsidRPr="006770F0">
        <w:fldChar w:fldCharType="separate"/>
      </w:r>
      <w:r w:rsidRPr="006770F0">
        <w:rPr>
          <w:noProof/>
        </w:rPr>
        <w:t>Brey &amp; Köhler, 1990</w:t>
      </w:r>
      <w:r w:rsidRPr="006770F0">
        <w:fldChar w:fldCharType="end"/>
      </w:r>
      <w:r w:rsidRPr="00FB2B82">
        <w:t xml:space="preserve"> (</w:t>
      </w:r>
      <w:r w:rsidRPr="00FB2B82">
        <w:rPr>
          <w:i/>
        </w:rPr>
        <w:t>T</w:t>
      </w:r>
      <w:r w:rsidRPr="00FB2B82">
        <w:rPr>
          <w:i/>
          <w:vertAlign w:val="subscript"/>
        </w:rPr>
        <w:t>BKN</w:t>
      </w:r>
      <w:r w:rsidRPr="00FB2B82">
        <w:t xml:space="preserve">), </w:t>
      </w:r>
      <w:r w:rsidRPr="006770F0">
        <w:fldChar w:fldCharType="begin" w:fldLock="1"/>
      </w:r>
      <w:r w:rsidRPr="006770F0">
        <w:instrText>ADDIN CSL_CITATION {"citationItems":[{"id":"ITEM-1","itemData":{"DOI":"10.1007/BF00372872","ISSN":"00107999","abstract":"Simple mixing models have been applied to ortho- and clinopyroxene solid solutions and a semi-empirical equation of state extracted from the available experimental data for the diopside-enstatite miscibility gap. This equation successfully reproduces the miscibility gap over a temperature range of 800 °C to 1700 °C and is apparently also applicable to aluminous pyroxenes in the system CaSiO3-MgSiO3-Al2O3. The effect of iron solubility in the pyroxenes has been calibrated empirically using most of the available experimental data for multicomponent pyroxenes. This semi-empirical model reproduces most of the experimental data within 70 °C. Temperatures calculated for naturally equilibrated Mg-rich two-pyroxene assemblages deviate markedly from those estimated using the thermometer of Wood and Banno (1973). These discrepancies can be attributed to large inaccuracies in the thermometer of Wood and Banno (1973) for Mg-rich compositions. © 1977 Springer-Verlag.","author":[{"dropping-particle":"","family":"Wells","given":"Peter R.A.","non-dropping-particle":"","parse-names":false,"suffix":""}],"container-title":"Contributions to Mineralogy and Petrology","id":"ITEM-1","issue":"2","issued":{"date-parts":[["1977"]]},"page":"129-139","title":"Pyroxene thermometry in simple and complex systems","type":"article-journal","volume":"62"},"uris":["http://www.mendeley.com/documents/?uuid=3eb7a526-fb02-41f1-870f-3caa0ace5149"]}],"mendeley":{"formattedCitation":"(Wells, 1977)","manualFormatting":"Wells, 1977","plainTextFormattedCitation":"(Wells, 1977)","previouslyFormattedCitation":"(Wells, 1977)"},"properties":{"noteIndex":0},"schema":"https://github.com/citation-style-language/schema/raw/master/csl-citation.json"}</w:instrText>
      </w:r>
      <w:r w:rsidRPr="006770F0">
        <w:fldChar w:fldCharType="separate"/>
      </w:r>
      <w:r w:rsidRPr="006770F0">
        <w:rPr>
          <w:noProof/>
        </w:rPr>
        <w:t>Wells, 1977</w:t>
      </w:r>
      <w:r w:rsidRPr="006770F0">
        <w:fldChar w:fldCharType="end"/>
      </w:r>
      <w:r>
        <w:t xml:space="preserve"> </w:t>
      </w:r>
      <w:r w:rsidRPr="00FB2B82">
        <w:t>(</w:t>
      </w:r>
      <w:proofErr w:type="spellStart"/>
      <w:r w:rsidRPr="00FB2B82">
        <w:rPr>
          <w:i/>
        </w:rPr>
        <w:t>T</w:t>
      </w:r>
      <w:r w:rsidRPr="00FB2B82">
        <w:rPr>
          <w:i/>
          <w:vertAlign w:val="subscript"/>
        </w:rPr>
        <w:t>Wells</w:t>
      </w:r>
      <w:proofErr w:type="spellEnd"/>
      <w:r w:rsidRPr="00FB2B82">
        <w:t xml:space="preserve">), </w:t>
      </w:r>
      <w:r w:rsidRPr="006770F0">
        <w:fldChar w:fldCharType="begin" w:fldLock="1"/>
      </w:r>
      <w:r w:rsidRPr="006770F0">
        <w:instrText>ADDIN CSL_CITATION {"citationItems":[{"id":"ITEM-1","itemData":{"DOI":"10.1130/0091-7613(1997)025&lt;0069:MTAHIB&gt;2.3.CO;2","ISSN":"00917613","abstract":"Pyroxene + liquid equilibrium in Hawaiian lavas occurs at a range of pressures for each volcano. Ranges are systematic and may be related to the stage of development of the magma conduit system. Kilauea, which is in its shield-building phase, yields relatively shallow storage estimates. Loihi and Mauna Kea, which are in the early and late stages of volcano growth, respectively, yield deeper storage estimates. Shallowest depth estimates at Loihi and Mauna Kea are similar to estimates of elastic plate thickness, suggesting that the mechanical behavior of the lithosphere, rather than density contrasts at the Moho, regulates magma delivery. Apparently, a large increase in fracture energy below the brittle-ductile transition inhibits transport at depth, whereas magma transport by fracture propagation is rapid through the brittle lithosphere. Some shallow depth estimates at Kilauea support the hypothesis that the strength of the unbuttressed southeast flank influences magma storage. Kilauea transport depths correlate with an eruption sequence, which illustrates a top-to-bottom emptying of the conduit system. Successively deeper reservoirs at Kilauea were tapped within 300 days, indicating that magma is stored at a range of depths, including in the mantle, rather than at a single level within the lithosphere.","author":[{"dropping-particle":"","family":"Putirka","given":"Keith","non-dropping-particle":"","parse-names":false,"suffix":""}],"container-title":"Geology","id":"ITEM-1","issue":"1","issued":{"date-parts":[["1997"]]},"page":"69-72","title":"Magma transport at Hawaii: Inferences based on igneous thermobarometry","type":"article-journal","volume":"25"},"uris":["http://www.mendeley.com/documents/?uuid=402f9a91-11bd-4dae-a297-c293589d0cb6"]}],"mendeley":{"formattedCitation":"(Putirka, 1997)","manualFormatting":"Putirka, 1997","plainTextFormattedCitation":"(Putirka, 1997)","previouslyFormattedCitation":"(Putirka, 1997)"},"properties":{"noteIndex":0},"schema":"https://github.com/citation-style-language/schema/raw/master/csl-citation.json"}</w:instrText>
      </w:r>
      <w:r w:rsidRPr="006770F0">
        <w:fldChar w:fldCharType="separate"/>
      </w:r>
      <w:r w:rsidRPr="006770F0">
        <w:rPr>
          <w:noProof/>
        </w:rPr>
        <w:t>Putirka, 1997</w:t>
      </w:r>
      <w:r w:rsidRPr="006770F0">
        <w:fldChar w:fldCharType="end"/>
      </w:r>
      <w:r w:rsidRPr="00FB2B82">
        <w:t xml:space="preserve"> (</w:t>
      </w:r>
      <w:proofErr w:type="spellStart"/>
      <w:r w:rsidRPr="00FB2B82">
        <w:rPr>
          <w:i/>
        </w:rPr>
        <w:t>T</w:t>
      </w:r>
      <w:r w:rsidRPr="00FB2B82">
        <w:rPr>
          <w:i/>
          <w:vertAlign w:val="subscript"/>
        </w:rPr>
        <w:t>Putirka</w:t>
      </w:r>
      <w:proofErr w:type="spellEnd"/>
      <w:r w:rsidRPr="00FB2B82">
        <w:t>), a Ca-in-</w:t>
      </w:r>
      <w:proofErr w:type="spellStart"/>
      <w:r w:rsidRPr="00FB2B82">
        <w:t>opx</w:t>
      </w:r>
      <w:proofErr w:type="spellEnd"/>
      <w:r w:rsidRPr="00FB2B82">
        <w:t xml:space="preserve"> solvus-based thermometer, </w:t>
      </w:r>
      <w:r w:rsidRPr="006770F0">
        <w:fldChar w:fldCharType="begin" w:fldLock="1"/>
      </w:r>
      <w:r>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applications","type":"article-journal","volume":"54"},"uris":["http://www.mendeley.com/documents/?uuid=91096bb6-4f27-4518-9a4e-e0c9afe14114"]}],"mendeley":{"formattedCitation":"(Köhler &amp; Brey, 1990)","manualFormatting":"Köhler &amp; Brey, 1990","plainTextFormattedCitation":"(Köhler &amp; Brey, 1990)","previouslyFormattedCitation":"(Köhler &amp; Brey, 1990)"},"properties":{"noteIndex":0},"schema":"https://github.com/citation-style-language/schema/raw/master/csl-citation.json"}</w:instrText>
      </w:r>
      <w:r w:rsidRPr="006770F0">
        <w:fldChar w:fldCharType="separate"/>
      </w:r>
      <w:r w:rsidRPr="006770F0">
        <w:rPr>
          <w:noProof/>
        </w:rPr>
        <w:t>Köhler &amp; Brey, 1990</w:t>
      </w:r>
      <w:r w:rsidRPr="006770F0">
        <w:fldChar w:fldCharType="end"/>
      </w:r>
      <w:r w:rsidRPr="00FB2B82">
        <w:t xml:space="preserve">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Opx</w:t>
      </w:r>
      <w:proofErr w:type="spellEnd"/>
      <w:r w:rsidRPr="00FB2B82">
        <w:t xml:space="preserve">), a REE-in-two-pyroxene thermometer </w:t>
      </w:r>
      <w:r w:rsidRPr="006770F0">
        <w:fldChar w:fldCharType="begin" w:fldLock="1"/>
      </w:r>
      <w:r w:rsidRPr="006770F0">
        <w:instrText>ADDIN CSL_CITATION {"citationItems":[{"id":"ITEM-1","itemData":{"DOI":"10.1016/j.epsl.2015.02.042","ISBN":"0012-821X","ISSN":"0012821X","abstract":"Mantle peridotites from ophiolites are commonly interpreted as having mid-ocean ridge (MOR) or supra-subduction zone (SSZ) affinity. Recently, an REE-in-two-pyroxene thermometer was developed (Liang et al., 2013) that has higher closure temperatures (designated as T&lt;inf&gt;REE&lt;/inf&gt;) than major element based two-pyroxene thermometers for mafic and ultramafic rocks that experienced cooling. The REE-in-two-pyroxene thermometer has the potential to extract meaningful cooling rates from ophiolitic peridotites and thus shed new light on the thermal history of the different tectonic regimes. We calculated T&lt;inf&gt;REE&lt;/inf&gt; for available literature data from abyssal peridotites, subcontinental (SC) peridotites, and ophiolites around the world (Alps, Coast Range, Corsica, New Caledonia, Oman, Othris, Puerto Rico, Russia, and Turkey), and augmented the data with new measurements for peridotites from the Trinity and Josephine ophiolites and the Mariana trench. T&lt;inf&gt;REE&lt;/inf&gt; are compared to major element based thermometers, including the two-pyroxene thermometer of Brey and K??hler (1990) (T&lt;inf&gt;BKN&lt;/inf&gt;). Samples with SC affinity have T&lt;inf&gt;REE&lt;/inf&gt; and T&lt;inf&gt;BKN&lt;/inf&gt; in good agreement. Samples with MOR and SSZ affinity have near-solidus T&lt;inf&gt;REE&lt;/inf&gt; but T&lt;inf&gt;BKN&lt;/inf&gt; hundreds of degrees lower. Closure temperatures for REE and Fe-Mg in pyroxenes were calculated to compare cooling rates among abyssal peridotites, MOR ophiolites, and SSZ ophiolites. Abyssal peridotites appear to cool more rapidly than peridotites from most ophiolites. On average, SSZ ophiolites have lower closure temperatures than abyssal peridotites and many ophiolites with MOR affinity. We propose that these lower temperatures can be attributed to the residence time in the cooling oceanic lithosphere prior to obduction. MOR ophiolites define a continuum spanning cooling rates from SSZ ophiolites to abyssal peridotites. Consistent high closure temperatures for abyssal peridotites and the Oman and Corsica ophiolites suggests hydrothermal circulation and/or rapid cooling events (e.g., normal faulting, unroofing) control the late thermal histories of peridotites from transform faults and slow and fast spreading centers with or without a crustal section.","author":[{"dropping-particle":"","family":"Dygert","given":"Nick","non-dropping-particle":"","parse-names":false,"suffix":""},{"dropping-particle":"","family":"Liang","given":"Yan","non-dropping-particle":"","parse-names":false,"suffix":""}],"container-title":"Earth and Planetary Science Letters","id":"ITEM-1","issued":{"date-parts":[["2015"]]},"page":"151-161","title":"Temperatures and cooling rates recorded in REE in coexisting pyroxenes in ophiolitic and abyssal peridotites","type":"article-journal","volume":"420"},"uris":["http://www.mendeley.com/documents/?uuid=e48d5f74-9cf4-4c45-adcc-fe92d8ea473f"]},{"id":"ITEM-2","itemData":{"DOI":"10.1016/j.gca.2012.10.035","ISBN":"0016-7037","ISSN":"00167037","abstract":"A REE-in-two-pyroxene thermometer for mafic and ultramafic rocks has been developed on the basis of the temperature and pyroxene composition dependent rare earth element (REE) partitioning between coexisting orthopyroxene and clinopyroxene. This trace element based two-pyroxene thermometer is built on two parameterized lattice strain models for REE partitioning between pyroxene and basaltic melt that were independently calibrated using data from pyroxene-melt partitioning experiments (Sun and Liang, 2012; Yao et al., 2012). By treating REE and Y as a group in temperature calculations, one can reduce analytical uncertainties in trace element analysis through least squares inversion of orthopyroxene-clinopyroxene partitioning data, and identify and exclude variations induced by secondary or metasomatic processes. For convenience, a simple robust regression program is provided for temperature inversion. Application of the REE-in-two-pyroxene thermometer to well-equilibrated spinel lherzolite and harzburgite xenoliths from the continental lithosphere demonstrates the internal consistency of the two pyroxene-melt REE partitioning models and the trace and major element based pyroxene thermometers: temperatures derived from the REE-in-two-pyroxene thermometer agree very well with temperatures calculated using major element based pyroxene thermometers. Applications of the REE-in-two-pyroxene thermometer to abyssal peridotites and mafic cumulates reveal a significant difference in the calculated temperatures between the REE and major element based pyroxene thermometers: temperatures derived from the REE-in-two-pyroxene thermometer are consistently higher than those derived from the major element based pyroxene thermometers. This discrepancy in temperature likely results from a difference in diffusion rate and hence closure temperature between the 2+ and 3+ cations in the pyroxenes. An independently calibrated REE-in-two-pyroxene thermometer may offer new insight into the thermal history of mafic and ultramafic rocks from the upper mantle and lower crust. ?? 2012 Elsevier Ltd.","author":[{"dropping-particle":"","family":"Liang","given":"Yan","non-dropping-particle":"","parse-names":false,"suffix":""},{"dropping-particle":"","family":"Sun","given":"Chenguang","non-dropping-particle":"","parse-names":false,"suffix":""},{"dropping-particle":"","family":"Yao","given":"Lijing","non-dropping-particle":"","parse-names":false,"suffix":""}],"container-title":"Geochimica et Cosmochimica Acta","id":"ITEM-2","issued":{"date-parts":[["2013"]]},"page":"246-260","publisher":"Elsevier Ltd","title":"A REE-in-two-pyroxene thermometer for mafic and ultramafic rocks","type":"article-journal","volume":"102"},"uris":["http://www.mendeley.com/documents/?uuid=b26fbd8f-ada8-4bbd-b9f4-769e52f10d9a"]}],"mendeley":{"formattedCitation":"(Dygert &amp; Liang, 2015; Liang et al., 2013)","manualFormatting":"(Liang et al., 2013)","plainTextFormattedCitation":"(Dygert &amp; Liang, 2015; Liang et al., 2013)","previouslyFormattedCitation":"(Dygert &amp; Liang, 2015; Liang et al., 2013)"},"properties":{"noteIndex":0},"schema":"https://github.com/citation-style-language/schema/raw/master/csl-citation.json"}</w:instrText>
      </w:r>
      <w:r w:rsidRPr="006770F0">
        <w:fldChar w:fldCharType="separate"/>
      </w:r>
      <w:r w:rsidRPr="006770F0">
        <w:rPr>
          <w:noProof/>
        </w:rPr>
        <w:t>(Liang et al., 2013)</w:t>
      </w:r>
      <w:r w:rsidRPr="006770F0">
        <w:fldChar w:fldCharType="end"/>
      </w:r>
      <w:r w:rsidRPr="00FB2B82">
        <w:t xml:space="preserve"> (</w:t>
      </w:r>
      <w:r w:rsidRPr="00FB2B82">
        <w:rPr>
          <w:i/>
        </w:rPr>
        <w:t>T</w:t>
      </w:r>
      <w:r w:rsidRPr="00FB2B82">
        <w:rPr>
          <w:i/>
          <w:vertAlign w:val="subscript"/>
        </w:rPr>
        <w:t>REE-in-two-Pyroxene</w:t>
      </w:r>
      <w:r w:rsidRPr="00FB2B82">
        <w:t xml:space="preserve">), a thermometer based on exchange of Al and Cr between orthopyroxene and spinel </w:t>
      </w:r>
      <w:r w:rsidRPr="006770F0">
        <w:fldChar w:fldCharType="begin" w:fldLock="1"/>
      </w:r>
      <w:r>
        <w:instrText>ADDIN CSL_CITATION {"citationItems":[{"id":"ITEM-1","itemData":{"DOI":"10.1007/BF00321986","ISSN":"00107999","abstract":"Geothermometric equations for spinel peridotites by Fujii (1976), Gasparik and Newton (1984), and Chatterjee, and Terhart (1985) based on the reaction enstatite (en)+spinel (sp)→Mg-Tschermaks (mats)+forsterite (fo) were tested using a nearly isothermal suite of mantle xenoliths from the Eifel, West Germany. In spite of using activities of MgAl2O4, en, and mats to allow for the non-ideal solution behaviour of the constituent phases, temperatures calculated from these equations systematically change as a function of Cr/(Cr+AL+Fe3+) in spinel. We propose an improved version of the empirical geothermometer for spinel peridotites of Sachtleben and Seck (1981) derived from the evaluation of the solubilities of Ca and Al in orthopyroxene from more than 100 spinel peridotites from the Rhenish Volcanic Province. A least squares regression yielded a smooth correlation between {Mathematical expression} as measure of Al in orthopyroxene, if the mole fraction of (Mg,Fe)Cr2O4 [YSpCr] in spinel is allowed for. Fitting (XAl)opx and (XCr)opx or ln KD to temperatures derived from the new thermometer of Brey and Koehler (1990) based on (XCa)opx leads to the following equations: {Mathematical expression} The last of these is more suitable for practical use but is applicable only over a limited range of (XAl)M1 and (XCr)M1 in orthopyroxene. The lack of steady-state equilibrium conditions due to young thermal perturbations or fast cooling may lead to discrepancies of temperatures calculated from (XCa)opx and (XAl)opx. Spinel peridotite xenoliths from Central Asia are shown to demonstrate this. © 1991 Springer-Verlag.","author":[{"dropping-particle":"","family":"Witt-Eickschen","given":"Gudrun","non-dropping-particle":"","parse-names":false,"suffix":""},{"dropping-particle":"","family":"Seck","given":"H. A.","non-dropping-particle":"","parse-names":false,"suffix":""}],"container-title":"Contributions to Mineralogy and Petrology","id":"ITEM-1","issue":"4","issued":{"date-parts":[["1991"]]},"page":"431-439","title":"Solubility of Ca and Al in orthopyroxene from spinel peridotite: an improved version of an empirical geothermometer","type":"article-journal","volume":"106"},"uris":["http://www.mendeley.com/documents/?uuid=22886197-a819-4f5c-9797-adfd6dfdabb2"]}],"mendeley":{"formattedCitation":"(Witt-Eickschen &amp; Seck, 1991)","plainTextFormattedCitation":"(Witt-Eickschen &amp; Seck, 1991)","previouslyFormattedCitation":"(Witt-Eickschen &amp; Seck, 1991)"},"properties":{"noteIndex":0},"schema":"https://github.com/citation-style-language/schema/raw/master/csl-citation.json"}</w:instrText>
      </w:r>
      <w:r w:rsidRPr="006770F0">
        <w:fldChar w:fldCharType="separate"/>
      </w:r>
      <w:r w:rsidRPr="008062D3">
        <w:rPr>
          <w:noProof/>
        </w:rPr>
        <w:t>(Witt-Eickschen &amp; Seck, 1991)</w:t>
      </w:r>
      <w:r w:rsidRPr="006770F0">
        <w:fldChar w:fldCharType="end"/>
      </w:r>
      <w:r w:rsidRPr="00FB2B82">
        <w:t xml:space="preserve"> (</w:t>
      </w:r>
      <w:proofErr w:type="spellStart"/>
      <w:r w:rsidRPr="00FB2B82">
        <w:rPr>
          <w:i/>
        </w:rPr>
        <w:t>T</w:t>
      </w:r>
      <w:r w:rsidRPr="00FB2B82">
        <w:rPr>
          <w:i/>
          <w:vertAlign w:val="subscript"/>
        </w:rPr>
        <w:t>Al</w:t>
      </w:r>
      <w:proofErr w:type="spellEnd"/>
      <w:r w:rsidRPr="00FB2B82">
        <w:rPr>
          <w:i/>
          <w:vertAlign w:val="subscript"/>
        </w:rPr>
        <w:t>-in-</w:t>
      </w:r>
      <w:proofErr w:type="spellStart"/>
      <w:r w:rsidRPr="00FB2B82">
        <w:rPr>
          <w:i/>
          <w:vertAlign w:val="subscript"/>
        </w:rPr>
        <w:t>Opx</w:t>
      </w:r>
      <w:proofErr w:type="spellEnd"/>
      <w:r w:rsidRPr="00FB2B82">
        <w:t xml:space="preserve">), and an olivine-spinel thermometer based on Fe-Mg exchange </w:t>
      </w:r>
      <w:r w:rsidRPr="006770F0">
        <w:fldChar w:fldCharType="begin" w:fldLock="1"/>
      </w:r>
      <w:r w:rsidRPr="006770F0">
        <w:instrText>ADDIN CSL_CITATION {"citationItems":[{"id":"ITEM-1","itemData":{"DOI":"10.1007/BF00372258","ISSN":"00107990","abstract":"An empirical calibration of the spinel-olivine geothermometer (Evans and Frost, 1975) is attempted and applied to parageneses of lherzolitic rocks. In ultramafic complexes, most of the derived temperature estimates range between 700 ° and 850 °C, and appear generally lower than those given by other geothermometers, based upon Ca or Al contents of coexisting pyroxenes. A comparison of the different thermometric data in two well studied occurrences, the Ronda ultramafic complex and the San Carlos xenolith field, suggests that differential rates of diffusion and recrystalization may account for the large range of temperatures (between 700 ° and 1200 °C) determined by various mineral geothermometers in peridotites. The equilibrium exchange of Mg and Fe between spinel and olivine would be the fastest one and would continue effectively during the cooling down to relatively low temperatures, while other exchange reactions used as geothermometers in peridotites, like partitioning of Ca and Al in coexisting pyroxenes, are blocked at higher temperatures. © 1979 Springer-Verlag.","author":[{"dropping-particle":"","family":"Fabriès","given":"Jacques","non-dropping-particle":"","parse-names":false,"suffix":""}],"container-title":"Contributions to Mineralogy and Petrology","id":"ITEM-1","issue":"4","issued":{"date-parts":[["1979"]]},"page":"329-336","title":"Spinel-olivine geothermometry in peridotites from ultramafic complexes","type":"article-journal","volume":"69"},"uris":["http://www.mendeley.com/documents/?uuid=b0fdb582-8d97-4a5f-a56c-ae6433992123"]}],"mendeley":{"formattedCitation":"(Fabriès, 1979)","plainTextFormattedCitation":"(Fabriès, 1979)","previouslyFormattedCitation":"(Fabriès, 1979)"},"properties":{"noteIndex":0},"schema":"https://github.com/citation-style-language/schema/raw/master/csl-citation.json"}</w:instrText>
      </w:r>
      <w:r w:rsidRPr="006770F0">
        <w:fldChar w:fldCharType="separate"/>
      </w:r>
      <w:r w:rsidRPr="006770F0">
        <w:rPr>
          <w:noProof/>
        </w:rPr>
        <w:t>(Fabriès, 1979)</w:t>
      </w:r>
      <w:r w:rsidRPr="006770F0">
        <w:fldChar w:fldCharType="end"/>
      </w:r>
      <w:r w:rsidRPr="00FB2B82">
        <w:t xml:space="preserve"> (</w:t>
      </w:r>
      <w:proofErr w:type="spellStart"/>
      <w:r w:rsidRPr="00FB2B82">
        <w:rPr>
          <w:i/>
        </w:rPr>
        <w:t>T</w:t>
      </w:r>
      <w:r w:rsidRPr="00FB2B82">
        <w:rPr>
          <w:i/>
          <w:vertAlign w:val="subscript"/>
        </w:rPr>
        <w:t>Ol-Sp</w:t>
      </w:r>
      <w:proofErr w:type="spellEnd"/>
      <w:r w:rsidRPr="00FB2B82">
        <w:t xml:space="preserve">). Results are presented in Table </w:t>
      </w:r>
      <w:r w:rsidR="006C6530">
        <w:t>1.</w:t>
      </w:r>
      <w:r w:rsidRPr="00FB2B82">
        <w:t xml:space="preserve">2 and representative data are shown in Figure </w:t>
      </w:r>
      <w:r w:rsidR="005C3691">
        <w:t>1.</w:t>
      </w:r>
      <w:r w:rsidRPr="00FB2B82">
        <w:t xml:space="preserve">6 with samples arranged by proximity </w:t>
      </w:r>
      <w:r w:rsidRPr="00FB2B82">
        <w:rPr>
          <w:bdr w:val="none" w:sz="0" w:space="0" w:color="auto" w:frame="1"/>
        </w:rPr>
        <w:t>to the crust-mantle transition, i.e., the present-day petrologic Moho</w:t>
      </w:r>
      <w:r w:rsidRPr="00FB2B82">
        <w:t xml:space="preserve">. Note the sample placement in the figure does not represent absolute or relative distance, but simply </w:t>
      </w:r>
      <w:r>
        <w:t xml:space="preserve">a </w:t>
      </w:r>
      <w:r w:rsidRPr="00FB2B82">
        <w:t xml:space="preserve">relational proximity to the </w:t>
      </w:r>
      <w:r w:rsidRPr="00140C59">
        <w:t>Moho</w:t>
      </w:r>
      <w:r w:rsidR="00140C59" w:rsidRPr="00140C59">
        <w:t>.</w:t>
      </w:r>
    </w:p>
    <w:p w14:paraId="2A9BEE5B" w14:textId="591E36D9" w:rsidR="00E90C9E" w:rsidRDefault="00E90C9E" w:rsidP="00140C59">
      <w:pPr>
        <w:spacing w:line="360" w:lineRule="auto"/>
        <w:ind w:firstLine="360"/>
      </w:pPr>
      <w:r w:rsidRPr="00FB2B82">
        <w:t>Error bars are estimated 1σ uncertainties from scatter in the temperature inversions (</w:t>
      </w:r>
      <w:r w:rsidRPr="00FB2B82">
        <w:rPr>
          <w:i/>
        </w:rPr>
        <w:t>T</w:t>
      </w:r>
      <w:r w:rsidRPr="00FB2B82">
        <w:rPr>
          <w:i/>
          <w:vertAlign w:val="subscript"/>
        </w:rPr>
        <w:t>REE-in-</w:t>
      </w:r>
      <w:proofErr w:type="spellStart"/>
      <w:r w:rsidRPr="00FB2B82">
        <w:rPr>
          <w:i/>
          <w:vertAlign w:val="subscript"/>
        </w:rPr>
        <w:t>Cpx</w:t>
      </w:r>
      <w:proofErr w:type="spellEnd"/>
      <w:r w:rsidRPr="00FB2B82">
        <w:rPr>
          <w:i/>
          <w:vertAlign w:val="subscript"/>
        </w:rPr>
        <w:t>-</w:t>
      </w:r>
      <w:proofErr w:type="spellStart"/>
      <w:r w:rsidRPr="00FB2B82">
        <w:rPr>
          <w:i/>
          <w:vertAlign w:val="subscript"/>
        </w:rPr>
        <w:t>Plag</w:t>
      </w:r>
      <w:proofErr w:type="spellEnd"/>
      <w:r w:rsidRPr="00FB2B82">
        <w:t xml:space="preserve">; </w:t>
      </w:r>
      <w:r w:rsidRPr="00FB2B82">
        <w:rPr>
          <w:i/>
        </w:rPr>
        <w:t>T</w:t>
      </w:r>
      <w:r w:rsidRPr="00FB2B82">
        <w:rPr>
          <w:i/>
          <w:vertAlign w:val="subscript"/>
        </w:rPr>
        <w:t>REE-in-two-Pyroxene</w:t>
      </w:r>
      <w:r w:rsidRPr="00FB2B82">
        <w:t>), or based on propagation of major element data uncertainty through the thermometers (</w:t>
      </w:r>
      <w:proofErr w:type="spellStart"/>
      <w:r w:rsidRPr="00FB2B82">
        <w:rPr>
          <w:i/>
        </w:rPr>
        <w:t>T</w:t>
      </w:r>
      <w:r w:rsidRPr="00FB2B82">
        <w:rPr>
          <w:i/>
          <w:vertAlign w:val="subscript"/>
        </w:rPr>
        <w:t>Mg</w:t>
      </w:r>
      <w:proofErr w:type="spellEnd"/>
      <w:r w:rsidRPr="00FB2B82">
        <w:rPr>
          <w:i/>
          <w:vertAlign w:val="subscript"/>
        </w:rPr>
        <w:t>-in-</w:t>
      </w:r>
      <w:proofErr w:type="spellStart"/>
      <w:r w:rsidRPr="00FB2B82">
        <w:rPr>
          <w:i/>
          <w:vertAlign w:val="subscript"/>
        </w:rPr>
        <w:t>Plag</w:t>
      </w:r>
      <w:proofErr w:type="spellEnd"/>
      <w:r w:rsidRPr="00FB2B82">
        <w:t xml:space="preserve">; </w:t>
      </w:r>
      <w:r w:rsidRPr="00FB2B82">
        <w:rPr>
          <w:i/>
        </w:rPr>
        <w:t>T</w:t>
      </w:r>
      <w:r w:rsidRPr="00FB2B82">
        <w:rPr>
          <w:i/>
          <w:vertAlign w:val="subscript"/>
        </w:rPr>
        <w:t>BKN</w:t>
      </w:r>
      <w:r w:rsidRPr="00FB2B82">
        <w:t xml:space="preserve">; </w:t>
      </w:r>
      <w:proofErr w:type="spellStart"/>
      <w:r w:rsidRPr="00FB2B82">
        <w:rPr>
          <w:i/>
        </w:rPr>
        <w:t>T</w:t>
      </w:r>
      <w:r w:rsidRPr="00FB2B82">
        <w:rPr>
          <w:i/>
          <w:vertAlign w:val="subscript"/>
        </w:rPr>
        <w:t>Ca</w:t>
      </w:r>
      <w:proofErr w:type="spellEnd"/>
      <w:r w:rsidRPr="00FB2B82">
        <w:rPr>
          <w:i/>
          <w:vertAlign w:val="subscript"/>
        </w:rPr>
        <w:t>-in-Olivine</w:t>
      </w:r>
      <w:r w:rsidRPr="00FB2B82">
        <w:t xml:space="preserve">; </w:t>
      </w:r>
      <w:proofErr w:type="spellStart"/>
      <w:r w:rsidRPr="00FB2B82">
        <w:rPr>
          <w:i/>
        </w:rPr>
        <w:t>T</w:t>
      </w:r>
      <w:r w:rsidRPr="00FB2B82">
        <w:rPr>
          <w:i/>
          <w:vertAlign w:val="subscript"/>
        </w:rPr>
        <w:t>Al</w:t>
      </w:r>
      <w:proofErr w:type="spellEnd"/>
      <w:r w:rsidRPr="00FB2B82">
        <w:rPr>
          <w:i/>
          <w:vertAlign w:val="subscript"/>
        </w:rPr>
        <w:t>-in-</w:t>
      </w:r>
      <w:proofErr w:type="spellStart"/>
      <w:r w:rsidRPr="00FB2B82">
        <w:rPr>
          <w:i/>
          <w:vertAlign w:val="subscript"/>
        </w:rPr>
        <w:t>Opx</w:t>
      </w:r>
      <w:proofErr w:type="spellEnd"/>
      <w:r w:rsidRPr="00FB2B82">
        <w:t xml:space="preserve">) </w:t>
      </w:r>
      <w:r>
        <w:fldChar w:fldCharType="begin" w:fldLock="1"/>
      </w:r>
      <w:r>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2017)","plainTextFormattedCitation":"(Dygert et al., 2017)","previouslyFormattedCitation":"(Dygert et al., 2017)"},"properties":{"noteIndex":0},"schema":"https://github.com/citation-style-language/schema/raw/master/csl-citation.json"}</w:instrText>
      </w:r>
      <w:r>
        <w:fldChar w:fldCharType="separate"/>
      </w:r>
      <w:r w:rsidRPr="00C3212B">
        <w:rPr>
          <w:noProof/>
        </w:rPr>
        <w:t>(Dygert et al., 2017)</w:t>
      </w:r>
      <w:r>
        <w:fldChar w:fldCharType="end"/>
      </w:r>
      <w:r w:rsidRPr="00FB2B82">
        <w:t xml:space="preserve">. Hess Deep </w:t>
      </w:r>
      <w:proofErr w:type="spellStart"/>
      <w:r w:rsidRPr="00FB2B82">
        <w:t>gabbros</w:t>
      </w:r>
      <w:proofErr w:type="spellEnd"/>
      <w:r w:rsidRPr="00FB2B82">
        <w:t xml:space="preserve"> have a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range of 885-896°C, a </w:t>
      </w:r>
      <w:proofErr w:type="spellStart"/>
      <w:r w:rsidRPr="00FB2B82">
        <w:rPr>
          <w:i/>
        </w:rPr>
        <w:t>T</w:t>
      </w:r>
      <w:r w:rsidRPr="00FB2B82">
        <w:rPr>
          <w:i/>
          <w:vertAlign w:val="subscript"/>
        </w:rPr>
        <w:t>Mg</w:t>
      </w:r>
      <w:proofErr w:type="spellEnd"/>
      <w:r w:rsidRPr="00FB2B82">
        <w:rPr>
          <w:i/>
          <w:vertAlign w:val="subscript"/>
        </w:rPr>
        <w:t>-in-</w:t>
      </w:r>
      <w:proofErr w:type="spellStart"/>
      <w:r w:rsidRPr="00FB2B82">
        <w:rPr>
          <w:i/>
          <w:vertAlign w:val="subscript"/>
        </w:rPr>
        <w:t>Plag</w:t>
      </w:r>
      <w:proofErr w:type="spellEnd"/>
      <w:r w:rsidRPr="00FB2B82">
        <w:t xml:space="preserve"> range of 1046-1071°C (calculated using LA-ICP-MS data) and a </w:t>
      </w:r>
      <w:r w:rsidRPr="00FB2B82">
        <w:rPr>
          <w:i/>
        </w:rPr>
        <w:t>T</w:t>
      </w:r>
      <w:r w:rsidRPr="00FB2B82">
        <w:rPr>
          <w:i/>
          <w:vertAlign w:val="subscript"/>
        </w:rPr>
        <w:t>REE-in-</w:t>
      </w:r>
      <w:proofErr w:type="spellStart"/>
      <w:r w:rsidRPr="00FB2B82">
        <w:rPr>
          <w:i/>
          <w:vertAlign w:val="subscript"/>
        </w:rPr>
        <w:t>Cpx</w:t>
      </w:r>
      <w:proofErr w:type="spellEnd"/>
      <w:r w:rsidRPr="00FB2B82">
        <w:rPr>
          <w:i/>
          <w:vertAlign w:val="subscript"/>
        </w:rPr>
        <w:t>-</w:t>
      </w:r>
      <w:proofErr w:type="spellStart"/>
      <w:r w:rsidRPr="00FB2B82">
        <w:rPr>
          <w:i/>
          <w:vertAlign w:val="subscript"/>
        </w:rPr>
        <w:t>Plag</w:t>
      </w:r>
      <w:proofErr w:type="spellEnd"/>
      <w:r w:rsidRPr="00FB2B82">
        <w:t xml:space="preserve"> range of 1185-1224°C. Oman Drilling Project </w:t>
      </w:r>
      <w:proofErr w:type="spellStart"/>
      <w:r w:rsidRPr="00FB2B82">
        <w:t>gabbros</w:t>
      </w:r>
      <w:proofErr w:type="spellEnd"/>
      <w:r w:rsidRPr="00FB2B82">
        <w:t xml:space="preserve"> have a</w:t>
      </w:r>
      <w:r w:rsidRPr="00FB2B82">
        <w:rPr>
          <w:i/>
        </w:rPr>
        <w:t xml:space="preserve">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range of 891-893°</w:t>
      </w:r>
      <w:proofErr w:type="gramStart"/>
      <w:r w:rsidRPr="00FB2B82">
        <w:t>C ,</w:t>
      </w:r>
      <w:proofErr w:type="gramEnd"/>
      <w:r w:rsidRPr="00FB2B82">
        <w:t xml:space="preserve"> a </w:t>
      </w:r>
      <w:proofErr w:type="spellStart"/>
      <w:r w:rsidRPr="00FB2B82">
        <w:rPr>
          <w:i/>
        </w:rPr>
        <w:t>T</w:t>
      </w:r>
      <w:r w:rsidRPr="00FB2B82">
        <w:rPr>
          <w:i/>
          <w:vertAlign w:val="subscript"/>
        </w:rPr>
        <w:t>Mg</w:t>
      </w:r>
      <w:proofErr w:type="spellEnd"/>
      <w:r w:rsidRPr="00FB2B82">
        <w:rPr>
          <w:i/>
          <w:vertAlign w:val="subscript"/>
        </w:rPr>
        <w:t>-in-</w:t>
      </w:r>
      <w:proofErr w:type="spellStart"/>
      <w:r w:rsidRPr="00FB2B82">
        <w:rPr>
          <w:i/>
          <w:vertAlign w:val="subscript"/>
        </w:rPr>
        <w:t>Plag</w:t>
      </w:r>
      <w:proofErr w:type="spellEnd"/>
      <w:r w:rsidRPr="00FB2B82">
        <w:t xml:space="preserve"> range of 963-1066°C  and a </w:t>
      </w:r>
      <w:r w:rsidRPr="00FB2B82">
        <w:rPr>
          <w:i/>
        </w:rPr>
        <w:t>T</w:t>
      </w:r>
      <w:r w:rsidRPr="00FB2B82">
        <w:rPr>
          <w:i/>
          <w:vertAlign w:val="subscript"/>
        </w:rPr>
        <w:t>REE-in-</w:t>
      </w:r>
      <w:proofErr w:type="spellStart"/>
      <w:r w:rsidRPr="00FB2B82">
        <w:rPr>
          <w:i/>
          <w:vertAlign w:val="subscript"/>
        </w:rPr>
        <w:t>Cpx</w:t>
      </w:r>
      <w:proofErr w:type="spellEnd"/>
      <w:r w:rsidRPr="00FB2B82">
        <w:rPr>
          <w:i/>
          <w:vertAlign w:val="subscript"/>
        </w:rPr>
        <w:t>-</w:t>
      </w:r>
      <w:proofErr w:type="spellStart"/>
      <w:r w:rsidRPr="00FB2B82">
        <w:rPr>
          <w:i/>
          <w:vertAlign w:val="subscript"/>
        </w:rPr>
        <w:t>Plag</w:t>
      </w:r>
      <w:proofErr w:type="spellEnd"/>
      <w:r w:rsidRPr="00FB2B82">
        <w:t xml:space="preserve"> range of 1194-1269°C. </w:t>
      </w:r>
    </w:p>
    <w:p w14:paraId="729C6FB1" w14:textId="77777777" w:rsidR="002D28EA" w:rsidRDefault="00E90C9E" w:rsidP="00593E51">
      <w:pPr>
        <w:spacing w:line="360" w:lineRule="auto"/>
        <w:ind w:firstLine="360"/>
      </w:pPr>
      <w:r w:rsidRPr="00FB2B82">
        <w:t xml:space="preserve">Hess Deep peridotites have a </w:t>
      </w:r>
      <w:r w:rsidRPr="00FB2B82">
        <w:rPr>
          <w:i/>
        </w:rPr>
        <w:t>T</w:t>
      </w:r>
      <w:r w:rsidRPr="00FB2B82">
        <w:rPr>
          <w:i/>
          <w:vertAlign w:val="subscript"/>
        </w:rPr>
        <w:t>BKN</w:t>
      </w:r>
      <w:r w:rsidRPr="00FB2B82">
        <w:t xml:space="preserve"> range of 1048-1141°C, a </w:t>
      </w:r>
      <w:proofErr w:type="spellStart"/>
      <w:r w:rsidRPr="00FB2B82">
        <w:rPr>
          <w:i/>
        </w:rPr>
        <w:t>T</w:t>
      </w:r>
      <w:r w:rsidRPr="00FB2B82">
        <w:rPr>
          <w:i/>
          <w:vertAlign w:val="subscript"/>
        </w:rPr>
        <w:t>Al</w:t>
      </w:r>
      <w:proofErr w:type="spellEnd"/>
      <w:r w:rsidRPr="00FB2B82">
        <w:rPr>
          <w:i/>
          <w:vertAlign w:val="subscript"/>
        </w:rPr>
        <w:t>-in-OPX</w:t>
      </w:r>
      <w:r w:rsidRPr="00FB2B82">
        <w:t xml:space="preserve"> range of 978-1041°C, a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range of 1023-1038°C, a </w:t>
      </w:r>
      <w:proofErr w:type="spellStart"/>
      <w:r w:rsidRPr="00FB2B82">
        <w:rPr>
          <w:i/>
        </w:rPr>
        <w:t>T</w:t>
      </w:r>
      <w:r w:rsidRPr="00FB2B82">
        <w:rPr>
          <w:i/>
          <w:vertAlign w:val="subscript"/>
        </w:rPr>
        <w:t>Ol-Sp</w:t>
      </w:r>
      <w:proofErr w:type="spellEnd"/>
      <w:r w:rsidRPr="00FB2B82">
        <w:t xml:space="preserve"> range of 751-787°C, and a </w:t>
      </w:r>
      <w:r w:rsidRPr="00FB2B82">
        <w:rPr>
          <w:i/>
        </w:rPr>
        <w:t>T</w:t>
      </w:r>
      <w:r w:rsidRPr="00FB2B82">
        <w:rPr>
          <w:i/>
          <w:vertAlign w:val="subscript"/>
        </w:rPr>
        <w:t>REE-in-two-Pyroxene</w:t>
      </w:r>
      <w:r w:rsidRPr="00FB2B82">
        <w:t xml:space="preserve"> range of 1222-1403°C. Oman Drilling Project peridotites have a </w:t>
      </w:r>
      <w:r w:rsidRPr="00FB2B82">
        <w:rPr>
          <w:i/>
        </w:rPr>
        <w:t>T</w:t>
      </w:r>
      <w:r w:rsidRPr="00FB2B82">
        <w:rPr>
          <w:i/>
          <w:vertAlign w:val="subscript"/>
        </w:rPr>
        <w:t>BKN</w:t>
      </w:r>
      <w:r w:rsidRPr="00FB2B82">
        <w:t xml:space="preserve"> range of 1001-1023°C, a </w:t>
      </w:r>
      <w:proofErr w:type="spellStart"/>
      <w:r w:rsidRPr="00FB2B82">
        <w:rPr>
          <w:i/>
        </w:rPr>
        <w:t>T</w:t>
      </w:r>
      <w:r w:rsidRPr="00FB2B82">
        <w:rPr>
          <w:i/>
          <w:vertAlign w:val="subscript"/>
        </w:rPr>
        <w:t>Al</w:t>
      </w:r>
      <w:proofErr w:type="spellEnd"/>
      <w:r w:rsidRPr="00FB2B82">
        <w:rPr>
          <w:i/>
          <w:vertAlign w:val="subscript"/>
        </w:rPr>
        <w:t>-in-OPX</w:t>
      </w:r>
      <w:r w:rsidRPr="00FB2B82">
        <w:t xml:space="preserve"> range of 960-1004°C,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range of 957-1027°C, a </w:t>
      </w:r>
      <w:proofErr w:type="spellStart"/>
      <w:r w:rsidRPr="00FB2B82">
        <w:rPr>
          <w:i/>
        </w:rPr>
        <w:t>T</w:t>
      </w:r>
      <w:r w:rsidRPr="00FB2B82">
        <w:rPr>
          <w:i/>
          <w:vertAlign w:val="subscript"/>
        </w:rPr>
        <w:t>Ol-Sp</w:t>
      </w:r>
      <w:proofErr w:type="spellEnd"/>
      <w:r w:rsidRPr="00FB2B82">
        <w:t xml:space="preserve"> range of 707-775°C, and a </w:t>
      </w:r>
      <w:r w:rsidRPr="00FB2B82">
        <w:rPr>
          <w:i/>
        </w:rPr>
        <w:t>T</w:t>
      </w:r>
      <w:r w:rsidRPr="00FB2B82">
        <w:rPr>
          <w:i/>
          <w:vertAlign w:val="subscript"/>
        </w:rPr>
        <w:t>REE-in-two-Pyroxene</w:t>
      </w:r>
      <w:r w:rsidRPr="00FB2B82">
        <w:t xml:space="preserve"> range of 1140-1299°C. The </w:t>
      </w:r>
      <w:r w:rsidRPr="00FB2B82">
        <w:rPr>
          <w:i/>
        </w:rPr>
        <w:t>T</w:t>
      </w:r>
      <w:r w:rsidRPr="00FB2B82">
        <w:rPr>
          <w:i/>
          <w:vertAlign w:val="subscript"/>
        </w:rPr>
        <w:t>BKN</w:t>
      </w:r>
      <w:r w:rsidRPr="00FB2B82">
        <w:t xml:space="preserve"> temperatures are corroborated by similar temperatures obtained using the Wells (1977) and </w:t>
      </w:r>
      <w:proofErr w:type="spellStart"/>
      <w:r w:rsidRPr="00FB2B82">
        <w:t>Putirka</w:t>
      </w:r>
      <w:proofErr w:type="spellEnd"/>
      <w:r w:rsidRPr="00FB2B82">
        <w:t xml:space="preserve"> (1997) two pyroxene-solvus thermometers (Table </w:t>
      </w:r>
      <w:r w:rsidR="006C6530">
        <w:t>1.</w:t>
      </w:r>
      <w:r w:rsidRPr="00FB2B82">
        <w:t xml:space="preserve">2). Note that </w:t>
      </w:r>
      <w:r w:rsidRPr="00FB2B82">
        <w:rPr>
          <w:bdr w:val="none" w:sz="0" w:space="0" w:color="auto" w:frame="1"/>
        </w:rPr>
        <w:t>for both localities, for samples from the crust and the mantle,</w:t>
      </w:r>
      <w:r w:rsidRPr="00FB2B82">
        <w:t xml:space="preserve"> temperatures determined using thermometers based on </w:t>
      </w:r>
      <w:proofErr w:type="spellStart"/>
      <w:r w:rsidRPr="00FB2B82">
        <w:t>subsolidus</w:t>
      </w:r>
      <w:proofErr w:type="spellEnd"/>
      <w:r w:rsidRPr="00FB2B82">
        <w:t xml:space="preserve"> exchange of slower diffusing trivalent elements (</w:t>
      </w:r>
      <w:r w:rsidRPr="00FB2B82">
        <w:rPr>
          <w:i/>
        </w:rPr>
        <w:t>T</w:t>
      </w:r>
      <w:r w:rsidRPr="00FB2B82">
        <w:rPr>
          <w:i/>
          <w:vertAlign w:val="subscript"/>
        </w:rPr>
        <w:t>REE-in-</w:t>
      </w:r>
      <w:proofErr w:type="spellStart"/>
      <w:r w:rsidRPr="00FB2B82">
        <w:rPr>
          <w:i/>
          <w:vertAlign w:val="subscript"/>
        </w:rPr>
        <w:t>Cpx</w:t>
      </w:r>
      <w:proofErr w:type="spellEnd"/>
      <w:r w:rsidRPr="00FB2B82">
        <w:rPr>
          <w:i/>
          <w:vertAlign w:val="subscript"/>
        </w:rPr>
        <w:t>-</w:t>
      </w:r>
      <w:proofErr w:type="spellStart"/>
      <w:r w:rsidRPr="00FB2B82">
        <w:rPr>
          <w:i/>
          <w:vertAlign w:val="subscript"/>
        </w:rPr>
        <w:t>Plag</w:t>
      </w:r>
      <w:proofErr w:type="spellEnd"/>
      <w:r w:rsidRPr="00FB2B82">
        <w:t xml:space="preserve">; </w:t>
      </w:r>
      <w:r w:rsidRPr="00FB2B82">
        <w:rPr>
          <w:i/>
        </w:rPr>
        <w:t>T</w:t>
      </w:r>
      <w:r w:rsidRPr="00FB2B82">
        <w:rPr>
          <w:i/>
          <w:vertAlign w:val="subscript"/>
        </w:rPr>
        <w:t>REE-in-two-Pyroxene</w:t>
      </w:r>
      <w:r w:rsidRPr="00FB2B82">
        <w:t>) are higher than temperatures determined using thermometers based on exchange of faster diffusing divalent elements (</w:t>
      </w:r>
      <w:proofErr w:type="spellStart"/>
      <w:r w:rsidRPr="00FB2B82">
        <w:rPr>
          <w:i/>
        </w:rPr>
        <w:t>T</w:t>
      </w:r>
      <w:r w:rsidRPr="00FB2B82">
        <w:rPr>
          <w:i/>
          <w:vertAlign w:val="subscript"/>
        </w:rPr>
        <w:t>Mg</w:t>
      </w:r>
      <w:proofErr w:type="spellEnd"/>
      <w:r w:rsidRPr="00FB2B82">
        <w:rPr>
          <w:i/>
          <w:vertAlign w:val="subscript"/>
        </w:rPr>
        <w:t>-in-</w:t>
      </w:r>
      <w:proofErr w:type="spellStart"/>
      <w:r w:rsidRPr="00FB2B82">
        <w:rPr>
          <w:i/>
          <w:vertAlign w:val="subscript"/>
        </w:rPr>
        <w:t>Plag</w:t>
      </w:r>
      <w:proofErr w:type="spellEnd"/>
      <w:r w:rsidRPr="00FB2B82">
        <w:t xml:space="preserve">; </w:t>
      </w:r>
      <w:proofErr w:type="gramStart"/>
      <w:r w:rsidRPr="00FB2B82">
        <w:rPr>
          <w:i/>
        </w:rPr>
        <w:t>T</w:t>
      </w:r>
      <w:r w:rsidRPr="00FB2B82">
        <w:rPr>
          <w:i/>
          <w:vertAlign w:val="subscript"/>
        </w:rPr>
        <w:t>BKN</w:t>
      </w:r>
      <w:r w:rsidRPr="00FB2B82">
        <w:t>;</w:t>
      </w:r>
      <w:proofErr w:type="gramEnd"/>
      <w:r w:rsidRPr="00FB2B82">
        <w:t xml:space="preserve"> </w:t>
      </w:r>
    </w:p>
    <w:p w14:paraId="6419F280" w14:textId="77777777" w:rsidR="002D28EA" w:rsidRDefault="002D28EA">
      <w:pPr>
        <w:sectPr w:rsidR="002D28EA" w:rsidSect="002D28EA">
          <w:pgSz w:w="12240" w:h="15840"/>
          <w:pgMar w:top="1440" w:right="1440" w:bottom="1440" w:left="1440" w:header="720" w:footer="1440" w:gutter="0"/>
          <w:cols w:space="720"/>
          <w:docGrid w:linePitch="360"/>
        </w:sectPr>
      </w:pPr>
    </w:p>
    <w:p w14:paraId="4CD9382E" w14:textId="77777777" w:rsidR="00CE6E5A" w:rsidRPr="00405F30" w:rsidRDefault="00CE6E5A" w:rsidP="00CE6E5A">
      <w:pPr>
        <w:pStyle w:val="Caption"/>
        <w:rPr>
          <w:b w:val="0"/>
          <w:bCs w:val="0"/>
          <w:sz w:val="20"/>
          <w:szCs w:val="20"/>
        </w:rPr>
      </w:pPr>
      <w:bookmarkStart w:id="36" w:name="_Toc109398943"/>
      <w:r w:rsidRPr="00405F30">
        <w:rPr>
          <w:b w:val="0"/>
          <w:bCs w:val="0"/>
          <w:sz w:val="20"/>
          <w:szCs w:val="20"/>
        </w:rPr>
        <w:lastRenderedPageBreak/>
        <w:t xml:space="preserve">Table </w:t>
      </w:r>
      <w:r>
        <w:rPr>
          <w:b w:val="0"/>
          <w:bCs w:val="0"/>
          <w:sz w:val="20"/>
          <w:szCs w:val="20"/>
        </w:rPr>
        <w:t>1.</w:t>
      </w:r>
      <w:r>
        <w:rPr>
          <w:b w:val="0"/>
          <w:bCs w:val="0"/>
          <w:sz w:val="20"/>
          <w:szCs w:val="20"/>
        </w:rPr>
        <w:fldChar w:fldCharType="begin"/>
      </w:r>
      <w:r>
        <w:rPr>
          <w:b w:val="0"/>
          <w:bCs w:val="0"/>
          <w:sz w:val="20"/>
          <w:szCs w:val="20"/>
        </w:rPr>
        <w:instrText xml:space="preserve"> SEQ Table \* ARABIC \s 1 </w:instrText>
      </w:r>
      <w:r>
        <w:rPr>
          <w:b w:val="0"/>
          <w:bCs w:val="0"/>
          <w:sz w:val="20"/>
          <w:szCs w:val="20"/>
        </w:rPr>
        <w:fldChar w:fldCharType="separate"/>
      </w:r>
      <w:r>
        <w:rPr>
          <w:b w:val="0"/>
          <w:bCs w:val="0"/>
          <w:noProof/>
          <w:sz w:val="20"/>
          <w:szCs w:val="20"/>
        </w:rPr>
        <w:t>2</w:t>
      </w:r>
      <w:r>
        <w:rPr>
          <w:b w:val="0"/>
          <w:bCs w:val="0"/>
          <w:sz w:val="20"/>
          <w:szCs w:val="20"/>
        </w:rPr>
        <w:fldChar w:fldCharType="end"/>
      </w:r>
      <w:r w:rsidRPr="00405F30">
        <w:rPr>
          <w:b w:val="0"/>
          <w:bCs w:val="0"/>
          <w:sz w:val="20"/>
          <w:szCs w:val="20"/>
        </w:rPr>
        <w:t>. Temperatures.</w:t>
      </w:r>
      <w:bookmarkEnd w:id="36"/>
    </w:p>
    <w:tbl>
      <w:tblPr>
        <w:tblW w:w="12428" w:type="dxa"/>
        <w:tblInd w:w="85" w:type="dxa"/>
        <w:tblLayout w:type="fixed"/>
        <w:tblCellMar>
          <w:left w:w="0" w:type="dxa"/>
          <w:right w:w="0" w:type="dxa"/>
        </w:tblCellMar>
        <w:tblLook w:val="04A0" w:firstRow="1" w:lastRow="0" w:firstColumn="1" w:lastColumn="0" w:noHBand="0" w:noVBand="1"/>
      </w:tblPr>
      <w:tblGrid>
        <w:gridCol w:w="80"/>
        <w:gridCol w:w="2260"/>
        <w:gridCol w:w="360"/>
        <w:gridCol w:w="1080"/>
        <w:gridCol w:w="1350"/>
        <w:gridCol w:w="450"/>
        <w:gridCol w:w="1080"/>
        <w:gridCol w:w="360"/>
        <w:gridCol w:w="810"/>
        <w:gridCol w:w="540"/>
        <w:gridCol w:w="540"/>
        <w:gridCol w:w="540"/>
        <w:gridCol w:w="810"/>
        <w:gridCol w:w="810"/>
        <w:gridCol w:w="818"/>
        <w:gridCol w:w="52"/>
        <w:gridCol w:w="488"/>
      </w:tblGrid>
      <w:tr w:rsidR="00CE6E5A" w:rsidRPr="000528BC" w14:paraId="141409B1" w14:textId="77777777" w:rsidTr="00EC27DE">
        <w:trPr>
          <w:trHeight w:val="589"/>
        </w:trPr>
        <w:tc>
          <w:tcPr>
            <w:tcW w:w="2340" w:type="dxa"/>
            <w:gridSpan w:val="2"/>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444D21F0" w14:textId="77777777" w:rsidR="00CE6E5A" w:rsidRPr="0024784B" w:rsidRDefault="00CE6E5A" w:rsidP="00EC27DE">
            <w:pPr>
              <w:spacing w:before="120" w:after="120"/>
              <w:jc w:val="center"/>
              <w:rPr>
                <w:sz w:val="14"/>
                <w:szCs w:val="10"/>
                <w:bdr w:val="none" w:sz="0" w:space="0" w:color="auto" w:frame="1"/>
              </w:rPr>
            </w:pPr>
            <w:r w:rsidRPr="0024784B">
              <w:rPr>
                <w:b/>
                <w:bCs/>
                <w:sz w:val="14"/>
                <w:szCs w:val="10"/>
                <w:bdr w:val="none" w:sz="0" w:space="0" w:color="auto" w:frame="1"/>
              </w:rPr>
              <w:t>Sample</w:t>
            </w:r>
          </w:p>
        </w:tc>
        <w:tc>
          <w:tcPr>
            <w:tcW w:w="360" w:type="dxa"/>
            <w:tcBorders>
              <w:top w:val="single" w:sz="8" w:space="0" w:color="000000" w:themeColor="text1"/>
              <w:left w:val="nil"/>
              <w:bottom w:val="single" w:sz="4" w:space="0" w:color="auto"/>
              <w:right w:val="nil"/>
            </w:tcBorders>
            <w:vAlign w:val="center"/>
          </w:tcPr>
          <w:p w14:paraId="5E1BDD3C" w14:textId="77777777" w:rsidR="00CE6E5A" w:rsidRPr="0024784B" w:rsidRDefault="00CE6E5A" w:rsidP="00EC27DE">
            <w:pPr>
              <w:spacing w:before="120" w:after="120"/>
              <w:jc w:val="center"/>
              <w:rPr>
                <w:b/>
                <w:bCs/>
                <w:i/>
                <w:iCs/>
                <w:sz w:val="14"/>
                <w:szCs w:val="10"/>
                <w:bdr w:val="none" w:sz="0" w:space="0" w:color="auto" w:frame="1"/>
              </w:rPr>
            </w:pPr>
            <w:r w:rsidRPr="0024784B">
              <w:rPr>
                <w:b/>
                <w:bCs/>
                <w:i/>
                <w:iCs/>
                <w:sz w:val="14"/>
                <w:szCs w:val="10"/>
                <w:bdr w:val="none" w:sz="0" w:space="0" w:color="auto" w:frame="1"/>
              </w:rPr>
              <w:t>Rock Type</w:t>
            </w:r>
          </w:p>
        </w:tc>
        <w:tc>
          <w:tcPr>
            <w:tcW w:w="1080" w:type="dxa"/>
            <w:tcBorders>
              <w:top w:val="single" w:sz="8" w:space="0" w:color="000000" w:themeColor="text1"/>
              <w:left w:val="nil"/>
              <w:bottom w:val="single" w:sz="4" w:space="0" w:color="auto"/>
              <w:right w:val="nil"/>
            </w:tcBorders>
          </w:tcPr>
          <w:p w14:paraId="6E0339F6" w14:textId="77777777" w:rsidR="00CE6E5A" w:rsidRPr="0024784B" w:rsidRDefault="00CE6E5A" w:rsidP="00EC27DE">
            <w:pPr>
              <w:spacing w:before="120" w:after="120"/>
              <w:jc w:val="center"/>
              <w:rPr>
                <w:b/>
                <w:bCs/>
                <w:i/>
                <w:iCs/>
                <w:sz w:val="14"/>
                <w:szCs w:val="10"/>
                <w:bdr w:val="none" w:sz="0" w:space="0" w:color="auto" w:frame="1"/>
              </w:rPr>
            </w:pPr>
            <w:r w:rsidRPr="0024784B">
              <w:rPr>
                <w:b/>
                <w:bCs/>
                <w:i/>
                <w:iCs/>
                <w:sz w:val="14"/>
                <w:szCs w:val="10"/>
                <w:bdr w:val="none" w:sz="0" w:space="0" w:color="auto" w:frame="1"/>
              </w:rPr>
              <w:t>Location</w:t>
            </w:r>
          </w:p>
        </w:tc>
        <w:tc>
          <w:tcPr>
            <w:tcW w:w="135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0CD3732E" w14:textId="77777777" w:rsidR="00CE6E5A" w:rsidRPr="0024784B" w:rsidRDefault="00CE6E5A" w:rsidP="00EC27DE">
            <w:pPr>
              <w:spacing w:before="120" w:after="120"/>
              <w:jc w:val="center"/>
              <w:rPr>
                <w:sz w:val="14"/>
                <w:szCs w:val="10"/>
                <w:bdr w:val="none" w:sz="0" w:space="0" w:color="auto" w:frame="1"/>
              </w:rPr>
            </w:pPr>
            <w:r w:rsidRPr="0024784B">
              <w:rPr>
                <w:b/>
                <w:bCs/>
                <w:i/>
                <w:iCs/>
                <w:sz w:val="14"/>
                <w:szCs w:val="10"/>
                <w:bdr w:val="none" w:sz="0" w:space="0" w:color="auto" w:frame="1"/>
              </w:rPr>
              <w:t>T</w:t>
            </w:r>
            <w:r w:rsidRPr="0024784B">
              <w:rPr>
                <w:b/>
                <w:bCs/>
                <w:i/>
                <w:iCs/>
                <w:sz w:val="14"/>
                <w:szCs w:val="10"/>
                <w:bdr w:val="none" w:sz="0" w:space="0" w:color="auto" w:frame="1"/>
                <w:vertAlign w:val="subscript"/>
              </w:rPr>
              <w:t>REE-in-two-Pyroxene</w:t>
            </w:r>
          </w:p>
        </w:tc>
        <w:tc>
          <w:tcPr>
            <w:tcW w:w="45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26F652E6" w14:textId="77777777" w:rsidR="00CE6E5A" w:rsidRPr="0024784B" w:rsidRDefault="00CE6E5A" w:rsidP="00EC27DE">
            <w:pPr>
              <w:spacing w:before="120" w:after="120"/>
              <w:jc w:val="center"/>
              <w:rPr>
                <w:sz w:val="14"/>
                <w:szCs w:val="10"/>
                <w:bdr w:val="none" w:sz="0" w:space="0" w:color="auto" w:frame="1"/>
              </w:rPr>
            </w:pPr>
            <w:r w:rsidRPr="0024784B">
              <w:rPr>
                <w:b/>
                <w:bCs/>
                <w:sz w:val="14"/>
                <w:szCs w:val="10"/>
                <w:bdr w:val="none" w:sz="0" w:space="0" w:color="auto" w:frame="1"/>
                <w:lang w:val="el-GR"/>
              </w:rPr>
              <w:t>1σ</w:t>
            </w:r>
          </w:p>
        </w:tc>
        <w:tc>
          <w:tcPr>
            <w:tcW w:w="108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52D71B51" w14:textId="77777777" w:rsidR="00CE6E5A" w:rsidRPr="0024784B" w:rsidRDefault="00CE6E5A" w:rsidP="00EC27DE">
            <w:pPr>
              <w:spacing w:before="120" w:after="120"/>
              <w:jc w:val="center"/>
              <w:rPr>
                <w:sz w:val="14"/>
                <w:szCs w:val="10"/>
                <w:bdr w:val="none" w:sz="0" w:space="0" w:color="auto" w:frame="1"/>
              </w:rPr>
            </w:pPr>
            <w:r w:rsidRPr="0024784B">
              <w:rPr>
                <w:b/>
                <w:bCs/>
                <w:i/>
                <w:iCs/>
                <w:sz w:val="14"/>
                <w:szCs w:val="10"/>
                <w:bdr w:val="none" w:sz="0" w:space="0" w:color="auto" w:frame="1"/>
              </w:rPr>
              <w:t>T</w:t>
            </w:r>
            <w:r w:rsidRPr="0024784B">
              <w:rPr>
                <w:b/>
                <w:bCs/>
                <w:i/>
                <w:iCs/>
                <w:sz w:val="14"/>
                <w:szCs w:val="10"/>
                <w:bdr w:val="none" w:sz="0" w:space="0" w:color="auto" w:frame="1"/>
                <w:vertAlign w:val="subscript"/>
              </w:rPr>
              <w:t>REE-in-CPX-</w:t>
            </w:r>
            <w:proofErr w:type="spellStart"/>
            <w:r w:rsidRPr="0024784B">
              <w:rPr>
                <w:b/>
                <w:bCs/>
                <w:i/>
                <w:iCs/>
                <w:sz w:val="14"/>
                <w:szCs w:val="10"/>
                <w:bdr w:val="none" w:sz="0" w:space="0" w:color="auto" w:frame="1"/>
                <w:vertAlign w:val="subscript"/>
              </w:rPr>
              <w:t>Plag</w:t>
            </w:r>
            <w:proofErr w:type="spellEnd"/>
          </w:p>
        </w:tc>
        <w:tc>
          <w:tcPr>
            <w:tcW w:w="36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213FE37F" w14:textId="77777777" w:rsidR="00CE6E5A" w:rsidRPr="0024784B" w:rsidRDefault="00CE6E5A" w:rsidP="00EC27DE">
            <w:pPr>
              <w:spacing w:before="120" w:after="120"/>
              <w:jc w:val="center"/>
              <w:rPr>
                <w:sz w:val="14"/>
                <w:szCs w:val="10"/>
                <w:bdr w:val="none" w:sz="0" w:space="0" w:color="auto" w:frame="1"/>
              </w:rPr>
            </w:pPr>
            <w:r w:rsidRPr="0024784B">
              <w:rPr>
                <w:b/>
                <w:bCs/>
                <w:sz w:val="14"/>
                <w:szCs w:val="10"/>
                <w:bdr w:val="none" w:sz="0" w:space="0" w:color="auto" w:frame="1"/>
                <w:lang w:val="el-GR"/>
              </w:rPr>
              <w:t>1σ</w:t>
            </w:r>
          </w:p>
        </w:tc>
        <w:tc>
          <w:tcPr>
            <w:tcW w:w="81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2B073649" w14:textId="77777777" w:rsidR="00CE6E5A" w:rsidRPr="0024784B" w:rsidRDefault="00CE6E5A" w:rsidP="00EC27DE">
            <w:pPr>
              <w:spacing w:before="120" w:after="120"/>
              <w:jc w:val="center"/>
              <w:rPr>
                <w:sz w:val="14"/>
                <w:szCs w:val="10"/>
                <w:bdr w:val="none" w:sz="0" w:space="0" w:color="auto" w:frame="1"/>
              </w:rPr>
            </w:pPr>
            <w:proofErr w:type="spellStart"/>
            <w:r w:rsidRPr="0024784B">
              <w:rPr>
                <w:b/>
                <w:bCs/>
                <w:i/>
                <w:iCs/>
                <w:sz w:val="14"/>
                <w:szCs w:val="10"/>
                <w:bdr w:val="none" w:sz="0" w:space="0" w:color="auto" w:frame="1"/>
              </w:rPr>
              <w:t>T</w:t>
            </w:r>
            <w:r w:rsidRPr="0024784B">
              <w:rPr>
                <w:b/>
                <w:bCs/>
                <w:i/>
                <w:iCs/>
                <w:sz w:val="14"/>
                <w:szCs w:val="10"/>
                <w:bdr w:val="none" w:sz="0" w:space="0" w:color="auto" w:frame="1"/>
                <w:vertAlign w:val="subscript"/>
              </w:rPr>
              <w:t>Mg</w:t>
            </w:r>
            <w:proofErr w:type="spellEnd"/>
            <w:r w:rsidRPr="0024784B">
              <w:rPr>
                <w:b/>
                <w:bCs/>
                <w:i/>
                <w:iCs/>
                <w:sz w:val="14"/>
                <w:szCs w:val="10"/>
                <w:bdr w:val="none" w:sz="0" w:space="0" w:color="auto" w:frame="1"/>
                <w:vertAlign w:val="subscript"/>
              </w:rPr>
              <w:t>-in-</w:t>
            </w:r>
            <w:proofErr w:type="spellStart"/>
            <w:r w:rsidRPr="0024784B">
              <w:rPr>
                <w:b/>
                <w:bCs/>
                <w:i/>
                <w:iCs/>
                <w:sz w:val="14"/>
                <w:szCs w:val="10"/>
                <w:bdr w:val="none" w:sz="0" w:space="0" w:color="auto" w:frame="1"/>
                <w:vertAlign w:val="subscript"/>
              </w:rPr>
              <w:t>Plag</w:t>
            </w:r>
            <w:proofErr w:type="spellEnd"/>
          </w:p>
        </w:tc>
        <w:tc>
          <w:tcPr>
            <w:tcW w:w="54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4EBA5C5F" w14:textId="77777777" w:rsidR="00CE6E5A" w:rsidRPr="0024784B" w:rsidRDefault="00CE6E5A" w:rsidP="00EC27DE">
            <w:pPr>
              <w:spacing w:before="120" w:after="120"/>
              <w:jc w:val="center"/>
              <w:rPr>
                <w:sz w:val="14"/>
                <w:szCs w:val="10"/>
                <w:bdr w:val="none" w:sz="0" w:space="0" w:color="auto" w:frame="1"/>
              </w:rPr>
            </w:pPr>
            <w:r w:rsidRPr="0024784B">
              <w:rPr>
                <w:b/>
                <w:bCs/>
                <w:i/>
                <w:iCs/>
                <w:sz w:val="14"/>
                <w:szCs w:val="10"/>
                <w:bdr w:val="none" w:sz="0" w:space="0" w:color="auto" w:frame="1"/>
              </w:rPr>
              <w:t>T</w:t>
            </w:r>
            <w:r w:rsidRPr="0024784B">
              <w:rPr>
                <w:b/>
                <w:bCs/>
                <w:i/>
                <w:iCs/>
                <w:sz w:val="14"/>
                <w:szCs w:val="10"/>
                <w:bdr w:val="none" w:sz="0" w:space="0" w:color="auto" w:frame="1"/>
                <w:vertAlign w:val="subscript"/>
              </w:rPr>
              <w:t>BKN</w:t>
            </w:r>
          </w:p>
        </w:tc>
        <w:tc>
          <w:tcPr>
            <w:tcW w:w="54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5E7677C9" w14:textId="77777777" w:rsidR="00CE6E5A" w:rsidRPr="0024784B" w:rsidRDefault="00CE6E5A" w:rsidP="00EC27DE">
            <w:pPr>
              <w:spacing w:before="120" w:after="120"/>
              <w:jc w:val="center"/>
              <w:rPr>
                <w:sz w:val="14"/>
                <w:szCs w:val="10"/>
                <w:bdr w:val="none" w:sz="0" w:space="0" w:color="auto" w:frame="1"/>
              </w:rPr>
            </w:pPr>
            <w:proofErr w:type="spellStart"/>
            <w:r w:rsidRPr="0024784B">
              <w:rPr>
                <w:b/>
                <w:bCs/>
                <w:i/>
                <w:iCs/>
                <w:sz w:val="14"/>
                <w:szCs w:val="10"/>
                <w:bdr w:val="none" w:sz="0" w:space="0" w:color="auto" w:frame="1"/>
              </w:rPr>
              <w:t>T</w:t>
            </w:r>
            <w:r w:rsidRPr="0024784B">
              <w:rPr>
                <w:b/>
                <w:bCs/>
                <w:i/>
                <w:iCs/>
                <w:sz w:val="14"/>
                <w:szCs w:val="10"/>
                <w:bdr w:val="none" w:sz="0" w:space="0" w:color="auto" w:frame="1"/>
                <w:vertAlign w:val="subscript"/>
              </w:rPr>
              <w:t>Wells</w:t>
            </w:r>
            <w:proofErr w:type="spellEnd"/>
          </w:p>
        </w:tc>
        <w:tc>
          <w:tcPr>
            <w:tcW w:w="54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01DE3A9B" w14:textId="77777777" w:rsidR="00CE6E5A" w:rsidRPr="0024784B" w:rsidRDefault="00CE6E5A" w:rsidP="00EC27DE">
            <w:pPr>
              <w:spacing w:before="120" w:after="120"/>
              <w:jc w:val="center"/>
              <w:rPr>
                <w:sz w:val="14"/>
                <w:szCs w:val="10"/>
                <w:bdr w:val="none" w:sz="0" w:space="0" w:color="auto" w:frame="1"/>
              </w:rPr>
            </w:pPr>
            <w:proofErr w:type="spellStart"/>
            <w:r w:rsidRPr="0024784B">
              <w:rPr>
                <w:b/>
                <w:bCs/>
                <w:i/>
                <w:iCs/>
                <w:sz w:val="14"/>
                <w:szCs w:val="10"/>
                <w:bdr w:val="none" w:sz="0" w:space="0" w:color="auto" w:frame="1"/>
              </w:rPr>
              <w:t>T</w:t>
            </w:r>
            <w:r w:rsidRPr="0024784B">
              <w:rPr>
                <w:b/>
                <w:bCs/>
                <w:i/>
                <w:iCs/>
                <w:sz w:val="14"/>
                <w:szCs w:val="10"/>
                <w:bdr w:val="none" w:sz="0" w:space="0" w:color="auto" w:frame="1"/>
                <w:vertAlign w:val="subscript"/>
              </w:rPr>
              <w:t>Putirka</w:t>
            </w:r>
            <w:proofErr w:type="spellEnd"/>
          </w:p>
        </w:tc>
        <w:tc>
          <w:tcPr>
            <w:tcW w:w="81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457B04F4" w14:textId="77777777" w:rsidR="00CE6E5A" w:rsidRPr="0024784B" w:rsidRDefault="00CE6E5A" w:rsidP="00EC27DE">
            <w:pPr>
              <w:spacing w:before="120" w:after="120"/>
              <w:jc w:val="center"/>
              <w:rPr>
                <w:sz w:val="14"/>
                <w:szCs w:val="10"/>
                <w:bdr w:val="none" w:sz="0" w:space="0" w:color="auto" w:frame="1"/>
              </w:rPr>
            </w:pPr>
            <w:proofErr w:type="spellStart"/>
            <w:r w:rsidRPr="0024784B">
              <w:rPr>
                <w:b/>
                <w:bCs/>
                <w:i/>
                <w:iCs/>
                <w:sz w:val="14"/>
                <w:szCs w:val="10"/>
                <w:bdr w:val="none" w:sz="0" w:space="0" w:color="auto" w:frame="1"/>
              </w:rPr>
              <w:t>T</w:t>
            </w:r>
            <w:r w:rsidRPr="0024784B">
              <w:rPr>
                <w:b/>
                <w:bCs/>
                <w:i/>
                <w:iCs/>
                <w:sz w:val="14"/>
                <w:szCs w:val="10"/>
                <w:bdr w:val="none" w:sz="0" w:space="0" w:color="auto" w:frame="1"/>
                <w:vertAlign w:val="subscript"/>
              </w:rPr>
              <w:t>Ca</w:t>
            </w:r>
            <w:proofErr w:type="spellEnd"/>
            <w:r w:rsidRPr="0024784B">
              <w:rPr>
                <w:b/>
                <w:bCs/>
                <w:i/>
                <w:iCs/>
                <w:sz w:val="14"/>
                <w:szCs w:val="10"/>
                <w:bdr w:val="none" w:sz="0" w:space="0" w:color="auto" w:frame="1"/>
                <w:vertAlign w:val="subscript"/>
              </w:rPr>
              <w:t>-in-OPX</w:t>
            </w:r>
          </w:p>
        </w:tc>
        <w:tc>
          <w:tcPr>
            <w:tcW w:w="810"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1B79EAC6" w14:textId="77777777" w:rsidR="00CE6E5A" w:rsidRPr="0024784B" w:rsidRDefault="00CE6E5A" w:rsidP="00EC27DE">
            <w:pPr>
              <w:spacing w:before="120" w:after="120"/>
              <w:jc w:val="center"/>
              <w:rPr>
                <w:sz w:val="14"/>
                <w:szCs w:val="10"/>
                <w:bdr w:val="none" w:sz="0" w:space="0" w:color="auto" w:frame="1"/>
              </w:rPr>
            </w:pPr>
            <w:proofErr w:type="spellStart"/>
            <w:r w:rsidRPr="0024784B">
              <w:rPr>
                <w:b/>
                <w:bCs/>
                <w:i/>
                <w:iCs/>
                <w:sz w:val="14"/>
                <w:szCs w:val="10"/>
                <w:bdr w:val="none" w:sz="0" w:space="0" w:color="auto" w:frame="1"/>
              </w:rPr>
              <w:t>T</w:t>
            </w:r>
            <w:r w:rsidRPr="0024784B">
              <w:rPr>
                <w:b/>
                <w:bCs/>
                <w:i/>
                <w:iCs/>
                <w:sz w:val="14"/>
                <w:szCs w:val="10"/>
                <w:bdr w:val="none" w:sz="0" w:space="0" w:color="auto" w:frame="1"/>
                <w:vertAlign w:val="subscript"/>
              </w:rPr>
              <w:t>Al</w:t>
            </w:r>
            <w:proofErr w:type="spellEnd"/>
            <w:r w:rsidRPr="0024784B">
              <w:rPr>
                <w:b/>
                <w:bCs/>
                <w:i/>
                <w:iCs/>
                <w:sz w:val="14"/>
                <w:szCs w:val="10"/>
                <w:bdr w:val="none" w:sz="0" w:space="0" w:color="auto" w:frame="1"/>
                <w:vertAlign w:val="subscript"/>
              </w:rPr>
              <w:t>-in-OPX</w:t>
            </w:r>
          </w:p>
        </w:tc>
        <w:tc>
          <w:tcPr>
            <w:tcW w:w="818" w:type="dxa"/>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2F306826" w14:textId="77777777" w:rsidR="00CE6E5A" w:rsidRPr="0024784B" w:rsidRDefault="00CE6E5A" w:rsidP="00EC27DE">
            <w:pPr>
              <w:spacing w:before="120" w:after="120"/>
              <w:jc w:val="center"/>
              <w:rPr>
                <w:sz w:val="14"/>
                <w:szCs w:val="10"/>
                <w:bdr w:val="none" w:sz="0" w:space="0" w:color="auto" w:frame="1"/>
              </w:rPr>
            </w:pPr>
            <w:proofErr w:type="spellStart"/>
            <w:r w:rsidRPr="0024784B">
              <w:rPr>
                <w:b/>
                <w:bCs/>
                <w:i/>
                <w:iCs/>
                <w:sz w:val="14"/>
                <w:szCs w:val="10"/>
                <w:bdr w:val="none" w:sz="0" w:space="0" w:color="auto" w:frame="1"/>
              </w:rPr>
              <w:t>T</w:t>
            </w:r>
            <w:r w:rsidRPr="0024784B">
              <w:rPr>
                <w:b/>
                <w:bCs/>
                <w:i/>
                <w:iCs/>
                <w:sz w:val="14"/>
                <w:szCs w:val="10"/>
                <w:bdr w:val="none" w:sz="0" w:space="0" w:color="auto" w:frame="1"/>
                <w:vertAlign w:val="subscript"/>
              </w:rPr>
              <w:t>Ca</w:t>
            </w:r>
            <w:proofErr w:type="spellEnd"/>
            <w:r w:rsidRPr="0024784B">
              <w:rPr>
                <w:b/>
                <w:bCs/>
                <w:i/>
                <w:iCs/>
                <w:sz w:val="14"/>
                <w:szCs w:val="10"/>
                <w:bdr w:val="none" w:sz="0" w:space="0" w:color="auto" w:frame="1"/>
                <w:vertAlign w:val="subscript"/>
              </w:rPr>
              <w:t>-in-</w:t>
            </w:r>
            <w:proofErr w:type="spellStart"/>
            <w:r w:rsidRPr="0024784B">
              <w:rPr>
                <w:b/>
                <w:bCs/>
                <w:i/>
                <w:iCs/>
                <w:sz w:val="14"/>
                <w:szCs w:val="10"/>
                <w:bdr w:val="none" w:sz="0" w:space="0" w:color="auto" w:frame="1"/>
                <w:vertAlign w:val="subscript"/>
              </w:rPr>
              <w:t>Ol</w:t>
            </w:r>
            <w:proofErr w:type="spellEnd"/>
          </w:p>
        </w:tc>
        <w:tc>
          <w:tcPr>
            <w:tcW w:w="540" w:type="dxa"/>
            <w:gridSpan w:val="2"/>
            <w:tcBorders>
              <w:top w:val="single" w:sz="8" w:space="0" w:color="000000" w:themeColor="text1"/>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6F1858D0" w14:textId="77777777" w:rsidR="00CE6E5A" w:rsidRPr="0024784B" w:rsidRDefault="00CE6E5A" w:rsidP="00EC27DE">
            <w:pPr>
              <w:spacing w:before="120" w:after="120"/>
              <w:jc w:val="center"/>
              <w:rPr>
                <w:sz w:val="14"/>
                <w:szCs w:val="10"/>
                <w:bdr w:val="none" w:sz="0" w:space="0" w:color="auto" w:frame="1"/>
              </w:rPr>
            </w:pPr>
            <w:proofErr w:type="spellStart"/>
            <w:r w:rsidRPr="0024784B">
              <w:rPr>
                <w:b/>
                <w:bCs/>
                <w:i/>
                <w:iCs/>
                <w:sz w:val="14"/>
                <w:szCs w:val="10"/>
                <w:bdr w:val="none" w:sz="0" w:space="0" w:color="auto" w:frame="1"/>
              </w:rPr>
              <w:t>T</w:t>
            </w:r>
            <w:r w:rsidRPr="0024784B">
              <w:rPr>
                <w:b/>
                <w:bCs/>
                <w:i/>
                <w:iCs/>
                <w:sz w:val="14"/>
                <w:szCs w:val="10"/>
                <w:bdr w:val="none" w:sz="0" w:space="0" w:color="auto" w:frame="1"/>
                <w:vertAlign w:val="subscript"/>
              </w:rPr>
              <w:t>Ol-Sp</w:t>
            </w:r>
            <w:proofErr w:type="spellEnd"/>
          </w:p>
        </w:tc>
      </w:tr>
      <w:tr w:rsidR="00CE6E5A" w:rsidRPr="000528BC" w14:paraId="040499B0" w14:textId="77777777" w:rsidTr="00EC27DE">
        <w:trPr>
          <w:trHeight w:val="229"/>
        </w:trPr>
        <w:tc>
          <w:tcPr>
            <w:tcW w:w="2340" w:type="dxa"/>
            <w:gridSpan w:val="2"/>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5FC494F4"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345_1415G_1R1_0-4</w:t>
            </w:r>
          </w:p>
        </w:tc>
        <w:tc>
          <w:tcPr>
            <w:tcW w:w="360" w:type="dxa"/>
            <w:vMerge w:val="restart"/>
            <w:tcBorders>
              <w:top w:val="single" w:sz="4" w:space="0" w:color="auto"/>
              <w:left w:val="nil"/>
              <w:bottom w:val="single" w:sz="4" w:space="0" w:color="auto"/>
              <w:right w:val="nil"/>
            </w:tcBorders>
            <w:textDirection w:val="tbRl"/>
            <w:vAlign w:val="center"/>
          </w:tcPr>
          <w:p w14:paraId="139343B0" w14:textId="77777777" w:rsidR="00CE6E5A" w:rsidRPr="0024784B" w:rsidRDefault="00CE6E5A" w:rsidP="00EC27DE">
            <w:pPr>
              <w:spacing w:before="120" w:after="120"/>
              <w:ind w:right="113" w:firstLine="360"/>
              <w:jc w:val="center"/>
              <w:rPr>
                <w:sz w:val="14"/>
                <w:szCs w:val="10"/>
                <w:bdr w:val="none" w:sz="0" w:space="0" w:color="auto" w:frame="1"/>
              </w:rPr>
            </w:pPr>
            <w:r w:rsidRPr="0024784B">
              <w:rPr>
                <w:sz w:val="14"/>
                <w:szCs w:val="10"/>
                <w:bdr w:val="none" w:sz="0" w:space="0" w:color="auto" w:frame="1"/>
              </w:rPr>
              <w:t>Gabbro</w:t>
            </w:r>
          </w:p>
        </w:tc>
        <w:tc>
          <w:tcPr>
            <w:tcW w:w="1080" w:type="dxa"/>
            <w:vMerge w:val="restart"/>
            <w:tcBorders>
              <w:top w:val="single" w:sz="4" w:space="0" w:color="auto"/>
              <w:left w:val="nil"/>
              <w:bottom w:val="single" w:sz="4" w:space="0" w:color="auto"/>
              <w:right w:val="nil"/>
            </w:tcBorders>
            <w:vAlign w:val="center"/>
          </w:tcPr>
          <w:p w14:paraId="139871C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Hess Deep</w:t>
            </w:r>
          </w:p>
        </w:tc>
        <w:tc>
          <w:tcPr>
            <w:tcW w:w="135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5A50E98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45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6D1AE56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108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3BDED38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1224</w:t>
            </w:r>
            <w:r w:rsidRPr="0024784B">
              <w:rPr>
                <w:color w:val="202122"/>
                <w:sz w:val="14"/>
                <w:szCs w:val="10"/>
                <w:shd w:val="clear" w:color="auto" w:fill="FDFDFD"/>
                <w:vertAlign w:val="superscript"/>
              </w:rPr>
              <w:t>*</w:t>
            </w:r>
          </w:p>
        </w:tc>
        <w:tc>
          <w:tcPr>
            <w:tcW w:w="36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6E66478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4</w:t>
            </w:r>
          </w:p>
        </w:tc>
        <w:tc>
          <w:tcPr>
            <w:tcW w:w="81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64D3ADB5"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1071</w:t>
            </w:r>
            <w:r w:rsidRPr="0024784B">
              <w:rPr>
                <w:color w:val="202122"/>
                <w:sz w:val="14"/>
                <w:szCs w:val="10"/>
                <w:shd w:val="clear" w:color="auto" w:fill="FDFDFD"/>
                <w:vertAlign w:val="superscript"/>
              </w:rPr>
              <w:t>*</w:t>
            </w:r>
          </w:p>
        </w:tc>
        <w:tc>
          <w:tcPr>
            <w:tcW w:w="54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27BBEFA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6FE630B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6CE79BC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0C50A75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0D2FAFE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8" w:type="dxa"/>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797C3D2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885</w:t>
            </w:r>
          </w:p>
        </w:tc>
        <w:tc>
          <w:tcPr>
            <w:tcW w:w="540" w:type="dxa"/>
            <w:gridSpan w:val="2"/>
            <w:tcBorders>
              <w:top w:val="single" w:sz="8" w:space="0" w:color="000000" w:themeColor="text1"/>
              <w:left w:val="nil"/>
              <w:bottom w:val="nil"/>
              <w:right w:val="nil"/>
            </w:tcBorders>
            <w:shd w:val="clear" w:color="auto" w:fill="auto"/>
            <w:tcMar>
              <w:top w:w="12" w:type="dxa"/>
              <w:left w:w="85" w:type="dxa"/>
              <w:bottom w:w="0" w:type="dxa"/>
              <w:right w:w="85" w:type="dxa"/>
            </w:tcMar>
            <w:vAlign w:val="center"/>
            <w:hideMark/>
          </w:tcPr>
          <w:p w14:paraId="2E440F1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r>
      <w:tr w:rsidR="00CE6E5A" w:rsidRPr="000528BC" w14:paraId="07E90CFA"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3F88B9B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345_1415J_4R1_2-6</w:t>
            </w:r>
          </w:p>
        </w:tc>
        <w:tc>
          <w:tcPr>
            <w:tcW w:w="360" w:type="dxa"/>
            <w:vMerge/>
            <w:textDirection w:val="tbRl"/>
            <w:vAlign w:val="center"/>
          </w:tcPr>
          <w:p w14:paraId="7B49BE4D" w14:textId="77777777" w:rsidR="00CE6E5A" w:rsidRPr="0024784B" w:rsidRDefault="00CE6E5A" w:rsidP="00EC27DE">
            <w:pPr>
              <w:spacing w:before="120" w:after="120"/>
              <w:ind w:right="113" w:firstLine="360"/>
              <w:jc w:val="center"/>
              <w:rPr>
                <w:sz w:val="14"/>
                <w:szCs w:val="10"/>
                <w:bdr w:val="none" w:sz="0" w:space="0" w:color="auto" w:frame="1"/>
              </w:rPr>
            </w:pPr>
          </w:p>
        </w:tc>
        <w:tc>
          <w:tcPr>
            <w:tcW w:w="1080" w:type="dxa"/>
            <w:vMerge/>
          </w:tcPr>
          <w:p w14:paraId="571696D8"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18A5B48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280AC97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40E0168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1220</w:t>
            </w:r>
            <w:r w:rsidRPr="0024784B">
              <w:rPr>
                <w:color w:val="202122"/>
                <w:sz w:val="14"/>
                <w:szCs w:val="10"/>
                <w:shd w:val="clear" w:color="auto" w:fill="FDFDFD"/>
                <w:vertAlign w:val="superscript"/>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6FCCFE4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6</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2643BD5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1063</w:t>
            </w:r>
            <w:r w:rsidRPr="0024784B">
              <w:rPr>
                <w:color w:val="202122"/>
                <w:sz w:val="14"/>
                <w:szCs w:val="10"/>
                <w:shd w:val="clear" w:color="auto" w:fill="FDFDFD"/>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0FC37A7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593DE21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3618B6A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6D22D92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6CF1ED35"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1825F91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03D11A4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r>
      <w:tr w:rsidR="00CE6E5A" w:rsidRPr="000528BC" w14:paraId="2D5900AA"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12A392B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147_894G_9R4_60-67</w:t>
            </w:r>
          </w:p>
        </w:tc>
        <w:tc>
          <w:tcPr>
            <w:tcW w:w="360" w:type="dxa"/>
            <w:vMerge/>
            <w:textDirection w:val="tbRl"/>
            <w:vAlign w:val="center"/>
          </w:tcPr>
          <w:p w14:paraId="28410DD1" w14:textId="77777777" w:rsidR="00CE6E5A" w:rsidRPr="0024784B" w:rsidRDefault="00CE6E5A" w:rsidP="00EC27DE">
            <w:pPr>
              <w:spacing w:before="120" w:after="120"/>
              <w:ind w:right="113" w:firstLine="360"/>
              <w:jc w:val="center"/>
              <w:rPr>
                <w:sz w:val="14"/>
                <w:szCs w:val="10"/>
                <w:bdr w:val="none" w:sz="0" w:space="0" w:color="auto" w:frame="1"/>
              </w:rPr>
            </w:pPr>
          </w:p>
        </w:tc>
        <w:tc>
          <w:tcPr>
            <w:tcW w:w="1080" w:type="dxa"/>
            <w:vMerge/>
          </w:tcPr>
          <w:p w14:paraId="62BBC465"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586A3CB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7EA92DF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3B567BD5"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1185</w:t>
            </w:r>
            <w:r w:rsidRPr="0024784B">
              <w:rPr>
                <w:color w:val="202122"/>
                <w:sz w:val="14"/>
                <w:szCs w:val="10"/>
                <w:shd w:val="clear" w:color="auto" w:fill="FDFDFD"/>
                <w:vertAlign w:val="superscript"/>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7FD97F4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3</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55F5C6E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1046</w:t>
            </w:r>
            <w:r w:rsidRPr="0024784B">
              <w:rPr>
                <w:color w:val="202122"/>
                <w:sz w:val="14"/>
                <w:szCs w:val="10"/>
                <w:shd w:val="clear" w:color="auto" w:fill="FDFDFD"/>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50DB5CC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0A845E7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13280ED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02CCFB6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0CD5A75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7B807C6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896</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0B328D0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r>
      <w:tr w:rsidR="00CE6E5A" w:rsidRPr="000528BC" w14:paraId="1EC795B2"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4A7B394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5057_5707A_032z_02_053-056</w:t>
            </w:r>
          </w:p>
        </w:tc>
        <w:tc>
          <w:tcPr>
            <w:tcW w:w="360" w:type="dxa"/>
            <w:vMerge/>
            <w:textDirection w:val="tbRl"/>
            <w:vAlign w:val="center"/>
          </w:tcPr>
          <w:p w14:paraId="7451F3A5" w14:textId="77777777" w:rsidR="00CE6E5A" w:rsidRPr="0024784B" w:rsidRDefault="00CE6E5A" w:rsidP="00EC27DE">
            <w:pPr>
              <w:spacing w:before="120" w:after="120"/>
              <w:ind w:right="113" w:firstLine="360"/>
              <w:jc w:val="center"/>
              <w:rPr>
                <w:sz w:val="14"/>
                <w:szCs w:val="10"/>
                <w:bdr w:val="none" w:sz="0" w:space="0" w:color="auto" w:frame="1"/>
              </w:rPr>
            </w:pPr>
          </w:p>
        </w:tc>
        <w:tc>
          <w:tcPr>
            <w:tcW w:w="1080" w:type="dxa"/>
            <w:vMerge w:val="restart"/>
            <w:tcBorders>
              <w:top w:val="single" w:sz="4" w:space="0" w:color="auto"/>
              <w:left w:val="nil"/>
              <w:bottom w:val="single" w:sz="4" w:space="0" w:color="auto"/>
              <w:right w:val="nil"/>
            </w:tcBorders>
            <w:vAlign w:val="center"/>
          </w:tcPr>
          <w:p w14:paraId="06FCF562" w14:textId="77777777" w:rsidR="00CE6E5A" w:rsidRPr="0024784B" w:rsidRDefault="00CE6E5A" w:rsidP="00EC27DE">
            <w:pPr>
              <w:spacing w:before="120" w:after="120"/>
              <w:jc w:val="center"/>
              <w:rPr>
                <w:sz w:val="14"/>
                <w:szCs w:val="10"/>
                <w:bdr w:val="none" w:sz="0" w:space="0" w:color="auto" w:frame="1"/>
              </w:rPr>
            </w:pPr>
            <w:proofErr w:type="spellStart"/>
            <w:r w:rsidRPr="0024784B">
              <w:rPr>
                <w:sz w:val="14"/>
                <w:szCs w:val="10"/>
                <w:bdr w:val="none" w:sz="0" w:space="0" w:color="auto" w:frame="1"/>
              </w:rPr>
              <w:t>OmanDP</w:t>
            </w:r>
            <w:proofErr w:type="spellEnd"/>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315E6E9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0EC492D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2641CD4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1194</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456CAC6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751DD6A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1066</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14C1E26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6D1823F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5228E00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052714A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474F4525"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471C826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893</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2BC424E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r>
      <w:tr w:rsidR="00CE6E5A" w:rsidRPr="000528BC" w14:paraId="11339CEE"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69C68BD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5057_5707A_059z_04_004-008</w:t>
            </w:r>
          </w:p>
        </w:tc>
        <w:tc>
          <w:tcPr>
            <w:tcW w:w="360" w:type="dxa"/>
            <w:vMerge/>
            <w:textDirection w:val="tbRl"/>
            <w:vAlign w:val="center"/>
          </w:tcPr>
          <w:p w14:paraId="00F02143" w14:textId="77777777" w:rsidR="00CE6E5A" w:rsidRPr="0024784B" w:rsidRDefault="00CE6E5A" w:rsidP="00EC27DE">
            <w:pPr>
              <w:spacing w:before="120" w:after="120"/>
              <w:ind w:right="113" w:firstLine="360"/>
              <w:jc w:val="center"/>
              <w:rPr>
                <w:sz w:val="14"/>
                <w:szCs w:val="10"/>
                <w:bdr w:val="none" w:sz="0" w:space="0" w:color="auto" w:frame="1"/>
              </w:rPr>
            </w:pPr>
          </w:p>
        </w:tc>
        <w:tc>
          <w:tcPr>
            <w:tcW w:w="1080" w:type="dxa"/>
            <w:vMerge/>
          </w:tcPr>
          <w:p w14:paraId="1738AC82"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743EAE4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23B1925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6E488F2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1238</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70A828F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4</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7E39C56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1016</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0958047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10B0650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5A1FC96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107E5FC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5B2DAD6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0261831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891</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71EFA255"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r>
      <w:tr w:rsidR="00CE6E5A" w:rsidRPr="000528BC" w14:paraId="1959C020"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04181F3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5057_5707A_113z_03_036-040</w:t>
            </w:r>
          </w:p>
        </w:tc>
        <w:tc>
          <w:tcPr>
            <w:tcW w:w="360" w:type="dxa"/>
            <w:vMerge/>
            <w:textDirection w:val="tbRl"/>
            <w:vAlign w:val="center"/>
          </w:tcPr>
          <w:p w14:paraId="2C726922" w14:textId="77777777" w:rsidR="00CE6E5A" w:rsidRPr="0024784B" w:rsidRDefault="00CE6E5A" w:rsidP="00EC27DE">
            <w:pPr>
              <w:spacing w:before="120" w:after="120"/>
              <w:ind w:right="113" w:firstLine="360"/>
              <w:jc w:val="center"/>
              <w:rPr>
                <w:sz w:val="14"/>
                <w:szCs w:val="10"/>
                <w:bdr w:val="none" w:sz="0" w:space="0" w:color="auto" w:frame="1"/>
              </w:rPr>
            </w:pPr>
          </w:p>
        </w:tc>
        <w:tc>
          <w:tcPr>
            <w:tcW w:w="1080" w:type="dxa"/>
            <w:vMerge/>
          </w:tcPr>
          <w:p w14:paraId="3C380343"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4BE1E6D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3462E86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517BA19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1269</w:t>
            </w:r>
            <w:r w:rsidRPr="0024784B">
              <w:rPr>
                <w:sz w:val="14"/>
                <w:szCs w:val="10"/>
                <w:bdr w:val="none" w:sz="0" w:space="0" w:color="auto" w:frame="1"/>
                <w:vertAlign w:val="superscript"/>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0EF42C8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485DE44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963</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550A72F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0CE885E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4F64EC05"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6DBF4924"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5E65D54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03B4C21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893</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4887B5E4"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r>
      <w:tr w:rsidR="00CE6E5A" w:rsidRPr="000528BC" w14:paraId="107EB624"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232C4C5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147_895D_3R1_22-27</w:t>
            </w:r>
          </w:p>
        </w:tc>
        <w:tc>
          <w:tcPr>
            <w:tcW w:w="360" w:type="dxa"/>
            <w:vMerge w:val="restart"/>
            <w:tcBorders>
              <w:top w:val="nil"/>
              <w:left w:val="nil"/>
              <w:bottom w:val="single" w:sz="4" w:space="0" w:color="auto"/>
              <w:right w:val="nil"/>
            </w:tcBorders>
            <w:textDirection w:val="tbRl"/>
            <w:vAlign w:val="center"/>
          </w:tcPr>
          <w:p w14:paraId="757A6339" w14:textId="77777777" w:rsidR="00CE6E5A" w:rsidRPr="0024784B" w:rsidRDefault="00CE6E5A" w:rsidP="00EC27DE">
            <w:pPr>
              <w:spacing w:before="120" w:after="120"/>
              <w:ind w:right="113" w:firstLine="360"/>
              <w:jc w:val="center"/>
              <w:rPr>
                <w:sz w:val="14"/>
                <w:szCs w:val="10"/>
                <w:bdr w:val="none" w:sz="0" w:space="0" w:color="auto" w:frame="1"/>
              </w:rPr>
            </w:pPr>
            <w:r w:rsidRPr="0024784B">
              <w:rPr>
                <w:sz w:val="14"/>
                <w:szCs w:val="10"/>
                <w:bdr w:val="none" w:sz="0" w:space="0" w:color="auto" w:frame="1"/>
              </w:rPr>
              <w:t>Peridotite</w:t>
            </w:r>
          </w:p>
        </w:tc>
        <w:tc>
          <w:tcPr>
            <w:tcW w:w="1080" w:type="dxa"/>
            <w:vMerge w:val="restart"/>
            <w:tcBorders>
              <w:top w:val="single" w:sz="4" w:space="0" w:color="auto"/>
              <w:left w:val="nil"/>
              <w:bottom w:val="single" w:sz="4" w:space="0" w:color="auto"/>
              <w:right w:val="nil"/>
            </w:tcBorders>
            <w:vAlign w:val="center"/>
          </w:tcPr>
          <w:p w14:paraId="733D80E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Hess Deep</w:t>
            </w: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19883B2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1287</w:t>
            </w:r>
            <w:r w:rsidRPr="0024784B">
              <w:rPr>
                <w:color w:val="202122"/>
                <w:sz w:val="14"/>
                <w:szCs w:val="10"/>
                <w:shd w:val="clear" w:color="auto" w:fill="FDFDFD"/>
                <w:vertAlign w:val="superscript"/>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1A51F10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23</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54996E2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1D24376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116EEED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67CEA32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1048</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7D56B7B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1041</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02D37E9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1040</w:t>
            </w:r>
            <w:r w:rsidRPr="0024784B">
              <w:rPr>
                <w:sz w:val="14"/>
                <w:szCs w:val="10"/>
                <w:bdr w:val="none" w:sz="0" w:space="0" w:color="auto" w:frame="1"/>
                <w:vertAlign w:val="superscript"/>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06AC31D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1167</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170197F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1020</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332EF34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1034</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2B37A34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754</w:t>
            </w:r>
          </w:p>
        </w:tc>
      </w:tr>
      <w:tr w:rsidR="00CE6E5A" w:rsidRPr="000528BC" w14:paraId="7A05A509"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681E43C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147_895D_3R1_66-69</w:t>
            </w:r>
          </w:p>
        </w:tc>
        <w:tc>
          <w:tcPr>
            <w:tcW w:w="360" w:type="dxa"/>
            <w:vMerge/>
          </w:tcPr>
          <w:p w14:paraId="6C1B106E" w14:textId="77777777" w:rsidR="00CE6E5A" w:rsidRPr="0024784B" w:rsidRDefault="00CE6E5A" w:rsidP="00EC27DE">
            <w:pPr>
              <w:spacing w:before="120" w:after="120"/>
              <w:ind w:firstLine="360"/>
              <w:jc w:val="center"/>
              <w:rPr>
                <w:sz w:val="14"/>
                <w:szCs w:val="10"/>
                <w:bdr w:val="none" w:sz="0" w:space="0" w:color="auto" w:frame="1"/>
              </w:rPr>
            </w:pPr>
          </w:p>
        </w:tc>
        <w:tc>
          <w:tcPr>
            <w:tcW w:w="1080" w:type="dxa"/>
            <w:vMerge/>
          </w:tcPr>
          <w:p w14:paraId="65523A1B"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1E8BF84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1222</w:t>
            </w:r>
            <w:r w:rsidRPr="0024784B">
              <w:rPr>
                <w:sz w:val="14"/>
                <w:szCs w:val="10"/>
                <w:bdr w:val="none" w:sz="0" w:space="0" w:color="auto" w:frame="1"/>
                <w:vertAlign w:val="superscript"/>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7ABF6BF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53</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1C9CDB5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4897438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6E06E20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191AA2D4"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1069</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2DE568F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1064</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54F8D6A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1063</w:t>
            </w:r>
            <w:r w:rsidRPr="0024784B">
              <w:rPr>
                <w:sz w:val="14"/>
                <w:szCs w:val="10"/>
                <w:bdr w:val="none" w:sz="0" w:space="0" w:color="auto" w:frame="1"/>
                <w:vertAlign w:val="superscript"/>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694F6F0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1188</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276244E5"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1041</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7FF9BC4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1023</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2AB8439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751</w:t>
            </w:r>
          </w:p>
        </w:tc>
      </w:tr>
      <w:tr w:rsidR="00CE6E5A" w:rsidRPr="000528BC" w14:paraId="461A8587"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4599386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147_895D_5R1_70-76</w:t>
            </w:r>
          </w:p>
        </w:tc>
        <w:tc>
          <w:tcPr>
            <w:tcW w:w="360" w:type="dxa"/>
            <w:vMerge/>
          </w:tcPr>
          <w:p w14:paraId="221614F3" w14:textId="77777777" w:rsidR="00CE6E5A" w:rsidRPr="0024784B" w:rsidRDefault="00CE6E5A" w:rsidP="00EC27DE">
            <w:pPr>
              <w:spacing w:before="120" w:after="120"/>
              <w:ind w:firstLine="360"/>
              <w:jc w:val="center"/>
              <w:rPr>
                <w:sz w:val="14"/>
                <w:szCs w:val="10"/>
                <w:bdr w:val="none" w:sz="0" w:space="0" w:color="auto" w:frame="1"/>
              </w:rPr>
            </w:pPr>
          </w:p>
        </w:tc>
        <w:tc>
          <w:tcPr>
            <w:tcW w:w="1080" w:type="dxa"/>
            <w:vMerge/>
          </w:tcPr>
          <w:p w14:paraId="442E6AF8"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43CA8AE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1357</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4C3EAAF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53</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1B31755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536E3EA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4766562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3C04B71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1141</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1BF0D6C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1133</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016C7FF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1126</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3A74E664"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1234</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31B759C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996</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61FB14B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1036</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78573F0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787</w:t>
            </w:r>
          </w:p>
        </w:tc>
      </w:tr>
      <w:tr w:rsidR="00CE6E5A" w:rsidRPr="000528BC" w14:paraId="1946822E"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028161B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147_895D_5R1_140-144</w:t>
            </w:r>
          </w:p>
        </w:tc>
        <w:tc>
          <w:tcPr>
            <w:tcW w:w="360" w:type="dxa"/>
            <w:vMerge/>
          </w:tcPr>
          <w:p w14:paraId="388D6804" w14:textId="77777777" w:rsidR="00CE6E5A" w:rsidRPr="0024784B" w:rsidRDefault="00CE6E5A" w:rsidP="00EC27DE">
            <w:pPr>
              <w:spacing w:before="120" w:after="120"/>
              <w:ind w:firstLine="360"/>
              <w:jc w:val="center"/>
              <w:rPr>
                <w:sz w:val="14"/>
                <w:szCs w:val="10"/>
                <w:bdr w:val="none" w:sz="0" w:space="0" w:color="auto" w:frame="1"/>
              </w:rPr>
            </w:pPr>
          </w:p>
        </w:tc>
        <w:tc>
          <w:tcPr>
            <w:tcW w:w="1080" w:type="dxa"/>
            <w:vMerge/>
          </w:tcPr>
          <w:p w14:paraId="23DC3B72"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52E154A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1403</w:t>
            </w:r>
            <w:r w:rsidRPr="0024784B">
              <w:rPr>
                <w:sz w:val="14"/>
                <w:szCs w:val="10"/>
                <w:bdr w:val="none" w:sz="0" w:space="0" w:color="auto" w:frame="1"/>
                <w:vertAlign w:val="superscript"/>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2979C5D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55</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3FA798E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1BA1C0E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2772B98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77447F2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1115</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19CEF8D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1109</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342C81A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1103</w:t>
            </w:r>
            <w:r w:rsidRPr="0024784B">
              <w:rPr>
                <w:sz w:val="14"/>
                <w:szCs w:val="10"/>
                <w:bdr w:val="none" w:sz="0" w:space="0" w:color="auto" w:frame="1"/>
                <w:vertAlign w:val="superscript"/>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2A76DD0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1216</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2D0B1F74"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978</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1EC275E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1038</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2532648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760</w:t>
            </w:r>
          </w:p>
        </w:tc>
      </w:tr>
      <w:tr w:rsidR="00CE6E5A" w:rsidRPr="000528BC" w14:paraId="6DD936B9"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40FCE5F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5057_5708B_100z_03_035-040</w:t>
            </w:r>
          </w:p>
        </w:tc>
        <w:tc>
          <w:tcPr>
            <w:tcW w:w="360" w:type="dxa"/>
            <w:vMerge/>
          </w:tcPr>
          <w:p w14:paraId="410F2AF8" w14:textId="77777777" w:rsidR="00CE6E5A" w:rsidRPr="0024784B" w:rsidRDefault="00CE6E5A" w:rsidP="00EC27DE">
            <w:pPr>
              <w:spacing w:before="120" w:after="120"/>
              <w:ind w:firstLine="360"/>
              <w:jc w:val="center"/>
              <w:rPr>
                <w:sz w:val="14"/>
                <w:szCs w:val="10"/>
                <w:bdr w:val="none" w:sz="0" w:space="0" w:color="auto" w:frame="1"/>
              </w:rPr>
            </w:pPr>
          </w:p>
        </w:tc>
        <w:tc>
          <w:tcPr>
            <w:tcW w:w="1080" w:type="dxa"/>
            <w:vMerge w:val="restart"/>
            <w:tcBorders>
              <w:top w:val="single" w:sz="4" w:space="0" w:color="auto"/>
              <w:left w:val="nil"/>
              <w:bottom w:val="single" w:sz="4" w:space="0" w:color="auto"/>
              <w:right w:val="nil"/>
            </w:tcBorders>
            <w:vAlign w:val="center"/>
          </w:tcPr>
          <w:p w14:paraId="7DF037B1" w14:textId="77777777" w:rsidR="00CE6E5A" w:rsidRPr="0024784B" w:rsidRDefault="00CE6E5A" w:rsidP="00EC27DE">
            <w:pPr>
              <w:spacing w:before="120" w:after="120"/>
              <w:jc w:val="center"/>
              <w:rPr>
                <w:sz w:val="14"/>
                <w:szCs w:val="10"/>
                <w:bdr w:val="none" w:sz="0" w:space="0" w:color="auto" w:frame="1"/>
              </w:rPr>
            </w:pPr>
            <w:proofErr w:type="spellStart"/>
            <w:r w:rsidRPr="0024784B">
              <w:rPr>
                <w:sz w:val="14"/>
                <w:szCs w:val="10"/>
                <w:bdr w:val="none" w:sz="0" w:space="0" w:color="auto" w:frame="1"/>
              </w:rPr>
              <w:t>OmanDP</w:t>
            </w:r>
            <w:proofErr w:type="spellEnd"/>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03958C1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1211</w:t>
            </w:r>
            <w:r w:rsidRPr="0024784B">
              <w:rPr>
                <w:sz w:val="14"/>
                <w:szCs w:val="10"/>
                <w:bdr w:val="none" w:sz="0" w:space="0" w:color="auto" w:frame="1"/>
                <w:vertAlign w:val="superscript"/>
              </w:rPr>
              <w:t>‡</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1B2B514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27</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67DACAB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4FA0B7B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63B48F0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20E06F3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1023</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5D18539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1033</w:t>
            </w:r>
            <w:r w:rsidRPr="0024784B">
              <w:rPr>
                <w:sz w:val="14"/>
                <w:szCs w:val="10"/>
                <w:bdr w:val="none" w:sz="0" w:space="0" w:color="auto" w:frame="1"/>
                <w:vertAlign w:val="superscript"/>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094CDA2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1038</w:t>
            </w:r>
            <w:r w:rsidRPr="0024784B">
              <w:rPr>
                <w:sz w:val="14"/>
                <w:szCs w:val="10"/>
                <w:bdr w:val="none" w:sz="0" w:space="0" w:color="auto" w:frame="1"/>
                <w:vertAlign w:val="superscript"/>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6459A00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1211</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5D5DC7B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960</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71C2E19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1001</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5C5617B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707</w:t>
            </w:r>
          </w:p>
        </w:tc>
      </w:tr>
      <w:tr w:rsidR="00CE6E5A" w:rsidRPr="000528BC" w14:paraId="0F5DE3F2"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4115569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5057_5708B_114z_02_030-034</w:t>
            </w:r>
          </w:p>
        </w:tc>
        <w:tc>
          <w:tcPr>
            <w:tcW w:w="360" w:type="dxa"/>
            <w:vMerge/>
          </w:tcPr>
          <w:p w14:paraId="6AA78A3D" w14:textId="77777777" w:rsidR="00CE6E5A" w:rsidRPr="0024784B" w:rsidRDefault="00CE6E5A" w:rsidP="00EC27DE">
            <w:pPr>
              <w:spacing w:before="120" w:after="120"/>
              <w:ind w:firstLine="360"/>
              <w:jc w:val="center"/>
              <w:rPr>
                <w:sz w:val="14"/>
                <w:szCs w:val="10"/>
                <w:bdr w:val="none" w:sz="0" w:space="0" w:color="auto" w:frame="1"/>
              </w:rPr>
            </w:pPr>
          </w:p>
        </w:tc>
        <w:tc>
          <w:tcPr>
            <w:tcW w:w="1080" w:type="dxa"/>
            <w:vMerge/>
            <w:vAlign w:val="center"/>
          </w:tcPr>
          <w:p w14:paraId="386F2685"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1B25866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1144</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09A2A95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30</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40481D3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29969FC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127D51D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6CBA75A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1001</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484191B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1002</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167FFCE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1023</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471651E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1203</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3E51144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1004</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4783262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1027</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0D5BA1E1"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727</w:t>
            </w:r>
          </w:p>
        </w:tc>
      </w:tr>
      <w:tr w:rsidR="00CE6E5A" w:rsidRPr="000528BC" w14:paraId="0FC38B38" w14:textId="77777777" w:rsidTr="00EC27DE">
        <w:trPr>
          <w:trHeight w:val="20"/>
        </w:trPr>
        <w:tc>
          <w:tcPr>
            <w:tcW w:w="23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1FFE7F0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5057_5708B_119z_03_006-009</w:t>
            </w:r>
          </w:p>
        </w:tc>
        <w:tc>
          <w:tcPr>
            <w:tcW w:w="360" w:type="dxa"/>
            <w:vMerge/>
          </w:tcPr>
          <w:p w14:paraId="015BE74B" w14:textId="77777777" w:rsidR="00CE6E5A" w:rsidRPr="0024784B" w:rsidRDefault="00CE6E5A" w:rsidP="00EC27DE">
            <w:pPr>
              <w:spacing w:before="120" w:after="120"/>
              <w:ind w:firstLine="360"/>
              <w:jc w:val="center"/>
              <w:rPr>
                <w:sz w:val="14"/>
                <w:szCs w:val="10"/>
                <w:bdr w:val="none" w:sz="0" w:space="0" w:color="auto" w:frame="1"/>
              </w:rPr>
            </w:pPr>
          </w:p>
        </w:tc>
        <w:tc>
          <w:tcPr>
            <w:tcW w:w="1080" w:type="dxa"/>
            <w:vMerge/>
            <w:vAlign w:val="center"/>
          </w:tcPr>
          <w:p w14:paraId="3DC4E11E"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nil"/>
              <w:right w:val="nil"/>
            </w:tcBorders>
            <w:shd w:val="clear" w:color="auto" w:fill="auto"/>
            <w:tcMar>
              <w:top w:w="12" w:type="dxa"/>
              <w:left w:w="85" w:type="dxa"/>
              <w:bottom w:w="0" w:type="dxa"/>
              <w:right w:w="85" w:type="dxa"/>
            </w:tcMar>
            <w:vAlign w:val="center"/>
            <w:hideMark/>
          </w:tcPr>
          <w:p w14:paraId="44FD109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1299</w:t>
            </w:r>
          </w:p>
        </w:tc>
        <w:tc>
          <w:tcPr>
            <w:tcW w:w="450" w:type="dxa"/>
            <w:tcBorders>
              <w:top w:val="nil"/>
              <w:left w:val="nil"/>
              <w:bottom w:val="nil"/>
              <w:right w:val="nil"/>
            </w:tcBorders>
            <w:shd w:val="clear" w:color="auto" w:fill="auto"/>
            <w:tcMar>
              <w:top w:w="12" w:type="dxa"/>
              <w:left w:w="85" w:type="dxa"/>
              <w:bottom w:w="0" w:type="dxa"/>
              <w:right w:w="85" w:type="dxa"/>
            </w:tcMar>
            <w:vAlign w:val="center"/>
            <w:hideMark/>
          </w:tcPr>
          <w:p w14:paraId="3B7179B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49</w:t>
            </w:r>
          </w:p>
        </w:tc>
        <w:tc>
          <w:tcPr>
            <w:tcW w:w="1080" w:type="dxa"/>
            <w:tcBorders>
              <w:top w:val="nil"/>
              <w:left w:val="nil"/>
              <w:bottom w:val="nil"/>
              <w:right w:val="nil"/>
            </w:tcBorders>
            <w:shd w:val="clear" w:color="auto" w:fill="auto"/>
            <w:tcMar>
              <w:top w:w="12" w:type="dxa"/>
              <w:left w:w="85" w:type="dxa"/>
              <w:bottom w:w="0" w:type="dxa"/>
              <w:right w:w="85" w:type="dxa"/>
            </w:tcMar>
            <w:vAlign w:val="center"/>
            <w:hideMark/>
          </w:tcPr>
          <w:p w14:paraId="0B57690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360" w:type="dxa"/>
            <w:tcBorders>
              <w:top w:val="nil"/>
              <w:left w:val="nil"/>
              <w:bottom w:val="nil"/>
              <w:right w:val="nil"/>
            </w:tcBorders>
            <w:shd w:val="clear" w:color="auto" w:fill="auto"/>
            <w:tcMar>
              <w:top w:w="12" w:type="dxa"/>
              <w:left w:w="85" w:type="dxa"/>
              <w:bottom w:w="0" w:type="dxa"/>
              <w:right w:w="85" w:type="dxa"/>
            </w:tcMar>
            <w:vAlign w:val="center"/>
            <w:hideMark/>
          </w:tcPr>
          <w:p w14:paraId="3364FB93"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4413FB9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4DA68FE4"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1040</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09EAE9B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1045</w:t>
            </w:r>
          </w:p>
        </w:tc>
        <w:tc>
          <w:tcPr>
            <w:tcW w:w="540" w:type="dxa"/>
            <w:tcBorders>
              <w:top w:val="nil"/>
              <w:left w:val="nil"/>
              <w:bottom w:val="nil"/>
              <w:right w:val="nil"/>
            </w:tcBorders>
            <w:shd w:val="clear" w:color="auto" w:fill="auto"/>
            <w:tcMar>
              <w:top w:w="12" w:type="dxa"/>
              <w:left w:w="85" w:type="dxa"/>
              <w:bottom w:w="0" w:type="dxa"/>
              <w:right w:w="85" w:type="dxa"/>
            </w:tcMar>
            <w:vAlign w:val="center"/>
            <w:hideMark/>
          </w:tcPr>
          <w:p w14:paraId="141584D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1053</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1896517A"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1191</w:t>
            </w:r>
          </w:p>
        </w:tc>
        <w:tc>
          <w:tcPr>
            <w:tcW w:w="810" w:type="dxa"/>
            <w:tcBorders>
              <w:top w:val="nil"/>
              <w:left w:val="nil"/>
              <w:bottom w:val="nil"/>
              <w:right w:val="nil"/>
            </w:tcBorders>
            <w:shd w:val="clear" w:color="auto" w:fill="auto"/>
            <w:tcMar>
              <w:top w:w="12" w:type="dxa"/>
              <w:left w:w="85" w:type="dxa"/>
              <w:bottom w:w="0" w:type="dxa"/>
              <w:right w:w="85" w:type="dxa"/>
            </w:tcMar>
            <w:vAlign w:val="center"/>
            <w:hideMark/>
          </w:tcPr>
          <w:p w14:paraId="59C0643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996</w:t>
            </w:r>
          </w:p>
        </w:tc>
        <w:tc>
          <w:tcPr>
            <w:tcW w:w="818" w:type="dxa"/>
            <w:tcBorders>
              <w:top w:val="nil"/>
              <w:left w:val="nil"/>
              <w:bottom w:val="nil"/>
              <w:right w:val="nil"/>
            </w:tcBorders>
            <w:shd w:val="clear" w:color="auto" w:fill="auto"/>
            <w:tcMar>
              <w:top w:w="12" w:type="dxa"/>
              <w:left w:w="85" w:type="dxa"/>
              <w:bottom w:w="0" w:type="dxa"/>
              <w:right w:w="85" w:type="dxa"/>
            </w:tcMar>
            <w:vAlign w:val="center"/>
            <w:hideMark/>
          </w:tcPr>
          <w:p w14:paraId="44D1D3A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1002</w:t>
            </w:r>
          </w:p>
        </w:tc>
        <w:tc>
          <w:tcPr>
            <w:tcW w:w="540" w:type="dxa"/>
            <w:gridSpan w:val="2"/>
            <w:tcBorders>
              <w:top w:val="nil"/>
              <w:left w:val="nil"/>
              <w:bottom w:val="nil"/>
              <w:right w:val="nil"/>
            </w:tcBorders>
            <w:shd w:val="clear" w:color="auto" w:fill="auto"/>
            <w:tcMar>
              <w:top w:w="12" w:type="dxa"/>
              <w:left w:w="85" w:type="dxa"/>
              <w:bottom w:w="0" w:type="dxa"/>
              <w:right w:w="85" w:type="dxa"/>
            </w:tcMar>
            <w:vAlign w:val="center"/>
            <w:hideMark/>
          </w:tcPr>
          <w:p w14:paraId="40B235B7"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764</w:t>
            </w:r>
          </w:p>
        </w:tc>
      </w:tr>
      <w:tr w:rsidR="00CE6E5A" w:rsidRPr="000528BC" w14:paraId="43286E3B" w14:textId="77777777" w:rsidTr="00EC27DE">
        <w:trPr>
          <w:trHeight w:val="20"/>
        </w:trPr>
        <w:tc>
          <w:tcPr>
            <w:tcW w:w="2340" w:type="dxa"/>
            <w:gridSpan w:val="2"/>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5BC09FBC"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5057_5708B_124z_02_076-081</w:t>
            </w:r>
          </w:p>
        </w:tc>
        <w:tc>
          <w:tcPr>
            <w:tcW w:w="360" w:type="dxa"/>
            <w:vMerge/>
          </w:tcPr>
          <w:p w14:paraId="07BCD893" w14:textId="77777777" w:rsidR="00CE6E5A" w:rsidRPr="0024784B" w:rsidRDefault="00CE6E5A" w:rsidP="00EC27DE">
            <w:pPr>
              <w:spacing w:before="120" w:after="120"/>
              <w:ind w:firstLine="360"/>
              <w:jc w:val="center"/>
              <w:rPr>
                <w:sz w:val="14"/>
                <w:szCs w:val="10"/>
                <w:bdr w:val="none" w:sz="0" w:space="0" w:color="auto" w:frame="1"/>
              </w:rPr>
            </w:pPr>
          </w:p>
        </w:tc>
        <w:tc>
          <w:tcPr>
            <w:tcW w:w="1080" w:type="dxa"/>
            <w:vMerge/>
            <w:vAlign w:val="center"/>
          </w:tcPr>
          <w:p w14:paraId="72CD3ABE" w14:textId="77777777" w:rsidR="00CE6E5A" w:rsidRPr="0024784B" w:rsidRDefault="00CE6E5A" w:rsidP="00EC27DE">
            <w:pPr>
              <w:spacing w:before="120" w:after="120"/>
              <w:ind w:firstLine="360"/>
              <w:jc w:val="center"/>
              <w:rPr>
                <w:sz w:val="14"/>
                <w:szCs w:val="10"/>
                <w:bdr w:val="none" w:sz="0" w:space="0" w:color="auto" w:frame="1"/>
              </w:rPr>
            </w:pPr>
          </w:p>
        </w:tc>
        <w:tc>
          <w:tcPr>
            <w:tcW w:w="135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465385D5"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1140</w:t>
            </w:r>
          </w:p>
        </w:tc>
        <w:tc>
          <w:tcPr>
            <w:tcW w:w="45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0D420B2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18</w:t>
            </w:r>
          </w:p>
        </w:tc>
        <w:tc>
          <w:tcPr>
            <w:tcW w:w="108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39B1C728"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36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74321F06"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81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41DD0CAF"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w:t>
            </w:r>
          </w:p>
        </w:tc>
        <w:tc>
          <w:tcPr>
            <w:tcW w:w="54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583C77CE"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1023</w:t>
            </w:r>
          </w:p>
        </w:tc>
        <w:tc>
          <w:tcPr>
            <w:tcW w:w="54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22CCF8B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1031</w:t>
            </w:r>
          </w:p>
        </w:tc>
        <w:tc>
          <w:tcPr>
            <w:tcW w:w="54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2C6D9CDB"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1041</w:t>
            </w:r>
          </w:p>
        </w:tc>
        <w:tc>
          <w:tcPr>
            <w:tcW w:w="81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04274F62"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1232</w:t>
            </w:r>
          </w:p>
        </w:tc>
        <w:tc>
          <w:tcPr>
            <w:tcW w:w="810"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731D2390"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973</w:t>
            </w:r>
          </w:p>
        </w:tc>
        <w:tc>
          <w:tcPr>
            <w:tcW w:w="818" w:type="dxa"/>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3FEA37A9"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957</w:t>
            </w:r>
          </w:p>
        </w:tc>
        <w:tc>
          <w:tcPr>
            <w:tcW w:w="540" w:type="dxa"/>
            <w:gridSpan w:val="2"/>
            <w:tcBorders>
              <w:top w:val="nil"/>
              <w:left w:val="nil"/>
              <w:bottom w:val="single" w:sz="8" w:space="0" w:color="000000" w:themeColor="text1"/>
              <w:right w:val="nil"/>
            </w:tcBorders>
            <w:shd w:val="clear" w:color="auto" w:fill="auto"/>
            <w:tcMar>
              <w:top w:w="12" w:type="dxa"/>
              <w:left w:w="85" w:type="dxa"/>
              <w:bottom w:w="0" w:type="dxa"/>
              <w:right w:w="85" w:type="dxa"/>
            </w:tcMar>
            <w:vAlign w:val="center"/>
            <w:hideMark/>
          </w:tcPr>
          <w:p w14:paraId="17661B0D" w14:textId="77777777" w:rsidR="00CE6E5A" w:rsidRPr="0024784B" w:rsidRDefault="00CE6E5A" w:rsidP="00EC27DE">
            <w:pPr>
              <w:spacing w:before="120" w:after="120"/>
              <w:jc w:val="center"/>
              <w:rPr>
                <w:sz w:val="14"/>
                <w:szCs w:val="10"/>
                <w:bdr w:val="none" w:sz="0" w:space="0" w:color="auto" w:frame="1"/>
              </w:rPr>
            </w:pPr>
            <w:r w:rsidRPr="0024784B">
              <w:rPr>
                <w:sz w:val="14"/>
                <w:szCs w:val="10"/>
                <w:bdr w:val="none" w:sz="0" w:space="0" w:color="auto" w:frame="1"/>
              </w:rPr>
              <w:t>775</w:t>
            </w:r>
          </w:p>
        </w:tc>
      </w:tr>
      <w:tr w:rsidR="00CE6E5A" w:rsidRPr="000528BC" w14:paraId="530A6522" w14:textId="77777777" w:rsidTr="00EC27DE">
        <w:trPr>
          <w:gridBefore w:val="1"/>
          <w:gridAfter w:val="1"/>
          <w:wBefore w:w="80" w:type="dxa"/>
          <w:wAfter w:w="488" w:type="dxa"/>
          <w:trHeight w:val="781"/>
        </w:trPr>
        <w:tc>
          <w:tcPr>
            <w:tcW w:w="11860" w:type="dxa"/>
            <w:gridSpan w:val="15"/>
            <w:tcBorders>
              <w:top w:val="single" w:sz="8" w:space="0" w:color="000000" w:themeColor="text1"/>
              <w:left w:val="nil"/>
              <w:bottom w:val="nil"/>
              <w:right w:val="nil"/>
            </w:tcBorders>
            <w:shd w:val="clear" w:color="auto" w:fill="auto"/>
            <w:tcMar>
              <w:top w:w="93" w:type="dxa"/>
              <w:left w:w="186" w:type="dxa"/>
              <w:bottom w:w="93" w:type="dxa"/>
              <w:right w:w="186" w:type="dxa"/>
            </w:tcMar>
            <w:vAlign w:val="center"/>
            <w:hideMark/>
          </w:tcPr>
          <w:p w14:paraId="0119A33B" w14:textId="77777777" w:rsidR="00CE6E5A" w:rsidRPr="0024784B" w:rsidRDefault="00CE6E5A" w:rsidP="00EC27DE">
            <w:pPr>
              <w:rPr>
                <w:sz w:val="14"/>
                <w:szCs w:val="10"/>
                <w:bdr w:val="none" w:sz="0" w:space="0" w:color="auto" w:frame="1"/>
              </w:rPr>
            </w:pPr>
            <w:r w:rsidRPr="0024784B">
              <w:rPr>
                <w:sz w:val="14"/>
                <w:szCs w:val="10"/>
                <w:bdr w:val="none" w:sz="0" w:space="0" w:color="auto" w:frame="1"/>
              </w:rPr>
              <w:t xml:space="preserve">Peridotite temperatures calculated at 1GPa for consistency among datasets (only affects major element thermometer temperatures, except </w:t>
            </w:r>
            <w:proofErr w:type="spellStart"/>
            <w:r w:rsidRPr="0024784B">
              <w:rPr>
                <w:i/>
                <w:sz w:val="14"/>
                <w:szCs w:val="10"/>
                <w:bdr w:val="none" w:sz="0" w:space="0" w:color="auto" w:frame="1"/>
              </w:rPr>
              <w:t>T</w:t>
            </w:r>
            <w:r w:rsidRPr="0024784B">
              <w:rPr>
                <w:i/>
                <w:sz w:val="14"/>
                <w:szCs w:val="10"/>
                <w:bdr w:val="none" w:sz="0" w:space="0" w:color="auto" w:frame="1"/>
                <w:vertAlign w:val="subscript"/>
              </w:rPr>
              <w:t>Wells</w:t>
            </w:r>
            <w:proofErr w:type="spellEnd"/>
            <w:r w:rsidRPr="0024784B">
              <w:rPr>
                <w:sz w:val="14"/>
                <w:szCs w:val="10"/>
                <w:bdr w:val="none" w:sz="0" w:space="0" w:color="auto" w:frame="1"/>
              </w:rPr>
              <w:t>, which are pressure insensitive), gabbros at 2kb.</w:t>
            </w:r>
          </w:p>
          <w:p w14:paraId="4F97C116" w14:textId="77777777" w:rsidR="00CE6E5A" w:rsidRPr="0024784B" w:rsidRDefault="00CE6E5A" w:rsidP="00EC27DE">
            <w:pPr>
              <w:pStyle w:val="BodyTextFirstIndent"/>
              <w:ind w:firstLine="0"/>
              <w:rPr>
                <w:sz w:val="14"/>
                <w:szCs w:val="10"/>
              </w:rPr>
            </w:pPr>
            <w:r w:rsidRPr="0024784B">
              <w:rPr>
                <w:sz w:val="14"/>
                <w:szCs w:val="10"/>
              </w:rPr>
              <w:t xml:space="preserve">*Pyroxenes and plagioclase in </w:t>
            </w:r>
            <w:r w:rsidRPr="0024784B">
              <w:rPr>
                <w:color w:val="202122"/>
                <w:sz w:val="14"/>
                <w:szCs w:val="10"/>
                <w:shd w:val="clear" w:color="auto" w:fill="FDFDFD"/>
              </w:rPr>
              <w:t>Hess Deep gabbros are affected by complex zoning and temperatures may not be meaningful (see Section 5.1.1).</w:t>
            </w:r>
          </w:p>
          <w:p w14:paraId="0BD73ABE" w14:textId="77777777" w:rsidR="00CE6E5A" w:rsidRPr="0024784B" w:rsidRDefault="00CE6E5A" w:rsidP="00EC27DE">
            <w:pPr>
              <w:pStyle w:val="BodyTextFirstIndent"/>
              <w:ind w:firstLine="0"/>
              <w:rPr>
                <w:sz w:val="14"/>
                <w:szCs w:val="10"/>
              </w:rPr>
            </w:pPr>
            <w:r w:rsidRPr="0024784B">
              <w:rPr>
                <w:color w:val="202122"/>
                <w:sz w:val="14"/>
                <w:szCs w:val="10"/>
                <w:shd w:val="clear" w:color="auto" w:fill="FDFDFD"/>
                <w:vertAlign w:val="superscript"/>
              </w:rPr>
              <w:t>†</w:t>
            </w:r>
            <w:r w:rsidRPr="0024784B">
              <w:rPr>
                <w:color w:val="202122"/>
                <w:sz w:val="14"/>
                <w:szCs w:val="10"/>
                <w:shd w:val="clear" w:color="auto" w:fill="FDFDFD"/>
              </w:rPr>
              <w:t xml:space="preserve">This sample has a temperature distribution beyond Dodson limits for cooling </w:t>
            </w:r>
            <w:r w:rsidRPr="0024784B">
              <w:rPr>
                <w:color w:val="202122"/>
                <w:sz w:val="14"/>
                <w:szCs w:val="10"/>
                <w:shd w:val="clear" w:color="auto" w:fill="FDFDFD"/>
              </w:rPr>
              <w:fldChar w:fldCharType="begin" w:fldLock="1"/>
            </w:r>
            <w:r w:rsidRPr="0024784B">
              <w:rPr>
                <w:color w:val="202122"/>
                <w:sz w:val="14"/>
                <w:szCs w:val="10"/>
                <w:shd w:val="clear" w:color="auto" w:fill="FDFDFD"/>
              </w:rPr>
              <w:instrText>ADDIN CSL_CITATION {"citationItems":[{"id":"ITEM-1","itemData":{"DOI":"10.1016/j.epsl.2018.01.032","ISSN":"0012821X","abstract":"A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Letters","id":"ITEM-1","issued":{"date-parts":[["2018","2","12"]]},"page":"165-178","publisher":"Elsevier B.V.","title":"aFormation of fast-spreading lower oceanic crust as revealed by a new Mg–REE coupled geospeedometer","type":"article-journal","volume":"487"},"uris":["http://www.mendeley.com/documents/?uuid=f486dd42-88a6-4fd7-8dea-0a2ba656c4dd"]}],"mendeley":{"formattedCitation":"(Sun &amp; Lissenberg, 2018a)","manualFormatting":"(cf. Sun &amp; Lissenberg, 2018a)","plainTextFormattedCitation":"(Sun &amp; Lissenberg, 2018a)","previouslyFormattedCitation":"(Sun &amp; Lissenberg, 2018a)"},"properties":{"noteIndex":0},"schema":"https://github.com/citation-style-language/schema/raw/master/csl-citation.json"}</w:instrText>
            </w:r>
            <w:r w:rsidRPr="0024784B">
              <w:rPr>
                <w:color w:val="202122"/>
                <w:sz w:val="14"/>
                <w:szCs w:val="10"/>
                <w:shd w:val="clear" w:color="auto" w:fill="FDFDFD"/>
              </w:rPr>
              <w:fldChar w:fldCharType="separate"/>
            </w:r>
            <w:r w:rsidRPr="0024784B">
              <w:rPr>
                <w:noProof/>
                <w:color w:val="202122"/>
                <w:sz w:val="14"/>
                <w:szCs w:val="10"/>
                <w:shd w:val="clear" w:color="auto" w:fill="FDFDFD"/>
              </w:rPr>
              <w:t>(cf. Sun &amp; Lissenberg, 2018a)</w:t>
            </w:r>
            <w:r w:rsidRPr="0024784B">
              <w:rPr>
                <w:color w:val="202122"/>
                <w:sz w:val="14"/>
                <w:szCs w:val="10"/>
                <w:shd w:val="clear" w:color="auto" w:fill="FDFDFD"/>
              </w:rPr>
              <w:fldChar w:fldCharType="end"/>
            </w:r>
            <w:r w:rsidRPr="0024784B">
              <w:rPr>
                <w:color w:val="202122"/>
                <w:sz w:val="14"/>
                <w:szCs w:val="10"/>
                <w:shd w:val="clear" w:color="auto" w:fill="FDFDFD"/>
              </w:rPr>
              <w:t>, suggesting one or more of the temperatures may not be physically meaningful (see Section 5.2.3).</w:t>
            </w:r>
          </w:p>
          <w:p w14:paraId="5AF5507B" w14:textId="77777777" w:rsidR="00CE6E5A" w:rsidRPr="0024784B" w:rsidRDefault="00CE6E5A" w:rsidP="00EC27DE">
            <w:pPr>
              <w:pStyle w:val="BodyTextFirstIndent"/>
              <w:ind w:firstLine="0"/>
              <w:rPr>
                <w:sz w:val="14"/>
                <w:szCs w:val="10"/>
              </w:rPr>
            </w:pPr>
            <w:r w:rsidRPr="0024784B">
              <w:rPr>
                <w:color w:val="202122"/>
                <w:sz w:val="14"/>
                <w:szCs w:val="10"/>
                <w:shd w:val="clear" w:color="auto" w:fill="FDFDFD"/>
                <w:vertAlign w:val="superscript"/>
              </w:rPr>
              <w:t>‡</w:t>
            </w:r>
            <w:r w:rsidRPr="0024784B">
              <w:rPr>
                <w:sz w:val="14"/>
                <w:szCs w:val="10"/>
              </w:rPr>
              <w:t xml:space="preserve">Rather than being a residual phase, minor clinopyroxene may originate by exsolution from orthopyroxene under </w:t>
            </w:r>
            <w:proofErr w:type="spellStart"/>
            <w:r w:rsidRPr="0024784B">
              <w:rPr>
                <w:sz w:val="14"/>
                <w:szCs w:val="10"/>
              </w:rPr>
              <w:t>subsolidus</w:t>
            </w:r>
            <w:proofErr w:type="spellEnd"/>
            <w:r w:rsidRPr="0024784B">
              <w:rPr>
                <w:sz w:val="14"/>
                <w:szCs w:val="10"/>
              </w:rPr>
              <w:t xml:space="preserve"> conditions or crystallization from trapped melt (see Section 5.1.2).</w:t>
            </w:r>
          </w:p>
          <w:p w14:paraId="101D6723" w14:textId="77777777" w:rsidR="00CE6E5A" w:rsidRPr="0024784B" w:rsidRDefault="00CE6E5A" w:rsidP="00EC27DE">
            <w:pPr>
              <w:spacing w:before="120" w:after="120"/>
              <w:jc w:val="center"/>
              <w:rPr>
                <w:sz w:val="14"/>
                <w:szCs w:val="10"/>
                <w:bdr w:val="none" w:sz="0" w:space="0" w:color="auto" w:frame="1"/>
              </w:rPr>
            </w:pPr>
          </w:p>
        </w:tc>
      </w:tr>
    </w:tbl>
    <w:p w14:paraId="444811E3" w14:textId="77777777" w:rsidR="003748C4" w:rsidRDefault="003748C4"/>
    <w:p w14:paraId="71971119" w14:textId="77777777" w:rsidR="003748C4" w:rsidRDefault="003748C4">
      <w:r>
        <w:br w:type="page"/>
      </w:r>
    </w:p>
    <w:p w14:paraId="1E58669E" w14:textId="77777777" w:rsidR="003748C4" w:rsidRDefault="003748C4">
      <w:pPr>
        <w:sectPr w:rsidR="003748C4" w:rsidSect="002D28EA">
          <w:pgSz w:w="15840" w:h="12240" w:orient="landscape"/>
          <w:pgMar w:top="1440" w:right="1440" w:bottom="1440" w:left="1440" w:header="720" w:footer="1440" w:gutter="0"/>
          <w:cols w:space="720"/>
          <w:docGrid w:linePitch="360"/>
        </w:sectPr>
      </w:pPr>
    </w:p>
    <w:p w14:paraId="32260724" w14:textId="77777777" w:rsidR="003748C4" w:rsidRDefault="003748C4" w:rsidP="003748C4">
      <w:pPr>
        <w:keepNext/>
        <w:jc w:val="center"/>
      </w:pPr>
      <w:r>
        <w:rPr>
          <w:noProof/>
        </w:rPr>
        <w:lastRenderedPageBreak/>
        <w:drawing>
          <wp:inline distT="0" distB="0" distL="0" distR="0" wp14:anchorId="5186D3FE" wp14:editId="3FC52F3A">
            <wp:extent cx="5943600" cy="3020103"/>
            <wp:effectExtent l="0" t="0" r="0" b="8890"/>
            <wp:docPr id="52" name="Picture 5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 schematic&#10;&#10;Description automatically generated"/>
                    <pic:cNvPicPr/>
                  </pic:nvPicPr>
                  <pic:blipFill>
                    <a:blip r:embed="rId16"/>
                    <a:stretch>
                      <a:fillRect/>
                    </a:stretch>
                  </pic:blipFill>
                  <pic:spPr>
                    <a:xfrm>
                      <a:off x="0" y="0"/>
                      <a:ext cx="5943600" cy="3020103"/>
                    </a:xfrm>
                    <a:prstGeom prst="rect">
                      <a:avLst/>
                    </a:prstGeom>
                  </pic:spPr>
                </pic:pic>
              </a:graphicData>
            </a:graphic>
          </wp:inline>
        </w:drawing>
      </w:r>
    </w:p>
    <w:p w14:paraId="77ECC678" w14:textId="6A04A99F" w:rsidR="003748C4" w:rsidRDefault="003748C4" w:rsidP="003748C4">
      <w:pPr>
        <w:pStyle w:val="Caption"/>
      </w:pPr>
      <w:bookmarkStart w:id="37" w:name="_Toc109738668"/>
      <w:r w:rsidRPr="00C17E5E">
        <w:rPr>
          <w:b w:val="0"/>
          <w:bCs w:val="0"/>
          <w:sz w:val="20"/>
          <w:szCs w:val="20"/>
        </w:rPr>
        <w:t xml:space="preserve">Figure </w:t>
      </w:r>
      <w:r>
        <w:rPr>
          <w:b w:val="0"/>
          <w:bCs w:val="0"/>
          <w:sz w:val="20"/>
          <w:szCs w:val="20"/>
        </w:rPr>
        <w:t>1.</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6</w:t>
      </w:r>
      <w:r>
        <w:rPr>
          <w:b w:val="0"/>
          <w:bCs w:val="0"/>
          <w:sz w:val="20"/>
          <w:szCs w:val="20"/>
        </w:rPr>
        <w:fldChar w:fldCharType="end"/>
      </w:r>
      <w:r w:rsidRPr="00C17E5E">
        <w:rPr>
          <w:b w:val="0"/>
          <w:bCs w:val="0"/>
          <w:sz w:val="20"/>
          <w:szCs w:val="20"/>
        </w:rPr>
        <w:t>.</w:t>
      </w:r>
      <w:r w:rsidRPr="00C17E5E">
        <w:rPr>
          <w:b w:val="0"/>
          <w:bCs w:val="0"/>
          <w:sz w:val="16"/>
          <w:szCs w:val="16"/>
        </w:rPr>
        <w:t xml:space="preserve"> </w:t>
      </w:r>
      <w:r w:rsidRPr="00405F30">
        <w:rPr>
          <w:b w:val="0"/>
          <w:bCs w:val="0"/>
          <w:sz w:val="20"/>
          <w:szCs w:val="20"/>
        </w:rPr>
        <w:t xml:space="preserve">Temperature comparison for samples from the Oman Drilling Project (a) and Hess Deep (b) above and below the petrologic Moho, which is indicated by the horizontal red line. </w:t>
      </w:r>
      <w:proofErr w:type="gramStart"/>
      <w:r w:rsidRPr="00405F30">
        <w:rPr>
          <w:b w:val="0"/>
          <w:bCs w:val="0"/>
          <w:sz w:val="20"/>
          <w:szCs w:val="20"/>
        </w:rPr>
        <w:t>In order to</w:t>
      </w:r>
      <w:proofErr w:type="gramEnd"/>
      <w:r w:rsidRPr="00405F30">
        <w:rPr>
          <w:b w:val="0"/>
          <w:bCs w:val="0"/>
          <w:sz w:val="20"/>
          <w:szCs w:val="20"/>
        </w:rPr>
        <w:t xml:space="preserve"> compare trends between drilling sites, samples are shown in relational depth, not absolute distance, as Hess Deep peridotites and gabbros cannot be directly related in stratigraphic depth owing to uncertainty in the local structure. For all samples, depths within the holes are reported in Table </w:t>
      </w:r>
      <w:r>
        <w:rPr>
          <w:b w:val="0"/>
          <w:bCs w:val="0"/>
          <w:sz w:val="20"/>
          <w:szCs w:val="20"/>
        </w:rPr>
        <w:t>1.</w:t>
      </w:r>
      <w:r w:rsidRPr="00405F30">
        <w:rPr>
          <w:b w:val="0"/>
          <w:bCs w:val="0"/>
          <w:sz w:val="20"/>
          <w:szCs w:val="20"/>
        </w:rPr>
        <w:t xml:space="preserve">1. Structural depths of the Oman Drilling Project samples are reported in Table </w:t>
      </w:r>
      <w:r>
        <w:rPr>
          <w:b w:val="0"/>
          <w:bCs w:val="0"/>
          <w:sz w:val="20"/>
          <w:szCs w:val="20"/>
        </w:rPr>
        <w:t>1.</w:t>
      </w:r>
      <w:r w:rsidRPr="00405F30">
        <w:rPr>
          <w:b w:val="0"/>
          <w:bCs w:val="0"/>
          <w:sz w:val="20"/>
          <w:szCs w:val="20"/>
        </w:rPr>
        <w:t xml:space="preserve">1 and are presented graphically in Figures </w:t>
      </w:r>
      <w:r>
        <w:rPr>
          <w:b w:val="0"/>
          <w:bCs w:val="0"/>
          <w:sz w:val="20"/>
          <w:szCs w:val="20"/>
        </w:rPr>
        <w:t>1.</w:t>
      </w:r>
      <w:r w:rsidRPr="00405F30">
        <w:rPr>
          <w:b w:val="0"/>
          <w:bCs w:val="0"/>
          <w:sz w:val="20"/>
          <w:szCs w:val="20"/>
        </w:rPr>
        <w:t xml:space="preserve">9 &amp; </w:t>
      </w:r>
      <w:r>
        <w:rPr>
          <w:b w:val="0"/>
          <w:bCs w:val="0"/>
          <w:sz w:val="20"/>
          <w:szCs w:val="20"/>
        </w:rPr>
        <w:t>1.</w:t>
      </w:r>
      <w:r w:rsidRPr="00405F30">
        <w:rPr>
          <w:b w:val="0"/>
          <w:bCs w:val="0"/>
          <w:sz w:val="20"/>
          <w:szCs w:val="20"/>
        </w:rPr>
        <w:t xml:space="preserve">10. Hess Deep samples are schematically plotted relative to the Moho in Figures </w:t>
      </w:r>
      <w:r>
        <w:rPr>
          <w:b w:val="0"/>
          <w:bCs w:val="0"/>
          <w:sz w:val="20"/>
          <w:szCs w:val="20"/>
        </w:rPr>
        <w:t>1.</w:t>
      </w:r>
      <w:r w:rsidRPr="00405F30">
        <w:rPr>
          <w:b w:val="0"/>
          <w:bCs w:val="0"/>
          <w:sz w:val="20"/>
          <w:szCs w:val="20"/>
        </w:rPr>
        <w:t xml:space="preserve">9 &amp; </w:t>
      </w:r>
      <w:r>
        <w:rPr>
          <w:b w:val="0"/>
          <w:bCs w:val="0"/>
          <w:sz w:val="20"/>
          <w:szCs w:val="20"/>
        </w:rPr>
        <w:t>1.</w:t>
      </w:r>
      <w:r w:rsidRPr="00405F30">
        <w:rPr>
          <w:b w:val="0"/>
          <w:bCs w:val="0"/>
          <w:sz w:val="20"/>
          <w:szCs w:val="20"/>
        </w:rPr>
        <w:t>10.</w:t>
      </w:r>
      <w:bookmarkEnd w:id="37"/>
    </w:p>
    <w:p w14:paraId="22D553A6" w14:textId="1BE31486" w:rsidR="002D28EA" w:rsidRDefault="002D28EA">
      <w:r>
        <w:br w:type="page"/>
      </w:r>
    </w:p>
    <w:p w14:paraId="6E8AF223" w14:textId="77777777" w:rsidR="002D28EA" w:rsidRDefault="002D28EA" w:rsidP="002D28EA">
      <w:pPr>
        <w:spacing w:line="360" w:lineRule="auto"/>
        <w:rPr>
          <w:i/>
        </w:rPr>
        <w:sectPr w:rsidR="002D28EA" w:rsidSect="003748C4">
          <w:pgSz w:w="12240" w:h="15840"/>
          <w:pgMar w:top="1440" w:right="1440" w:bottom="1440" w:left="1440" w:header="720" w:footer="1440" w:gutter="0"/>
          <w:cols w:space="720"/>
          <w:docGrid w:linePitch="360"/>
        </w:sectPr>
      </w:pPr>
    </w:p>
    <w:p w14:paraId="3A5FC1A3" w14:textId="7675DE12" w:rsidR="00405F30" w:rsidRDefault="00E90C9E" w:rsidP="002D28EA">
      <w:pPr>
        <w:spacing w:line="360" w:lineRule="auto"/>
        <w:rPr>
          <w:bdr w:val="none" w:sz="0" w:space="0" w:color="auto" w:frame="1"/>
        </w:rPr>
      </w:pPr>
      <w:proofErr w:type="spellStart"/>
      <w:r w:rsidRPr="00FB2B82">
        <w:rPr>
          <w:i/>
        </w:rPr>
        <w:lastRenderedPageBreak/>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w:t>
      </w:r>
      <w:proofErr w:type="spellStart"/>
      <w:r w:rsidRPr="00FB2B82">
        <w:rPr>
          <w:i/>
        </w:rPr>
        <w:t>T</w:t>
      </w:r>
      <w:r w:rsidRPr="00FB2B82">
        <w:rPr>
          <w:i/>
          <w:vertAlign w:val="subscript"/>
        </w:rPr>
        <w:t>Ol-Sp</w:t>
      </w:r>
      <w:proofErr w:type="spellEnd"/>
      <w:r w:rsidRPr="00FB2B82">
        <w:t xml:space="preserve">) </w:t>
      </w:r>
      <w:r w:rsidRPr="00FB2B82">
        <w:rPr>
          <w:bdr w:val="none" w:sz="0" w:space="0" w:color="auto" w:frame="1"/>
        </w:rPr>
        <w:t xml:space="preserve">(an exception being </w:t>
      </w:r>
      <w:proofErr w:type="spellStart"/>
      <w:r w:rsidRPr="00FB2B82">
        <w:rPr>
          <w:i/>
        </w:rPr>
        <w:t>T</w:t>
      </w:r>
      <w:r w:rsidRPr="00FB2B82">
        <w:rPr>
          <w:i/>
          <w:vertAlign w:val="subscript"/>
        </w:rPr>
        <w:t>Al</w:t>
      </w:r>
      <w:proofErr w:type="spellEnd"/>
      <w:r w:rsidRPr="00FB2B82">
        <w:rPr>
          <w:i/>
          <w:vertAlign w:val="subscript"/>
        </w:rPr>
        <w:t>-in-</w:t>
      </w:r>
      <w:proofErr w:type="spellStart"/>
      <w:r w:rsidRPr="00FB2B82">
        <w:rPr>
          <w:i/>
          <w:vertAlign w:val="subscript"/>
        </w:rPr>
        <w:t>Opx</w:t>
      </w:r>
      <w:proofErr w:type="spellEnd"/>
      <w:r w:rsidRPr="00FB2B82">
        <w:t xml:space="preserve">, which are </w:t>
      </w:r>
      <w:proofErr w:type="gramStart"/>
      <w:r w:rsidRPr="00FB2B82">
        <w:t>similar to</w:t>
      </w:r>
      <w:proofErr w:type="gramEnd"/>
      <w:r w:rsidRPr="00FB2B82">
        <w:t xml:space="preserve"> divalent element-based thermometer temperatures</w:t>
      </w:r>
      <w:r w:rsidRPr="00FB2B82">
        <w:rPr>
          <w:bdr w:val="none" w:sz="0" w:space="0" w:color="auto" w:frame="1"/>
        </w:rPr>
        <w:t xml:space="preserve">). We note the peridotites investigated here fall outside the calibration dataset of the </w:t>
      </w:r>
      <w:proofErr w:type="spellStart"/>
      <w:r w:rsidRPr="00FB2B82">
        <w:rPr>
          <w:i/>
        </w:rPr>
        <w:t>T</w:t>
      </w:r>
      <w:r w:rsidRPr="00FB2B82">
        <w:rPr>
          <w:i/>
          <w:vertAlign w:val="subscript"/>
        </w:rPr>
        <w:t>Al</w:t>
      </w:r>
      <w:proofErr w:type="spellEnd"/>
      <w:r w:rsidRPr="00FB2B82">
        <w:rPr>
          <w:i/>
          <w:vertAlign w:val="subscript"/>
        </w:rPr>
        <w:t>-in-</w:t>
      </w:r>
      <w:proofErr w:type="spellStart"/>
      <w:r w:rsidRPr="00FB2B82">
        <w:rPr>
          <w:i/>
          <w:vertAlign w:val="subscript"/>
        </w:rPr>
        <w:t>Opx</w:t>
      </w:r>
      <w:proofErr w:type="spellEnd"/>
      <w:r w:rsidRPr="00FB2B82">
        <w:rPr>
          <w:bdr w:val="none" w:sz="0" w:space="0" w:color="auto" w:frame="1"/>
        </w:rPr>
        <w:t xml:space="preserve"> thermometer </w:t>
      </w:r>
      <w:r w:rsidRPr="00A4372A">
        <w:rPr>
          <w:bdr w:val="none" w:sz="0" w:space="0" w:color="auto" w:frame="1"/>
        </w:rPr>
        <w:fldChar w:fldCharType="begin" w:fldLock="1"/>
      </w:r>
      <w:r>
        <w:rPr>
          <w:bdr w:val="none" w:sz="0" w:space="0" w:color="auto" w:frame="1"/>
        </w:rPr>
        <w:instrText>ADDIN CSL_CITATION {"citationItems":[{"id":"ITEM-1","itemData":{"DOI":"10.1007/BF00321986","ISSN":"00107999","abstract":"Geothermometric equations for spinel peridotites by Fujii (1976), Gasparik and Newton (1984), and Chatterjee, and Terhart (1985) based on the reaction enstatite (en)+spinel (sp)→Mg-Tschermaks (mats)+forsterite (fo) were tested using a nearly isothermal suite of mantle xenoliths from the Eifel, West Germany. In spite of using activities of MgAl2O4, en, and mats to allow for the non-ideal solution behaviour of the constituent phases, temperatures calculated from these equations systematically change as a function of Cr/(Cr+AL+Fe3+) in spinel. We propose an improved version of the empirical geothermometer for spinel peridotites of Sachtleben and Seck (1981) derived from the evaluation of the solubilities of Ca and Al in orthopyroxene from more than 100 spinel peridotites from the Rhenish Volcanic Province. A least squares regression yielded a smooth correlation between {Mathematical expression} as measure of Al in orthopyroxene, if the mole fraction of (Mg,Fe)Cr2O4 [YSpCr] in spinel is allowed for. Fitting (XAl)opx and (XCr)opx or ln KD to temperatures derived from the new thermometer of Brey and Koehler (1990) based on (XCa)opx leads to the following equations: {Mathematical expression} The last of these is more suitable for practical use but is applicable only over a limited range of (XAl)M1 and (XCr)M1 in orthopyroxene. The lack of steady-state equilibrium conditions due to young thermal perturbations or fast cooling may lead to discrepancies of temperatures calculated from (XCa)opx and (XAl)opx. Spinel peridotite xenoliths from Central Asia are shown to demonstrate this. © 1991 Springer-Verlag.","author":[{"dropping-particle":"","family":"Witt-Eickschen","given":"Gudrun","non-dropping-particle":"","parse-names":false,"suffix":""},{"dropping-particle":"","family":"Seck","given":"H. A.","non-dropping-particle":"","parse-names":false,"suffix":""}],"container-title":"Contributions to Mineralogy and Petrology","id":"ITEM-1","issue":"4","issued":{"date-parts":[["1991"]]},"page":"431-439","title":"Solubility of Ca and Al in orthopyroxene from spinel peridotite: an improved version of an empirical geothermometer","type":"article-journal","volume":"106"},"uris":["http://www.mendeley.com/documents/?uuid=22886197-a819-4f5c-9797-adfd6dfdabb2"]}],"mendeley":{"formattedCitation":"(Witt-Eickschen &amp; Seck, 1991)","manualFormatting":"(Witt-Eickschen &amp; Seck, 1991)￼, which was parameterized using peridotites with elevated Al abundances relative to many ￼￼","plainTextFormattedCitation":"(Witt-Eickschen &amp; Seck, 1991)","previouslyFormattedCitation":"(Witt-Eickschen &amp; Seck, 1991)"},"properties":{"noteIndex":0},"schema":"https://github.com/citation-style-language/schema/raw/master/csl-citation.json"}</w:instrText>
      </w:r>
      <w:r w:rsidRPr="00A4372A">
        <w:rPr>
          <w:bdr w:val="none" w:sz="0" w:space="0" w:color="auto" w:frame="1"/>
        </w:rPr>
        <w:fldChar w:fldCharType="separate"/>
      </w:r>
      <w:r w:rsidRPr="006770F0">
        <w:rPr>
          <w:noProof/>
          <w:bdr w:val="none" w:sz="0" w:space="0" w:color="auto" w:frame="1"/>
        </w:rPr>
        <w:t>(Witt-Eickschen &amp; Seck, 1991)</w:t>
      </w:r>
      <w:r w:rsidRPr="4A632B4A">
        <w:rPr>
          <w:noProof/>
        </w:rPr>
        <w:t xml:space="preserve">, which was parameterized using peridotites with elevated Al abundances relative to many </w:t>
      </w:r>
      <w:r w:rsidRPr="00A4372A">
        <w:rPr>
          <w:bdr w:val="none" w:sz="0" w:space="0" w:color="auto" w:frame="1"/>
        </w:rPr>
        <w:fldChar w:fldCharType="end"/>
      </w:r>
      <w:r>
        <w:rPr>
          <w:bdr w:val="none" w:sz="0" w:space="0" w:color="auto" w:frame="1"/>
        </w:rPr>
        <w:t>residual peridotites</w:t>
      </w:r>
      <w:r w:rsidRPr="00FB2B82">
        <w:rPr>
          <w:bdr w:val="none" w:sz="0" w:space="0" w:color="auto" w:frame="1"/>
        </w:rPr>
        <w:t>.</w:t>
      </w:r>
    </w:p>
    <w:p w14:paraId="07141026" w14:textId="66B6706B" w:rsidR="00405F30" w:rsidRDefault="00405F30" w:rsidP="0017322C">
      <w:pPr>
        <w:pStyle w:val="BodyTextFirstIndent"/>
        <w:spacing w:line="360" w:lineRule="auto"/>
      </w:pPr>
      <w:r>
        <w:t>Here we briefly describe the “downhole” trends in the temperature data.</w:t>
      </w:r>
      <w:r w:rsidRPr="4DF8874B">
        <w:rPr>
          <w:i/>
          <w:iCs/>
        </w:rPr>
        <w:t xml:space="preserve"> </w:t>
      </w:r>
      <w:proofErr w:type="spellStart"/>
      <w:r w:rsidRPr="4DF8874B">
        <w:rPr>
          <w:i/>
          <w:iCs/>
        </w:rPr>
        <w:t>T</w:t>
      </w:r>
      <w:r w:rsidRPr="4DF8874B">
        <w:rPr>
          <w:i/>
          <w:iCs/>
          <w:vertAlign w:val="subscript"/>
        </w:rPr>
        <w:t>Ca</w:t>
      </w:r>
      <w:proofErr w:type="spellEnd"/>
      <w:r w:rsidRPr="4DF8874B">
        <w:rPr>
          <w:i/>
          <w:iCs/>
          <w:vertAlign w:val="subscript"/>
        </w:rPr>
        <w:t>-in-</w:t>
      </w:r>
      <w:proofErr w:type="spellStart"/>
      <w:r w:rsidRPr="4DF8874B">
        <w:rPr>
          <w:i/>
          <w:iCs/>
          <w:vertAlign w:val="subscript"/>
        </w:rPr>
        <w:t>Ol</w:t>
      </w:r>
      <w:proofErr w:type="spellEnd"/>
      <w:r>
        <w:t xml:space="preserve"> are higher in peridotites than gabbros, perhaps because of the larger olivine grain sizes (Table </w:t>
      </w:r>
      <w:r w:rsidR="006C6530">
        <w:t>1.</w:t>
      </w:r>
      <w:r>
        <w:t>3</w:t>
      </w:r>
      <w:r w:rsidR="0017322C">
        <w:t xml:space="preserve"> in Attachment Chapter_1_Data_Tables</w:t>
      </w:r>
      <w:r>
        <w:t>) and/or higher initial temperatures in the latter.</w:t>
      </w:r>
      <w:r w:rsidRPr="4DF8874B">
        <w:rPr>
          <w:i/>
          <w:iCs/>
        </w:rPr>
        <w:t xml:space="preserve"> T</w:t>
      </w:r>
      <w:r w:rsidRPr="4DF8874B">
        <w:rPr>
          <w:i/>
          <w:iCs/>
          <w:vertAlign w:val="subscript"/>
        </w:rPr>
        <w:t>REE-in-</w:t>
      </w:r>
      <w:proofErr w:type="spellStart"/>
      <w:r w:rsidRPr="4DF8874B">
        <w:rPr>
          <w:i/>
          <w:iCs/>
          <w:vertAlign w:val="subscript"/>
        </w:rPr>
        <w:t>Cpx</w:t>
      </w:r>
      <w:proofErr w:type="spellEnd"/>
      <w:r w:rsidRPr="4DF8874B">
        <w:rPr>
          <w:i/>
          <w:iCs/>
          <w:vertAlign w:val="subscript"/>
        </w:rPr>
        <w:t>-</w:t>
      </w:r>
      <w:proofErr w:type="spellStart"/>
      <w:r w:rsidRPr="4DF8874B">
        <w:rPr>
          <w:i/>
          <w:iCs/>
          <w:vertAlign w:val="subscript"/>
        </w:rPr>
        <w:t>Plag</w:t>
      </w:r>
      <w:proofErr w:type="spellEnd"/>
      <w:r>
        <w:t xml:space="preserve"> slightly increase with depth </w:t>
      </w:r>
      <w:proofErr w:type="gramStart"/>
      <w:r>
        <w:t>at</w:t>
      </w:r>
      <w:proofErr w:type="gramEnd"/>
      <w:r>
        <w:t xml:space="preserve"> Oman and decrease with depth in the samples from Hess Deep. Within error, </w:t>
      </w:r>
      <w:proofErr w:type="spellStart"/>
      <w:r w:rsidRPr="4DF8874B">
        <w:rPr>
          <w:i/>
          <w:iCs/>
        </w:rPr>
        <w:t>T</w:t>
      </w:r>
      <w:r w:rsidRPr="4DF8874B">
        <w:rPr>
          <w:i/>
          <w:iCs/>
          <w:vertAlign w:val="subscript"/>
        </w:rPr>
        <w:t>Mg</w:t>
      </w:r>
      <w:proofErr w:type="spellEnd"/>
      <w:r w:rsidRPr="4DF8874B">
        <w:rPr>
          <w:i/>
          <w:iCs/>
          <w:vertAlign w:val="subscript"/>
        </w:rPr>
        <w:t>-in-</w:t>
      </w:r>
      <w:proofErr w:type="spellStart"/>
      <w:r w:rsidRPr="4DF8874B">
        <w:rPr>
          <w:i/>
          <w:iCs/>
          <w:vertAlign w:val="subscript"/>
        </w:rPr>
        <w:t>Plag</w:t>
      </w:r>
      <w:proofErr w:type="spellEnd"/>
      <w:r>
        <w:t xml:space="preserve"> do not vary with depth. At both localities, peridotite samples show narrowly scattered </w:t>
      </w:r>
      <w:r w:rsidRPr="4DF8874B">
        <w:rPr>
          <w:i/>
          <w:iCs/>
        </w:rPr>
        <w:t>T</w:t>
      </w:r>
      <w:r w:rsidRPr="4DF8874B">
        <w:rPr>
          <w:i/>
          <w:iCs/>
          <w:vertAlign w:val="subscript"/>
        </w:rPr>
        <w:t>REE-in-two-Pyroxene</w:t>
      </w:r>
      <w:r>
        <w:t xml:space="preserve">, </w:t>
      </w:r>
      <w:r w:rsidRPr="4DF8874B">
        <w:rPr>
          <w:i/>
          <w:iCs/>
        </w:rPr>
        <w:t>T</w:t>
      </w:r>
      <w:r w:rsidRPr="4DF8874B">
        <w:rPr>
          <w:i/>
          <w:iCs/>
          <w:vertAlign w:val="subscript"/>
        </w:rPr>
        <w:t>BKN</w:t>
      </w:r>
      <w:r>
        <w:t xml:space="preserve">, </w:t>
      </w:r>
      <w:proofErr w:type="spellStart"/>
      <w:r w:rsidRPr="4DF8874B">
        <w:rPr>
          <w:i/>
          <w:iCs/>
        </w:rPr>
        <w:t>T</w:t>
      </w:r>
      <w:r w:rsidRPr="4DF8874B">
        <w:rPr>
          <w:i/>
          <w:iCs/>
          <w:vertAlign w:val="subscript"/>
        </w:rPr>
        <w:t>Ca</w:t>
      </w:r>
      <w:proofErr w:type="spellEnd"/>
      <w:r w:rsidRPr="4DF8874B">
        <w:rPr>
          <w:i/>
          <w:iCs/>
          <w:vertAlign w:val="subscript"/>
        </w:rPr>
        <w:t>-in-</w:t>
      </w:r>
      <w:proofErr w:type="spellStart"/>
      <w:r w:rsidRPr="4DF8874B">
        <w:rPr>
          <w:i/>
          <w:iCs/>
          <w:vertAlign w:val="subscript"/>
        </w:rPr>
        <w:t>Ol</w:t>
      </w:r>
      <w:proofErr w:type="spellEnd"/>
      <w:r>
        <w:t xml:space="preserve">, </w:t>
      </w:r>
      <w:proofErr w:type="spellStart"/>
      <w:r w:rsidRPr="4DF8874B">
        <w:rPr>
          <w:i/>
          <w:iCs/>
        </w:rPr>
        <w:t>T</w:t>
      </w:r>
      <w:r w:rsidRPr="4DF8874B">
        <w:rPr>
          <w:i/>
          <w:iCs/>
          <w:vertAlign w:val="subscript"/>
        </w:rPr>
        <w:t>Al</w:t>
      </w:r>
      <w:proofErr w:type="spellEnd"/>
      <w:r w:rsidRPr="4DF8874B">
        <w:rPr>
          <w:i/>
          <w:iCs/>
          <w:vertAlign w:val="subscript"/>
        </w:rPr>
        <w:t>-in-</w:t>
      </w:r>
      <w:proofErr w:type="spellStart"/>
      <w:r w:rsidRPr="4DF8874B">
        <w:rPr>
          <w:i/>
          <w:iCs/>
          <w:vertAlign w:val="subscript"/>
        </w:rPr>
        <w:t>Opx</w:t>
      </w:r>
      <w:proofErr w:type="spellEnd"/>
      <w:r>
        <w:t>, with no systematic variability with depth for any thermometer. The lack of systematic variability among the samples</w:t>
      </w:r>
      <w:r w:rsidR="0017322C">
        <w:t xml:space="preserve"> may</w:t>
      </w:r>
      <w:r>
        <w:t xml:space="preserve"> reflect their spatial proximity to each other relative to the scale of spatial variations in cooling rate within oceanic lithosphere </w:t>
      </w:r>
      <w:r>
        <w:fldChar w:fldCharType="begin" w:fldLock="1"/>
      </w:r>
      <w:r>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ridges","type":"article-journal","volume":"465"},"uris":["http://www.mendeley.com/documents/?uuid=67ec3375-a99a-4c3e-81f5-c4bab6e86be5"]},{"id":"ITEM-2","itemData":{"DOI":"10.1016/j.lithos.2019.01.001","ISSN":"18726143","abstract":"We examine the partial melting and the cooling history of a ~5 km section of mantle lithosphere preserved in the Donjek massif, part of a Permian ophiolite in the northern Cordillera of Yukon, Canada. The mantle rocks are depleted spinel harzburgite containing &lt;3% clinopyroxene displaying steep rare-earth element (REE) chondrite-normalized profiles and low (Gd/Yb) n (0.02 to 0.07) compared to most other ophiolites. The REE patterns of clinopyroxene can be modeled as 16–20% partial melts of typical depleted mid-ocean ridge (MOR) mantle. The REE exchange between coexisting ortho- and clinopyroxene preserves temperatures (T REE ) of 1150–1360 °C, some of the highest values recorded in ophiolites and abyssal peridotites, and show a positive correlation with Ca–Mg exchange (solvus) temperatures (T BKN ) of 900–970 °C. The harzburgite represents lithosphere formed at an initial melting temperature of ~ 1350 °C that cooled at rate of 10 −1 to 10 −4 °C/year as deduced by T REE values with cation diffusion and grain size data. The T REE temperatures and cooling rates for the Donjek massif show a regular systematic variation with depth from the crust-mantle transition along a trend similar to the Samail ophiolite of Oman, consistent with conductive heat transfer beneath a cool lower crust. High near-solidus temperatures and the cooling rates in the massif were a consequence of rapid obduction against oceanic crust along either a transform or low angle detachment soon after melt extraction. Final emplacement of the ophiolite as klippen on underlying continental crust occurred ~ 40 m.y. later.","author":[{"dropping-particle":"","family":"Canil","given":"Dante","non-dropping-particle":"","parse-names":false,"suffix":""},{"dropping-particle":"","family":"Grundy","given":"Ryan","non-dropping-particle":"","parse-names":false,"suffix":""},{"dropping-particle":"","family":"Johnston","given":"Stephen T.","non-dropping-particle":"","parse-names":false,"suffix":""}],"container-title":"Lithos","id":"ITEM-2","issued":{"date-parts":[["2019"]]},"page":"33-42","publisher":"Elsevier B.V.","title":"Thermal history of the Donjek harzburgite massif in ophiolite from Yukon, Canada with implications for the cooling of oceanic mantle lithosphere","type":"article-journal","volume":"328-329"},"uris":["http://www.mendeley.com/documents/?uuid=402bb4ad-d669-4699-9ffe-4dca60fcfb15"]}],"mendeley":{"formattedCitation":"(Canil et al., 2019; Dygert et al., 2017)","manualFormatting":"(Dygert et al., 2017)","plainTextFormattedCitation":"(Canil et al., 2019; Dygert et al., 2017)","previouslyFormattedCitation":"(Canil et al., 2019; Dygert et al., 2017)"},"properties":{"noteIndex":0},"schema":"https://github.com/citation-style-language/schema/raw/master/csl-citation.json"}</w:instrText>
      </w:r>
      <w:r>
        <w:fldChar w:fldCharType="separate"/>
      </w:r>
      <w:r w:rsidRPr="4DF8874B">
        <w:rPr>
          <w:noProof/>
        </w:rPr>
        <w:t>(Dygert et al., 2017)</w:t>
      </w:r>
      <w:r>
        <w:fldChar w:fldCharType="end"/>
      </w:r>
      <w:r>
        <w:t xml:space="preserve">. </w:t>
      </w:r>
    </w:p>
    <w:p w14:paraId="3E201254" w14:textId="77777777" w:rsidR="003748C4" w:rsidRDefault="00405F30" w:rsidP="00593E51">
      <w:pPr>
        <w:spacing w:line="360" w:lineRule="auto"/>
        <w:ind w:firstLine="360"/>
      </w:pPr>
      <w:r>
        <w:t xml:space="preserve">The new Hess Deep and </w:t>
      </w:r>
      <w:proofErr w:type="spellStart"/>
      <w:r>
        <w:t>OmanDP</w:t>
      </w:r>
      <w:proofErr w:type="spellEnd"/>
      <w:r>
        <w:t xml:space="preserve"> temperatures are plotted in comparison to other ophiolitic and abyssal peridotites and gabbros in Figure </w:t>
      </w:r>
      <w:r w:rsidR="005C3691">
        <w:t>1.</w:t>
      </w:r>
      <w:r>
        <w:t xml:space="preserve">7. </w:t>
      </w:r>
      <w:r>
        <w:rPr>
          <w:i/>
        </w:rPr>
        <w:t>T</w:t>
      </w:r>
      <w:r>
        <w:rPr>
          <w:i/>
          <w:vertAlign w:val="subscript"/>
        </w:rPr>
        <w:t>REE-in-</w:t>
      </w:r>
      <w:proofErr w:type="spellStart"/>
      <w:r w:rsidRPr="15BFB69E">
        <w:rPr>
          <w:i/>
          <w:iCs/>
          <w:vertAlign w:val="subscript"/>
        </w:rPr>
        <w:t>Cpx</w:t>
      </w:r>
      <w:proofErr w:type="spellEnd"/>
      <w:r w:rsidRPr="15BFB69E">
        <w:rPr>
          <w:i/>
          <w:iCs/>
          <w:vertAlign w:val="subscript"/>
        </w:rPr>
        <w:t>-</w:t>
      </w:r>
      <w:proofErr w:type="spellStart"/>
      <w:r w:rsidRPr="15BFB69E">
        <w:rPr>
          <w:i/>
          <w:iCs/>
          <w:vertAlign w:val="subscript"/>
        </w:rPr>
        <w:t>Plag</w:t>
      </w:r>
      <w:proofErr w:type="spellEnd"/>
      <w:r>
        <w:t xml:space="preserve"> are compared to </w:t>
      </w:r>
      <w:proofErr w:type="spellStart"/>
      <w:r w:rsidRPr="15BFB69E">
        <w:rPr>
          <w:i/>
          <w:iCs/>
        </w:rPr>
        <w:t>T</w:t>
      </w:r>
      <w:r w:rsidRPr="15BFB69E">
        <w:rPr>
          <w:i/>
          <w:iCs/>
          <w:vertAlign w:val="subscript"/>
        </w:rPr>
        <w:t>Mg</w:t>
      </w:r>
      <w:proofErr w:type="spellEnd"/>
      <w:r w:rsidRPr="15BFB69E">
        <w:rPr>
          <w:i/>
          <w:iCs/>
          <w:vertAlign w:val="subscript"/>
        </w:rPr>
        <w:t>-in-</w:t>
      </w:r>
      <w:proofErr w:type="spellStart"/>
      <w:r w:rsidRPr="15BFB69E">
        <w:rPr>
          <w:i/>
          <w:iCs/>
          <w:vertAlign w:val="subscript"/>
        </w:rPr>
        <w:t>Plag</w:t>
      </w:r>
      <w:proofErr w:type="spellEnd"/>
      <w:r>
        <w:t xml:space="preserve"> in </w:t>
      </w:r>
      <w:r w:rsidRPr="00AF5F06">
        <w:t>(a);</w:t>
      </w:r>
      <w:r>
        <w:t xml:space="preserve"> literature data are limited, but the </w:t>
      </w:r>
      <w:proofErr w:type="spellStart"/>
      <w:r>
        <w:t>OmanDP</w:t>
      </w:r>
      <w:proofErr w:type="spellEnd"/>
      <w:r>
        <w:t xml:space="preserve"> and Hess Deep data are similar to temperatures previously recovered from Hess Deep gabbroic lithosphere </w:t>
      </w:r>
      <w:r>
        <w:fldChar w:fldCharType="begin" w:fldLock="1"/>
      </w:r>
      <w:r>
        <w:instrText>ADDIN CSL_CITATION {"citationItems":[{"id":"ITEM-1","itemData":{"DOI":"10.1016/j.epsl.2018.01.032","ISSN":"0012821X","abstract":"A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Letters","id":"ITEM-1","issued":{"date-parts":[["2018","2","12"]]},"page":"165-178","publisher":"Elsevier B.V.","title":"aFormation of fast-spreading lower oceanic crust as revealed by a new Mg–REE coupled geospeedometer","type":"article-journal","volume":"487"},"uris":["http://www.mendeley.com/documents/?uuid=f486dd42-88a6-4fd7-8dea-0a2ba656c4dd"]}],"mendeley":{"formattedCitation":"(Sun &amp; Lissenberg, 2018a)","plainTextFormattedCitation":"(Sun &amp; Lissenberg, 2018a)","previouslyFormattedCitation":"(Sun &amp; Lissenberg, 2018a)"},"properties":{"noteIndex":0},"schema":"https://github.com/citation-style-language/schema/raw/master/csl-citation.json"}</w:instrText>
      </w:r>
      <w:r>
        <w:fldChar w:fldCharType="separate"/>
      </w:r>
      <w:r w:rsidRPr="15BFB69E">
        <w:rPr>
          <w:noProof/>
        </w:rPr>
        <w:t>(Sun &amp; Lissenberg, 2018a)</w:t>
      </w:r>
      <w:r>
        <w:fldChar w:fldCharType="end"/>
      </w:r>
      <w:r>
        <w:t xml:space="preserve">. </w:t>
      </w:r>
      <w:r w:rsidRPr="15BFB69E">
        <w:rPr>
          <w:i/>
          <w:iCs/>
        </w:rPr>
        <w:t>T</w:t>
      </w:r>
      <w:r w:rsidRPr="15BFB69E">
        <w:rPr>
          <w:i/>
          <w:iCs/>
          <w:vertAlign w:val="subscript"/>
        </w:rPr>
        <w:t>REE-in-two-Pyroxene</w:t>
      </w:r>
      <w:r>
        <w:t xml:space="preserve"> are compared to </w:t>
      </w:r>
      <w:r w:rsidRPr="15BFB69E">
        <w:rPr>
          <w:i/>
          <w:iCs/>
        </w:rPr>
        <w:t>T</w:t>
      </w:r>
      <w:r w:rsidRPr="15BFB69E">
        <w:rPr>
          <w:i/>
          <w:iCs/>
          <w:vertAlign w:val="subscript"/>
        </w:rPr>
        <w:t>BKN</w:t>
      </w:r>
      <w:r>
        <w:t xml:space="preserve"> in (b), in all cases, samples from this study have </w:t>
      </w:r>
      <w:r>
        <w:rPr>
          <w:i/>
        </w:rPr>
        <w:t>T</w:t>
      </w:r>
      <w:r>
        <w:rPr>
          <w:i/>
          <w:vertAlign w:val="subscript"/>
        </w:rPr>
        <w:t>REE-in-two-Pyroxene</w:t>
      </w:r>
      <w:r>
        <w:t xml:space="preserve"> &gt; </w:t>
      </w:r>
      <w:r w:rsidRPr="000E009F">
        <w:rPr>
          <w:i/>
        </w:rPr>
        <w:t>T</w:t>
      </w:r>
      <w:r w:rsidRPr="000E009F">
        <w:rPr>
          <w:i/>
          <w:vertAlign w:val="subscript"/>
        </w:rPr>
        <w:t>BKN</w:t>
      </w:r>
      <w:r>
        <w:t>, in agreement with temperature distributions previously interpreted to suggest fast cooling for many ophiolitic peridotites (</w:t>
      </w:r>
      <w:r w:rsidRPr="15BFB69E">
        <w:rPr>
          <w:rStyle w:val="Strong"/>
          <w:rFonts w:ascii="Cambria Math" w:hAnsi="Cambria Math" w:cs="Cambria Math"/>
          <w:color w:val="202122"/>
          <w:shd w:val="clear" w:color="auto" w:fill="FFFFFF"/>
        </w:rPr>
        <w:t>≳</w:t>
      </w:r>
      <w:r>
        <w:t xml:space="preserve">0.01 </w:t>
      </w:r>
      <w:r>
        <w:rPr>
          <w:rFonts w:ascii="Calibri" w:hAnsi="Calibri" w:cs="Calibri"/>
        </w:rPr>
        <w:t>°</w:t>
      </w:r>
      <w:r>
        <w:t xml:space="preserve">C/y, </w:t>
      </w:r>
      <w:r w:rsidRPr="008062D3">
        <w:fldChar w:fldCharType="begin" w:fldLock="1"/>
      </w:r>
      <w:r>
        <w:instrText>ADDIN CSL_CITATION {"citationItems":[{"id":"ITEM-1","itemData":{"DOI":"10.1016/j.epsl.2015.02.042","ISBN":"0012-821X","ISSN":"0012821X","abstract":"Mantle peridotites from ophiolites are commonly interpreted as having mid-ocean ridge (MOR) or supra-subduction zone (SSZ) affinity. Recently, an REE-in-two-pyroxene thermometer was developed (Liang et al., 2013) that has higher closure temperatures (designated as T&lt;inf&gt;REE&lt;/inf&gt;) than major element based two-pyroxene thermometers for mafic and ultramafic rocks that experienced cooling. The REE-in-two-pyroxene thermometer has the potential to extract meaningful cooling rates from ophiolitic peridotites and thus shed new light on the thermal history of the different tectonic regimes. We calculated T&lt;inf&gt;REE&lt;/inf&gt; for available literature data from abyssal peridotites, subcontinental (SC) peridotites, and ophiolites around the world (Alps, Coast Range, Corsica, New Caledonia, Oman, Othris, Puerto Rico, Russia, and Turkey), and augmented the data with new measurements for peridotites from the Trinity and Josephine ophiolites and the Mariana trench. T&lt;inf&gt;REE&lt;/inf&gt; are compared to major element based thermometers, including the two-pyroxene thermometer of Brey and K??hler (1990) (T&lt;inf&gt;BKN&lt;/inf&gt;). Samples with SC affinity have T&lt;inf&gt;REE&lt;/inf&gt; and T&lt;inf&gt;BKN&lt;/inf&gt; in good agreement. Samples with MOR and SSZ affinity have near-solidus T&lt;inf&gt;REE&lt;/inf&gt; but T&lt;inf&gt;BKN&lt;/inf&gt; hundreds of degrees lower. Closure temperatures for REE and Fe-Mg in pyroxenes were calculated to compare cooling rates among abyssal peridotites, MOR ophiolites, and SSZ ophiolites. Abyssal peridotites appear to cool more rapidly than peridotites from most ophiolites. On average, SSZ ophiolites have lower closure temperatures than abyssal peridotites and many ophiolites with MOR affinity. We propose that these lower temperatures can be attributed to the residence time in the cooling oceanic lithosphere prior to obduction. MOR ophiolites define a continuum spanning cooling rates from SSZ ophiolites to abyssal peridotites. Consistent high closure temperatures for abyssal peridotites and the Oman and Corsica ophiolites suggests hydrothermal circulation and/or rapid cooling events (e.g., normal faulting, unroofing) control the late thermal histories of peridotites from transform faults and slow and fast spreading centers with or without a crustal section.","author":[{"dropping-particle":"","family":"Dygert","given":"Nick","non-dropping-particle":"","parse-names":false,"suffix":""},{"dropping-particle":"","family":"Liang","given":"Yan","non-dropping-particle":"","parse-names":false,"suffix":""}],"container-title":"Earth and Planetary Science Letters","id":"ITEM-1","issued":{"date-parts":[["2015"]]},"page":"151-161","title":"Temperatures and cooling rates recorded in REE in coexisting pyroxenes in ophiolitic and abyssal peridotites","type":"article-journal","volume":"420"},"uris":["http://www.mendeley.com/documents/?uuid=e48d5f74-9cf4-4c45-adcc-fe92d8ea473f"]}],"mendeley":{"formattedCitation":"(Dygert &amp; Liang, 2015)","manualFormatting":"Dygert &amp; Liang, 2015","plainTextFormattedCitation":"(Dygert &amp; Liang, 2015)","previouslyFormattedCitation":"(Dygert &amp; Liang, 2015)"},"properties":{"noteIndex":0},"schema":"https://github.com/citation-style-language/schema/raw/master/csl-citation.json"}</w:instrText>
      </w:r>
      <w:r w:rsidRPr="008062D3">
        <w:fldChar w:fldCharType="separate"/>
      </w:r>
      <w:r w:rsidRPr="008062D3">
        <w:rPr>
          <w:noProof/>
        </w:rPr>
        <w:t>Dygert &amp; Liang, 2015</w:t>
      </w:r>
      <w:r w:rsidRPr="008062D3">
        <w:fldChar w:fldCharType="end"/>
      </w:r>
      <w:r w:rsidRPr="008062D3">
        <w:t>).</w:t>
      </w:r>
      <w:r>
        <w:t xml:space="preserve"> Samples from this study plot among the abyssal peridotites, at the high end of the distributions exhibited by ophiolitic peridotites from southern Oman (uppermost Wadi </w:t>
      </w:r>
      <w:proofErr w:type="spellStart"/>
      <w:r>
        <w:t>Tayin</w:t>
      </w:r>
      <w:proofErr w:type="spellEnd"/>
      <w:r>
        <w:t xml:space="preserve"> massif), which cooled at rates &gt;0.1 </w:t>
      </w:r>
      <w:r>
        <w:rPr>
          <w:rFonts w:ascii="Calibri" w:hAnsi="Calibri" w:cs="Calibri"/>
        </w:rPr>
        <w:t>°</w:t>
      </w:r>
      <w:r>
        <w:t xml:space="preserve">C/y </w:t>
      </w:r>
      <w:r>
        <w:fldChar w:fldCharType="begin" w:fldLock="1"/>
      </w:r>
      <w:r w:rsidR="005C3691">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ridges","type":"article-journal","volume":"465"},"uris":["http://www.mendeley.com/documents/?uuid=67ec3375-a99a-4c3e-81f5-c4bab6e86be5","http://www.mendeley.com/documents/?uuid=037caea5-c93e-4550-b9c7-660614997d23"]}],"mendeley":{"formattedCitation":"(Dygert et al., 2017)","manualFormatting":"(Dygert et al., 2017, also see Figure 1.8b","plainTextFormattedCitation":"(Dygert et al., 2017)","previouslyFormattedCitation":"(Dygert et al., 2017)"},"properties":{"noteIndex":0},"schema":"https://github.com/citation-style-language/schema/raw/master/csl-citation.json"}</w:instrText>
      </w:r>
      <w:r>
        <w:fldChar w:fldCharType="separate"/>
      </w:r>
      <w:r w:rsidRPr="008062D3">
        <w:rPr>
          <w:noProof/>
        </w:rPr>
        <w:t>(Dygert et al., 2017</w:t>
      </w:r>
      <w:r>
        <w:rPr>
          <w:noProof/>
        </w:rPr>
        <w:t xml:space="preserve">, also see Figure </w:t>
      </w:r>
      <w:r w:rsidR="005C3691">
        <w:rPr>
          <w:noProof/>
        </w:rPr>
        <w:t>1.</w:t>
      </w:r>
      <w:r>
        <w:rPr>
          <w:noProof/>
        </w:rPr>
        <w:t>8b</w:t>
      </w:r>
      <w:r>
        <w:fldChar w:fldCharType="end"/>
      </w:r>
      <w:r>
        <w:t xml:space="preserve">). In (c), </w:t>
      </w:r>
      <w:proofErr w:type="spellStart"/>
      <w:r>
        <w:rPr>
          <w:i/>
        </w:rPr>
        <w:t>T</w:t>
      </w:r>
      <w:r>
        <w:rPr>
          <w:i/>
          <w:vertAlign w:val="subscript"/>
        </w:rPr>
        <w:t>Ca</w:t>
      </w:r>
      <w:proofErr w:type="spellEnd"/>
      <w:r>
        <w:rPr>
          <w:i/>
          <w:vertAlign w:val="subscript"/>
        </w:rPr>
        <w:t>-in-</w:t>
      </w:r>
      <w:proofErr w:type="spellStart"/>
      <w:r>
        <w:rPr>
          <w:i/>
          <w:vertAlign w:val="subscript"/>
        </w:rPr>
        <w:t>Ol</w:t>
      </w:r>
      <w:proofErr w:type="spellEnd"/>
      <w:r>
        <w:t xml:space="preserve"> are compared to </w:t>
      </w:r>
      <w:proofErr w:type="spellStart"/>
      <w:r w:rsidRPr="00290A5B">
        <w:rPr>
          <w:i/>
        </w:rPr>
        <w:t>T</w:t>
      </w:r>
      <w:r w:rsidRPr="00290A5B">
        <w:rPr>
          <w:i/>
          <w:vertAlign w:val="subscript"/>
        </w:rPr>
        <w:t>Ol</w:t>
      </w:r>
      <w:proofErr w:type="spellEnd"/>
      <w:r w:rsidRPr="00290A5B">
        <w:rPr>
          <w:i/>
          <w:vertAlign w:val="subscript"/>
        </w:rPr>
        <w:t>-Sp</w:t>
      </w:r>
      <w:r>
        <w:t xml:space="preserve">. The new Hess Deep and </w:t>
      </w:r>
      <w:proofErr w:type="spellStart"/>
      <w:r>
        <w:t>OmanDP</w:t>
      </w:r>
      <w:proofErr w:type="spellEnd"/>
      <w:r>
        <w:t xml:space="preserve"> data fall at or above temperatures determined previously for ophiolites. As noted by </w:t>
      </w:r>
      <w:r>
        <w:fldChar w:fldCharType="begin" w:fldLock="1"/>
      </w:r>
      <w:r>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2017)","manualFormatting":"Dygert et al., 2017","plainTextFormattedCitation":"(Dygert et al., 2017)","previouslyFormattedCitation":"(Dygert et al., 2017)"},"properties":{"noteIndex":0},"schema":"https://github.com/citation-style-language/schema/raw/master/csl-citation.json"}</w:instrText>
      </w:r>
      <w:r>
        <w:fldChar w:fldCharType="separate"/>
      </w:r>
      <w:r w:rsidRPr="008062D3">
        <w:rPr>
          <w:noProof/>
        </w:rPr>
        <w:t>Dygert et al., 2017</w:t>
      </w:r>
      <w:r>
        <w:fldChar w:fldCharType="end"/>
      </w:r>
      <w:r>
        <w:t xml:space="preserve">, in general, abyssal peridotite temperatures are systematically higher than ophiolitic peridotite temperatures for these thermometers, suggesting faster cooling for abyssal peridotites than ophiolites through closure </w:t>
      </w:r>
      <w:r w:rsidR="003748C4">
        <w:br w:type="page"/>
      </w:r>
    </w:p>
    <w:p w14:paraId="7A38272D" w14:textId="2F9BFCE8" w:rsidR="003748C4" w:rsidRPr="001A67EA" w:rsidRDefault="003748C4" w:rsidP="003748C4">
      <w:pPr>
        <w:pStyle w:val="Caption"/>
        <w:rPr>
          <w:noProof/>
        </w:rPr>
      </w:pPr>
      <w:bookmarkStart w:id="38" w:name="_Toc109738669"/>
      <w:r w:rsidRPr="00C17E5E">
        <w:rPr>
          <w:b w:val="0"/>
          <w:bCs w:val="0"/>
          <w:sz w:val="20"/>
          <w:szCs w:val="20"/>
        </w:rPr>
        <w:lastRenderedPageBreak/>
        <w:t xml:space="preserve">Figure </w:t>
      </w:r>
      <w:r>
        <w:rPr>
          <w:b w:val="0"/>
          <w:bCs w:val="0"/>
          <w:sz w:val="20"/>
          <w:szCs w:val="20"/>
        </w:rPr>
        <w:t>1.</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7</w:t>
      </w:r>
      <w:r>
        <w:rPr>
          <w:b w:val="0"/>
          <w:bCs w:val="0"/>
          <w:sz w:val="20"/>
          <w:szCs w:val="20"/>
        </w:rPr>
        <w:fldChar w:fldCharType="end"/>
      </w:r>
      <w:r w:rsidRPr="00C17E5E">
        <w:rPr>
          <w:b w:val="0"/>
          <w:bCs w:val="0"/>
          <w:sz w:val="20"/>
          <w:szCs w:val="20"/>
        </w:rPr>
        <w:t>.</w:t>
      </w:r>
      <w:r w:rsidRPr="00C17E5E">
        <w:rPr>
          <w:b w:val="0"/>
          <w:bCs w:val="0"/>
          <w:sz w:val="16"/>
          <w:szCs w:val="16"/>
        </w:rPr>
        <w:t xml:space="preserve"> </w:t>
      </w:r>
      <w:r w:rsidRPr="00405F30">
        <w:rPr>
          <w:b w:val="0"/>
          <w:bCs w:val="0"/>
          <w:sz w:val="20"/>
          <w:szCs w:val="20"/>
        </w:rPr>
        <w:t>Temperatures obtained in this study compared to other localities in Oman, previous work on Hess Deep and the global distribution of ophiolites and abyssal peridotites. (a) T</w:t>
      </w:r>
      <w:r w:rsidRPr="00405F30">
        <w:rPr>
          <w:b w:val="0"/>
          <w:bCs w:val="0"/>
          <w:sz w:val="20"/>
          <w:szCs w:val="20"/>
          <w:vertAlign w:val="subscript"/>
        </w:rPr>
        <w:t>REE-in-</w:t>
      </w:r>
      <w:proofErr w:type="spellStart"/>
      <w:r w:rsidRPr="00405F30">
        <w:rPr>
          <w:b w:val="0"/>
          <w:bCs w:val="0"/>
          <w:sz w:val="20"/>
          <w:szCs w:val="20"/>
          <w:vertAlign w:val="subscript"/>
        </w:rPr>
        <w:t>Plag</w:t>
      </w:r>
      <w:proofErr w:type="spellEnd"/>
      <w:r w:rsidRPr="00405F30">
        <w:rPr>
          <w:b w:val="0"/>
          <w:bCs w:val="0"/>
          <w:sz w:val="20"/>
          <w:szCs w:val="20"/>
          <w:vertAlign w:val="subscript"/>
        </w:rPr>
        <w:t>-</w:t>
      </w:r>
      <w:proofErr w:type="spellStart"/>
      <w:r w:rsidRPr="00405F30">
        <w:rPr>
          <w:b w:val="0"/>
          <w:bCs w:val="0"/>
          <w:sz w:val="20"/>
          <w:szCs w:val="20"/>
          <w:vertAlign w:val="subscript"/>
        </w:rPr>
        <w:t>Cpx</w:t>
      </w:r>
      <w:proofErr w:type="spellEnd"/>
      <w:r w:rsidRPr="00405F30">
        <w:rPr>
          <w:b w:val="0"/>
          <w:bCs w:val="0"/>
          <w:sz w:val="20"/>
          <w:szCs w:val="20"/>
        </w:rPr>
        <w:t xml:space="preserve"> vs. </w:t>
      </w:r>
      <w:proofErr w:type="spellStart"/>
      <w:r w:rsidRPr="00405F30">
        <w:rPr>
          <w:b w:val="0"/>
          <w:bCs w:val="0"/>
          <w:sz w:val="20"/>
          <w:szCs w:val="20"/>
        </w:rPr>
        <w:t>T</w:t>
      </w:r>
      <w:r w:rsidRPr="00405F30">
        <w:rPr>
          <w:b w:val="0"/>
          <w:bCs w:val="0"/>
          <w:sz w:val="20"/>
          <w:szCs w:val="20"/>
          <w:vertAlign w:val="subscript"/>
        </w:rPr>
        <w:t>Mg</w:t>
      </w:r>
      <w:proofErr w:type="spellEnd"/>
      <w:r w:rsidRPr="00405F30">
        <w:rPr>
          <w:b w:val="0"/>
          <w:bCs w:val="0"/>
          <w:sz w:val="20"/>
          <w:szCs w:val="20"/>
          <w:vertAlign w:val="subscript"/>
        </w:rPr>
        <w:t>-in-</w:t>
      </w:r>
      <w:proofErr w:type="spellStart"/>
      <w:r w:rsidRPr="00405F30">
        <w:rPr>
          <w:b w:val="0"/>
          <w:bCs w:val="0"/>
          <w:sz w:val="20"/>
          <w:szCs w:val="20"/>
          <w:vertAlign w:val="subscript"/>
        </w:rPr>
        <w:t>Plag</w:t>
      </w:r>
      <w:proofErr w:type="spellEnd"/>
      <w:r w:rsidRPr="00405F30">
        <w:rPr>
          <w:b w:val="0"/>
          <w:bCs w:val="0"/>
          <w:sz w:val="20"/>
          <w:szCs w:val="20"/>
        </w:rPr>
        <w:t xml:space="preserve"> (</w:t>
      </w:r>
      <w:proofErr w:type="spellStart"/>
      <w:r w:rsidRPr="00405F30">
        <w:rPr>
          <w:b w:val="0"/>
          <w:bCs w:val="0"/>
          <w:sz w:val="20"/>
          <w:szCs w:val="20"/>
        </w:rPr>
        <w:t>gabbros</w:t>
      </w:r>
      <w:proofErr w:type="spellEnd"/>
      <w:r w:rsidRPr="00405F30">
        <w:rPr>
          <w:b w:val="0"/>
          <w:bCs w:val="0"/>
          <w:sz w:val="20"/>
          <w:szCs w:val="20"/>
        </w:rPr>
        <w:t>), (b) T</w:t>
      </w:r>
      <w:r w:rsidRPr="00405F30">
        <w:rPr>
          <w:b w:val="0"/>
          <w:bCs w:val="0"/>
          <w:sz w:val="20"/>
          <w:szCs w:val="20"/>
          <w:vertAlign w:val="subscript"/>
        </w:rPr>
        <w:t>REE-in-two-Pyroxene</w:t>
      </w:r>
      <w:r w:rsidRPr="00405F30">
        <w:rPr>
          <w:b w:val="0"/>
          <w:bCs w:val="0"/>
          <w:sz w:val="20"/>
          <w:szCs w:val="20"/>
        </w:rPr>
        <w:t xml:space="preserve"> vs. T</w:t>
      </w:r>
      <w:r w:rsidRPr="00405F30">
        <w:rPr>
          <w:b w:val="0"/>
          <w:bCs w:val="0"/>
          <w:sz w:val="20"/>
          <w:szCs w:val="20"/>
          <w:vertAlign w:val="subscript"/>
        </w:rPr>
        <w:t>BKN</w:t>
      </w:r>
      <w:r w:rsidRPr="00405F30">
        <w:rPr>
          <w:b w:val="0"/>
          <w:bCs w:val="0"/>
          <w:sz w:val="20"/>
          <w:szCs w:val="20"/>
        </w:rPr>
        <w:t xml:space="preserve"> (peridotites); (c) </w:t>
      </w:r>
      <w:proofErr w:type="spellStart"/>
      <w:r w:rsidRPr="00405F30">
        <w:rPr>
          <w:b w:val="0"/>
          <w:bCs w:val="0"/>
          <w:sz w:val="20"/>
          <w:szCs w:val="20"/>
        </w:rPr>
        <w:t>T</w:t>
      </w:r>
      <w:r w:rsidRPr="00405F30">
        <w:rPr>
          <w:b w:val="0"/>
          <w:bCs w:val="0"/>
          <w:sz w:val="20"/>
          <w:szCs w:val="20"/>
          <w:vertAlign w:val="subscript"/>
        </w:rPr>
        <w:t>Ca</w:t>
      </w:r>
      <w:proofErr w:type="spellEnd"/>
      <w:r w:rsidRPr="00405F30">
        <w:rPr>
          <w:b w:val="0"/>
          <w:bCs w:val="0"/>
          <w:sz w:val="20"/>
          <w:szCs w:val="20"/>
          <w:vertAlign w:val="subscript"/>
        </w:rPr>
        <w:t>-in-</w:t>
      </w:r>
      <w:proofErr w:type="spellStart"/>
      <w:r w:rsidRPr="00405F30">
        <w:rPr>
          <w:b w:val="0"/>
          <w:bCs w:val="0"/>
          <w:sz w:val="20"/>
          <w:szCs w:val="20"/>
          <w:vertAlign w:val="subscript"/>
        </w:rPr>
        <w:t>Ol</w:t>
      </w:r>
      <w:proofErr w:type="spellEnd"/>
      <w:r w:rsidRPr="00405F30">
        <w:rPr>
          <w:b w:val="0"/>
          <w:bCs w:val="0"/>
          <w:sz w:val="20"/>
          <w:szCs w:val="20"/>
        </w:rPr>
        <w:t xml:space="preserve"> vs. </w:t>
      </w:r>
      <w:proofErr w:type="spellStart"/>
      <w:r w:rsidRPr="00405F30">
        <w:rPr>
          <w:b w:val="0"/>
          <w:bCs w:val="0"/>
          <w:sz w:val="20"/>
          <w:szCs w:val="20"/>
        </w:rPr>
        <w:t>T</w:t>
      </w:r>
      <w:r w:rsidRPr="00405F30">
        <w:rPr>
          <w:b w:val="0"/>
          <w:bCs w:val="0"/>
          <w:sz w:val="20"/>
          <w:szCs w:val="20"/>
          <w:vertAlign w:val="subscript"/>
        </w:rPr>
        <w:t>Ol-Sp</w:t>
      </w:r>
      <w:proofErr w:type="spellEnd"/>
      <w:r w:rsidRPr="00405F30">
        <w:rPr>
          <w:b w:val="0"/>
          <w:bCs w:val="0"/>
          <w:sz w:val="20"/>
          <w:szCs w:val="20"/>
        </w:rPr>
        <w:t xml:space="preserve"> (peridotites). Temperatures obtained for gabbros are consistent with but at the high temperature end of previous work on Hess Deep (a). Note that samples from this study have high T</w:t>
      </w:r>
      <w:r w:rsidRPr="00405F30">
        <w:rPr>
          <w:b w:val="0"/>
          <w:bCs w:val="0"/>
          <w:sz w:val="20"/>
          <w:szCs w:val="20"/>
          <w:vertAlign w:val="subscript"/>
        </w:rPr>
        <w:t>REE</w:t>
      </w:r>
      <w:r w:rsidRPr="00405F30">
        <w:rPr>
          <w:b w:val="0"/>
          <w:bCs w:val="0"/>
          <w:sz w:val="20"/>
          <w:szCs w:val="20"/>
        </w:rPr>
        <w:t xml:space="preserve"> and T</w:t>
      </w:r>
      <w:r w:rsidRPr="00405F30">
        <w:rPr>
          <w:b w:val="0"/>
          <w:bCs w:val="0"/>
          <w:sz w:val="20"/>
          <w:szCs w:val="20"/>
          <w:vertAlign w:val="subscript"/>
        </w:rPr>
        <w:t>BKN</w:t>
      </w:r>
      <w:r w:rsidRPr="00405F30">
        <w:rPr>
          <w:b w:val="0"/>
          <w:bCs w:val="0"/>
          <w:sz w:val="20"/>
          <w:szCs w:val="20"/>
        </w:rPr>
        <w:t xml:space="preserve">, consistent with abyssal peridotites and some samples from Oman (b). Peridotite temperatures obtained using fast-resetting thermometers (Ca-in-Olivine and Olivine-Spinel) are at the high end of the global distribution of ophiolites (c), perhaps owing to the </w:t>
      </w:r>
      <w:proofErr w:type="gramStart"/>
      <w:r w:rsidRPr="00405F30">
        <w:rPr>
          <w:b w:val="0"/>
          <w:bCs w:val="0"/>
          <w:sz w:val="20"/>
          <w:szCs w:val="20"/>
        </w:rPr>
        <w:t>close proximity</w:t>
      </w:r>
      <w:proofErr w:type="gramEnd"/>
      <w:r w:rsidRPr="00405F30">
        <w:rPr>
          <w:b w:val="0"/>
          <w:bCs w:val="0"/>
          <w:sz w:val="20"/>
          <w:szCs w:val="20"/>
        </w:rPr>
        <w:t xml:space="preserve"> of the samples from this study to the transition zone compared to other ophiolitic peridotites. Data sources are the following: Wadi </w:t>
      </w:r>
      <w:proofErr w:type="spellStart"/>
      <w:r w:rsidRPr="00405F30">
        <w:rPr>
          <w:b w:val="0"/>
          <w:bCs w:val="0"/>
          <w:sz w:val="20"/>
          <w:szCs w:val="20"/>
        </w:rPr>
        <w:t>Tayin</w:t>
      </w:r>
      <w:proofErr w:type="spellEnd"/>
      <w:r w:rsidRPr="00405F30">
        <w:rPr>
          <w:b w:val="0"/>
          <w:bCs w:val="0"/>
          <w:sz w:val="20"/>
          <w:szCs w:val="20"/>
        </w:rPr>
        <w:t xml:space="preserve">, </w:t>
      </w:r>
      <w:proofErr w:type="spellStart"/>
      <w:r w:rsidRPr="00405F30">
        <w:rPr>
          <w:b w:val="0"/>
          <w:bCs w:val="0"/>
          <w:sz w:val="20"/>
          <w:szCs w:val="20"/>
        </w:rPr>
        <w:t>Dygert</w:t>
      </w:r>
      <w:proofErr w:type="spellEnd"/>
      <w:r w:rsidRPr="00405F30">
        <w:rPr>
          <w:b w:val="0"/>
          <w:bCs w:val="0"/>
          <w:sz w:val="20"/>
          <w:szCs w:val="20"/>
        </w:rPr>
        <w:t xml:space="preserve"> et al., 2017; Elsewhere Oman (Wadi </w:t>
      </w:r>
      <w:proofErr w:type="spellStart"/>
      <w:r w:rsidRPr="00405F30">
        <w:rPr>
          <w:b w:val="0"/>
          <w:bCs w:val="0"/>
          <w:sz w:val="20"/>
          <w:szCs w:val="20"/>
        </w:rPr>
        <w:t>Fizh</w:t>
      </w:r>
      <w:proofErr w:type="spellEnd"/>
      <w:r w:rsidRPr="00405F30">
        <w:rPr>
          <w:b w:val="0"/>
          <w:bCs w:val="0"/>
          <w:sz w:val="20"/>
          <w:szCs w:val="20"/>
        </w:rPr>
        <w:t xml:space="preserve">, Wadi </w:t>
      </w:r>
      <w:proofErr w:type="spellStart"/>
      <w:r w:rsidRPr="00405F30">
        <w:rPr>
          <w:b w:val="0"/>
          <w:bCs w:val="0"/>
          <w:sz w:val="20"/>
          <w:szCs w:val="20"/>
        </w:rPr>
        <w:t>Thuqbah</w:t>
      </w:r>
      <w:proofErr w:type="spellEnd"/>
      <w:r w:rsidRPr="00405F30">
        <w:rPr>
          <w:b w:val="0"/>
          <w:bCs w:val="0"/>
          <w:sz w:val="20"/>
          <w:szCs w:val="20"/>
        </w:rPr>
        <w:t xml:space="preserve">, Wadi </w:t>
      </w:r>
      <w:proofErr w:type="spellStart"/>
      <w:r w:rsidRPr="00405F30">
        <w:rPr>
          <w:b w:val="0"/>
          <w:bCs w:val="0"/>
          <w:sz w:val="20"/>
          <w:szCs w:val="20"/>
        </w:rPr>
        <w:t>Rajmi</w:t>
      </w:r>
      <w:proofErr w:type="spellEnd"/>
      <w:r w:rsidRPr="00405F30">
        <w:rPr>
          <w:b w:val="0"/>
          <w:bCs w:val="0"/>
          <w:sz w:val="20"/>
          <w:szCs w:val="20"/>
        </w:rPr>
        <w:t xml:space="preserve">, and Wadi </w:t>
      </w:r>
      <w:proofErr w:type="spellStart"/>
      <w:r w:rsidRPr="00405F30">
        <w:rPr>
          <w:b w:val="0"/>
          <w:bCs w:val="0"/>
          <w:sz w:val="20"/>
          <w:szCs w:val="20"/>
        </w:rPr>
        <w:t>Sarami</w:t>
      </w:r>
      <w:proofErr w:type="spellEnd"/>
      <w:r w:rsidRPr="00405F30">
        <w:rPr>
          <w:b w:val="0"/>
          <w:bCs w:val="0"/>
          <w:sz w:val="20"/>
          <w:szCs w:val="20"/>
        </w:rPr>
        <w:t xml:space="preserve"> in central and northern Oman; </w:t>
      </w:r>
      <w:r w:rsidRPr="00405F30">
        <w:rPr>
          <w:b w:val="0"/>
          <w:bCs w:val="0"/>
          <w:i/>
          <w:sz w:val="20"/>
          <w:szCs w:val="20"/>
        </w:rPr>
        <w:fldChar w:fldCharType="begin" w:fldLock="1"/>
      </w:r>
      <w:r w:rsidRPr="00405F30">
        <w:rPr>
          <w:b w:val="0"/>
          <w:bCs w:val="0"/>
          <w:sz w:val="20"/>
          <w:szCs w:val="20"/>
        </w:rPr>
        <w:instrText>ADDIN CSL_CITATION {"citationItems":[{"id":"ITEM-1","itemData":{"DOI":"10.1016/j.lithos.2016.07.012","ISSN":"18726143","abstract":"Reaction products between hydrothermal fluids and uppermost mantle harzburgite-lowermost crustal gabbro have been reported along Wadi Fizh, northern Oman ophiolite. They are named mantle diopsidite (MD) or crustal diopsidite (CD) depending on the stratigraphic level. They construct network-like dikes crosscutting structures of the surrounding harzburgite or gabbro. The MD is mainly composed of diopsidic clinopyroxene, whereas the CD is of diopsidic clinopyroxene and anorthitic plagioclase. Here, we report a new reaction product, crustal anorthosite (CA), from the lowermost crustal section. The CA is always placed in the center of the CD network, and mainly consists of anorthitic plagioclase with minor titanite and chromian minerals such as chromite and uvarovite. Aqueous fluid inclusions forming negative crystals are evenly distributed in minerals of the CA. The fluid inclusions contain angular-shaped or rounded daughter minerals as calcite or calcite-anhydrite composite, which were identified by Raman spectroscopic analysis. We estimated their captured temperature at 530 °C at least by conducting microthermometric analysis of the fluid inclusions. Furthermore, we examined their chemical characteristics by direct laser-shot sampling conducted by laser ablation-inductively coupled plasma-mass spectrometer (LA-ICP-MS). The results indicate that the trapped aqueous fluids contain an appreciable amount of Na, but no K and Cr. Hydrothermal fluids involved in the CA formation transported Cr, which was probably taken up from chromite seams in the uppermost mantle section. Cr got soluble by forming complexes with anions as SO42–, CO32– and Cl–. In addition, these hydrothermal fluids transported Fe, Mg and trace elements (Ti, Sr, Y, Zr and rare-earth elements) governing whole-rock chemical compositions of the MDs, CDs and CAs. Our estimation for the condition of CA formation yielded rather low temperatures (530–600 °C), which indicates a later stage production of the CA than the MD and CD (~ 800 °C). A series of high-temperature hydrothermal events had been significantly contributed to the chemical flux occurring around the Moho, boundary between the mantle and crustal sections.","author":[{"dropping-particle":"","family":"Akizawa","given":"Norikatsu","non-dropping-particle":"","parse-names":false,"suffix":""},{"dropping-particle":"","family":"Tamura","given":"Akihiro","non-dropping-particle":"","parse-names":false,"suffix":""},{"dropping-particle":"","family":"Fukushi","given":"Keisuke","non-dropping-particle":"","parse-names":false,"suffix":""},{"dropping-particle":"","family":"Yamamoto","given":"Junji","non-dropping-particle":"","parse-names":false,"suffix":""},{"dropping-particle":"","family":"Mizukami","given":"Tomoyuki","non-dropping-particle":"","parse-names":false,"suffix":""},{"dropping-particle":"","family":"Python","given":"Marie","non-dropping-particle":"","parse-names":false,"suffix":""},{"dropping-particle":"","family":"Arai","given":"Shoji","non-dropping-particle":"","parse-names":false,"suffix":""}],"container-title":"Lithos","id":"ITEM-1","issued":{"date-parts":[["2016"]]},"page":"66-87","publisher":"Elsevier B.V.","title":"High-temperature hydrothermal activities around suboceanic Moho: An example from diopsidite and anorthosite in Wadi Fizh, Oman ophiolite","type":"article-journal","volume":"263"},"uris":["http://www.mendeley.com/documents/?uuid=da7cee96-9121-4976-988e-9af5c2cbbbf6"]},{"id":"ITEM-2","itemData":{"DOI":"10.1007/s00410-012-0762-4","ISSN":"00107999","abstract":"Relationships of lithologies in uppermost mantle section of Oman ophiolite are highly complicated, harzburgites especially being closely associated with dunites, wehrlites, and gabbros. The petrology and geochemistry of the uppermost mantle section provide constrains on how MORB (mid-ocean ridge basalt) magmas migrate from the mantle to crust. We conducted detailed sampling at the uppermost mantle section of the northern Oman ophiolite (along Wadi Fizh), and it provides us with centimeter-scale lithological and mineral chemical heterogeneity. In particular, we found peculiar plagioclase-free harzburgites that have not been recorded from the current ocean floor, which contain high-Mg# [Mg/(Mg + Fe 2+) atomic ratio] clinopyroxenes that are almost in equilibrium (saturated) with MORB in terms of REE concentrations. They are from the uppermost mantle section underlying the wehrlite-dunite layer (=Moho transition zone; MTZ) just beneath the layered gabbro. MORBs cannot be in equilibrium with harzburgites; however, we call the peculiar harzburgites as \"MORB-saturated harzburgite\" for simplicity in this paper. The MORB-saturated harzburgites exhibit slightly enriched mineralogy (e. g., spinels with higher Ti and ferric iron, and clinopyroxenes with higher Ti and Na) and contain slightly but clearly more abundant modal clinopyroxene (up to 3.5 vol.%) than ordinary Oman depleted harzburgites (less than 1 vol.% clinopyroxene), which are similar to abyssal harzburgites. Gabbro-clinopyroxenite bands, which were melt lenses beneath the ridge axis, are dominant around the MTZ. Detailed sampling around the gabbro-clinopyroxenite bands revealed that the MORB-saturated harzburgites appear around the bands. The interaction between a melt that was MORB-like and an ordinary harzburgite induced incongruent melting of orthopyroxenes in harzburgites, and the melt chromatographically intruded into the wall harzburgite and was modified to coexist with olivine and two pyroxenes at low melt/harzburgite ratios. The modified melt left clinopyroxene (not clinopyroxene + plagioclase as in plagioclase-impregnated abyssal harzburgite) to form the MORB-saturated harzburgites in the vicinity (harzburgite) of the fracture, which are left as gabbro-clinopyroxenite bands. This local modification mimics the whole lithological and chemical variation of the MTZ and makes chemical variation of MORB suite at fast-spreading ridge. © 2012 Springer-Verlag.","author":[{"dropping-particle":"","family":"Akizawa","given":"Norikatsu","non-dropping-particle":"","parse-names":false,"suffix":""},{"dropping-particle":"","family":"Arai","given":"Shoji","non-dropping-particle":"","parse-names":false,"suffix":""},{"dropping-particle":"","family":"Tamura","given":"Akihiro","non-dropping-particle":"","parse-names":false,"suffix":""}],"container-title":"Contributions to Mineralogy and Petrology","id":"ITEM-2","issue":"4","issued":{"date-parts":[["2012"]]},"page":"601-625","title":"Behavior of MORB magmas at uppermost mantle beneath a fast-spreading axis: An example from Wadi Fizh of the northern Oman ophiolite","type":"article-journal","volume":"164"},"uris":["http://www.mendeley.com/documents/?uuid=e4f234d1-12fe-4d63-a4a7-11b91be4a763"]}],"mendeley":{"formattedCitation":"(Akizawa et al., 2012, 2016)","plainTextFormattedCitation":"(Akizawa et al., 2012, 2016)","previouslyFormattedCitation":"(Akizawa et al., 2012, 2016)"},"properties":{"noteIndex":0},"schema":"https://github.com/citation-style-language/schema/raw/master/csl-citation.json"}</w:instrText>
      </w:r>
      <w:r w:rsidRPr="00405F30">
        <w:rPr>
          <w:b w:val="0"/>
          <w:bCs w:val="0"/>
          <w:i/>
          <w:sz w:val="20"/>
          <w:szCs w:val="20"/>
        </w:rPr>
        <w:fldChar w:fldCharType="separate"/>
      </w:r>
      <w:r w:rsidRPr="00405F30">
        <w:rPr>
          <w:b w:val="0"/>
          <w:bCs w:val="0"/>
          <w:noProof/>
          <w:sz w:val="20"/>
          <w:szCs w:val="20"/>
        </w:rPr>
        <w:t>Akizawa et al., 2012, 2016)</w:t>
      </w:r>
      <w:r w:rsidRPr="00405F30">
        <w:rPr>
          <w:b w:val="0"/>
          <w:bCs w:val="0"/>
          <w:i/>
          <w:sz w:val="20"/>
          <w:szCs w:val="20"/>
        </w:rPr>
        <w:fldChar w:fldCharType="end"/>
      </w:r>
      <w:r w:rsidRPr="00405F30">
        <w:rPr>
          <w:b w:val="0"/>
          <w:bCs w:val="0"/>
          <w:sz w:val="20"/>
          <w:szCs w:val="20"/>
        </w:rPr>
        <w:t xml:space="preserve">; Other ophiolites, Dygert et al., 2015; Abyssal peridotites, Dygert et al., 2017; Hess Deep, Sun and </w:t>
      </w:r>
      <w:proofErr w:type="spellStart"/>
      <w:r w:rsidRPr="00405F30">
        <w:rPr>
          <w:b w:val="0"/>
          <w:bCs w:val="0"/>
          <w:sz w:val="20"/>
          <w:szCs w:val="20"/>
        </w:rPr>
        <w:t>Lissenberg</w:t>
      </w:r>
      <w:proofErr w:type="spellEnd"/>
      <w:r w:rsidRPr="00405F30">
        <w:rPr>
          <w:b w:val="0"/>
          <w:bCs w:val="0"/>
          <w:sz w:val="20"/>
          <w:szCs w:val="20"/>
        </w:rPr>
        <w:t>, 2018.</w:t>
      </w:r>
      <w:bookmarkEnd w:id="38"/>
    </w:p>
    <w:p w14:paraId="5743E919" w14:textId="77777777" w:rsidR="003748C4" w:rsidRDefault="003748C4" w:rsidP="003748C4">
      <w:r>
        <w:br w:type="page"/>
      </w:r>
    </w:p>
    <w:p w14:paraId="635258BE" w14:textId="77777777" w:rsidR="003748C4" w:rsidRDefault="003748C4" w:rsidP="003748C4">
      <w:r>
        <w:rPr>
          <w:noProof/>
        </w:rPr>
        <w:lastRenderedPageBreak/>
        <w:drawing>
          <wp:anchor distT="0" distB="0" distL="114300" distR="114300" simplePos="0" relativeHeight="251657216" behindDoc="0" locked="0" layoutInCell="1" allowOverlap="1" wp14:anchorId="69236A1B" wp14:editId="0AB18A48">
            <wp:simplePos x="0" y="0"/>
            <wp:positionH relativeFrom="column">
              <wp:posOffset>142875</wp:posOffset>
            </wp:positionH>
            <wp:positionV relativeFrom="paragraph">
              <wp:posOffset>171450</wp:posOffset>
            </wp:positionV>
            <wp:extent cx="2650799" cy="7162800"/>
            <wp:effectExtent l="0" t="0" r="0" b="0"/>
            <wp:wrapSquare wrapText="bothSides"/>
            <wp:docPr id="53" name="Picture 1" descr="Chart, scatter chart&#10;&#10;Description automatically generated">
              <a:extLst xmlns:a="http://schemas.openxmlformats.org/drawingml/2006/main">
                <a:ext uri="{FF2B5EF4-FFF2-40B4-BE49-F238E27FC236}">
                  <a16:creationId xmlns:a16="http://schemas.microsoft.com/office/drawing/2014/main" id="{A8584BAC-2B51-4FCD-A485-C7C9C13AA157}"/>
                </a:ext>
              </a:extLst>
            </wp:docPr>
            <wp:cNvGraphicFramePr/>
            <a:graphic xmlns:a="http://schemas.openxmlformats.org/drawingml/2006/main">
              <a:graphicData uri="http://schemas.openxmlformats.org/drawingml/2006/picture">
                <pic:pic xmlns:pic="http://schemas.openxmlformats.org/drawingml/2006/picture">
                  <pic:nvPicPr>
                    <pic:cNvPr id="53" name="Picture 1" descr="Chart, scatter chart&#10;&#10;Description automatically generated">
                      <a:extLst>
                        <a:ext uri="{FF2B5EF4-FFF2-40B4-BE49-F238E27FC236}">
                          <a16:creationId xmlns:a16="http://schemas.microsoft.com/office/drawing/2014/main" id="{A8584BAC-2B51-4FCD-A485-C7C9C13AA157}"/>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0799" cy="7162800"/>
                    </a:xfrm>
                    <a:prstGeom prst="rect">
                      <a:avLst/>
                    </a:prstGeom>
                  </pic:spPr>
                </pic:pic>
              </a:graphicData>
            </a:graphic>
            <wp14:sizeRelH relativeFrom="page">
              <wp14:pctWidth>0</wp14:pctWidth>
            </wp14:sizeRelH>
            <wp14:sizeRelV relativeFrom="page">
              <wp14:pctHeight>0</wp14:pctHeight>
            </wp14:sizeRelV>
          </wp:anchor>
        </w:drawing>
      </w:r>
      <w:r>
        <w:br w:type="page"/>
      </w:r>
    </w:p>
    <w:p w14:paraId="24745341" w14:textId="35012346" w:rsidR="003748C4" w:rsidRDefault="003748C4" w:rsidP="003748C4">
      <w:pPr>
        <w:pStyle w:val="Caption"/>
      </w:pPr>
      <w:bookmarkStart w:id="39" w:name="_Toc109738670"/>
      <w:r>
        <w:rPr>
          <w:b w:val="0"/>
          <w:noProof/>
        </w:rPr>
        <w:lastRenderedPageBreak/>
        <w:drawing>
          <wp:anchor distT="0" distB="0" distL="114300" distR="114300" simplePos="0" relativeHeight="251660288" behindDoc="0" locked="0" layoutInCell="1" allowOverlap="1" wp14:anchorId="209EC330" wp14:editId="5812A733">
            <wp:simplePos x="0" y="0"/>
            <wp:positionH relativeFrom="margin">
              <wp:posOffset>1419225</wp:posOffset>
            </wp:positionH>
            <wp:positionV relativeFrom="paragraph">
              <wp:posOffset>0</wp:posOffset>
            </wp:positionV>
            <wp:extent cx="3107055" cy="5143500"/>
            <wp:effectExtent l="0" t="0" r="0" b="0"/>
            <wp:wrapTopAndBottom/>
            <wp:docPr id="54" name="Picture 5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107055" cy="514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E5E">
        <w:rPr>
          <w:b w:val="0"/>
          <w:bCs w:val="0"/>
          <w:sz w:val="20"/>
          <w:szCs w:val="20"/>
        </w:rPr>
        <w:t xml:space="preserve">Figure </w:t>
      </w:r>
      <w:r>
        <w:rPr>
          <w:b w:val="0"/>
          <w:bCs w:val="0"/>
          <w:sz w:val="20"/>
          <w:szCs w:val="20"/>
        </w:rPr>
        <w:t>1.</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8</w:t>
      </w:r>
      <w:r>
        <w:rPr>
          <w:b w:val="0"/>
          <w:bCs w:val="0"/>
          <w:sz w:val="20"/>
          <w:szCs w:val="20"/>
        </w:rPr>
        <w:fldChar w:fldCharType="end"/>
      </w:r>
      <w:r w:rsidRPr="00C17E5E">
        <w:rPr>
          <w:b w:val="0"/>
          <w:bCs w:val="0"/>
          <w:sz w:val="20"/>
          <w:szCs w:val="20"/>
        </w:rPr>
        <w:t>.</w:t>
      </w:r>
      <w:r w:rsidRPr="00C17E5E">
        <w:rPr>
          <w:b w:val="0"/>
          <w:bCs w:val="0"/>
          <w:sz w:val="16"/>
          <w:szCs w:val="16"/>
        </w:rPr>
        <w:t xml:space="preserve"> </w:t>
      </w:r>
      <w:r w:rsidRPr="00C343DA">
        <w:rPr>
          <w:b w:val="0"/>
          <w:bCs w:val="0"/>
          <w:sz w:val="20"/>
          <w:szCs w:val="20"/>
        </w:rPr>
        <w:t>Temperatures for Hess Deep and Oman Drilling Project (</w:t>
      </w:r>
      <w:proofErr w:type="spellStart"/>
      <w:r w:rsidRPr="00C343DA">
        <w:rPr>
          <w:b w:val="0"/>
          <w:bCs w:val="0"/>
          <w:sz w:val="20"/>
          <w:szCs w:val="20"/>
        </w:rPr>
        <w:t>OmanDP</w:t>
      </w:r>
      <w:proofErr w:type="spellEnd"/>
      <w:r w:rsidRPr="00C343DA">
        <w:rPr>
          <w:b w:val="0"/>
          <w:bCs w:val="0"/>
          <w:sz w:val="20"/>
          <w:szCs w:val="20"/>
        </w:rPr>
        <w:t xml:space="preserve">) peridotites compared to models for closure temperature calculated as a function of cooling rate (grid composed of black and magenta lines). (a) Shows samples from this study with colored symbols are interpreted to have retained residual clinopyroxene throughout partial melting, those with gray symbols are interpreted to have exsolved from orthopyroxene under </w:t>
      </w:r>
      <w:proofErr w:type="spellStart"/>
      <w:r w:rsidRPr="00C343DA">
        <w:rPr>
          <w:b w:val="0"/>
          <w:bCs w:val="0"/>
          <w:sz w:val="20"/>
          <w:szCs w:val="20"/>
        </w:rPr>
        <w:t>subsolidus</w:t>
      </w:r>
      <w:proofErr w:type="spellEnd"/>
      <w:r w:rsidRPr="00C343DA">
        <w:rPr>
          <w:b w:val="0"/>
          <w:bCs w:val="0"/>
          <w:sz w:val="20"/>
          <w:szCs w:val="20"/>
        </w:rPr>
        <w:t xml:space="preserve"> conditions, or crystallized from melt during cooling, and thus may not record cooling rates from peak temperatures. The cooling rate grid was calculated utilizing a modified form of the Dodson equation assuming a radius of 0.5 mm (</w:t>
      </w:r>
      <w:r w:rsidRPr="00C343DA">
        <w:rPr>
          <w:b w:val="0"/>
          <w:bCs w:val="0"/>
          <w:i/>
          <w:sz w:val="20"/>
          <w:szCs w:val="20"/>
        </w:rPr>
        <w:fldChar w:fldCharType="begin" w:fldLock="1"/>
      </w:r>
      <w:r w:rsidRPr="00C343DA">
        <w:rPr>
          <w:b w:val="0"/>
          <w:bCs w:val="0"/>
          <w:sz w:val="20"/>
          <w:szCs w:val="20"/>
        </w:rPr>
        <w:instrText>ADDIN CSL_CITATION {"citationItems":[{"id":"ITEM-1","itemData":{"DOI":"10.1016/S0012-821X(99)00089-8","ISSN":"0012821X","abstract":"The commonly used expression of the closure temperature, T(C), of a diffusing species in a mineral, as derived by M.H. Dodson [Contrib. Mineral. Petrol. 40 (1973) 259-264], is applicable only to systems which have undergone sufficient diffusion so that even the composition at the center of individual grains is significantly removed from that established at the onset of cooling. We have extended Dodson's formulation to include cases with arbitrarily small amount of diffusion, and applied it to calculate T(C) and age profiles, which would develop in single crystals of different geometries. These results permit evaluation of the extent of resetting of mineral age and of ion exchange geothermometers during cooling. The measured age profile of a mineral can also be used to constrain its cooling rate. These applications have been illustrated for the cases of garnet-biotite Fe-Mg exchange geothermometer, and the cooling age and closure temperatures of the Sm-Nd and Lu-Hf decay systems in garnet.","author":[{"dropping-particle":"","family":"Ganguly","given":"Jibamitra","non-dropping-particle":"","parse-names":false,"suffix":""},{"dropping-particle":"","family":"Tirone","given":"Massimiliano","non-dropping-particle":"","parse-names":false,"suffix":""}],"container-title":"Earth and Planetary Science Letters","id":"ITEM-1","issue":"1-2","issued":{"date-parts":[["1999"]]},"page":"131-140","title":"Diffusion closure temperature and age of a mineral with arbitrary extent of diffusion: Theoretical formulation and applications","type":"article-journal","volume":"170"},"uris":["http://www.mendeley.com/documents/?uuid=7d258558-e82e-4c17-a369-5391e866fd0a"]}],"mendeley":{"formattedCitation":"(Ganguly &amp; Tirone, 1999)","manualFormatting":"Ganguly &amp; Tirone, 1999","plainTextFormattedCitation":"(Ganguly &amp; Tirone, 1999)","previouslyFormattedCitation":"(Ganguly &amp; Tirone, 1999)"},"properties":{"noteIndex":0},"schema":"https://github.com/citation-style-language/schema/raw/master/csl-citation.json"}</w:instrText>
      </w:r>
      <w:r w:rsidRPr="00C343DA">
        <w:rPr>
          <w:b w:val="0"/>
          <w:bCs w:val="0"/>
          <w:i/>
          <w:sz w:val="20"/>
          <w:szCs w:val="20"/>
        </w:rPr>
        <w:fldChar w:fldCharType="separate"/>
      </w:r>
      <w:r w:rsidRPr="00C343DA">
        <w:rPr>
          <w:b w:val="0"/>
          <w:bCs w:val="0"/>
          <w:noProof/>
          <w:sz w:val="20"/>
          <w:szCs w:val="20"/>
        </w:rPr>
        <w:t>Ganguly &amp; Tirone, 1999</w:t>
      </w:r>
      <w:r w:rsidRPr="00C343DA">
        <w:rPr>
          <w:b w:val="0"/>
          <w:bCs w:val="0"/>
          <w:i/>
          <w:sz w:val="20"/>
          <w:szCs w:val="20"/>
        </w:rPr>
        <w:fldChar w:fldCharType="end"/>
      </w:r>
      <w:r w:rsidRPr="00C343DA">
        <w:rPr>
          <w:b w:val="0"/>
          <w:bCs w:val="0"/>
          <w:sz w:val="20"/>
          <w:szCs w:val="20"/>
        </w:rPr>
        <w:t xml:space="preserve">, see </w:t>
      </w:r>
      <w:r w:rsidRPr="00C343DA">
        <w:rPr>
          <w:b w:val="0"/>
          <w:bCs w:val="0"/>
          <w:i/>
          <w:sz w:val="20"/>
          <w:szCs w:val="20"/>
        </w:rPr>
        <w:fldChar w:fldCharType="begin" w:fldLock="1"/>
      </w:r>
      <w:r w:rsidRPr="00C343DA">
        <w:rPr>
          <w:b w:val="0"/>
          <w:bCs w:val="0"/>
          <w:sz w:val="20"/>
          <w:szCs w:val="20"/>
        </w:rPr>
        <w:instrText>ADDIN CSL_CITATION {"citationItems":[{"id":"ITEM-1","itemData":{"DOI":"10.1016/j.epsl.2015.02.042","ISBN":"0012-821X","ISSN":"0012821X","abstract":"Mantle peridotites from ophiolites are commonly interpreted as having mid-ocean ridge (MOR) or supra-subduction zone (SSZ) affinity. Recently, an REE-in-two-pyroxene thermometer was developed (Liang et al., 2013) that has higher closure temperatures (designated as T&lt;inf&gt;REE&lt;/inf&gt;) than major element based two-pyroxene thermometers for mafic and ultramafic rocks that experienced cooling. The REE-in-two-pyroxene thermometer has the potential to extract meaningful cooling rates from ophiolitic peridotites and thus shed new light on the thermal history of the different tectonic regimes. We calculated T&lt;inf&gt;REE&lt;/inf&gt; for available literature data from abyssal peridotites, subcontinental (SC) peridotites, and ophiolites around the world (Alps, Coast Range, Corsica, New Caledonia, Oman, Othris, Puerto Rico, Russia, and Turkey), and augmented the data with new measurements for peridotites from the Trinity and Josephine ophiolites and the Mariana trench. T&lt;inf&gt;REE&lt;/inf&gt; are compared to major element based thermometers, including the two-pyroxene thermometer of Brey and K??hler (1990) (T&lt;inf&gt;BKN&lt;/inf&gt;). Samples with SC affinity have T&lt;inf&gt;REE&lt;/inf&gt; and T&lt;inf&gt;BKN&lt;/inf&gt; in good agreement. Samples with MOR and SSZ affinity have near-solidus T&lt;inf&gt;REE&lt;/inf&gt; but T&lt;inf&gt;BKN&lt;/inf&gt; hundreds of degrees lower. Closure temperatures for REE and Fe-Mg in pyroxenes were calculated to compare cooling rates among abyssal peridotites, MOR ophiolites, and SSZ ophiolites. Abyssal peridotites appear to cool more rapidly than peridotites from most ophiolites. On average, SSZ ophiolites have lower closure temperatures than abyssal peridotites and many ophiolites with MOR affinity. We propose that these lower temperatures can be attributed to the residence time in the cooling oceanic lithosphere prior to obduction. MOR ophiolites define a continuum spanning cooling rates from SSZ ophiolites to abyssal peridotites. Consistent high closure temperatures for abyssal peridotites and the Oman and Corsica ophiolites suggests hydrothermal circulation and/or rapid cooling events (e.g., normal faulting, unroofing) control the late thermal histories of peridotites from transform faults and slow and fast spreading centers with or without a crustal section.","author":[{"dropping-particle":"","family":"Dygert","given":"Nick","non-dropping-particle":"","parse-names":false,"suffix":""},{"dropping-particle":"","family":"Liang","given":"Yan","non-dropping-particle":"","parse-names":false,"suffix":""}],"container-title":"Earth and Planetary Science Letters","id":"ITEM-1","issued":{"date-parts":[["2015"]]},"page":"151-161","title":"Temperatures and cooling rates recorded in REE in coexisting pyroxenes in ophiolitic and abyssal peridotites","type":"article-journal","volume":"420"},"uris":["http://www.mendeley.com/documents/?uuid=e48d5f74-9cf4-4c45-adcc-fe92d8ea473f"]}],"mendeley":{"formattedCitation":"(Dygert &amp; Liang, 2015)","manualFormatting":"Dygert &amp; Liang, 2015","plainTextFormattedCitation":"(Dygert &amp; Liang, 2015)","previouslyFormattedCitation":"(Dygert &amp; Liang, 2015)"},"properties":{"noteIndex":0},"schema":"https://github.com/citation-style-language/schema/raw/master/csl-citation.json"}</w:instrText>
      </w:r>
      <w:r w:rsidRPr="00C343DA">
        <w:rPr>
          <w:b w:val="0"/>
          <w:bCs w:val="0"/>
          <w:i/>
          <w:sz w:val="20"/>
          <w:szCs w:val="20"/>
        </w:rPr>
        <w:fldChar w:fldCharType="separate"/>
      </w:r>
      <w:r w:rsidRPr="00C343DA">
        <w:rPr>
          <w:b w:val="0"/>
          <w:bCs w:val="0"/>
          <w:noProof/>
          <w:sz w:val="20"/>
          <w:szCs w:val="20"/>
        </w:rPr>
        <w:t>Dygert &amp; Liang, 2015</w:t>
      </w:r>
      <w:r w:rsidRPr="00C343DA">
        <w:rPr>
          <w:b w:val="0"/>
          <w:bCs w:val="0"/>
          <w:i/>
          <w:sz w:val="20"/>
          <w:szCs w:val="20"/>
        </w:rPr>
        <w:fldChar w:fldCharType="end"/>
      </w:r>
      <w:r w:rsidRPr="00C343DA">
        <w:rPr>
          <w:b w:val="0"/>
          <w:bCs w:val="0"/>
          <w:sz w:val="20"/>
          <w:szCs w:val="20"/>
        </w:rPr>
        <w:t>, for details). The 1:1 line, shown in blue, represents equal temperatures for the two thermometers. Initial temperatures (T</w:t>
      </w:r>
      <w:r w:rsidRPr="00C343DA">
        <w:rPr>
          <w:b w:val="0"/>
          <w:bCs w:val="0"/>
          <w:sz w:val="20"/>
          <w:szCs w:val="20"/>
          <w:vertAlign w:val="subscript"/>
        </w:rPr>
        <w:t>0</w:t>
      </w:r>
      <w:r w:rsidRPr="00C343DA">
        <w:rPr>
          <w:b w:val="0"/>
          <w:bCs w:val="0"/>
          <w:sz w:val="20"/>
          <w:szCs w:val="20"/>
        </w:rPr>
        <w:t xml:space="preserve">) represent the peak temperatures from which samples cooled, the paths samples take in this temperature space are indicated by the magenta lines extending from initial temperatures along the blue 1:1 line. The near-vertical black lines represent cooling rates in °C/year. Assuming an effective grain radius of 0.5 mm, all samples in this study cooled at rates of 0.3°C/year or faster. Cooling rates calculated using the measured, sample specific grain sizes from samples with residual clinopyroxene are reported in Table </w:t>
      </w:r>
      <w:r>
        <w:rPr>
          <w:b w:val="0"/>
          <w:bCs w:val="0"/>
          <w:sz w:val="20"/>
          <w:szCs w:val="20"/>
        </w:rPr>
        <w:t>1.</w:t>
      </w:r>
      <w:r w:rsidRPr="00C343DA">
        <w:rPr>
          <w:b w:val="0"/>
          <w:bCs w:val="0"/>
          <w:sz w:val="20"/>
          <w:szCs w:val="20"/>
        </w:rPr>
        <w:t xml:space="preserve">3 and shown in Figure </w:t>
      </w:r>
      <w:r>
        <w:rPr>
          <w:b w:val="0"/>
          <w:bCs w:val="0"/>
          <w:sz w:val="20"/>
          <w:szCs w:val="20"/>
        </w:rPr>
        <w:t>1.</w:t>
      </w:r>
      <w:r w:rsidRPr="00C343DA">
        <w:rPr>
          <w:b w:val="0"/>
          <w:bCs w:val="0"/>
          <w:sz w:val="20"/>
          <w:szCs w:val="20"/>
        </w:rPr>
        <w:t xml:space="preserve">9 (blue symbols). (b) Shows samples from (a) with residual clinopyroxene from this study, alongside published samples from </w:t>
      </w:r>
      <w:r w:rsidRPr="00C343DA">
        <w:rPr>
          <w:b w:val="0"/>
          <w:bCs w:val="0"/>
          <w:i/>
          <w:sz w:val="20"/>
          <w:szCs w:val="20"/>
        </w:rPr>
        <w:fldChar w:fldCharType="begin" w:fldLock="1"/>
      </w:r>
      <w:r w:rsidRPr="00C343DA">
        <w:rPr>
          <w:b w:val="0"/>
          <w:bCs w:val="0"/>
          <w:sz w:val="20"/>
          <w:szCs w:val="20"/>
        </w:rPr>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2017)","manualFormatting":"Dygert et al., 2017","plainTextFormattedCitation":"(Dygert et al., 2017)","previouslyFormattedCitation":"(Dygert et al., 2017)"},"properties":{"noteIndex":0},"schema":"https://github.com/citation-style-language/schema/raw/master/csl-citation.json"}</w:instrText>
      </w:r>
      <w:r w:rsidRPr="00C343DA">
        <w:rPr>
          <w:b w:val="0"/>
          <w:bCs w:val="0"/>
          <w:i/>
          <w:sz w:val="20"/>
          <w:szCs w:val="20"/>
        </w:rPr>
        <w:fldChar w:fldCharType="separate"/>
      </w:r>
      <w:r w:rsidRPr="00C343DA">
        <w:rPr>
          <w:b w:val="0"/>
          <w:bCs w:val="0"/>
          <w:noProof/>
          <w:sz w:val="20"/>
          <w:szCs w:val="20"/>
        </w:rPr>
        <w:t>Dygert et al., 2017</w:t>
      </w:r>
      <w:r w:rsidRPr="00C343DA">
        <w:rPr>
          <w:b w:val="0"/>
          <w:bCs w:val="0"/>
          <w:i/>
          <w:sz w:val="20"/>
          <w:szCs w:val="20"/>
        </w:rPr>
        <w:fldChar w:fldCharType="end"/>
      </w:r>
      <w:r w:rsidRPr="00C343DA">
        <w:rPr>
          <w:b w:val="0"/>
          <w:bCs w:val="0"/>
          <w:sz w:val="20"/>
          <w:szCs w:val="20"/>
        </w:rPr>
        <w:t>, with structural depths of samples beneath the crust-mantle transition indicated (meters). The question mark indicates that the structural depth of Hess Deep peridotites relative to crust-mantle transition is unknown.</w:t>
      </w:r>
      <w:bookmarkEnd w:id="39"/>
      <w:r>
        <w:br w:type="page"/>
      </w:r>
    </w:p>
    <w:p w14:paraId="756EBD36" w14:textId="1ACF797C" w:rsidR="00405F30" w:rsidRDefault="00405F30" w:rsidP="003748C4">
      <w:pPr>
        <w:spacing w:line="360" w:lineRule="auto"/>
      </w:pPr>
      <w:r>
        <w:lastRenderedPageBreak/>
        <w:t>temperature intervals relevant to the thermometers. The proximity of samples investigated in this study to the crust-mantle transition may explain the systematically higher temperatures compared to the overall distribution of the ophiolitic data, which are from a range of structural depths in ophiolites that evolved in a variety of tectonic settings.</w:t>
      </w:r>
    </w:p>
    <w:p w14:paraId="05D35F2C" w14:textId="5E55C9D8" w:rsidR="0012183A" w:rsidRPr="000763CE" w:rsidRDefault="008D10C3" w:rsidP="00593E51">
      <w:pPr>
        <w:pStyle w:val="Heading2"/>
        <w:jc w:val="left"/>
      </w:pPr>
      <w:bookmarkStart w:id="40" w:name="_Toc109036125"/>
      <w:r>
        <w:t xml:space="preserve">5. </w:t>
      </w:r>
      <w:r w:rsidR="0012183A" w:rsidRPr="000763CE">
        <w:t>Discussion</w:t>
      </w:r>
      <w:bookmarkEnd w:id="40"/>
    </w:p>
    <w:p w14:paraId="18F6D0DC" w14:textId="5C846BDB" w:rsidR="0012183A" w:rsidRPr="00FB2B82" w:rsidRDefault="008D10C3" w:rsidP="00F24389">
      <w:pPr>
        <w:pStyle w:val="Heading3"/>
        <w:spacing w:line="360" w:lineRule="auto"/>
        <w:rPr>
          <w:bdr w:val="none" w:sz="0" w:space="0" w:color="auto" w:frame="1"/>
        </w:rPr>
      </w:pPr>
      <w:bookmarkStart w:id="41" w:name="_Toc109036126"/>
      <w:r>
        <w:rPr>
          <w:bdr w:val="none" w:sz="0" w:space="0" w:color="auto" w:frame="1"/>
        </w:rPr>
        <w:t xml:space="preserve">5.1 </w:t>
      </w:r>
      <w:r w:rsidR="0012183A" w:rsidRPr="00FB2B82">
        <w:rPr>
          <w:bdr w:val="none" w:sz="0" w:space="0" w:color="auto" w:frame="1"/>
        </w:rPr>
        <w:t>Significance of temperatures</w:t>
      </w:r>
      <w:bookmarkEnd w:id="41"/>
    </w:p>
    <w:p w14:paraId="07871631" w14:textId="5AD5C5F9" w:rsidR="003C07D0" w:rsidRDefault="0012183A" w:rsidP="00140C59">
      <w:pPr>
        <w:pStyle w:val="BodyTextFirstIndent"/>
        <w:spacing w:line="360" w:lineRule="auto"/>
      </w:pPr>
      <w:r>
        <w:t xml:space="preserve">Thermometers are empirical, </w:t>
      </w:r>
      <w:proofErr w:type="spellStart"/>
      <w:r>
        <w:t>semithermodynamic</w:t>
      </w:r>
      <w:proofErr w:type="spellEnd"/>
      <w:r>
        <w:t xml:space="preserve">, or thermodynamic models describing temperature-sensitive elemental exchange among a mineral assemblage in a sample. Three types of thermometers applied here are based on (1) exchange of a minor element for major element(s), e.g., Ca-in-olivine and Mg-in-plagioclase thermometers </w:t>
      </w:r>
      <w:r>
        <w:fldChar w:fldCharType="begin" w:fldLock="1"/>
      </w:r>
      <w:r>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applications","type":"article-journal","volume":"54"},"uris":["http://www.mendeley.com/documents/?uuid=91096bb6-4f27-4518-9a4e-e0c9afe14114"]},{"id":"ITEM-2","itemData":{"DOI":"10.1016/j.epsl.2018.01.032","ISSN":"0012821X","abstract":"A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Letters","id":"ITEM-2","issued":{"date-parts":[["2018","2","12"]]},"page":"165-178","publisher":"Elsevier B.V.","title":"aFormation of fast-spreading lower oceanic crust as revealed by a new Mg–REE coupled geospeedometer","type":"article-journal","volume":"487"},"uris":["http://www.mendeley.com/documents/?uuid=f486dd42-88a6-4fd7-8dea-0a2ba656c4dd"]}],"mendeley":{"formattedCitation":"(Köhler &amp; Brey, 1990; Sun &amp; Lissenberg, 2018a)","plainTextFormattedCitation":"(Köhler &amp; Brey, 1990; Sun &amp; Lissenberg, 2018a)","previouslyFormattedCitation":"(Köhler &amp; Brey, 1990; Sun &amp; Lissenberg, 2018a)"},"properties":{"noteIndex":0},"schema":"https://github.com/citation-style-language/schema/raw/master/csl-citation.json"}</w:instrText>
      </w:r>
      <w:r>
        <w:fldChar w:fldCharType="separate"/>
      </w:r>
      <w:r w:rsidRPr="008062D3">
        <w:rPr>
          <w:noProof/>
        </w:rPr>
        <w:t>(Köhler &amp; Brey, 1990; Sun &amp; Lissenberg, 2018a)</w:t>
      </w:r>
      <w:r>
        <w:fldChar w:fldCharType="end"/>
      </w:r>
      <w:r>
        <w:t>; (2) temperature sensitive Ca-Mg-Fe partitioning around the orthopyroxene-clinopyroxene solvus, as in</w:t>
      </w:r>
      <w:r w:rsidR="00140C59">
        <w:t xml:space="preserve"> </w:t>
      </w:r>
      <w:r>
        <w:t xml:space="preserve">two-pyroxene thermometers </w:t>
      </w:r>
      <w:r>
        <w:fldChar w:fldCharType="begin" w:fldLock="1"/>
      </w:r>
      <w:r>
        <w:instrText>ADDIN CSL_CITATION {"citationItems":[{"id":"ITEM-1","itemData":{"DOI":"https://doi.org/10.1093/petrology/31.6.1353","author":[{"dropping-particle":"","family":"Brey","given":"G. P.","non-dropping-particle":"","parse-names":false,"suffix":""},{"dropping-particle":"","family":"Köhler","given":"T. P.","non-dropping-particle":"","parse-names":false,"suffix":""}],"container-title":"Journal of Petrology","id":"ITEM-1","issue":"6","issued":{"date-parts":[["1990"]]},"page":"1353-1378","title":"Geothermobarometry in Four-phase Lherzolites II . New Thermobarometers , and Practical Assessment of Existing Thermobarometers","type":"article-journal","volume":"31"},"uris":["http://www.mendeley.com/documents/?uuid=a74c01ed-42e1-4e11-8756-60a802850c71"]}],"mendeley":{"formattedCitation":"(Brey &amp; Köhler, 1990)","manualFormatting":"(e.g., Brey &amp; Köhler, 1990)","plainTextFormattedCitation":"(Brey &amp; Köhler, 1990)","previouslyFormattedCitation":"(Brey &amp; Köhler, 1990)"},"properties":{"noteIndex":0},"schema":"https://github.com/citation-style-language/schema/raw/master/csl-citation.json"}</w:instrText>
      </w:r>
      <w:r>
        <w:fldChar w:fldCharType="separate"/>
      </w:r>
      <w:r w:rsidRPr="008062D3">
        <w:rPr>
          <w:noProof/>
        </w:rPr>
        <w:t>(</w:t>
      </w:r>
      <w:r>
        <w:rPr>
          <w:noProof/>
        </w:rPr>
        <w:t xml:space="preserve">e.g., </w:t>
      </w:r>
      <w:r w:rsidRPr="008062D3">
        <w:rPr>
          <w:noProof/>
        </w:rPr>
        <w:t>Brey &amp; Köhler, 1990)</w:t>
      </w:r>
      <w:r>
        <w:fldChar w:fldCharType="end"/>
      </w:r>
      <w:r>
        <w:t xml:space="preserve">; and (3) temperature-sensitive REE partitioning between coexisting phases, as in the REE-in-two pyroxene and REE-plagioclase-clinopyroxene thermometers </w:t>
      </w:r>
      <w:r>
        <w:fldChar w:fldCharType="begin" w:fldLock="1"/>
      </w:r>
      <w:r>
        <w:instrText>ADDIN CSL_CITATION {"citationItems":[{"id":"ITEM-1","itemData":{"DOI":"10.1016/j.gca.2012.10.035","ISBN":"0016-7037","ISSN":"00167037","abstract":"A REE-in-two-pyroxene thermometer for mafic and ultramafic rocks has been developed on the basis of the temperature and pyroxene composition dependent rare earth element (REE) partitioning between coexisting orthopyroxene and clinopyroxene. This trace element based two-pyroxene thermometer is built on two parameterized lattice strain models for REE partitioning between pyroxene and basaltic melt that were independently calibrated using data from pyroxene-melt partitioning experiments (Sun and Liang, 2012; Yao et al., 2012). By treating REE and Y as a group in temperature calculations, one can reduce analytical uncertainties in trace element analysis through least squares inversion of orthopyroxene-clinopyroxene partitioning data, and identify and exclude variations induced by secondary or metasomatic processes. For convenience, a simple robust regression program is provided for temperature inversion. Application of the REE-in-two-pyroxene thermometer to well-equilibrated spinel lherzolite and harzburgite xenoliths from the continental lithosphere demonstrates the internal consistency of the two pyroxene-melt REE partitioning models and the trace and major element based pyroxene thermometers: temperatures derived from the REE-in-two-pyroxene thermometer agree very well with temperatures calculated using major element based pyroxene thermometers. Applications of the REE-in-two-pyroxene thermometer to abyssal peridotites and mafic cumulates reveal a significant difference in the calculated temperatures between the REE and major element based pyroxene thermometers: temperatures derived from the REE-in-two-pyroxene thermometer are consistently higher than those derived from the major element based pyroxene thermometers. This discrepancy in temperature likely results from a difference in diffusion rate and hence closure temperature between the 2+ and 3+ cations in the pyroxenes. An independently calibrated REE-in-two-pyroxene thermometer may offer new insight into the thermal history of mafic and ultramafic rocks from the upper mantle and lower crust. ?? 2012 Elsevier Ltd.","author":[{"dropping-particle":"","family":"Liang","given":"Yan","non-dropping-particle":"","parse-names":false,"suffix":""},{"dropping-particle":"","family":"Sun","given":"Chenguang","non-dropping-particle":"","parse-names":false,"suffix":""},{"dropping-particle":"","family":"Yao","given":"Lijing","non-dropping-particle":"","parse-names":false,"suffix":""}],"container-title":"Geochimica et Cosmochimica Acta","id":"ITEM-1","issued":{"date-parts":[["2013"]]},"page":"246-260","publisher":"Elsevier Ltd","title":"A REE-in-two-pyroxene thermometer for mafic and ultramafic rocks","type":"article-journal","volume":"102"},"uris":["http://www.mendeley.com/documents/?uuid=b26fbd8f-ada8-4bbd-b9f4-769e52f10d9a"]},{"id":"ITEM-2","itemData":{"DOI":"10.1007/s00410-016-1326-9","ISBN":"0041001613","ISSN":"00107999","abstract":"differences appear between the REE-and Mg-exchange thermometers for the volcanic and cumulate rocks. Through numerical simulations of diffusion in plagioclase-clinopy-roxene systems, we demonstrate that (1) due to their slower diffusion rates, REE in minerals preferentially records crys-tallization or near-crystallization temperatures of the rock, and that (2) Mg is readily rest to lower temperatures for rocks from intermediately or slowly cooled magma bodies but records the initial crystallization temperatures of rocks from rapidly cooled magmas. Given their distinct diffusive responses to temperature changes, REE and Mg closure temperatures recorded by the two thermometers can be used in concert to study thermal and magmatic histories of plagioclase-and clinopyroxene-bearing rocks.","author":[{"dropping-particle":"","family":"Sun","given":"Chenguang","non-dropping-particle":"","parse-names":false,"suffix":""},{"dropping-particle":"","family":"Liang","given":"Yan","non-dropping-particle":"","parse-names":false,"suffix":""}],"container-title":"Contributions to Mineralogy and Petrology","id":"ITEM-2","issue":"4","issued":{"date-parts":[["2017"]]},"page":"1-20","publisher":"Springer Berlin Heidelberg","title":"A REE-in-plagioclase–clinopyroxene thermometer for crustal rocks","type":"article-journal","volume":"172"},"uris":["http://www.mendeley.com/documents/?uuid=3aed1e81-ac55-444c-aa5b-566f814d31e5"]}],"mendeley":{"formattedCitation":"(Liang et al., 2013; Sun &amp; Liang, 2017)","plainTextFormattedCitation":"(Liang et al., 2013; Sun &amp; Liang, 2017)","previouslyFormattedCitation":"(Liang et al., 2013; Sun &amp; Liang, 2017)"},"properties":{"noteIndex":0},"schema":"https://github.com/citation-style-language/schema/raw/master/csl-citation.json"}</w:instrText>
      </w:r>
      <w:r>
        <w:fldChar w:fldCharType="separate"/>
      </w:r>
      <w:r w:rsidRPr="008062D3">
        <w:rPr>
          <w:noProof/>
        </w:rPr>
        <w:t>(Liang et al., 2013; Sun &amp; Liang, 2017)</w:t>
      </w:r>
      <w:r>
        <w:fldChar w:fldCharType="end"/>
      </w:r>
      <w:r>
        <w:t xml:space="preserve">. The applicability of each thermometer depends on the mineralogy and composition of the sample and the calibration range of the thermometer. To obtain meaningful temperatures, analytical data must be accurate and representative, and the sample must have achieved chemical equilibrium before cooling, and not have been chemically disturbed by metasomatic, melt-rock reaction or other geologic processes that produce disequilibrium at the grain or thin section scales. </w:t>
      </w:r>
    </w:p>
    <w:p w14:paraId="7B15E607" w14:textId="05A4B829" w:rsidR="003C07D0" w:rsidRPr="00A6712E" w:rsidRDefault="0012183A" w:rsidP="00F24389">
      <w:pPr>
        <w:pStyle w:val="BodyTextFirstIndent"/>
        <w:spacing w:line="360" w:lineRule="auto"/>
      </w:pPr>
      <w:proofErr w:type="gramStart"/>
      <w:r>
        <w:t>With the exception of</w:t>
      </w:r>
      <w:proofErr w:type="gramEnd"/>
      <w:r>
        <w:t xml:space="preserve"> the Hess Deep gabbros </w:t>
      </w:r>
      <w:r w:rsidRPr="009B1DC7">
        <w:t xml:space="preserve">(see Section </w:t>
      </w:r>
      <w:r>
        <w:t>5</w:t>
      </w:r>
      <w:r w:rsidRPr="009B1DC7">
        <w:t>.1.1</w:t>
      </w:r>
      <w:r>
        <w:t xml:space="preserve"> below</w:t>
      </w:r>
      <w:r w:rsidRPr="009B1DC7">
        <w:t xml:space="preserve">), our new geochemical data meet the aforementioned criteria. The data are accurate (e.g., as demonstrated by replicate analyses of reference material BCR as an unknown, Table </w:t>
      </w:r>
      <w:r w:rsidR="006C6530">
        <w:t>1.4</w:t>
      </w:r>
      <w:r w:rsidRPr="009B1DC7">
        <w:t xml:space="preserve">) reproducible (as demonstrated by small standard deviations of replicate analyses, Tables </w:t>
      </w:r>
      <w:r w:rsidR="006C6530">
        <w:t>1.5</w:t>
      </w:r>
      <w:r w:rsidRPr="009B1DC7">
        <w:t>-</w:t>
      </w:r>
      <w:r w:rsidR="006C6530">
        <w:t>1.</w:t>
      </w:r>
      <w:r w:rsidRPr="009B1DC7">
        <w:t xml:space="preserve">8), and representative, as major and trace element data were collected across multiple grains in each sample (in many cases, in core-rim traverses). Minerals in peridotites from Hess Deep and </w:t>
      </w:r>
      <w:proofErr w:type="spellStart"/>
      <w:r w:rsidRPr="009B1DC7">
        <w:t>Oman</w:t>
      </w:r>
      <w:r>
        <w:t>DP</w:t>
      </w:r>
      <w:proofErr w:type="spellEnd"/>
      <w:r w:rsidRPr="009B1DC7">
        <w:t xml:space="preserve"> are minimally zoned, and the slight </w:t>
      </w:r>
      <w:r w:rsidRPr="00A6712E">
        <w:lastRenderedPageBreak/>
        <w:t>depletions in Al</w:t>
      </w:r>
      <w:r w:rsidRPr="00A6712E">
        <w:rPr>
          <w:vertAlign w:val="subscript"/>
        </w:rPr>
        <w:t>2</w:t>
      </w:r>
      <w:r w:rsidRPr="00A6712E">
        <w:t>O</w:t>
      </w:r>
      <w:r w:rsidRPr="00A6712E">
        <w:rPr>
          <w:vertAlign w:val="subscript"/>
        </w:rPr>
        <w:t>3</w:t>
      </w:r>
      <w:r w:rsidRPr="00A6712E">
        <w:t>, Cr</w:t>
      </w:r>
      <w:r w:rsidRPr="00A6712E">
        <w:rPr>
          <w:vertAlign w:val="subscript"/>
        </w:rPr>
        <w:t>2</w:t>
      </w:r>
      <w:r w:rsidRPr="00A6712E">
        <w:t>O</w:t>
      </w:r>
      <w:r w:rsidRPr="00A6712E">
        <w:rPr>
          <w:vertAlign w:val="subscript"/>
        </w:rPr>
        <w:t>3</w:t>
      </w:r>
      <w:r w:rsidRPr="00A6712E">
        <w:t xml:space="preserve"> and </w:t>
      </w:r>
      <w:proofErr w:type="spellStart"/>
      <w:r w:rsidRPr="00A6712E">
        <w:t>CaO</w:t>
      </w:r>
      <w:proofErr w:type="spellEnd"/>
      <w:r w:rsidRPr="00A6712E">
        <w:t xml:space="preserve"> in pyroxene rims are consistent with </w:t>
      </w:r>
      <w:proofErr w:type="spellStart"/>
      <w:r w:rsidRPr="00A6712E">
        <w:t>subsolidus</w:t>
      </w:r>
      <w:proofErr w:type="spellEnd"/>
      <w:r w:rsidRPr="00A6712E">
        <w:t xml:space="preserve"> exchange between pyroxenes and with spinel during cooling </w:t>
      </w:r>
      <w:r w:rsidRPr="00A6712E">
        <w:fldChar w:fldCharType="begin" w:fldLock="1"/>
      </w:r>
      <w:r w:rsidRPr="00A6712E">
        <w:instrText xml:space="preserve">ADDIN CSL_CITATION {"citationItems":[{"id":"ITEM-1","itemData":{"DOI":"10.1016/S0009-2541(96)00083-6","ISSN":"00092541","abstract":"Processes occurring in the Earth's upper mantle are important in controlling evolution of the crust-mantle system. The effects of multiple igneous and metamorphic processes are recorded in upper-mantle peridotites, such as the Horoman Peridotite in Hokkaido, Japan. Geochemical studies of these peridotites and their minerals, combined with determination of the spatial geochemical variations, can be used to understand the sequence of processes that affected the peridotite. In this study we show that compositional zoning patterns of major and trace elements in clinopyroxene porphyroclasts reflect a sub-solidus, closed-system transition from garnet peridotite, equilibrated at 20-24 kbar and 1040-1160°C, to plagioclase peridotite equilibrated at </w:instrText>
      </w:r>
      <w:r w:rsidRPr="00A6712E">
        <w:rPr>
          <w:rFonts w:ascii="Cambria Math" w:hAnsi="Cambria Math" w:cs="Cambria Math"/>
        </w:rPr>
        <w:instrText>∼</w:instrText>
      </w:r>
      <w:r w:rsidRPr="00A6712E">
        <w:instrText xml:space="preserve"> 7 kbar and 850-950°C. The preservation of compositionally zoned pyroxenes indicates that this transition was a relatively recent process that probably occurred as the Horoman Peridotite was emplaced into the Hidaka metamorphic belt. The clinopyroxene compositions also show that: (1) harzburgites and lherzolites reacted with a fluid/melt that resulted in relative enrichment of highly incompatible elements, such as the light rare-earth elements; and (2) this enrichment process preceded the sub-solidus breakdown of garnet.","author":[{"dropping-particle":"","family":"Takazawa","given":"E.","non-dropping-particle":"","parse-names":false,"suffix":""},{"dropping-particle":"","family":"Frey","given":"F.","non-dropping-particle":"","parse-names":false,"suffix":""},{"dropping-particle":"","family":"Shimizu","given":"N.","non-dropping-particle":"","parse-names":false,"suffix":""},{"dropping-particle":"","family":"Obata","given":"M.","non-dropping-particle":"","parse-names":false,"suffix":""}],"container-title":"Chemical Geology","id":"ITEM-1","issue":"1-3","issued":{"date-parts":[["1996"]]},"page":"3-26","title":"Evolution of the Horoman Peridotite (Hokkaido, Japan): Implications from pyroxene compositions","type":"article-journal","volume":"134"},"uris":["http://www.mendeley.com/documents/?uuid=d490c3b9-0bdd-440f-be80-2fbcf3d25229"]},{"id":"ITEM-2","itemData":{"DOI":"10.1093/petrology/egw018","ISSN":"14602415","abstract":"© The Author 2016. Published by Oxford University Press. All rights reserved.Tabular dunite bodies are thought to represent remnants of high-porosity pathways for efficient melt extraction from the mantle. They form by melt-rock reaction, an important physical process that affects the compositions of dunite-hosted basaltic melts and the mantle they originate from. To better understand melt-rock interactions in dunite channels, we analyzed clinopyroxene and orthopyroxene in samples collected across an ~20 m wide dunite-harzburgite-lherzolite-plagioclase lherzolite sequence in the previously well-studied Trinity ophiolite. We found spatial variation and fractionation in minor and trace elements in the constituent minerals. Rare earth element (REE) and high field strength element concentrations increase in unison about 9 m from the dunite-harzburgite contact. Minor elements in clinopyroxene also increase ~9 m from the dunite-harzburgite contact, and NiO contents in olivine increase ~3 m from the dunite-harzburgite contact. Clinopyroxene grains in plagioclase lherzolite samples farthest from the dunite-harzburgite contact exhibit core-to-rim variations in minor and trace elements that mimic the outcrop-scale chemical trends. Collectively, the lithological sequence and major and trace element concentration gradients suggest that a two-stage history of evolution is preserved at Trinity. In the first stage, a cooling melt infiltrated a harzburgitic residue of partial melting, precipitating plagioclase and pyroxene and forming plagioclase lherzolite. In the second stage, a trace element depleted, pyroxene- and plagioclase-undersaturated melt migrated from the dunite channel into the plagioclase lherzolite, forming a hybridized composition by reaction with the plagioclase lherzolite. Because Ni is relatively fast diffusing and compatible in olivine, it was chromatographically fractionated from other trace elements during the infiltration event. Orthopyroxene-saturated melt precipitated new clinopyroxene with depleted major and trace element compositions as it cooled in the dunite, harzburgite, and lherzolite. The REE abundances of the melts in equilibrium with dunite, harzburgite, and lherzolite are similar to those of boninitic dikes that cut crustal units at Trinity, and the infiltrating melts may be genetically related to the dikes. Dunite-harzburgite-lherzolite-plagioclase lherzolite sequences from Trinity and other peridotites probably formed by similar pro…","author":[{"dropping-particle":"","family":"Dygert","given":"Nick","non-dropping-particle":"","parse-names":false,"suffix":""},{"dropping-particle":"","family":"Liang","given":"Yan","non-dropping-particle":"","parse-names":false,"suffix":""},{"dropping-particle":"","family":"Kelemen","given":"Peter B.","non-dropping-particle":"","parse-names":false,"suffix":""}],"container-title":"Journal of Petrology","id":"ITEM-2","issue":"4","issued":{"date-parts":[["2016"]]},"page":"815-838","title":"Formation of plagioclase lherzolite and associated dunite-harzburgite-lherzolite sequences by multiple episodes of melt percolation and melt-rock reaction: An example from the trinity ophiolite, California, USA","type":"article-journal","volume":"57"},"uris":["http://www.mendeley.com/documents/?uuid=89599344-b25b-4008-9f6a-abaef0bc4e07"]}],"mendeley":{"formattedCitation":"(Dygert et al., 2016; Takazawa et al., 1996)","manualFormatting":"(e.g. Dygert et al., 2016; Takazawa et al., 1996)","plainTextFormattedCitation":"(Dygert et al., 2016; Takazawa et al., 1996)","previouslyFormattedCitation":"(Dygert et al., 2016; Takazawa et al., 1996)"},"properties":{"noteIndex":0},"schema":"https://github.com/citation-style-language/schema/raw/master/csl-citation.json"}</w:instrText>
      </w:r>
      <w:r w:rsidRPr="00A6712E">
        <w:fldChar w:fldCharType="separate"/>
      </w:r>
      <w:r w:rsidRPr="00A6712E">
        <w:rPr>
          <w:noProof/>
        </w:rPr>
        <w:t>(e.g. Dygert et al., 2016; Takazawa et al., 1996)</w:t>
      </w:r>
      <w:r w:rsidRPr="00A6712E">
        <w:fldChar w:fldCharType="end"/>
      </w:r>
      <w:r w:rsidRPr="00A6712E">
        <w:t xml:space="preserve">. The </w:t>
      </w:r>
      <w:proofErr w:type="spellStart"/>
      <w:r w:rsidRPr="00A6712E">
        <w:t>Oman</w:t>
      </w:r>
      <w:r>
        <w:t>DP</w:t>
      </w:r>
      <w:proofErr w:type="spellEnd"/>
      <w:r w:rsidRPr="00A6712E">
        <w:t xml:space="preserve"> </w:t>
      </w:r>
      <w:proofErr w:type="spellStart"/>
      <w:r w:rsidRPr="00A6712E">
        <w:t>gabbros</w:t>
      </w:r>
      <w:proofErr w:type="spellEnd"/>
      <w:r w:rsidRPr="00A6712E">
        <w:t xml:space="preserve"> are also largely </w:t>
      </w:r>
      <w:proofErr w:type="spellStart"/>
      <w:r w:rsidRPr="00A6712E">
        <w:t>unzoned</w:t>
      </w:r>
      <w:proofErr w:type="spellEnd"/>
      <w:r w:rsidRPr="00A6712E">
        <w:t xml:space="preserve"> (see Sections 4.1.1 and 4.2.2). In all samples, REE abundances and LREE depletion are consistent with adiabatic decompression melting rather than metasomatic interactions that could perturb REE-based temperatures </w:t>
      </w:r>
      <w:r w:rsidRPr="00A6712E">
        <w:fldChar w:fldCharType="begin" w:fldLock="1"/>
      </w:r>
      <w:r w:rsidRPr="00A6712E">
        <w:instrText>ADDIN CSL_CITATION {"citationItems":[{"id":"ITEM-1","itemData":{"DOI":"10.1086/629131","ISBN":"0876615140","ISSN":"0022-1376","author":[{"dropping-particle":"","family":"Navon","given":"Oded","non-dropping-particle":"","parse-names":false,"suffix":""},{"dropping-particle":"","family":"Stolper","given":"Edward","non-dropping-particle":"","parse-names":false,"suffix":""}],"container-title":"The Journal of Geology","id":"ITEM-1","issue":"3","issued":{"date-parts":[["1987","5"]]},"page":"285-307","title":"Geochemical Consequences of Melt Percolation: The Upper Mantle as a Chromatographic Column","type":"article-journal","volume":"95"},"uris":["http://www.mendeley.com/documents/?uuid=32c131e8-6e16-4c1c-9b30-9fe119507ebf"]},{"id":"ITEM-2","itemData":{"DOI":"10.1029/JB095iB03p02661","ISBN":"0148-0227","ISSN":"2156-2202","abstract":"A systematic study of rare earth and other trace elements in discrete diopsides from residual abyssal peridotires sampled from 5000 km of ocean ridge demonstrates that they are the residues of variable degrees of melting in the garnet and spinel peridotitc fields. Further, the data clearly demonstrate that the peridotires are the residues of near-fractional melting, not batch melting, and that typical abyssal basalt can evolve from aggregated fractional melts. Ion microprobe analyses of diopsides in abyssal peridotires from fracture zones along the America-Antarctica and Southwest Indian ridges reveal ubiquitous extreme fractionation of rare earth elements (REE) ([Ce/Yb]n=0.002-0.05); depletion of Ti 000-1600 ppm), Zr (0.1-10 ppm), and Sr (0.1-10 ppm); and fractionation of Zr relative to Ti (Ti/Zr=250-4000). Ti and Zr in diopsides decrease with decreasing modal cpx in the peridotires, and samples dredged near hotspots are more depleted in incompatible elements than those dredged away from hotspots, consistent with higher degrees upper mantle melting in the former. All studied samples exhibit marked negative anomalies in Ti and Zr relative to REE. Incompatible element concentrations in peridotite clinopyroxenes are well modeled by repeated melting and segregation in _&lt;0.1% increments to a total of 5-25% melting, a process very close to Rayleigh (fractional) melting; batch melting of a LREE-depleted source cannot account for the observed trace element concentrations in abyssal peridotites. The shapes of some REE patterns are consistent with variable degrees of melting initiated within the garnet stability field. Trace element concentrations in calculated integrated fractional liquids approximate the composition of primitive ocean floor basalts, consistent with postsegregation aggregation of small increment melts produced over a depth and melting interval.","author":[{"dropping-particle":"","family":"Johnson","given":"Kevin T M","non-dropping-particle":"","parse-names":false,"suffix":""},{"dropping-particle":"","family":"Dick","given":"Henry J.B.","non-dropping-particle":"","parse-names":false,"suffix":""},{"dropping-particle":"","family":"Shimizu","given":"Nobumichi","non-dropping-particle":"","parse-names":false,"suffix":""}],"container-title":"Journal of Geophysical Research","id":"ITEM-2","issue":"10","issued":{"date-parts":[["1990"]]},"page":"2661-2678","title":"Melting in the Oceanic Upper Mantle' An Ion Microprobe Study of Diopsides in Abyssal Peridotites","type":"article-journal","volume":"95"},"uris":["http://www.mendeley.com/documents/?uuid=3a45ac14-735e-42be-906b-f52793305593"]}],"mendeley":{"formattedCitation":"(Johnson et al., 1990; Navon &amp; Stolper, 1987)","manualFormatting":"(e.g. Johnson et al., 1990; Navon &amp; Stolper, 1987)","plainTextFormattedCitation":"(Johnson et al., 1990; Navon &amp; Stolper, 1987)","previouslyFormattedCitation":"(Johnson et al., 1990; Navon &amp; Stolper, 1987)"},"properties":{"noteIndex":0},"schema":"https://github.com/citation-style-language/schema/raw/master/csl-citation.json"}</w:instrText>
      </w:r>
      <w:r w:rsidRPr="00A6712E">
        <w:fldChar w:fldCharType="separate"/>
      </w:r>
      <w:r w:rsidRPr="00A6712E">
        <w:rPr>
          <w:noProof/>
        </w:rPr>
        <w:t>(e.g. Johnson et al., 1990; Navon &amp; Stolper, 1987)</w:t>
      </w:r>
      <w:r w:rsidRPr="00A6712E">
        <w:fldChar w:fldCharType="end"/>
      </w:r>
      <w:r w:rsidRPr="00A6712E">
        <w:t xml:space="preserve">. We note that the slightly elevated La abundances in two Hess Deep peridotites (Figure </w:t>
      </w:r>
      <w:r w:rsidR="005C3691">
        <w:t>1.</w:t>
      </w:r>
      <w:r w:rsidRPr="00A6712E">
        <w:t xml:space="preserve">4) are excluded from temperature </w:t>
      </w:r>
      <w:r w:rsidRPr="5DE9AB8D">
        <w:t>determinations</w:t>
      </w:r>
      <w:r w:rsidRPr="00A6712E">
        <w:t xml:space="preserve"> </w:t>
      </w:r>
      <w:r w:rsidRPr="5DE9AB8D">
        <w:t xml:space="preserve">(a summary of the inversion diagrams used to obtain </w:t>
      </w:r>
      <w:r w:rsidRPr="15BFB69E">
        <w:rPr>
          <w:i/>
        </w:rPr>
        <w:t>T</w:t>
      </w:r>
      <w:r w:rsidRPr="15BFB69E">
        <w:rPr>
          <w:i/>
          <w:vertAlign w:val="subscript"/>
        </w:rPr>
        <w:t xml:space="preserve">REE-in-two-Pyroxene </w:t>
      </w:r>
      <w:r w:rsidRPr="5DE9AB8D">
        <w:t xml:space="preserve">and </w:t>
      </w:r>
      <w:r w:rsidRPr="00A4372A">
        <w:rPr>
          <w:i/>
          <w:bdr w:val="none" w:sz="0" w:space="0" w:color="auto" w:frame="1"/>
        </w:rPr>
        <w:t>T</w:t>
      </w:r>
      <w:r w:rsidRPr="00A4372A">
        <w:rPr>
          <w:i/>
          <w:bdr w:val="none" w:sz="0" w:space="0" w:color="auto" w:frame="1"/>
          <w:vertAlign w:val="subscript"/>
        </w:rPr>
        <w:t>REE-in-CPX-</w:t>
      </w:r>
      <w:proofErr w:type="spellStart"/>
      <w:r w:rsidRPr="00A4372A">
        <w:rPr>
          <w:i/>
          <w:bdr w:val="none" w:sz="0" w:space="0" w:color="auto" w:frame="1"/>
          <w:vertAlign w:val="subscript"/>
        </w:rPr>
        <w:t>Plag</w:t>
      </w:r>
      <w:proofErr w:type="spellEnd"/>
      <w:r w:rsidRPr="5DE9AB8D">
        <w:t xml:space="preserve"> temperatures is presented</w:t>
      </w:r>
      <w:r w:rsidRPr="00E33E3D">
        <w:t xml:space="preserve"> in Figure </w:t>
      </w:r>
      <w:r w:rsidR="005C3691">
        <w:t>1.1</w:t>
      </w:r>
      <w:r w:rsidRPr="00FB2B82">
        <w:t>2</w:t>
      </w:r>
      <w:r w:rsidR="005C3691">
        <w:t xml:space="preserve"> in Appendix 1</w:t>
      </w:r>
      <w:r w:rsidRPr="00A6712E">
        <w:t xml:space="preserve">; see </w:t>
      </w:r>
      <w:r w:rsidRPr="00A6712E">
        <w:fldChar w:fldCharType="begin" w:fldLock="1"/>
      </w:r>
      <w:r>
        <w:instrText>ADDIN CSL_CITATION {"citationItems":[{"id":"ITEM-1","itemData":{"DOI":"10.1016/j.gca.2012.10.035","ISBN":"0016-7037","ISSN":"00167037","abstract":"A REE-in-two-pyroxene thermometer for mafic and ultramafic rocks has been developed on the basis of the temperature and pyroxene composition dependent rare earth element (REE) partitioning between coexisting orthopyroxene and clinopyroxene. This trace element based two-pyroxene thermometer is built on two parameterized lattice strain models for REE partitioning between pyroxene and basaltic melt that were independently calibrated using data from pyroxene-melt partitioning experiments (Sun and Liang, 2012; Yao et al., 2012). By treating REE and Y as a group in temperature calculations, one can reduce analytical uncertainties in trace element analysis through least squares inversion of orthopyroxene-clinopyroxene partitioning data, and identify and exclude variations induced by secondary or metasomatic processes. For convenience, a simple robust regression program is provided for temperature inversion. Application of the REE-in-two-pyroxene thermometer to well-equilibrated spinel lherzolite and harzburgite xenoliths from the continental lithosphere demonstrates the internal consistency of the two pyroxene-melt REE partitioning models and the trace and major element based pyroxene thermometers: temperatures derived from the REE-in-two-pyroxene thermometer agree very well with temperatures calculated using major element based pyroxene thermometers. Applications of the REE-in-two-pyroxene thermometer to abyssal peridotites and mafic cumulates reveal a significant difference in the calculated temperatures between the REE and major element based pyroxene thermometers: temperatures derived from the REE-in-two-pyroxene thermometer are consistently higher than those derived from the major element based pyroxene thermometers. This discrepancy in temperature likely results from a difference in diffusion rate and hence closure temperature between the 2+ and 3+ cations in the pyroxenes. An independently calibrated REE-in-two-pyroxene thermometer may offer new insight into the thermal history of mafic and ultramafic rocks from the upper mantle and lower crust. ?? 2012 Elsevier Ltd.","author":[{"dropping-particle":"","family":"Liang","given":"Yan","non-dropping-particle":"","parse-names":false,"suffix":""},{"dropping-particle":"","family":"Sun","given":"Chenguang","non-dropping-particle":"","parse-names":false,"suffix":""},{"dropping-particle":"","family":"Yao","given":"Lijing","non-dropping-particle":"","parse-names":false,"suffix":""}],"container-title":"Geochimica et Cosmochimica Acta","id":"ITEM-1","issued":{"date-parts":[["2013"]]},"page":"246-260","publisher":"Elsevier Ltd","title":"A REE-in-two-pyroxene thermometer for mafic and ultramafic rocks","type":"article-journal","volume":"102"},"uris":["http://www.mendeley.com/documents/?uuid=b26fbd8f-ada8-4bbd-b9f4-769e52f10d9a"]},{"id":"ITEM-2","itemData":{"DOI":"10.1007/s00410-016-1326-9","ISBN":"0041001613","ISSN":"00107999","abstract":"differences appear between the REE-and Mg-exchange thermometers for the volcanic and cumulate rocks. Through numerical simulations of diffusion in plagioclase-clinopy-roxene systems, we demonstrate that (1) due to their slower diffusion rates, REE in minerals preferentially records crys-tallization or near-crystallization temperatures of the rock, and that (2) Mg is readily rest to lower temperatures for rocks from intermediately or slowly cooled magma bodies but records the initial crystallization temperatures of rocks from rapidly cooled magmas. Given their distinct diffusive responses to temperature changes, REE and Mg closure temperatures recorded by the two thermometers can be used in concert to study thermal and magmatic histories of plagioclase-and clinopyroxene-bearing rocks.","author":[{"dropping-particle":"","family":"Sun","given":"Chenguang","non-dropping-particle":"","parse-names":false,"suffix":""},{"dropping-particle":"","family":"Liang","given":"Yan","non-dropping-particle":"","parse-names":false,"suffix":""}],"container-title":"Contributions to Mineralogy and Petrology","id":"ITEM-2","issue":"4","issued":{"date-parts":[["2017"]]},"page":"1-20","publisher":"Springer Berlin Heidelberg","title":"A REE-in-plagioclase–clinopyroxene thermometer for crustal rocks","type":"article-journal","volume":"172"},"uris":["http://www.mendeley.com/documents/?uuid=3aed1e81-ac55-444c-aa5b-566f814d31e5"]}],"mendeley":{"formattedCitation":"(Liang et al., 2013; Sun &amp; Liang, 2017)","manualFormatting":"Liang et al., 2013 and Sun &amp; Liang, 2017","plainTextFormattedCitation":"(Liang et al., 2013; Sun &amp; Liang, 2017)","previouslyFormattedCitation":"(Liang et al., 2013; Sun &amp; Liang, 2017)"},"properties":{"noteIndex":0},"schema":"https://github.com/citation-style-language/schema/raw/master/csl-citation.json"}</w:instrText>
      </w:r>
      <w:r w:rsidRPr="00A6712E">
        <w:fldChar w:fldCharType="separate"/>
      </w:r>
      <w:r w:rsidRPr="00A6712E">
        <w:rPr>
          <w:noProof/>
        </w:rPr>
        <w:t>Liang et al., 2013 and Sun &amp; Liang, 2017</w:t>
      </w:r>
      <w:r w:rsidRPr="00A6712E">
        <w:fldChar w:fldCharType="end"/>
      </w:r>
      <w:r w:rsidRPr="00A6712E">
        <w:t xml:space="preserve">, for a description of the methods). These observations all support interpretation of the </w:t>
      </w:r>
      <w:r>
        <w:t xml:space="preserve">Hess Deep and </w:t>
      </w:r>
      <w:proofErr w:type="spellStart"/>
      <w:r>
        <w:t>OmanDP</w:t>
      </w:r>
      <w:proofErr w:type="spellEnd"/>
      <w:r>
        <w:t xml:space="preserve"> </w:t>
      </w:r>
      <w:r w:rsidRPr="00A6712E">
        <w:t xml:space="preserve">peridotite and </w:t>
      </w:r>
      <w:proofErr w:type="spellStart"/>
      <w:r w:rsidRPr="00A6712E">
        <w:t>Oman</w:t>
      </w:r>
      <w:r>
        <w:t>DP</w:t>
      </w:r>
      <w:proofErr w:type="spellEnd"/>
      <w:r w:rsidRPr="00A6712E">
        <w:t xml:space="preserve"> gabbro temperatures as bulk (mineral average) closure temperatures, i.e., temperatures locked in by the effective cessation of an exchange reaction during cooling (see Section 5.2).</w:t>
      </w:r>
    </w:p>
    <w:p w14:paraId="41177A65" w14:textId="7E4221C6" w:rsidR="0012183A" w:rsidRPr="00A6712E" w:rsidRDefault="008D10C3" w:rsidP="00F24389">
      <w:pPr>
        <w:pStyle w:val="Style1"/>
        <w:spacing w:line="360" w:lineRule="auto"/>
      </w:pPr>
      <w:bookmarkStart w:id="42" w:name="_Toc109036127"/>
      <w:r>
        <w:t xml:space="preserve">5.1.1 </w:t>
      </w:r>
      <w:r w:rsidR="0012183A" w:rsidRPr="70EE836C">
        <w:t>Hess Deep gabbros may not record meaningful cooling rates</w:t>
      </w:r>
      <w:bookmarkEnd w:id="42"/>
      <w:r w:rsidR="0012183A" w:rsidRPr="70EE836C">
        <w:t xml:space="preserve"> </w:t>
      </w:r>
    </w:p>
    <w:p w14:paraId="3528C242" w14:textId="5618BE38" w:rsidR="003C07D0" w:rsidRDefault="0012183A" w:rsidP="00F24389">
      <w:pPr>
        <w:pStyle w:val="BodyTextFirstIndent"/>
        <w:spacing w:line="360" w:lineRule="auto"/>
      </w:pPr>
      <w:r>
        <w:t xml:space="preserve">Previously, workers interpreted chemical variations in Hess Deep gabbros as reflecting reactive transport of melts through crystal mushes in the lower oceanic crust </w:t>
      </w:r>
      <w:r>
        <w:fldChar w:fldCharType="begin" w:fldLock="1"/>
      </w:r>
      <w:r>
        <w:instrText>ADDIN CSL_CITATION {"citationItems":[{"id":"ITEM-1","itemData":{"DOI":"10.1016/j.epsl.2012.11.012","ISBN":"0012821X","ISSN":"0012821X","abstract":"Mid-ocean ridge basalt (MORB) is the most abundant magma on Earth, and provides a geochemical window into the mantle. Deriving mantle composition and melting processes from the erupted lavas requires correction to be made for their evolution as they pass through and generate the oceanic crust. This is typically done by assuming that modification of melts in crustal magma chambers occurs exclusively by fractional crystallisation. However, extensive mineral major- and trace element data from a full section of fast-spread lower crustal rocks exposed in Hess Deep (equatorial Pacific Ocean) demonstrate that their evolution is instead controlled by reactive porous flow. These reactions lead to a strong enrichment in, and fractionation of, incompatible trace elements in the melt (as recorded by clinopyroxene compositions), leading to melt compositions far outside of the compositional realm of MORB both in terms of trace element abundances and ratios. The reactive signature increases in strength up section, peaking in varitextured gabbros interpreted to represent the fossilised axial melt lens, indicating that reactive porous flow occurred on the scale of the entire lower crust. The enrichment of the melt is coupled with a strong trace element depletion of plagioclase, olivine, and, to a lesser extent, clinopyroxene cores, suggesting that these phases represent the residues of the reactions from which trace elements have been removed. The dominant role of reactive porous flow, and the resulting deviations from fractional crystallisation predictions, suggest that the lower oceanic crust plays a much more complex and significant role in modifying the compositions of MORB than previously expected, with consequent implications for models of mantle processes. © 2012 Elsevier B.V.","author":[{"dropping-particle":"","family":"Lissenberg","given":"C. Johan","non-dropping-particle":"","parse-names":false,"suffix":""},{"dropping-particle":"","family":"MacLeod","given":"Christopher J.","non-dropping-particle":"","parse-names":false,"suffix":""},{"dropping-particle":"","family":"Howard","given":"Kerry A.","non-dropping-particle":"","parse-names":false,"suffix":""},{"dropping-particle":"","family":"Godard","given":"Marguerite","non-dropping-particle":"","parse-names":false,"suffix":""}],"container-title":"Earth and Planetary Science Letters","id":"ITEM-1","issued":{"date-parts":[["2013"]]},"page":"436-447","publisher":"Elsevier","title":"Pervasive reactive melt migration through fast-spreading lower oceanic crust (Hess Deep, equatorial Pacific Ocean)","type":"article-journal","volume":"361"},"uris":["http://www.mendeley.com/documents/?uuid=bc3ea565-6693-4e58-a32f-895553960a16"]},{"id":"ITEM-2","itemData":{"DOI":"10.1093/petrology/egw074","ISSN":"14602415","abstract":"Mid-ocean ridge basalts (MORB) provide fundamental information about the composition and melting processes in the Earth's upper mantle. To use MORB to further our understanding of the mantle, is imperative that their crustal evolution is well understood and can thus be accounted for when estimating primary melt compositions. Here, we present the evidence for the occurrence of reactive porous flow, whereby migrating melts react with a crystal mush in mid-ocean ridge magma chambers. This evidence comprises both the textures and mineral major and trace element geochemistry of rocks recovered from the lower oceanic crust, and occurs on a range of scales. Reaction textures include dissolution fronts in minerals, ragged grain boundaries between different phases and clinopyroxene-brown amphibole symplectites. However, an important finding is that reaction, even when pervasive, can equally leave no textural evidence. Geochemically, reactive porous flow leads to shifts in mineral modes (e.g. the net replacement of olivine by clinopyroxene) and compositions (e.g. clinopyroxene Mg-Ti-Cr relationships) away from those predicted by fractional crystallization. Furthermore, clinopyroxene trace elements record a progressive core-rim over-enrichment (relative to fractional crystallization) of more-to-less incompatible elements as a result of reactive porous flow. The fact that this over-enrichment occurs over a distance of up to 8mm, and that clinopyroxenes showing this signature preserve zoning in Fe-Mg, rules out a diffusion control on trace element distributions. Instead, it can be explained by crystal-melt reactions in a crystal mush. The data indicate that reactive flow occurs not only on a grain scale, but also on a sample scale, where it can transform one rock type into another [e.g. troctolite to olivine gabbro, olivine gabbro to (oxide) gabbro], and extends to the scale of the entire lower oceanic crust. Melts undergoing these reactive processes change in composition, which can explain both the major element and trace element arrays of MORB compositions. In particular, reactive porous flow can account for the MORB MgO-CaO-Al2O3 relationships that have previously been interpreted as a result of high-pressure (up to 8 kbar) crystal fractionation, and for over-enrichment in incompatible elements when compared with the effects of fractional crystallization. The finding of a significant role for reactive porous flow in mid-ocean ridge magma chambers fits very well w…","author":[{"dropping-particle":"","family":"Lissenberg","given":"C. Johan","non-dropping-particle":"","parse-names":false,"suffix":""},{"dropping-particle":"","family":"MacLeod","given":"Christopher J.","non-dropping-particle":"","parse-names":false,"suffix":""}],"container-title":"Journal of Petrology","id":"ITEM-2","issue":"11-12","issued":{"date-parts":[["2016"]]},"page":"2195-2220","title":"A reactive porous flow control on mid-ocean ridge magmatic evolution","type":"article-journal","volume":"57"},"uris":["http://www.mendeley.com/documents/?uuid=7784fd01-0243-4877-9f9f-12773515b882"]}],"mendeley":{"formattedCitation":"(Lissenberg et al., 2013; Lissenberg &amp; MacLeod, 2016)","manualFormatting":"(e.g. Lissenberg et al., 2013; Lissenberg &amp; MacLeod, 2016)","plainTextFormattedCitation":"(Lissenberg et al., 2013; Lissenberg &amp; MacLeod, 2016)","previouslyFormattedCitation":"(Lissenberg et al., 2013; Lissenberg &amp; MacLeod, 2016)"},"properties":{"noteIndex":0},"schema":"https://github.com/citation-style-language/schema/raw/master/csl-citation.json"}</w:instrText>
      </w:r>
      <w:r>
        <w:fldChar w:fldCharType="separate"/>
      </w:r>
      <w:r w:rsidRPr="00B77C51">
        <w:rPr>
          <w:noProof/>
        </w:rPr>
        <w:t>(</w:t>
      </w:r>
      <w:r>
        <w:rPr>
          <w:noProof/>
        </w:rPr>
        <w:t xml:space="preserve">e.g. </w:t>
      </w:r>
      <w:r w:rsidRPr="00B77C51">
        <w:rPr>
          <w:noProof/>
        </w:rPr>
        <w:t>Lissenberg et al., 2013; Lissenberg &amp; MacLeod, 2016)</w:t>
      </w:r>
      <w:r>
        <w:fldChar w:fldCharType="end"/>
      </w:r>
      <w:r>
        <w:t xml:space="preserve">, and suggested that averaged mineral compositions reflect “bulk closure,” such that their thermal histories could be quantified </w:t>
      </w:r>
      <w:r>
        <w:fldChar w:fldCharType="begin" w:fldLock="1"/>
      </w:r>
      <w:r>
        <w:instrText>ADDIN CSL_CITATION {"citationItems":[{"id":"ITEM-1","itemData":{"DOI":"10.1016/j.epsl.2018.01.032","ISSN":"0012821X","abstract":"A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Letters","id":"ITEM-1","issued":{"date-parts":[["2018","2","12"]]},"page":"165-178","publisher":"Elsevier B.V.","title":"aFormation of fast-spreading lower oceanic crust as revealed by a new Mg–REE coupled geospeedometer","type":"article-journal","volume":"487"},"uris":["http://www.mendeley.com/documents/?uuid=f486dd42-88a6-4fd7-8dea-0a2ba656c4dd"]}],"mendeley":{"formattedCitation":"(Sun &amp; Lissenberg, 2018a)","plainTextFormattedCitation":"(Sun &amp; Lissenberg, 2018a)","previouslyFormattedCitation":"(Sun &amp; Lissenberg, 2018a)"},"properties":{"noteIndex":0},"schema":"https://github.com/citation-style-language/schema/raw/master/csl-citation.json"}</w:instrText>
      </w:r>
      <w:r>
        <w:fldChar w:fldCharType="separate"/>
      </w:r>
      <w:r w:rsidRPr="4DF8874B">
        <w:rPr>
          <w:noProof/>
        </w:rPr>
        <w:t>(Sun &amp; Lissenberg, 2018a)</w:t>
      </w:r>
      <w:r>
        <w:fldChar w:fldCharType="end"/>
      </w:r>
      <w:r>
        <w:t xml:space="preserve">. Hess Deep gabbros exhibit complex grain-scale elemental heterogeneity beyond analytical uncertainty, inconsistent with </w:t>
      </w:r>
      <w:proofErr w:type="spellStart"/>
      <w:r>
        <w:t>subsolidus</w:t>
      </w:r>
      <w:proofErr w:type="spellEnd"/>
      <w:r>
        <w:t xml:space="preserve"> exchange during monotonic cooling (e.g., Section 4.1.1; Figure </w:t>
      </w:r>
      <w:r w:rsidR="005C3691">
        <w:t>1.</w:t>
      </w:r>
      <w:r>
        <w:t xml:space="preserve">5). While the cooling rates obtained in </w:t>
      </w:r>
      <w:r>
        <w:fldChar w:fldCharType="begin" w:fldLock="1"/>
      </w:r>
      <w:r>
        <w:instrText>ADDIN CSL_CITATION {"citationItems":[{"id":"ITEM-1","itemData":{"DOI":"10.1016/j.epsl.2018.01.032","ISSN":"0012821X","abstract":"A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Letters","id":"ITEM-1","issued":{"date-parts":[["2018","2","12"]]},"page":"165-178","publisher":"Elsevier B.V.","title":"aFormation of fast-spreading lower oceanic crust as revealed by a new Mg–REE coupled geospeedometer","type":"article-journal","volume":"487"},"uris":["http://www.mendeley.com/documents/?uuid=f486dd42-88a6-4fd7-8dea-0a2ba656c4dd"]}],"mendeley":{"formattedCitation":"(Sun &amp; Lissenberg, 2018a)","manualFormatting":"Sun &amp; Lissenberg (2018a","plainTextFormattedCitation":"(Sun &amp; Lissenberg, 2018a)","previouslyFormattedCitation":"(Sun &amp; Lissenberg, 2018a)"},"properties":{"noteIndex":0},"schema":"https://github.com/citation-style-language/schema/raw/master/csl-citation.json"}</w:instrText>
      </w:r>
      <w:r>
        <w:fldChar w:fldCharType="separate"/>
      </w:r>
      <w:r w:rsidRPr="4DF8874B">
        <w:rPr>
          <w:noProof/>
        </w:rPr>
        <w:t>Sun &amp; Lissenberg (2018a</w:t>
      </w:r>
      <w:r>
        <w:fldChar w:fldCharType="end"/>
      </w:r>
      <w:r>
        <w:t xml:space="preserve">) are consistent with previous investigations into cooling of oceanic lithosphere </w:t>
      </w:r>
      <w:r>
        <w:fldChar w:fldCharType="begin" w:fldLock="1"/>
      </w:r>
      <w:r>
        <w:instrText>ADDIN CSL_CITATION {"citationItems":[{"id":"ITEM-1","itemData":{"DOI":"10.1016/j.epsl.2007.11.034","ISBN":"0012-821X","ISSN":"0012821X","abstract":"Debate over the mechanism of accretion of the lower oceanic crust has centered around the gabbro glacier and the sheeted sills models. The thermal profile of the crust, specifically the roles of hydrothermal circulation and cooling rate, is a key component in distinguishing between these two models. Results of this study show no systematic variation of cooling rate with depth in the lower crust of the Khafifah section in the Wadi Tayin massif of the Oman ophiolite. Additionally, very high rates recorded near the base of the crust suggest that hydrothermal circulation plays an important role in the removal of heat throughout the crust. While the conclusions presented here do not rule out the possibility of accretion by gabbro glacier, they do contradict the initial tenet of the gabbro glacier model - convective heat loss by hydrothermal circulation can penetrate to Moho depths and crystallization is not, by necessity, constrained to the upper crust. On the basis of these results it can be concluded that the sheeted sills model is a thermally viable mechanism for accretion of oceanic lower crust. © 2007 Elsevier B.V. All rights reserved.","author":[{"dropping-particle":"","family":"VanTongeren","given":"Jill A.","non-dropping-particle":"","parse-names":false,"suffix":""},{"dropping-particle":"","family":"Kelemen","given":"Peter B.","non-dropping-particle":"","parse-names":false,"suffix":""},{"dropping-particle":"","family":"Hanghøj","given":"Karen","non-dropping-particle":"","parse-names":false,"suffix":""}],"container-title":"Earth and Planetary Science Letters","id":"ITEM-1","issue":"1-2","issued":{"date-parts":[["2008"]]},"page":"69-82","title":"Cooling rates in the lower crust of the Oman ophiolite: Ca in olivine, revisited","type":"article-journal","volume":"267"},"uris":["http://www.mendeley.com/documents/?uuid=e834f3dd-2a52-4db0-a22d-bac931605280"]},{"id":"ITEM-2","itemData":{"DOI":"10.1016/j.epsl.2015.02.042","ISBN":"0012-821X","ISSN":"0012821X","abstract":"Mantle peridotites from ophiolites are commonly interpreted as having mid-ocean ridge (MOR) or supra-subduction zone (SSZ) affinity. Recently, an REE-in-two-pyroxene thermometer was developed (Liang et al., 2013) that has higher closure temperatures (designated as T&lt;inf&gt;REE&lt;/inf&gt;) than major element based two-pyroxene thermometers for mafic and ultramafic rocks that experienced cooling. The REE-in-two-pyroxene thermometer has the potential to extract meaningful cooling rates from ophiolitic peridotites and thus shed new light on the thermal history of the different tectonic regimes. We calculated T&lt;inf&gt;REE&lt;/inf&gt; for available literature data from abyssal peridotites, subcontinental (SC) peridotites, and ophiolites around the world (Alps, Coast Range, Corsica, New Caledonia, Oman, Othris, Puerto Rico, Russia, and Turkey), and augmented the data with new measurements for peridotites from the Trinity and Josephine ophiolites and the Mariana trench. T&lt;inf&gt;REE&lt;/inf&gt; are compared to major element based thermometers, including the two-pyroxene thermometer of Brey and K??hler (1990) (T&lt;inf&gt;BKN&lt;/inf&gt;). Samples with SC affinity have T&lt;inf&gt;REE&lt;/inf&gt; and T&lt;inf&gt;BKN&lt;/inf&gt; in good agreement. Samples with MOR and SSZ affinity have near-solidus T&lt;inf&gt;REE&lt;/inf&gt; but T&lt;inf&gt;BKN&lt;/inf&gt; hundreds of degrees lower. Closure temperatures for REE and Fe-Mg in pyroxenes were calculated to compare cooling rates among abyssal peridotites, MOR ophiolites, and SSZ ophiolites. Abyssal peridotites appear to cool more rapidly than peridotites from most ophiolites. On average, SSZ ophiolites have lower closure temperatures than abyssal peridotites and many ophiolites with MOR affinity. We propose that these lower temperatures can be attributed to the residence time in the cooling oceanic lithosphere prior to obduction. MOR ophiolites define a continuum spanning cooling rates from SSZ ophiolites to abyssal peridotites. Consistent high closure temperatures for abyssal peridotites and the Oman and Corsica ophiolites suggests hydrothermal circulation and/or rapid cooling events (e.g., normal faulting, unroofing) control the late thermal histories of peridotites from transform faults and slow and fast spreading centers with or without a crustal section.","author":[{"dropping-particle":"","family":"Dygert","given":"Nick","non-dropping-particle":"","parse-names":false,"suffix":""},{"dropping-particle":"","family":"Liang","given":"Yan","non-dropping-particle":"","parse-names":false,"suffix":""}],"container-title":"Earth and Planetary Science Letters","id":"ITEM-2","issued":{"date-parts":[["2015"]]},"page":"151-161","title":"Temperatures and cooling rates recorded in REE in coexisting pyroxenes in ophiolitic and abyssal peridotites","type":"article-journal","volume":"420"},"uris":["http://www.mendeley.com/documents/?uuid=e48d5f74-9cf4-4c45-adcc-fe92d8ea473f"]},{"id":"ITEM-3","itemData":{"DOI":"10.1016/j.epsl.2017.02.038","ISSN":"0012821X","abstract":"To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Letters","id":"ITEM-3","issued":{"date-parts":[["2017"]]},"page":"134-144","publisher":"Elsevier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 Dygert &amp; Liang, 2015; VanTongeren et al., 2008)","plainTextFormattedCitation":"(Dygert et al., 2017; Dygert &amp; Liang, 2015; VanTongeren et al., 2008)","previouslyFormattedCitation":"(Dygert et al., 2017; Dygert &amp; Liang, 2015; VanTongeren et al., 2008)"},"properties":{"noteIndex":0},"schema":"https://github.com/citation-style-language/schema/raw/master/csl-citation.json"}</w:instrText>
      </w:r>
      <w:r>
        <w:fldChar w:fldCharType="separate"/>
      </w:r>
      <w:r w:rsidRPr="4DF8874B">
        <w:rPr>
          <w:noProof/>
        </w:rPr>
        <w:t>(</w:t>
      </w:r>
      <w:r>
        <w:rPr>
          <w:noProof/>
        </w:rPr>
        <w:t xml:space="preserve">e.g., </w:t>
      </w:r>
      <w:r w:rsidRPr="4DF8874B">
        <w:rPr>
          <w:noProof/>
        </w:rPr>
        <w:t>Dygert et al., 2017; Dygert &amp; Liang, 2015; VanTongeren et al., 2008)</w:t>
      </w:r>
      <w:r>
        <w:fldChar w:fldCharType="end"/>
      </w:r>
      <w:r>
        <w:t>, many of the temperatures (up to ~1300</w:t>
      </w:r>
      <w:r w:rsidRPr="4DF8874B">
        <w:rPr>
          <w:rFonts w:ascii="Calibri" w:hAnsi="Calibri" w:cs="Calibri"/>
        </w:rPr>
        <w:t>°</w:t>
      </w:r>
      <w:r>
        <w:t xml:space="preserve">C) are higher than clinopyroxene and plagioclase </w:t>
      </w:r>
      <w:proofErr w:type="spellStart"/>
      <w:r>
        <w:t>cosaturation</w:t>
      </w:r>
      <w:proofErr w:type="spellEnd"/>
      <w:r>
        <w:t xml:space="preserve"> temperatures for dry, primitive, mid-ocean ridge basalts (e.g., Grove and Bryan, 1983; </w:t>
      </w:r>
      <w:proofErr w:type="spellStart"/>
      <w:r>
        <w:t>Villiger</w:t>
      </w:r>
      <w:proofErr w:type="spellEnd"/>
      <w:r>
        <w:t xml:space="preserve"> et al., 2004). The proposition that chemical variations in unequilibrated pyroxene and plagioclase in a reacting, open system can be interpreted as recording a thermal history is questionable. </w:t>
      </w:r>
      <w:proofErr w:type="spellStart"/>
      <w:r>
        <w:t>Faak</w:t>
      </w:r>
      <w:proofErr w:type="spellEnd"/>
      <w:r>
        <w:t xml:space="preserve"> et al. (2015) and </w:t>
      </w:r>
      <w:proofErr w:type="spellStart"/>
      <w:r>
        <w:t>Faak</w:t>
      </w:r>
      <w:proofErr w:type="spellEnd"/>
      <w:r>
        <w:t xml:space="preserve"> &amp; Gillis (2016) used chemical variations across minerals </w:t>
      </w:r>
      <w:r>
        <w:lastRenderedPageBreak/>
        <w:t xml:space="preserve">obtained in line traverses and applied Ca-in-olivine and Mg-in-plagioclase thermometers and speedometers to compositional profiles. The latter approach would similarly produce misleading apparent thermal histories from samples that failed to attain equilibrium after fractional crystallization and melt-rock reaction, </w:t>
      </w:r>
      <w:proofErr w:type="gramStart"/>
      <w:r>
        <w:t>and also</w:t>
      </w:r>
      <w:proofErr w:type="gramEnd"/>
      <w:r>
        <w:t xml:space="preserve"> in samples where grains are chemically disturbed by alteration. Because the grain-scale heterogeneity in major and trace elements in plagioclase and clinopyroxene in our Hess Deep gabbro samples demonstrates that they failed to attain chemical equilibrium, we report apparent </w:t>
      </w:r>
      <w:proofErr w:type="spellStart"/>
      <w:r w:rsidRPr="4DF8874B">
        <w:rPr>
          <w:i/>
          <w:iCs/>
        </w:rPr>
        <w:t>T</w:t>
      </w:r>
      <w:r w:rsidRPr="4DF8874B">
        <w:rPr>
          <w:i/>
          <w:iCs/>
          <w:vertAlign w:val="subscript"/>
        </w:rPr>
        <w:t>Mg</w:t>
      </w:r>
      <w:proofErr w:type="spellEnd"/>
      <w:r w:rsidRPr="4DF8874B">
        <w:rPr>
          <w:i/>
          <w:iCs/>
          <w:vertAlign w:val="subscript"/>
        </w:rPr>
        <w:t>-in-</w:t>
      </w:r>
      <w:proofErr w:type="spellStart"/>
      <w:r w:rsidRPr="4DF8874B">
        <w:rPr>
          <w:i/>
          <w:iCs/>
          <w:vertAlign w:val="subscript"/>
        </w:rPr>
        <w:t>Plag</w:t>
      </w:r>
      <w:proofErr w:type="spellEnd"/>
      <w:r>
        <w:t xml:space="preserve">, </w:t>
      </w:r>
      <w:r w:rsidRPr="4DF8874B">
        <w:rPr>
          <w:i/>
          <w:iCs/>
        </w:rPr>
        <w:t>T</w:t>
      </w:r>
      <w:r w:rsidRPr="4DF8874B">
        <w:rPr>
          <w:i/>
          <w:iCs/>
          <w:vertAlign w:val="subscript"/>
        </w:rPr>
        <w:t>REE-in-CPX-</w:t>
      </w:r>
      <w:proofErr w:type="spellStart"/>
      <w:r w:rsidRPr="4DF8874B">
        <w:rPr>
          <w:i/>
          <w:iCs/>
          <w:vertAlign w:val="subscript"/>
        </w:rPr>
        <w:t>Plag</w:t>
      </w:r>
      <w:proofErr w:type="spellEnd"/>
      <w:r>
        <w:t xml:space="preserve"> and </w:t>
      </w:r>
      <w:proofErr w:type="spellStart"/>
      <w:r w:rsidRPr="4DF8874B">
        <w:rPr>
          <w:i/>
          <w:iCs/>
        </w:rPr>
        <w:t>T</w:t>
      </w:r>
      <w:r w:rsidRPr="4DF8874B">
        <w:rPr>
          <w:i/>
          <w:iCs/>
          <w:vertAlign w:val="subscript"/>
        </w:rPr>
        <w:t>Ca</w:t>
      </w:r>
      <w:proofErr w:type="spellEnd"/>
      <w:r w:rsidRPr="4DF8874B">
        <w:rPr>
          <w:i/>
          <w:iCs/>
          <w:vertAlign w:val="subscript"/>
        </w:rPr>
        <w:t>-in-</w:t>
      </w:r>
      <w:proofErr w:type="spellStart"/>
      <w:r w:rsidRPr="4DF8874B">
        <w:rPr>
          <w:i/>
          <w:iCs/>
          <w:vertAlign w:val="subscript"/>
        </w:rPr>
        <w:t>Ol</w:t>
      </w:r>
      <w:proofErr w:type="spellEnd"/>
      <w:r>
        <w:t xml:space="preserve"> obtained from these data in Tables </w:t>
      </w:r>
      <w:r w:rsidR="005C3691">
        <w:t>1.</w:t>
      </w:r>
      <w:r>
        <w:t xml:space="preserve">2 and </w:t>
      </w:r>
      <w:r w:rsidR="005C3691">
        <w:t>1.</w:t>
      </w:r>
      <w:r>
        <w:t xml:space="preserve">3 and Figures </w:t>
      </w:r>
      <w:r w:rsidR="005C3691">
        <w:t>1.</w:t>
      </w:r>
      <w:r>
        <w:t xml:space="preserve">6 and </w:t>
      </w:r>
      <w:r w:rsidR="005C3691">
        <w:t>1.</w:t>
      </w:r>
      <w:r>
        <w:t xml:space="preserve">7, but refrain from presenting the apparent (0.02-0.44 </w:t>
      </w:r>
      <w:r w:rsidRPr="4DF8874B">
        <w:rPr>
          <w:rFonts w:ascii="Calibri" w:hAnsi="Calibri" w:cs="Calibri"/>
        </w:rPr>
        <w:t>°</w:t>
      </w:r>
      <w:r>
        <w:t xml:space="preserve">C/y) gabbroic cooling rates calculated using the temperatures in Figures </w:t>
      </w:r>
      <w:r w:rsidR="005C3691">
        <w:t>1.</w:t>
      </w:r>
      <w:r>
        <w:t xml:space="preserve">9 and </w:t>
      </w:r>
      <w:r w:rsidR="005C3691">
        <w:t>1.</w:t>
      </w:r>
      <w:r>
        <w:t>10. As lithospheric cooling at Hess Deep is constrained by the peridotites underlying the gabbros, this has little effect on our conclusions.</w:t>
      </w:r>
    </w:p>
    <w:p w14:paraId="10741D42" w14:textId="34DA45D2" w:rsidR="0012183A" w:rsidRPr="00A6712E" w:rsidRDefault="00F55061" w:rsidP="00F24389">
      <w:pPr>
        <w:pStyle w:val="Style1"/>
        <w:spacing w:line="360" w:lineRule="auto"/>
      </w:pPr>
      <w:bookmarkStart w:id="43" w:name="_Toc109036128"/>
      <w:r>
        <w:t xml:space="preserve">5.1.2 </w:t>
      </w:r>
      <w:r w:rsidR="0012183A" w:rsidRPr="6F96FD7C">
        <w:t>Some peridotites may not provide a record of cooling from peak temperatures</w:t>
      </w:r>
      <w:bookmarkEnd w:id="43"/>
    </w:p>
    <w:p w14:paraId="2A50128B" w14:textId="77777777" w:rsidR="003C07D0" w:rsidRDefault="0012183A" w:rsidP="00C45867">
      <w:pPr>
        <w:spacing w:line="360" w:lineRule="auto"/>
        <w:ind w:firstLine="360"/>
      </w:pPr>
      <w:r w:rsidRPr="00A6712E">
        <w:t xml:space="preserve">To obtain information on a sample’s thermal history after achieving a peak temperature, stability of the phases the thermometer is based on throughout the cooling history is required. This requirement may be violated for highly depleted peridotites, where clinopyroxene is exhausted by extensive partial melting </w:t>
      </w:r>
      <w:r>
        <w:fldChar w:fldCharType="begin" w:fldLock="1"/>
      </w:r>
      <w:r>
        <w:instrText>ADDIN CSL_CITATION {"citationItems":[{"id":"ITEM-1","itemData":{"DOI":"10.1093/petrology/egt030","ISSN":"00223530","abstract":"TheMassif du Sud ophiolite, New Caledonia, SWPacific, is one of the largest exposed ultramafic bodies on Earth. The ophiolite consists of a mantle section of ultra-depleted tectonite harzburgite, overlain by a large dunite zone, which is separated by a transition zone from the gabbros at the top of the massif. Profiles through the stratigraphy of the mantle section show complex geochemical and petrological variations. The harzburgites are characterized by a high degree of partial melting and document a complex evolution from mantle exhumation towards a supra-subduction zone environment. Olivine and spinel compositions suggest that the harzburgites are residual after boninite-like melt extraction at 5-10 kbar. The lower dunite zone is analogous to the replacive dunite channels in the harzburgite, in that it is formed by pyroxene consumption. In contrast, the upper dunite zone has chemical and textural characteristics of cumulus olivine crystallized from primitive mafic melts. The upper dunite zone grades into a transition zone with pyroxenite cumulates that are intruded by gabbro sills. The crystallization sequence and mineral compositions indicate that pyroxenites and gabbros formed from hydrous, oxidized primitive basaltic magmas at ~1250°C and 2-4 kbar. Their geochemistry indicates that these parental melts are transitional between boninites and primitive arc magmas and carry a fore-arc basalt signature. The Massif du Sud therefore represents a crust-mantle section in a nascent arc. The cryptic transition between residual mantle rocks and crustal cumulates highlights the difficulty of estimating the thickness and average composition of an arc crust by seismic methods. © The Author 2013. Published by Oxford University Press. All rights reserved.","author":[{"dropping-particle":"","family":"Pirard","given":"Cassian","non-dropping-particle":"","parse-names":false,"suffix":""},{"dropping-particle":"","family":"Hermann","given":"Jörg","non-dropping-particle":"","parse-names":false,"suffix":""},{"dropping-particle":"","family":"O'neill","given":"Hugh St C.","non-dropping-particle":"","parse-names":false,"suffix":""}],"container-title":"Journal of Petrology","id":"ITEM-1","issue":"9","issued":{"date-parts":[["2013"]]},"page":"1759-1792","title":"Petrology and geochemistry of the crust-mantle boundary in a Nascent Arc, Massif du Sud Ophiolite, New Caledonia, SW Pacific","type":"article-journal","volume":"54"},"uris":["http://www.mendeley.com/documents/?uuid=a54c2c60-91f0-463e-9c9e-4b5b60a54353"]}],"mendeley":{"formattedCitation":"(Pirard et al., 2013)","manualFormatting":"(e.g. Pirard et al., 2013)","plainTextFormattedCitation":"(Pirard et al., 2013)","previouslyFormattedCitation":"(Pirard et al., 2013)"},"properties":{"noteIndex":0},"schema":"https://github.com/citation-style-language/schema/raw/master/csl-citation.json"}</w:instrText>
      </w:r>
      <w:r>
        <w:fldChar w:fldCharType="separate"/>
      </w:r>
      <w:r w:rsidRPr="00AD0AFF">
        <w:rPr>
          <w:noProof/>
        </w:rPr>
        <w:t>(</w:t>
      </w:r>
      <w:r>
        <w:rPr>
          <w:noProof/>
        </w:rPr>
        <w:t xml:space="preserve">e.g. </w:t>
      </w:r>
      <w:r w:rsidRPr="00AD0AFF">
        <w:rPr>
          <w:noProof/>
        </w:rPr>
        <w:t>Pirard et al., 2013)</w:t>
      </w:r>
      <w:r>
        <w:fldChar w:fldCharType="end"/>
      </w:r>
      <w:r>
        <w:t xml:space="preserve">. </w:t>
      </w:r>
      <w:r w:rsidRPr="00A6712E">
        <w:t xml:space="preserve">In such cases, small clinopyroxene grains may exsolve from orthopyroxene at </w:t>
      </w:r>
      <w:proofErr w:type="spellStart"/>
      <w:r w:rsidRPr="00A6712E">
        <w:t>subsolidus</w:t>
      </w:r>
      <w:proofErr w:type="spellEnd"/>
      <w:r w:rsidRPr="00A6712E">
        <w:t xml:space="preserve"> temperatures owing to orthopyroxene unmixing along the solvus. </w:t>
      </w:r>
      <w:r>
        <w:t xml:space="preserve">Alternatively, minor clinopyroxenes may crystallize from small pools of silicate melt during cooling </w:t>
      </w:r>
      <w:r>
        <w:fldChar w:fldCharType="begin" w:fldLock="1"/>
      </w:r>
      <w:r>
        <w:instrText>ADDIN CSL_CITATION {"citationItems":[{"id":"ITEM-1","itemData":{"DOI":"10.1093/petrology/egp077","ISSN":"00223530","abstract":"The Oman ophiolite consists of several massifs cropping out along a 500 km long band trending NW–SE along the coast of Oman; it is one of the best exposed sections of oceanic crust and mantle in the world. There is a gradient in igneous processes and composition in the ophiolite, with the northern massifs recording a polygenetic igneous history involving an increasingly important subduction component, whereas the southern massifs were formed primarily via a mid-ocean ridge basalt (MORB)-like, single-stage process at a submarine spreading ridge. In this study we use geochemical data from Wadi Tayin, which is one of the southern massifs of the Oman ophiolite, to constrain the composition and genesis of oceanic crust and upper mantle. The Wadi Tayin harzburgites are residues of partial melting that are as depleted as the most depleted mid-ocean ridge peridotites. They have low middle- to heavy rare earth element ratios, most probably reflecting melting close to and beyond the exhaustion of clinopyroxene. Like many abyssal peridotites, the Wadi Tayin samples show enrichment in highly incompatible elements, giving rise to U-shaped MORB-normalized trace element patterns. We favor the idea that this is caused by enrichment of highly incompatible elements along grain boundaries in peridotite, which may be the result of near-equilibrium partitioning between grain boundaries and grain interiors, rather than disequilibrium processes. Equilibrium partitioning between crystals and grain boundaries during melting and melt extraction is also our preferred explanation for ubiquitous high Pb contents relative to Ce and La in our samples as well as in most abyssal peridotites. The Wadi Tayin samples record substantial variability in terms of osmium isotopic composition and platinum group element (PGE) concentrations. The more radiogenic nature of the dunites and impregnated peridotites compared with the residual harzburgites may be due to relatively high 187Os/188Os in melt transported through the dunites. The presence of residual peridotites with whole-rock osmium isotopic compositions less radiogenic than MORB may be explained by melting of a veined (upwelling) mantle forming mixed melts in which much of the Os derives from veins with high Re/Os in a matrix of previously depleted peridotite. An important result of this study is that the shallowest samples are refertilized (i.e. anomalously enriched in incompatible elements), and record relatively high metamorphic closu…","author":[{"dropping-particle":"","family":"Hanghøj","given":"Karen","non-dropping-particle":"","parse-names":false,"suffix":""},{"dropping-particle":"","family":"Kelemen","given":"Peter B.","non-dropping-particle":"","parse-names":false,"suffix":""},{"dropping-particle":"","family":"Hassler","given":"Deborah","non-dropping-particle":"","parse-names":false,"suffix":""},{"dropping-particle":"","family":"Godard","given":"Marguerite","non-dropping-particle":"","parse-names":false,"suffix":""}],"container-title":"Journal of Petrology","id":"ITEM-1","issue":"1-2","issued":{"date-parts":[["2010"]]},"page":"201-227","title":"Composition and genesis of depleted mantle peridotites from the Wadi Tayin massif, Oman ophiolite; Major and trace element geochemistry, and Os isotope and PGE systematics","type":"article-journal","volume":"51"},"uris":["http://www.mendeley.com/documents/?uuid=f687cfd9-c19e-443a-960c-503dcbb6e32b"]}],"mendeley":{"formattedCitation":"(Hanghøj et al., 2010)","manualFormatting":"(e.g., Hanghøj et al., 2010)","plainTextFormattedCitation":"(Hanghøj et al., 2010)","previouslyFormattedCitation":"(Hanghøj et al., 2010)"},"properties":{"noteIndex":0},"schema":"https://github.com/citation-style-language/schema/raw/master/csl-citation.json"}</w:instrText>
      </w:r>
      <w:r>
        <w:fldChar w:fldCharType="separate"/>
      </w:r>
      <w:r w:rsidRPr="00050814">
        <w:rPr>
          <w:noProof/>
        </w:rPr>
        <w:t>(</w:t>
      </w:r>
      <w:r>
        <w:rPr>
          <w:noProof/>
        </w:rPr>
        <w:t xml:space="preserve">e.g., </w:t>
      </w:r>
      <w:r w:rsidRPr="00050814">
        <w:rPr>
          <w:noProof/>
        </w:rPr>
        <w:t>Hanghøj et al., 2010)</w:t>
      </w:r>
      <w:r>
        <w:fldChar w:fldCharType="end"/>
      </w:r>
      <w:r>
        <w:t xml:space="preserve">. </w:t>
      </w:r>
      <w:r w:rsidRPr="00A6712E">
        <w:t xml:space="preserve">Application of two-pyroxene thermometers to such samples may produce temperatures that reflect </w:t>
      </w:r>
      <w:proofErr w:type="spellStart"/>
      <w:r>
        <w:t>subsolidus</w:t>
      </w:r>
      <w:proofErr w:type="spellEnd"/>
      <w:r>
        <w:t xml:space="preserve"> cooling</w:t>
      </w:r>
      <w:r w:rsidRPr="00A6712E">
        <w:t xml:space="preserve"> </w:t>
      </w:r>
      <w:r w:rsidRPr="00A6712E">
        <w:fldChar w:fldCharType="begin" w:fldLock="1"/>
      </w:r>
      <w:r w:rsidRPr="00A6712E">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2017)","manualFormatting":"(e.g., Dygert et al., 2017)","plainTextFormattedCitation":"(Dygert et al., 2017)","previouslyFormattedCitation":"(Dygert et al., 2017)"},"properties":{"noteIndex":0},"schema":"https://github.com/citation-style-language/schema/raw/master/csl-citation.json"}</w:instrText>
      </w:r>
      <w:r w:rsidRPr="00A6712E">
        <w:fldChar w:fldCharType="separate"/>
      </w:r>
      <w:r w:rsidRPr="00A6712E">
        <w:rPr>
          <w:noProof/>
        </w:rPr>
        <w:t>(e.g., Dygert et al., 2017)</w:t>
      </w:r>
      <w:r w:rsidRPr="00A6712E">
        <w:fldChar w:fldCharType="end"/>
      </w:r>
      <w:r>
        <w:t>, or spurious thermal histories, rather than cooling from peak temperatures</w:t>
      </w:r>
      <w:r w:rsidRPr="00A6712E">
        <w:t xml:space="preserve">. Here, we considered the potential for clinopyroxene exhaustion by visual inspection (e.g., Figure </w:t>
      </w:r>
      <w:r w:rsidR="005C3691">
        <w:t>1.</w:t>
      </w:r>
      <w:r w:rsidRPr="00A6712E">
        <w:t xml:space="preserve">2; c; e; f), and using the mineral modes reported in core descriptions, which are summarized in Table </w:t>
      </w:r>
      <w:r w:rsidR="005C3691">
        <w:t>1.</w:t>
      </w:r>
      <w:r w:rsidRPr="00A6712E">
        <w:t xml:space="preserve">3. In cases where the clinopyroxene are small and scarce, and the clinopyroxene/orthopyroxene mode ratio is less than 0.05 (cf. </w:t>
      </w:r>
      <w:r w:rsidRPr="00A6712E">
        <w:fldChar w:fldCharType="begin" w:fldLock="1"/>
      </w:r>
      <w:r>
        <w:instrText>ADDIN CSL_CITATION {"citationItems":[{"id":"ITEM-1","itemData":{"DOI":"10.1016/j.epsl.2017.02.038","ISSN":"0012821X","abstract":"To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Letters","id":"ITEM-1","issued":{"date-parts":[["2017"]]},"page":"134-144","publisher":"Elsevier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2017)","manualFormatting":"Dygert et al., 2017)","plainTextFormattedCitation":"(Dygert et al., 2017)","previouslyFormattedCitation":"(Dygert et al., 2017)"},"properties":{"noteIndex":0},"schema":"https://github.com/citation-style-language/schema/raw/master/csl-citation.json"}</w:instrText>
      </w:r>
      <w:r w:rsidRPr="00A6712E">
        <w:fldChar w:fldCharType="separate"/>
      </w:r>
      <w:r w:rsidRPr="00A6712E">
        <w:rPr>
          <w:noProof/>
        </w:rPr>
        <w:t>Dygert et al., 2017)</w:t>
      </w:r>
      <w:r w:rsidRPr="00A6712E">
        <w:fldChar w:fldCharType="end"/>
      </w:r>
      <w:r w:rsidRPr="00A6712E">
        <w:t xml:space="preserve">, we infer that </w:t>
      </w:r>
      <w:r w:rsidRPr="00AD0AFF">
        <w:t xml:space="preserve">the minor clinopyroxene present may </w:t>
      </w:r>
      <w:r>
        <w:t>not be representative of cooling from peak temperature</w:t>
      </w:r>
      <w:r w:rsidRPr="00AD0AFF">
        <w:t xml:space="preserve">. We report the </w:t>
      </w:r>
      <w:proofErr w:type="gramStart"/>
      <w:r w:rsidRPr="00AD0AFF">
        <w:rPr>
          <w:i/>
        </w:rPr>
        <w:t>T</w:t>
      </w:r>
      <w:r w:rsidRPr="00AD0AFF">
        <w:rPr>
          <w:i/>
          <w:vertAlign w:val="subscript"/>
        </w:rPr>
        <w:t>BKN</w:t>
      </w:r>
      <w:proofErr w:type="gramEnd"/>
      <w:r w:rsidRPr="00AD0AFF">
        <w:t xml:space="preserve"> and other solvus thermometer temperatures and </w:t>
      </w:r>
      <w:r w:rsidRPr="00AD0AFF">
        <w:rPr>
          <w:i/>
        </w:rPr>
        <w:t>T</w:t>
      </w:r>
      <w:r w:rsidRPr="00AD0AFF">
        <w:rPr>
          <w:i/>
          <w:vertAlign w:val="subscript"/>
        </w:rPr>
        <w:t>REE-in-two-Pyroxene</w:t>
      </w:r>
      <w:r w:rsidRPr="00AD0AFF">
        <w:t xml:space="preserve"> temperatures obtained from these samples</w:t>
      </w:r>
      <w:r>
        <w:t xml:space="preserve"> (flagged </w:t>
      </w:r>
      <w:r>
        <w:lastRenderedPageBreak/>
        <w:t xml:space="preserve">using gray symbols in Figure </w:t>
      </w:r>
      <w:r w:rsidR="005C3691">
        <w:t>1.</w:t>
      </w:r>
      <w:r>
        <w:t>8a)</w:t>
      </w:r>
      <w:r w:rsidRPr="00AD0AFF">
        <w:t xml:space="preserve">, </w:t>
      </w:r>
      <w:r>
        <w:t xml:space="preserve">and report the apparent cooling rates in Table </w:t>
      </w:r>
      <w:r w:rsidR="005C3691">
        <w:t>1.</w:t>
      </w:r>
      <w:r>
        <w:t xml:space="preserve">3, </w:t>
      </w:r>
      <w:r w:rsidRPr="00AD0AFF">
        <w:t>but exclude presentation of the rates determined using these data from Figures</w:t>
      </w:r>
      <w:r>
        <w:t xml:space="preserve"> </w:t>
      </w:r>
      <w:r w:rsidR="005C3691">
        <w:t>1.</w:t>
      </w:r>
      <w:r>
        <w:t xml:space="preserve">9 and </w:t>
      </w:r>
      <w:r w:rsidR="005C3691">
        <w:t>1.</w:t>
      </w:r>
      <w:r>
        <w:t>10</w:t>
      </w:r>
      <w:r w:rsidRPr="00AD0AFF">
        <w:t xml:space="preserve">. </w:t>
      </w:r>
      <w:r>
        <w:t xml:space="preserve">After this exercise, cooling rates from peak temperature for four peridotites remain (three </w:t>
      </w:r>
      <w:proofErr w:type="spellStart"/>
      <w:r>
        <w:t>OmanDP</w:t>
      </w:r>
      <w:proofErr w:type="spellEnd"/>
      <w:r>
        <w:t xml:space="preserve"> samples and one Hess Deep sample). </w:t>
      </w:r>
      <w:r w:rsidRPr="00AD0AFF">
        <w:t xml:space="preserve">We infer that thermal histories provided by the </w:t>
      </w:r>
      <w:r w:rsidRPr="00AD0AFF">
        <w:fldChar w:fldCharType="begin" w:fldLock="1"/>
      </w:r>
      <w:r w:rsidRPr="00AD0AFF">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applications","type":"article-journal","volume":"54"},"uris":["http://www.mendeley.com/documents/?uuid=91096bb6-4f27-4518-9a4e-e0c9afe14114"]}],"mendeley":{"formattedCitation":"(Köhler &amp; Brey, 1990)","manualFormatting":"Köhler &amp; Brey (1990)","plainTextFormattedCitation":"(Köhler &amp; Brey, 1990)","previouslyFormattedCitation":"(Köhler &amp; Brey, 1990)"},"properties":{"noteIndex":0},"schema":"https://github.com/citation-style-language/schema/raw/master/csl-citation.json"}</w:instrText>
      </w:r>
      <w:r w:rsidRPr="00AD0AFF">
        <w:fldChar w:fldCharType="separate"/>
      </w:r>
      <w:r w:rsidRPr="00AD0AFF">
        <w:rPr>
          <w:noProof/>
        </w:rPr>
        <w:t>Köhler &amp; Brey (1990)</w:t>
      </w:r>
      <w:r w:rsidRPr="00AD0AFF">
        <w:fldChar w:fldCharType="end"/>
      </w:r>
      <w:r w:rsidRPr="00AD0AFF">
        <w:t xml:space="preserve"> Ca-in-olivine thermometer are not afflicted by this </w:t>
      </w:r>
      <w:r>
        <w:t>issue</w:t>
      </w:r>
      <w:r w:rsidRPr="00AD0AFF">
        <w:t xml:space="preserve">, as Ca exchange between clinopyroxene and olivine is rapid </w:t>
      </w:r>
      <w:r w:rsidRPr="00AD0AFF">
        <w:fldChar w:fldCharType="begin" w:fldLock="1"/>
      </w:r>
      <w:r w:rsidRPr="00AD0AFF">
        <w:instrText xml:space="preserve">ADDIN CSL_CITATION {"citationItems":[{"id":"ITEM-1","itemData":{"DOI":"10.1016/j.gca.2005.03.002","ISBN":"0016-7037","ISSN":"00167037","abstract":"Experiments have been carried out to determine the temperature, oxygen fugacity (fO2) and compositional dependence of the tracer diffusion coefficient (D) of calcium in olivine. These data constrain the diffusion coefficient over the temperature range 900 to 1500°C for the three principal crystallographic axes. Well constrained linear relationships between the reciprocal of the absolute temperature and log(D) exist at any given oxygen fugacity. There is a strong dependence of the diffusion coefficient on oxygen fugacity with D </w:instrText>
      </w:r>
      <w:r w:rsidRPr="00AD0AFF">
        <w:rPr>
          <w:rFonts w:ascii="Cambria Math" w:hAnsi="Cambria Math" w:cs="Cambria Math"/>
        </w:rPr>
        <w:instrText>∝</w:instrText>
      </w:r>
      <w:r w:rsidRPr="00AD0AFF">
        <w:instrText xml:space="preserve"> fO2(1/3). This makes a knowledge of the T-fO2path followed by geological samples a prerequisite for modelling Ca diffusion in olivine. The best fitting preexponential factor (Do) and activation energy (E) to the Arrhenius equation log (D) = log [Do exp(-E/RT)] + 0.31Δ log fO2for Ca diffusion in olivine at a given oxygen fugacity (fO2*) are given by: diffusion along [100]: log [Do (m2/s)] = -10.78 ± 0.43; E = 193 ± 11 kJ/mol diffusion along [010]: log [Do (m2/s)] = -10.46 ± 0.37; E = 201 ± 10 kJ/mol diffusion along [001]: log [Do (m2/s)] = -10.02 ± 0.29; E = 207 ± 8 kJ/mol where Δ log fO2= log[fO2*] - log[10-12] with fO2* in units of bars. There is no measurable compositional dependence of the diffusion coefficient between Fo83and Fo92. Diffusion in Fo100has a much higher activation energy than in Fe-bearing olivine and has a weaker fO2dependence. Copyright © 2005 Elsevier Ltd.","author":[{"dropping-particle":"","family":"Coogan","given":"Laurence A.","non-dropping-particle":"","parse-names":false,"suffix":""},{"dropping-particle":"","family":"Hain","given":"A.","non-dropping-particle":"","parse-names":false,"suffix":""},{"dropping-particle":"","family":"Stahl","given":"S.","non-dropping-particle":"","parse-names":false,"suffix":""},{"dropping-particle":"","family":"Chakraborty","given":"S.","non-dropping-particle":"","parse-names":false,"suffix":""}],"container-title":"Geochimica et Cosmochimica Acta","id":"ITEM-1","issue":"14","issued":{"date-parts":[["2005"]]},"page":"3683-3694","title":"Experimental determination of the diffusion coefficient for calcium in olivine between 900°C and 1500°C","type":"article-journal","volume":"69"},"uris":["http://www.mendeley.com/documents/?uuid=c250b32e-1c44-430b-b5c7-fdb1b0027e20"]}],"mendeley":{"formattedCitation":"(Coogan et al., 2005)","plainTextFormattedCitation":"(Coogan et al., 2005)","previouslyFormattedCitation":"(Coogan et al., 2005)"},"properties":{"noteIndex":0},"schema":"https://github.com/citation-style-language/schema/raw/master/csl-citation.json"}</w:instrText>
      </w:r>
      <w:r w:rsidRPr="00AD0AFF">
        <w:fldChar w:fldCharType="separate"/>
      </w:r>
      <w:r w:rsidRPr="00AD0AFF">
        <w:rPr>
          <w:noProof/>
        </w:rPr>
        <w:t>(Coogan et al., 2005)</w:t>
      </w:r>
      <w:r w:rsidRPr="00AD0AFF">
        <w:fldChar w:fldCharType="end"/>
      </w:r>
      <w:r w:rsidRPr="00AD0AFF">
        <w:t xml:space="preserve">, such that the Ca-in-olivine thermometer records thermal conditions at low </w:t>
      </w:r>
      <w:proofErr w:type="spellStart"/>
      <w:r w:rsidRPr="00AD0AFF">
        <w:t>subsolidus</w:t>
      </w:r>
      <w:proofErr w:type="spellEnd"/>
      <w:r w:rsidRPr="00AD0AFF">
        <w:t xml:space="preserve"> temperatures (e.g., Figure </w:t>
      </w:r>
      <w:r w:rsidR="005C3691">
        <w:t>1.</w:t>
      </w:r>
      <w:r w:rsidRPr="00AD0AFF">
        <w:t xml:space="preserve">7c) </w:t>
      </w:r>
      <w:r>
        <w:t>where</w:t>
      </w:r>
      <w:r w:rsidRPr="00AD0AFF">
        <w:t xml:space="preserve"> the clinopyroxene in the samples was </w:t>
      </w:r>
      <w:r>
        <w:t>present</w:t>
      </w:r>
      <w:r w:rsidRPr="00AD0AFF">
        <w:t>.</w:t>
      </w:r>
    </w:p>
    <w:p w14:paraId="1893E46A" w14:textId="7F146DFC" w:rsidR="003C07D0" w:rsidRPr="008B28E4" w:rsidRDefault="00F55061" w:rsidP="00F24389">
      <w:pPr>
        <w:pStyle w:val="Heading2"/>
        <w:spacing w:line="360" w:lineRule="auto"/>
        <w:jc w:val="left"/>
        <w:rPr>
          <w:i/>
          <w:sz w:val="24"/>
        </w:rPr>
      </w:pPr>
      <w:bookmarkStart w:id="44" w:name="_Toc109036129"/>
      <w:r w:rsidRPr="008B28E4">
        <w:rPr>
          <w:i/>
          <w:sz w:val="24"/>
          <w:bdr w:val="none" w:sz="0" w:space="0" w:color="auto" w:frame="1"/>
        </w:rPr>
        <w:t xml:space="preserve">5.2 </w:t>
      </w:r>
      <w:r w:rsidR="003C07D0" w:rsidRPr="008B28E4">
        <w:rPr>
          <w:i/>
          <w:sz w:val="24"/>
          <w:bdr w:val="none" w:sz="0" w:space="0" w:color="auto" w:frame="1"/>
        </w:rPr>
        <w:t>Cooling Rates</w:t>
      </w:r>
      <w:bookmarkEnd w:id="44"/>
    </w:p>
    <w:p w14:paraId="7CAE6FE6" w14:textId="494F5ECF" w:rsidR="003C07D0" w:rsidRPr="00AD0AFF" w:rsidRDefault="003C07D0" w:rsidP="00F24389">
      <w:pPr>
        <w:spacing w:line="360" w:lineRule="auto"/>
        <w:ind w:firstLine="360"/>
      </w:pPr>
      <w:r w:rsidRPr="00AD0AFF">
        <w:t xml:space="preserve">Temperatures recorded by </w:t>
      </w:r>
      <w:r>
        <w:t>thermometer</w:t>
      </w:r>
      <w:r w:rsidRPr="00AD0AFF">
        <w:t xml:space="preserve">s reflect rate-limited, time-dependent exchange reactions that occur during cooling. For samples that cool at rates relevant to geologic processes such as tectonic exhumation, thermometers based on relatively rapid exchange of divalent elements (e.g., the Ca-in-olivine thermometer of </w:t>
      </w:r>
      <w:r w:rsidRPr="00AD0AFF">
        <w:fldChar w:fldCharType="begin" w:fldLock="1"/>
      </w:r>
      <w:r w:rsidRPr="00AD0AFF">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applications","type":"article-journal","volume":"54"},"uris":["http://www.mendeley.com/documents/?uuid=91096bb6-4f27-4518-9a4e-e0c9afe14114"]}],"mendeley":{"formattedCitation":"(Köhler &amp; Brey, 1990)","manualFormatting":"Köhler &amp; Brey, 1990)","plainTextFormattedCitation":"(Köhler &amp; Brey, 1990)","previouslyFormattedCitation":"(Köhler &amp; Brey, 1990)"},"properties":{"noteIndex":0},"schema":"https://github.com/citation-style-language/schema/raw/master/csl-citation.json"}</w:instrText>
      </w:r>
      <w:r w:rsidRPr="00AD0AFF">
        <w:fldChar w:fldCharType="separate"/>
      </w:r>
      <w:r w:rsidRPr="00AD0AFF">
        <w:rPr>
          <w:noProof/>
        </w:rPr>
        <w:t>Köhler &amp; Brey, 1990)</w:t>
      </w:r>
      <w:r w:rsidRPr="00AD0AFF">
        <w:fldChar w:fldCharType="end"/>
      </w:r>
      <w:r w:rsidRPr="00AD0AFF">
        <w:t xml:space="preserve"> record lower, </w:t>
      </w:r>
      <w:proofErr w:type="spellStart"/>
      <w:r w:rsidRPr="00AD0AFF">
        <w:t>subsolidus</w:t>
      </w:r>
      <w:proofErr w:type="spellEnd"/>
      <w:r w:rsidRPr="00AD0AFF">
        <w:t xml:space="preserve"> temperatures than thermometers based on trivalent elements (e.g., the REE-based thermometers,  </w:t>
      </w:r>
      <w:r w:rsidRPr="00AD0AFF">
        <w:fldChar w:fldCharType="begin" w:fldLock="1"/>
      </w:r>
      <w:r w:rsidRPr="00AD0AFF">
        <w:instrText>ADDIN CSL_CITATION {"citationItems":[{"id":"ITEM-1","itemData":{"DOI":"10.1016/j.gca.2012.10.035","ISBN":"0016-7037","ISSN":"00167037","abstract":"A REE-in-two-pyroxene thermometer for mafic and ultramafic rocks has been developed on the basis of the temperature and pyroxene composition dependent rare earth element (REE) partitioning between coexisting orthopyroxene and clinopyroxene. This trace element based two-pyroxene thermometer is built on two parameterized lattice strain models for REE partitioning between pyroxene and basaltic melt that were independently calibrated using data from pyroxene-melt partitioning experiments (Sun and Liang, 2012; Yao et al., 2012). By treating REE and Y as a group in temperature calculations, one can reduce analytical uncertainties in trace element analysis through least squares inversion of orthopyroxene-clinopyroxene partitioning data, and identify and exclude variations induced by secondary or metasomatic processes. For convenience, a simple robust regression program is provided for temperature inversion. Application of the REE-in-two-pyroxene thermometer to well-equilibrated spinel lherzolite and harzburgite xenoliths from the continental lithosphere demonstrates the internal consistency of the two pyroxene-melt REE partitioning models and the trace and major element based pyroxene thermometers: temperatures derived from the REE-in-two-pyroxene thermometer agree very well with temperatures calculated using major element based pyroxene thermometers. Applications of the REE-in-two-pyroxene thermometer to abyssal peridotites and mafic cumulates reveal a significant difference in the calculated temperatures between the REE and major element based pyroxene thermometers: temperatures derived from the REE-in-two-pyroxene thermometer are consistently higher than those derived from the major element based pyroxene thermometers. This discrepancy in temperature likely results from a difference in diffusion rate and hence closure temperature between the 2+ and 3+ cations in the pyroxenes. An independently calibrated REE-in-two-pyroxene thermometer may offer new insight into the thermal history of mafic and ultramafic rocks from the upper mantle and lower crust. ?? 2012 Elsevier Ltd.","author":[{"dropping-particle":"","family":"Liang","given":"Yan","non-dropping-particle":"","parse-names":false,"suffix":""},{"dropping-particle":"","family":"Sun","given":"Chenguang","non-dropping-particle":"","parse-names":false,"suffix":""},{"dropping-particle":"","family":"Yao","given":"Lijing","non-dropping-particle":"","parse-names":false,"suffix":""}],"container-title":"Geochimica et Cosmochimica Acta","id":"ITEM-1","issued":{"date-parts":[["2013"]]},"page":"246-260","publisher":"Elsevier Ltd","title":"A REE-in-two-pyroxene thermometer for mafic and ultramafic rocks","type":"article-journal","volume":"102"},"uris":["http://www.mendeley.com/documents/?uuid=b26fbd8f-ada8-4bbd-b9f4-769e52f10d9a"]},{"id":"ITEM-2","itemData":{"DOI":"10.1007/s00410-016-1326-9","ISBN":"0041001613","ISSN":"00107999","abstract":"differences appear between the REE-and Mg-exchange thermometers for the volcanic and cumulate rocks. Through numerical simulations of diffusion in plagioclase-clinopy-roxene systems, we demonstrate that (1) due to their slower diffusion rates, REE in minerals preferentially records crys-tallization or near-crystallization temperatures of the rock, and that (2) Mg is readily rest to lower temperatures for rocks from intermediately or slowly cooled magma bodies but records the initial crystallization temperatures of rocks from rapidly cooled magmas. Given their distinct diffusive responses to temperature changes, REE and Mg closure temperatures recorded by the two thermometers can be used in concert to study thermal and magmatic histories of plagioclase-and clinopyroxene-bearing rocks.","author":[{"dropping-particle":"","family":"Sun","given":"Chenguang","non-dropping-particle":"","parse-names":false,"suffix":""},{"dropping-particle":"","family":"Liang","given":"Yan","non-dropping-particle":"","parse-names":false,"suffix":""}],"container-title":"Contributions to Mineralogy and Petrology","id":"ITEM-2","issue":"4","issued":{"date-parts":[["2017"]]},"page":"1-20","publisher":"Springer Berlin Heidelberg","title":"A REE-in-plagioclase–clinopyroxene thermometer for crustal rocks","type":"article-journal","volume":"172"},"uris":["http://www.mendeley.com/documents/?uuid=3aed1e81-ac55-444c-aa5b-566f814d31e5"]}],"mendeley":{"formattedCitation":"(Liang et al., 2013; Sun &amp; Liang, 2017)","manualFormatting":"Liang et al., 2013; Sun &amp; Liang, 2017)","plainTextFormattedCitation":"(Liang et al., 2013; Sun &amp; Liang, 2017)","previouslyFormattedCitation":"(Liang et al., 2013; Sun &amp; Liang, 2017)"},"properties":{"noteIndex":0},"schema":"https://github.com/citation-style-language/schema/raw/master/csl-citation.json"}</w:instrText>
      </w:r>
      <w:r w:rsidRPr="00AD0AFF">
        <w:fldChar w:fldCharType="separate"/>
      </w:r>
      <w:r w:rsidRPr="00AD0AFF">
        <w:rPr>
          <w:noProof/>
        </w:rPr>
        <w:t>Liang et al., 2013; Sun &amp; Liang, 2017)</w:t>
      </w:r>
      <w:r w:rsidRPr="00AD0AFF">
        <w:fldChar w:fldCharType="end"/>
      </w:r>
      <w:r w:rsidRPr="00AD0AFF">
        <w:t xml:space="preserve">, explaining the range of temperatures exhibited by our samples (Figure </w:t>
      </w:r>
      <w:r w:rsidR="005C3691">
        <w:t>1.</w:t>
      </w:r>
      <w:r w:rsidRPr="00AD0AFF">
        <w:t xml:space="preserve">6). The faster a rock cools, less spread in temperature will be seen among thermometers that respond to cooling at different rates (and vice versa). If exchange rates relevant to a given thermometer are known, closure temperature models can be applied to quantify the rate at which diffusive exchange of the element(s) the thermometer relies on effectively ceased. A widely used closure temperature model is described by the Dodson equation </w:t>
      </w:r>
      <w:r w:rsidRPr="00AD0AFF">
        <w:fldChar w:fldCharType="begin" w:fldLock="1"/>
      </w:r>
      <w:r w:rsidRPr="00AD0AFF">
        <w:instrText>ADDIN CSL_CITATION {"citationItems":[{"id":"ITEM-1","itemData":{"ISSN":"0010-7999","author":[{"dropping-particle":"","family":"Dodson","given":"Martin H","non-dropping-particle":"","parse-names":false,"suffix":""}],"container-title":"Contributions to Mineralogy and Petrology","id":"ITEM-1","issue":"3","issued":{"date-parts":[["1973"]]},"page":"259-274","publisher":"Springer","title":"Closure temperature in cooling geochronological and petrological systems","type":"article-journal","volume":"40"},"uris":["http://www.mendeley.com/documents/?uuid=d01358b9-da0d-494f-a6d5-652fcbd100f2"]}],"mendeley":{"formattedCitation":"(Dodson, 1973)","plainTextFormattedCitation":"(Dodson, 1973)","previouslyFormattedCitation":"(Dodson, 1973)"},"properties":{"noteIndex":0},"schema":"https://github.com/citation-style-language/schema/raw/master/csl-citation.json"}</w:instrText>
      </w:r>
      <w:r w:rsidRPr="00AD0AFF">
        <w:fldChar w:fldCharType="separate"/>
      </w:r>
      <w:r w:rsidRPr="00AD0AFF">
        <w:rPr>
          <w:noProof/>
        </w:rPr>
        <w:t>(Dodson, 1973)</w:t>
      </w:r>
      <w:r w:rsidRPr="00AD0AFF">
        <w:fldChar w:fldCharType="end"/>
      </w:r>
      <w:r>
        <w:t>:</w:t>
      </w:r>
      <w:r w:rsidRPr="00AD0AFF">
        <w:t xml:space="preserve">  </w:t>
      </w:r>
    </w:p>
    <w:p w14:paraId="4B07D000" w14:textId="77777777" w:rsidR="003C07D0" w:rsidRPr="00AD0AFF" w:rsidRDefault="00D223CC" w:rsidP="00F24389">
      <w:pPr>
        <w:pStyle w:val="NormalWeb"/>
        <w:keepNext/>
        <w:spacing w:line="360" w:lineRule="auto"/>
        <w:ind w:firstLine="720"/>
      </w:pPr>
      <m:oMath>
        <m:f>
          <m:fPr>
            <m:ctrlPr>
              <w:rPr>
                <w:rFonts w:ascii="Cambria Math" w:eastAsiaTheme="minorEastAsia" w:hAnsi="Cambria Math"/>
                <w:i/>
                <w:iCs/>
                <w:color w:val="000000" w:themeColor="text1"/>
                <w:kern w:val="24"/>
                <w:sz w:val="36"/>
                <w:szCs w:val="72"/>
              </w:rPr>
            </m:ctrlPr>
          </m:fPr>
          <m:num>
            <m:r>
              <w:rPr>
                <w:rFonts w:ascii="Cambria Math" w:hAnsi="Cambria Math" w:cstheme="minorBidi"/>
                <w:color w:val="000000" w:themeColor="text1"/>
                <w:kern w:val="24"/>
                <w:sz w:val="36"/>
                <w:szCs w:val="72"/>
              </w:rPr>
              <m:t>-</m:t>
            </m:r>
            <m:r>
              <w:rPr>
                <w:rFonts w:ascii="Cambria Math" w:hAnsi="Cambria Math" w:cstheme="minorBidi"/>
                <w:color w:val="000000" w:themeColor="text1"/>
                <w:kern w:val="24"/>
                <w:sz w:val="36"/>
                <w:szCs w:val="72"/>
              </w:rPr>
              <m:t>AR</m:t>
            </m:r>
            <m:sSubSup>
              <m:sSubSupPr>
                <m:ctrlPr>
                  <w:rPr>
                    <w:rFonts w:ascii="Cambria Math" w:eastAsiaTheme="minorEastAsia" w:hAnsi="Cambria Math"/>
                    <w:i/>
                    <w:iCs/>
                    <w:color w:val="000000" w:themeColor="text1"/>
                    <w:kern w:val="24"/>
                    <w:sz w:val="36"/>
                    <w:szCs w:val="72"/>
                  </w:rPr>
                </m:ctrlPr>
              </m:sSubSupPr>
              <m:e>
                <m:r>
                  <w:rPr>
                    <w:rFonts w:ascii="Cambria Math" w:hAnsi="Cambria Math" w:cstheme="minorBidi"/>
                    <w:color w:val="000000" w:themeColor="text1"/>
                    <w:kern w:val="24"/>
                    <w:sz w:val="36"/>
                    <w:szCs w:val="72"/>
                  </w:rPr>
                  <m:t>T</m:t>
                </m:r>
              </m:e>
              <m:sub>
                <m:r>
                  <w:rPr>
                    <w:rFonts w:ascii="Cambria Math" w:hAnsi="Cambria Math" w:cstheme="minorBidi"/>
                    <w:color w:val="000000" w:themeColor="text1"/>
                    <w:kern w:val="24"/>
                    <w:sz w:val="36"/>
                    <w:szCs w:val="72"/>
                  </w:rPr>
                  <m:t>c</m:t>
                </m:r>
              </m:sub>
              <m:sup>
                <m:r>
                  <w:rPr>
                    <w:rFonts w:ascii="Cambria Math" w:hAnsi="Cambria Math" w:cstheme="minorBidi"/>
                    <w:color w:val="000000" w:themeColor="text1"/>
                    <w:kern w:val="24"/>
                    <w:sz w:val="36"/>
                    <w:szCs w:val="72"/>
                  </w:rPr>
                  <m:t>2</m:t>
                </m:r>
              </m:sup>
            </m:sSubSup>
            <m:sSub>
              <m:sSubPr>
                <m:ctrlPr>
                  <w:rPr>
                    <w:rFonts w:ascii="Cambria Math" w:eastAsiaTheme="minorEastAsia" w:hAnsi="Cambria Math"/>
                    <w:i/>
                    <w:iCs/>
                    <w:color w:val="000000" w:themeColor="text1"/>
                    <w:kern w:val="24"/>
                    <w:sz w:val="36"/>
                    <w:szCs w:val="72"/>
                  </w:rPr>
                </m:ctrlPr>
              </m:sSubPr>
              <m:e>
                <m:r>
                  <w:rPr>
                    <w:rFonts w:ascii="Cambria Math" w:hAnsi="Cambria Math" w:cstheme="minorBidi"/>
                    <w:color w:val="000000" w:themeColor="text1"/>
                    <w:kern w:val="24"/>
                    <w:sz w:val="36"/>
                    <w:szCs w:val="72"/>
                  </w:rPr>
                  <m:t>D</m:t>
                </m:r>
              </m:e>
              <m:sub>
                <m:r>
                  <w:rPr>
                    <w:rFonts w:ascii="Cambria Math" w:hAnsi="Cambria Math" w:cstheme="minorBidi"/>
                    <w:color w:val="000000" w:themeColor="text1"/>
                    <w:kern w:val="24"/>
                    <w:sz w:val="36"/>
                    <w:szCs w:val="72"/>
                  </w:rPr>
                  <m:t>0</m:t>
                </m:r>
              </m:sub>
            </m:sSub>
          </m:num>
          <m:den>
            <m:r>
              <w:rPr>
                <w:rFonts w:ascii="Cambria Math" w:hAnsi="Cambria Math" w:cstheme="minorBidi"/>
                <w:color w:val="000000" w:themeColor="text1"/>
                <w:kern w:val="24"/>
                <w:sz w:val="36"/>
                <w:szCs w:val="72"/>
              </w:rPr>
              <m:t>E</m:t>
            </m:r>
            <m:func>
              <m:funcPr>
                <m:ctrlPr>
                  <w:rPr>
                    <w:rFonts w:ascii="Cambria Math" w:eastAsiaTheme="minorEastAsia" w:hAnsi="Cambria Math"/>
                    <w:i/>
                    <w:iCs/>
                    <w:color w:val="000000" w:themeColor="text1"/>
                    <w:kern w:val="24"/>
                    <w:sz w:val="36"/>
                    <w:szCs w:val="72"/>
                  </w:rPr>
                </m:ctrlPr>
              </m:funcPr>
              <m:fName>
                <m:r>
                  <w:rPr>
                    <w:rFonts w:ascii="Cambria Math" w:hAnsi="Cambria Math" w:cstheme="minorBidi"/>
                    <w:color w:val="000000" w:themeColor="text1"/>
                    <w:kern w:val="24"/>
                    <w:sz w:val="36"/>
                    <w:szCs w:val="72"/>
                  </w:rPr>
                  <m:t>exp</m:t>
                </m:r>
              </m:fName>
              <m:e>
                <m:d>
                  <m:dPr>
                    <m:ctrlPr>
                      <w:rPr>
                        <w:rFonts w:ascii="Cambria Math" w:eastAsiaTheme="minorEastAsia" w:hAnsi="Cambria Math"/>
                        <w:i/>
                        <w:iCs/>
                        <w:color w:val="000000" w:themeColor="text1"/>
                        <w:kern w:val="24"/>
                        <w:sz w:val="36"/>
                        <w:szCs w:val="72"/>
                      </w:rPr>
                    </m:ctrlPr>
                  </m:dPr>
                  <m:e>
                    <m:f>
                      <m:fPr>
                        <m:ctrlPr>
                          <w:rPr>
                            <w:rFonts w:ascii="Cambria Math" w:eastAsiaTheme="minorEastAsia" w:hAnsi="Cambria Math"/>
                            <w:i/>
                            <w:iCs/>
                            <w:color w:val="000000" w:themeColor="text1"/>
                            <w:kern w:val="24"/>
                            <w:sz w:val="36"/>
                            <w:szCs w:val="72"/>
                          </w:rPr>
                        </m:ctrlPr>
                      </m:fPr>
                      <m:num>
                        <m:r>
                          <w:rPr>
                            <w:rFonts w:ascii="Cambria Math" w:hAnsi="Cambria Math" w:cstheme="minorBidi"/>
                            <w:color w:val="000000" w:themeColor="text1"/>
                            <w:kern w:val="24"/>
                            <w:sz w:val="36"/>
                            <w:szCs w:val="72"/>
                          </w:rPr>
                          <m:t>E</m:t>
                        </m:r>
                      </m:num>
                      <m:den>
                        <m:r>
                          <w:rPr>
                            <w:rFonts w:ascii="Cambria Math" w:hAnsi="Cambria Math" w:cstheme="minorBidi"/>
                            <w:color w:val="000000" w:themeColor="text1"/>
                            <w:kern w:val="24"/>
                            <w:sz w:val="36"/>
                            <w:szCs w:val="72"/>
                          </w:rPr>
                          <m:t>R</m:t>
                        </m:r>
                        <m:sSub>
                          <m:sSubPr>
                            <m:ctrlPr>
                              <w:rPr>
                                <w:rFonts w:ascii="Cambria Math" w:eastAsiaTheme="minorEastAsia" w:hAnsi="Cambria Math"/>
                                <w:i/>
                                <w:color w:val="000000" w:themeColor="text1"/>
                                <w:kern w:val="24"/>
                                <w:sz w:val="36"/>
                                <w:szCs w:val="72"/>
                              </w:rPr>
                            </m:ctrlPr>
                          </m:sSubPr>
                          <m:e>
                            <m:r>
                              <w:rPr>
                                <w:rFonts w:ascii="Cambria Math" w:hAnsi="Cambria Math" w:cstheme="minorBidi"/>
                                <w:color w:val="000000" w:themeColor="text1"/>
                                <w:kern w:val="24"/>
                                <w:sz w:val="36"/>
                                <w:szCs w:val="72"/>
                              </w:rPr>
                              <m:t>T</m:t>
                            </m:r>
                          </m:e>
                          <m:sub>
                            <m:r>
                              <w:rPr>
                                <w:rFonts w:ascii="Cambria Math" w:hAnsi="Cambria Math" w:cstheme="minorBidi"/>
                                <w:color w:val="000000" w:themeColor="text1"/>
                                <w:kern w:val="24"/>
                                <w:sz w:val="36"/>
                                <w:szCs w:val="72"/>
                              </w:rPr>
                              <m:t>C</m:t>
                            </m:r>
                          </m:sub>
                        </m:sSub>
                      </m:den>
                    </m:f>
                  </m:e>
                </m:d>
                <m:sSup>
                  <m:sSupPr>
                    <m:ctrlPr>
                      <w:rPr>
                        <w:rFonts w:ascii="Cambria Math" w:eastAsiaTheme="minorEastAsia" w:hAnsi="Cambria Math"/>
                        <w:i/>
                        <w:iCs/>
                        <w:color w:val="000000" w:themeColor="text1"/>
                        <w:kern w:val="24"/>
                        <w:sz w:val="36"/>
                        <w:szCs w:val="72"/>
                      </w:rPr>
                    </m:ctrlPr>
                  </m:sSupPr>
                  <m:e>
                    <m:r>
                      <w:rPr>
                        <w:rFonts w:ascii="Cambria Math" w:hAnsi="Cambria Math" w:cstheme="minorBidi"/>
                        <w:color w:val="000000" w:themeColor="text1"/>
                        <w:kern w:val="24"/>
                        <w:sz w:val="36"/>
                        <w:szCs w:val="72"/>
                      </w:rPr>
                      <m:t>a</m:t>
                    </m:r>
                  </m:e>
                  <m:sup>
                    <m:r>
                      <w:rPr>
                        <w:rFonts w:ascii="Cambria Math" w:hAnsi="Cambria Math" w:cstheme="minorBidi"/>
                        <w:color w:val="000000" w:themeColor="text1"/>
                        <w:kern w:val="24"/>
                        <w:sz w:val="36"/>
                        <w:szCs w:val="72"/>
                      </w:rPr>
                      <m:t>2</m:t>
                    </m:r>
                  </m:sup>
                </m:sSup>
              </m:e>
            </m:func>
          </m:den>
        </m:f>
        <m:r>
          <w:rPr>
            <w:rFonts w:ascii="Cambria Math" w:hAnsi="Cambria Math" w:cstheme="minorBidi"/>
            <w:color w:val="000000" w:themeColor="text1"/>
            <w:kern w:val="24"/>
            <w:sz w:val="36"/>
            <w:szCs w:val="72"/>
          </w:rPr>
          <m:t>=</m:t>
        </m:r>
        <m:f>
          <m:fPr>
            <m:ctrlPr>
              <w:rPr>
                <w:rFonts w:ascii="Cambria Math" w:eastAsiaTheme="minorEastAsia" w:hAnsi="Cambria Math"/>
                <w:i/>
                <w:iCs/>
                <w:color w:val="000000" w:themeColor="text1"/>
                <w:kern w:val="24"/>
                <w:sz w:val="36"/>
                <w:szCs w:val="72"/>
              </w:rPr>
            </m:ctrlPr>
          </m:fPr>
          <m:num>
            <m:r>
              <w:rPr>
                <w:rFonts w:ascii="Cambria Math" w:hAnsi="Cambria Math" w:cstheme="minorBidi"/>
                <w:color w:val="000000" w:themeColor="text1"/>
                <w:kern w:val="24"/>
                <w:sz w:val="36"/>
                <w:szCs w:val="72"/>
              </w:rPr>
              <m:t>ⅆ</m:t>
            </m:r>
            <m:r>
              <w:rPr>
                <w:rFonts w:ascii="Cambria Math" w:hAnsi="Cambria Math" w:cstheme="minorBidi"/>
                <w:color w:val="000000" w:themeColor="text1"/>
                <w:kern w:val="24"/>
                <w:sz w:val="36"/>
                <w:szCs w:val="72"/>
              </w:rPr>
              <m:t>T</m:t>
            </m:r>
          </m:num>
          <m:den>
            <m:r>
              <w:rPr>
                <w:rFonts w:ascii="Cambria Math" w:hAnsi="Cambria Math" w:cstheme="minorBidi"/>
                <w:color w:val="000000" w:themeColor="text1"/>
                <w:kern w:val="24"/>
                <w:sz w:val="36"/>
                <w:szCs w:val="72"/>
              </w:rPr>
              <m:t>ⅆ</m:t>
            </m:r>
            <m:r>
              <w:rPr>
                <w:rFonts w:ascii="Cambria Math" w:hAnsi="Cambria Math" w:cstheme="minorBidi"/>
                <w:color w:val="000000" w:themeColor="text1"/>
                <w:kern w:val="24"/>
                <w:sz w:val="36"/>
                <w:szCs w:val="72"/>
              </w:rPr>
              <m:t>t</m:t>
            </m:r>
          </m:den>
        </m:f>
      </m:oMath>
      <w:r w:rsidR="003C07D0" w:rsidRPr="00AD0AFF">
        <w:rPr>
          <w:iCs/>
          <w:color w:val="000000" w:themeColor="text1"/>
          <w:kern w:val="24"/>
          <w:szCs w:val="72"/>
        </w:rPr>
        <w:tab/>
      </w:r>
      <w:r w:rsidR="003C07D0" w:rsidRPr="00AD0AFF">
        <w:rPr>
          <w:iCs/>
          <w:color w:val="000000" w:themeColor="text1"/>
          <w:kern w:val="24"/>
          <w:szCs w:val="72"/>
        </w:rPr>
        <w:tab/>
      </w:r>
      <w:r w:rsidR="003C07D0" w:rsidRPr="00AD0AFF">
        <w:rPr>
          <w:iCs/>
          <w:color w:val="000000" w:themeColor="text1"/>
          <w:kern w:val="24"/>
          <w:szCs w:val="72"/>
        </w:rPr>
        <w:tab/>
      </w:r>
      <w:r w:rsidR="003C07D0" w:rsidRPr="00AD0AFF">
        <w:rPr>
          <w:iCs/>
          <w:color w:val="000000" w:themeColor="text1"/>
          <w:kern w:val="24"/>
          <w:szCs w:val="72"/>
        </w:rPr>
        <w:tab/>
      </w:r>
      <w:r w:rsidR="003C07D0" w:rsidRPr="00AD0AFF">
        <w:rPr>
          <w:iCs/>
          <w:color w:val="000000" w:themeColor="text1"/>
          <w:kern w:val="24"/>
          <w:szCs w:val="72"/>
        </w:rPr>
        <w:tab/>
      </w:r>
      <w:r w:rsidR="003C07D0" w:rsidRPr="00AD0AFF">
        <w:rPr>
          <w:iCs/>
          <w:color w:val="000000" w:themeColor="text1"/>
          <w:kern w:val="24"/>
          <w:szCs w:val="72"/>
        </w:rPr>
        <w:tab/>
      </w:r>
      <w:r w:rsidR="003C07D0" w:rsidRPr="00AD0AFF">
        <w:rPr>
          <w:iCs/>
          <w:color w:val="000000" w:themeColor="text1"/>
          <w:kern w:val="24"/>
          <w:szCs w:val="72"/>
        </w:rPr>
        <w:tab/>
      </w:r>
      <w:r w:rsidR="003C07D0" w:rsidRPr="00AD0AFF">
        <w:rPr>
          <w:iCs/>
          <w:color w:val="000000" w:themeColor="text1"/>
          <w:kern w:val="24"/>
          <w:szCs w:val="72"/>
        </w:rPr>
        <w:tab/>
        <w:t>(</w:t>
      </w:r>
      <w:r w:rsidR="003C07D0">
        <w:fldChar w:fldCharType="begin"/>
      </w:r>
      <w:r w:rsidR="003C07D0">
        <w:instrText>SEQ Equation \* ARABIC</w:instrText>
      </w:r>
      <w:r w:rsidR="003C07D0">
        <w:fldChar w:fldCharType="separate"/>
      </w:r>
      <w:r w:rsidR="003C07D0">
        <w:rPr>
          <w:noProof/>
        </w:rPr>
        <w:t>1</w:t>
      </w:r>
      <w:r w:rsidR="003C07D0">
        <w:fldChar w:fldCharType="end"/>
      </w:r>
      <w:r w:rsidR="003C07D0" w:rsidRPr="00AD0AFF">
        <w:t>),</w:t>
      </w:r>
    </w:p>
    <w:p w14:paraId="1DA54896" w14:textId="1B39B0F9" w:rsidR="003C07D0" w:rsidRPr="00AD0AFF" w:rsidRDefault="003C07D0" w:rsidP="00F24389">
      <w:pPr>
        <w:spacing w:line="360" w:lineRule="auto"/>
      </w:pPr>
      <w:r w:rsidRPr="00AD0AFF">
        <w:t xml:space="preserve">where </w:t>
      </w:r>
      <w:r w:rsidRPr="00AD0AFF">
        <w:rPr>
          <w:i/>
        </w:rPr>
        <w:t>T</w:t>
      </w:r>
      <w:r w:rsidRPr="00AD0AFF">
        <w:rPr>
          <w:i/>
          <w:vertAlign w:val="subscript"/>
        </w:rPr>
        <w:t>c</w:t>
      </w:r>
      <w:r w:rsidRPr="00AD0AFF">
        <w:t xml:space="preserve"> is the temperature provided by the </w:t>
      </w:r>
      <w:r>
        <w:t>thermometer</w:t>
      </w:r>
      <w:r w:rsidRPr="00AD0AFF">
        <w:t xml:space="preserve"> (which must be established as a closure temperature, see Section </w:t>
      </w:r>
      <w:r>
        <w:t>5</w:t>
      </w:r>
      <w:r w:rsidRPr="00AD0AFF">
        <w:t xml:space="preserve">.1), </w:t>
      </w:r>
      <w:r w:rsidRPr="00AD0AFF">
        <w:rPr>
          <w:i/>
        </w:rPr>
        <w:t>E</w:t>
      </w:r>
      <w:r w:rsidRPr="00AD0AFF">
        <w:t xml:space="preserve"> and </w:t>
      </w:r>
      <w:r w:rsidRPr="00AD0AFF">
        <w:rPr>
          <w:i/>
        </w:rPr>
        <w:t>D</w:t>
      </w:r>
      <w:r w:rsidRPr="00AD0AFF">
        <w:rPr>
          <w:i/>
          <w:vertAlign w:val="subscript"/>
        </w:rPr>
        <w:t>0</w:t>
      </w:r>
      <w:r w:rsidRPr="00AD0AFF">
        <w:t>, are the activation energy and pre-exponential factors for the element of interest</w:t>
      </w:r>
      <w:r>
        <w:t>, respectively</w:t>
      </w:r>
      <w:r w:rsidRPr="00AD0AFF">
        <w:t xml:space="preserve">; </w:t>
      </w:r>
      <w:r w:rsidRPr="00AD0AFF">
        <w:rPr>
          <w:i/>
        </w:rPr>
        <w:t>R</w:t>
      </w:r>
      <w:r w:rsidRPr="00AD0AFF">
        <w:t xml:space="preserve"> is the gas constant, </w:t>
      </w:r>
      <w:r w:rsidRPr="00AD0AFF">
        <w:rPr>
          <w:i/>
        </w:rPr>
        <w:t>A</w:t>
      </w:r>
      <w:r w:rsidRPr="00AD0AFF">
        <w:t xml:space="preserve"> is a geometric constant (in this study we assumed spherical geometry (</w:t>
      </w:r>
      <w:r w:rsidRPr="00AD0AFF">
        <w:rPr>
          <w:i/>
        </w:rPr>
        <w:t>A</w:t>
      </w:r>
      <w:r w:rsidRPr="00AD0AFF">
        <w:t xml:space="preserve">=55)), and </w:t>
      </w:r>
      <w:r w:rsidRPr="00AD0AFF">
        <w:rPr>
          <w:i/>
        </w:rPr>
        <w:t>a</w:t>
      </w:r>
      <w:r w:rsidRPr="00AD0AFF">
        <w:t xml:space="preserve"> is an </w:t>
      </w:r>
      <w:r w:rsidRPr="00AD0AFF">
        <w:lastRenderedPageBreak/>
        <w:t xml:space="preserve">effective grain size. The Dodson equation makes simplifying assumptions that may or may not be justified depending on the exchange reaction considered and the geologic history of a sample, among them, continuous cooling from peak temperature at a constant rate, diffusive exchange between a mineral grain and a semi-infinite reservoir, and the lack of any grain growth (or </w:t>
      </w:r>
      <w:proofErr w:type="spellStart"/>
      <w:r>
        <w:t>resporption</w:t>
      </w:r>
      <w:proofErr w:type="spellEnd"/>
      <w:r w:rsidRPr="00AD0AFF">
        <w:t xml:space="preserve">) during cooling. These assumptions may be justified for simple exchange reactions, e.g., the </w:t>
      </w:r>
      <w:r w:rsidRPr="00AD0AFF">
        <w:fldChar w:fldCharType="begin" w:fldLock="1"/>
      </w:r>
      <w:r w:rsidRPr="00AD0AFF">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applications","type":"article-journal","volume":"54"},"uris":["http://www.mendeley.com/documents/?uuid=91096bb6-4f27-4518-9a4e-e0c9afe14114"]}],"mendeley":{"formattedCitation":"(Köhler &amp; Brey, 1990)","manualFormatting":"Köhler &amp; Brey (1990)","plainTextFormattedCitation":"(Köhler &amp; Brey, 1990)","previouslyFormattedCitation":"(Köhler &amp; Brey, 1990)"},"properties":{"noteIndex":0},"schema":"https://github.com/citation-style-language/schema/raw/master/csl-citation.json"}</w:instrText>
      </w:r>
      <w:r w:rsidRPr="00AD0AFF">
        <w:fldChar w:fldCharType="separate"/>
      </w:r>
      <w:r w:rsidRPr="00AD0AFF">
        <w:rPr>
          <w:noProof/>
        </w:rPr>
        <w:t>Köhler &amp; Brey (1990)</w:t>
      </w:r>
      <w:r w:rsidRPr="00AD0AFF">
        <w:fldChar w:fldCharType="end"/>
      </w:r>
      <w:r w:rsidRPr="00AD0AFF">
        <w:t xml:space="preserve"> Ca-in-olivine thermometer, where the Ca-Fe-Mg exchange reaction between olivine and clinopyroxene is well understood, and the kinetics are constrained </w:t>
      </w:r>
      <w:r w:rsidRPr="00AD0AFF">
        <w:fldChar w:fldCharType="begin" w:fldLock="1"/>
      </w:r>
      <w:r w:rsidRPr="00AD0AFF">
        <w:instrText xml:space="preserve">ADDIN CSL_CITATION {"citationItems":[{"id":"ITEM-1","itemData":{"DOI":"10.1007/BF00371460","ISSN":"00107999","abstract":"Diffusivities for calcium, iron, magnesium, manganese and aluminum have been measured for St. John's olivine undergoing cation exchange with synthetic basaltic melts. The variety of temperature, pressure and fO2 conditions under which the diffusivities were measured complement the equilibrium-partitioning study of calcium in olivine-bearing basalts by Jurewicz and Watson, 1988. Olivine was found to be anisotropic with respect to the diffusion of calcium, iron, magnesium and manganese. This anisotropy is a weak function of temperature, but strongly dependent upon oxygen fugacity. Because diffusion is independent of olivine composition over the small range of compositions used in this study, it could be shown that the absolute values of the diffusion coefficients were also functions of temperature and fO2. At near-atmospheric total pressure and an oxygen fugacity of 10-8atm, DFe&gt;DMn&gt;DCa and DMg≥DMn for a range of geologically reasonable temperatures. These relative diffusivities were shown to change with oxygen fugacity. The power-law dependence of diffusion on oxygen partial-pressure was determined for each cation and the results are consistent with the range of values given by Stocker (1978) and by other workers. For Ca and Fe, the effect of hydrostatic pressure on diffusion appears to be weak, at least for transport parallel to the c crystallographic direction. Unfortunately, no true activation volumes (or other pressure-related parameters) could be computed because the oxygen fugacity was not held constant over changes in pressure, and because accurate post-experiment reconstruction of sample orientation was not possible. Al was found to enter high-pressure olivines at concentrations of up to 0.14 weight percent, thus allowing aluminum diffusion to be characterized. The diffusivity of aluminum is, within error, the same as iron at 20 kb at 1430° C at the ambient fO2 of our piston-cylinder cells. This correspondence suggests that diffusion of Al may depend on transport of either Fe or of Fe +3 defects. While the results of these experiments are generally consistent with results published elsewhere, there are important inconsistencies. Tracer diffusion and interdiffusion in pure, ordered, olivine endmembers (e.g., tephroite and forsterite) showed significantly higher activation energies. This discrepancy could reflect the role of Fe+3 defects in diffusion; however, it may also suggest that order-disorder phenomena may be significant factors influencing …","author":[{"dropping-particle":"","family":"Jurewicz","given":"Amy J.G.","non-dropping-particle":"","parse-names":false,"suffix":""},{"dropping-particle":"","family":"Watson","given":"E. Bruce","non-dropping-particle":"","parse-names":false,"suffix":""}],"container-title":"Contributions to Mineralogy and Petrology","id":"ITEM-1","issue":"2","issued":{"date-parts":[["1988"]]},"page":"186-201","title":"Cations in olivine, Part 2: Diffusion in olivine xenocrysts, with applications to petrology and mineral physics","type":"article-journal","volume":"99"},"uris":["http://www.mendeley.com/documents/?uuid=6e792c56-d9bf-4bd6-b56e-7caa39986640"]},{"id":"ITEM-2","itemData":{"DOI":"10.1016/j.gca.2005.03.002","ISBN":"0016-7037","ISSN":"00167037","abstract":"Experiments have been carried out to determine the temperature, oxygen fugacity (fO2) and compositional dependence of the tracer diffusion coefficient (D) of calcium in olivine. These data constrain the diffusion coefficient over the temperature range 900 to 1500°C for the three principal crystallographic axes. Well constrained linear relationships between the reciprocal of the absolute temperature and log(D) exist at any given oxygen fugacity. There is a strong dependence of the diffusion coefficient on oxygen fugacity with D </w:instrText>
      </w:r>
      <w:r w:rsidRPr="00AD0AFF">
        <w:rPr>
          <w:rFonts w:ascii="Cambria Math" w:hAnsi="Cambria Math" w:cs="Cambria Math"/>
        </w:rPr>
        <w:instrText>∝</w:instrText>
      </w:r>
      <w:r w:rsidRPr="00AD0AFF">
        <w:instrText xml:space="preserve"> fO2(1/3). This makes a knowledge of the T-fO2path followed by geological samples a prerequisite for modelling Ca diffusion in olivine. The best fitting preexponential factor (Do) and activation energy (E) to the Arrhenius equation log (D) = log [Do exp(-E/RT)] + 0.31Δ log fO2for Ca diffusion in olivine at a given oxygen fugacity (fO2*) are given by: diffusion along [100]: log [Do (m2/s)] = -10.78 ± 0.43; E = 193 ± 11 kJ/mol diffusion along [010]: log [Do (m2/s)] = -10.46 ± 0.37; E = 201 ± 10 kJ/mol diffusion along [001]: log [Do (m2/s)] = -10.02 ± 0.29; E = 207 ± 8 kJ/mol where Δ log fO2= log[fO2*] - log[10-12] with fO2* in units of bars. There is no measurable compositional dependence of the diffusion coefficient between Fo83and Fo92. Diffusion in Fo100has a much higher activation energy than in Fe-bearing olivine and has a weaker fO2dependence. Copyright © 2005 Elsevier Ltd.","author":[{"dropping-particle":"","family":"Coogan","given":"Laurence A.","non-dropping-particle":"","parse-names":false,"suffix":""},{"dropping-particle":"","family":"Hain","given":"A.","non-dropping-particle":"","parse-names":false,"suffix":""},{"dropping-particle":"","family":"Stahl","given":"S.","non-dropping-particle":"","parse-names":false,"suffix":""},{"dropping-particle":"","family":"Chakraborty","given":"S.","non-dropping-particle":"","parse-names":false,"suffix":""}],"container-title":"Geochimica et Cosmochimica Acta","id":"ITEM-2","issue":"14","issued":{"date-parts":[["2005"]]},"page":"3683-3694","title":"Experimental determination of the diffusion coefficient for calcium in olivine between 900°C and 1500°C","type":"article-journal","volume":"69"},"uris":["http://www.mendeley.com/documents/?uuid=c250b32e-1c44-430b-b5c7-fdb1b0027e20"]}],"mendeley":{"formattedCitation":"(Coogan et al., 2005; Jurewicz &amp; Watson, 1988)","manualFormatting":"(e.g. Coogan et al., 2005; Jurewicz &amp; Watson, 1988)","plainTextFormattedCitation":"(Coogan et al., 2005; Jurewicz &amp; Watson, 1988)","previouslyFormattedCitation":"(Coogan et al., 2005; Jurewicz &amp; Watson, 1988)"},"properties":{"noteIndex":0},"schema":"https://github.com/citation-style-language/schema/raw/master/csl-citation.json"}</w:instrText>
      </w:r>
      <w:r w:rsidRPr="00AD0AFF">
        <w:fldChar w:fldCharType="separate"/>
      </w:r>
      <w:r w:rsidRPr="00AD0AFF">
        <w:rPr>
          <w:noProof/>
        </w:rPr>
        <w:t>(e.g. Coogan et al., 2005; Jurewicz &amp; Watson, 1988)</w:t>
      </w:r>
      <w:r w:rsidRPr="00AD0AFF">
        <w:fldChar w:fldCharType="end"/>
      </w:r>
      <w:r w:rsidRPr="00AD0AFF">
        <w:t xml:space="preserve">. </w:t>
      </w:r>
    </w:p>
    <w:p w14:paraId="37A5CD69" w14:textId="7419DA0C" w:rsidR="003C07D0" w:rsidRPr="00AD0AFF" w:rsidRDefault="00F55061" w:rsidP="00F24389">
      <w:pPr>
        <w:pStyle w:val="Style1"/>
        <w:spacing w:line="360" w:lineRule="auto"/>
      </w:pPr>
      <w:bookmarkStart w:id="45" w:name="_Toc109036130"/>
      <w:r>
        <w:t xml:space="preserve">5.2.1 </w:t>
      </w:r>
      <w:r w:rsidR="003C07D0" w:rsidRPr="6F96FD7C">
        <w:t>Rates from Ca-in-olivine temperatures</w:t>
      </w:r>
      <w:bookmarkEnd w:id="45"/>
    </w:p>
    <w:p w14:paraId="60595C5D" w14:textId="78E6189E" w:rsidR="003C07D0" w:rsidRPr="00AD0AFF" w:rsidRDefault="003C07D0" w:rsidP="001E0B34">
      <w:pPr>
        <w:spacing w:line="360" w:lineRule="auto"/>
        <w:ind w:firstLine="360"/>
      </w:pPr>
      <w:r w:rsidRPr="00AD0AFF">
        <w:t>Using Equation 1 and olivine grain sizes measured petrographically</w:t>
      </w:r>
      <w:r>
        <w:t xml:space="preserve"> (see Section 2.1)</w:t>
      </w:r>
      <w:r w:rsidRPr="00AD0AFF">
        <w:t xml:space="preserve">, we calculated cooling rates from the </w:t>
      </w:r>
      <w:proofErr w:type="spellStart"/>
      <w:r w:rsidRPr="00AD0AFF">
        <w:rPr>
          <w:i/>
        </w:rPr>
        <w:t>T</w:t>
      </w:r>
      <w:r w:rsidRPr="00AD0AFF">
        <w:rPr>
          <w:i/>
          <w:vertAlign w:val="subscript"/>
        </w:rPr>
        <w:t>Ca</w:t>
      </w:r>
      <w:proofErr w:type="spellEnd"/>
      <w:r w:rsidRPr="00AD0AFF">
        <w:rPr>
          <w:i/>
          <w:vertAlign w:val="subscript"/>
        </w:rPr>
        <w:t>-in-</w:t>
      </w:r>
      <w:proofErr w:type="spellStart"/>
      <w:r w:rsidRPr="00AD0AFF">
        <w:rPr>
          <w:i/>
          <w:vertAlign w:val="subscript"/>
        </w:rPr>
        <w:t>Ol</w:t>
      </w:r>
      <w:proofErr w:type="spellEnd"/>
      <w:r w:rsidRPr="00AD0AFF">
        <w:t xml:space="preserve"> data, which range from </w:t>
      </w:r>
      <w:r>
        <w:t xml:space="preserve">0.06 to 0.12 </w:t>
      </w:r>
      <w:r w:rsidRPr="00AD0AFF">
        <w:rPr>
          <w:rFonts w:ascii="Calibri" w:hAnsi="Calibri" w:cs="Calibri"/>
        </w:rPr>
        <w:t>°</w:t>
      </w:r>
      <w:r w:rsidRPr="00AD0AFF">
        <w:t>C/y</w:t>
      </w:r>
      <w:r>
        <w:t xml:space="preserve"> for the </w:t>
      </w:r>
      <w:proofErr w:type="spellStart"/>
      <w:r>
        <w:t>OmanDP</w:t>
      </w:r>
      <w:proofErr w:type="spellEnd"/>
      <w:r>
        <w:t xml:space="preserve"> </w:t>
      </w:r>
      <w:proofErr w:type="spellStart"/>
      <w:r>
        <w:t>gabbros</w:t>
      </w:r>
      <w:proofErr w:type="spellEnd"/>
      <w:r>
        <w:t xml:space="preserve">, and </w:t>
      </w:r>
      <w:r w:rsidRPr="00837FC3">
        <w:t>0.03</w:t>
      </w:r>
      <w:r w:rsidRPr="00AF1C85">
        <w:t xml:space="preserve"> to </w:t>
      </w:r>
      <w:r w:rsidRPr="00837FC3">
        <w:t>0.25</w:t>
      </w:r>
      <w:r w:rsidRPr="00AD0AFF">
        <w:t xml:space="preserve"> </w:t>
      </w:r>
      <w:r w:rsidRPr="00AD0AFF">
        <w:rPr>
          <w:rFonts w:ascii="Calibri" w:hAnsi="Calibri" w:cs="Calibri"/>
        </w:rPr>
        <w:t>°</w:t>
      </w:r>
      <w:r w:rsidRPr="00AD0AFF">
        <w:t xml:space="preserve">C/y </w:t>
      </w:r>
      <w:r>
        <w:t xml:space="preserve">for the Hess Deep and </w:t>
      </w:r>
      <w:proofErr w:type="spellStart"/>
      <w:r>
        <w:t>OmanDP</w:t>
      </w:r>
      <w:proofErr w:type="spellEnd"/>
      <w:r>
        <w:t xml:space="preserve"> peridotites </w:t>
      </w:r>
      <w:r w:rsidRPr="00AD0AFF">
        <w:t xml:space="preserve">(Table </w:t>
      </w:r>
      <w:r w:rsidR="009B3070">
        <w:t>1.</w:t>
      </w:r>
      <w:r w:rsidRPr="00AD0AFF">
        <w:t xml:space="preserve">3, </w:t>
      </w:r>
      <w:r>
        <w:t xml:space="preserve">green symbols, </w:t>
      </w:r>
      <w:r w:rsidRPr="00AD0AFF">
        <w:t xml:space="preserve">Figure </w:t>
      </w:r>
      <w:r w:rsidR="009B3070">
        <w:t>1.</w:t>
      </w:r>
      <w:r w:rsidRPr="00AD0AFF">
        <w:t>9). Serpentinization of olivine rims could inflate these rates by removing the portion of the grain exhibiting Ca depletion after exchange with clinopyroxene during cooling. Underestimating grain size would also inflate the cooling rates, because the rates scale with the square of grain size (Equation 1). Grain sizes a</w:t>
      </w:r>
      <w:r>
        <w:t xml:space="preserve"> factor of two </w:t>
      </w:r>
      <w:r w:rsidRPr="00AD0AFF">
        <w:t xml:space="preserve">larger than the values we measured would produce cooling rates a factor of </w:t>
      </w:r>
      <w:r>
        <w:t>four</w:t>
      </w:r>
      <w:r w:rsidRPr="00AD0AFF">
        <w:t xml:space="preserve"> slower, </w:t>
      </w:r>
      <w:r>
        <w:t xml:space="preserve">which is </w:t>
      </w:r>
      <w:r w:rsidRPr="00AD0AFF">
        <w:t xml:space="preserve">still </w:t>
      </w:r>
      <w:r w:rsidRPr="009A7A7E">
        <w:t>~2 orders of magnitude faster</w:t>
      </w:r>
      <w:r w:rsidRPr="00AD0AFF">
        <w:t xml:space="preserve"> than rates anticipated in a scenario where the lower crust and underlying mantle cooled conductively </w:t>
      </w:r>
      <w:r w:rsidRPr="00AD0AFF">
        <w:fldChar w:fldCharType="begin" w:fldLock="1"/>
      </w:r>
      <w:r w:rsidRPr="00AD0AFF">
        <w:instrText>ADDIN CSL_CITATION {"citationItems":[{"id":"ITEM-1","itemData":{"DOI":"10.1130/G37353.1","ISBN":"0091-7613","ISSN":"19432682","abstract":"The cooling history of the lowermost ocean crust formed at the East Pacific Rise and exposed at the Hess Deep Rift is constrained using fresh primitive olivine gabbro and troctolite cores recently recovered by Integrated Ocean Drilling Program Expedition 345. The Mg-in-plagioclase and Ca-in-olivine geospeedometers constrain the initial subsolidus cooling rates, down to closure temperatures in the range of 900-750°C. These independent geospeedometers yield similar slow cooling rates, 0.005-0.0001°C yr&lt;sup&gt;-1&lt;/sup&gt;, with a mean value of 0.0011°C yr&lt;sup&gt;-1&lt;/sup&gt;, making these results robust despite the uncertainties inherent in the methods. The slow cooling rates, derived using natural samples, provide a crucial test of predictions of the thermal structure of the lower crust based on remote imaging techniques and thermal modeling. The cooling rates are most consistent with thermal models that are dominated by conductive cooling within the plutonic complex. This implies that lower crust formed at fast spreading rates remains hot in the near-axis environment, indicating limited hydrothermal fluid ingress and reaction.","author":[{"dropping-particle":"","family":"Faak","given":"Kathrin","non-dropping-particle":"","parse-names":false,"suffix":""},{"dropping-particle":"","family":"Gillis","given":"Kathryn M.","non-dropping-particle":"","parse-names":false,"suffix":""}],"container-title":"Geology","id":"ITEM-1","issue":"2","issued":{"date-parts":[["2016"]]},"page":"115-118","title":"Slow cooling of the lowermost oceanic crust at the fast-spreading East Pacific Rise","type":"article-journal","volume":"44"},"uris":["http://www.mendeley.com/documents/?uuid=9f8c9c44-d761-429d-a308-be5db3af2192"]},{"id":"ITEM-2","itemData":{"DOI":"10.1016/j.epsl.2017.02.038","ISSN":"0012821X","abstract":"To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Letters","id":"ITEM-2","issued":{"date-parts":[["2017"]]},"page":"134-144","publisher":"Elsevier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ridges","type":"article-journal","volume":"465"},"uris":["http://www.mendeley.com/documents/?uuid=67ec3375-a99a-4c3e-81f5-c4bab6e86be5"]}],"mendeley":{"formattedCitation":"(Dygert et al., 2017; Faak &amp; Gillis, 2016)","manualFormatting":"(e.g. Dygert et al., 2017; Faak &amp; Gillis, 2016)","plainTextFormattedCitation":"(Dygert et al., 2017; Faak &amp; Gillis, 2016)","previouslyFormattedCitation":"(Dygert et al., 2017; Faak &amp; Gillis, 2016)"},"properties":{"noteIndex":0},"schema":"https://github.com/citation-style-language/schema/raw/master/csl-citation.json"}</w:instrText>
      </w:r>
      <w:r w:rsidRPr="00AD0AFF">
        <w:fldChar w:fldCharType="separate"/>
      </w:r>
      <w:r w:rsidRPr="00AD0AFF">
        <w:rPr>
          <w:noProof/>
        </w:rPr>
        <w:t>(e.g. Dygert et al., 2017; Faak &amp; Gillis, 2016)</w:t>
      </w:r>
      <w:r w:rsidRPr="00AD0AFF">
        <w:fldChar w:fldCharType="end"/>
      </w:r>
      <w:r w:rsidRPr="00AD0AFF">
        <w:t xml:space="preserve">. </w:t>
      </w:r>
    </w:p>
    <w:p w14:paraId="40CC191D" w14:textId="5E11D3CB" w:rsidR="003C07D0" w:rsidRPr="00AD0AFF" w:rsidRDefault="00F55061" w:rsidP="00F24389">
      <w:pPr>
        <w:pStyle w:val="Style1"/>
        <w:spacing w:line="360" w:lineRule="auto"/>
      </w:pPr>
      <w:bookmarkStart w:id="46" w:name="_Toc109036131"/>
      <w:r>
        <w:t xml:space="preserve">5.2.2 </w:t>
      </w:r>
      <w:r w:rsidR="003C07D0" w:rsidRPr="6F96FD7C">
        <w:t>Rates from REE-in-two-pyroxene temperatures and pyroxene solvus temperatures</w:t>
      </w:r>
      <w:bookmarkEnd w:id="46"/>
    </w:p>
    <w:p w14:paraId="4E510D2D" w14:textId="77777777" w:rsidR="003748C4" w:rsidRDefault="003C07D0" w:rsidP="001E0B34">
      <w:pPr>
        <w:spacing w:line="360" w:lineRule="auto"/>
        <w:ind w:firstLine="360"/>
      </w:pPr>
      <w:r w:rsidRPr="00AD0AFF">
        <w:t xml:space="preserve">Application of Equation 1 to </w:t>
      </w:r>
      <w:r w:rsidRPr="00AD0AFF">
        <w:rPr>
          <w:i/>
        </w:rPr>
        <w:t>T</w:t>
      </w:r>
      <w:r w:rsidRPr="00AD0AFF">
        <w:rPr>
          <w:i/>
          <w:vertAlign w:val="subscript"/>
        </w:rPr>
        <w:t>REE-in-two-Pyroxene</w:t>
      </w:r>
      <w:r w:rsidRPr="00AD0AFF">
        <w:t xml:space="preserve"> is less straightforward, as the thermometer relies on exchange of multiple elements with differing diffusion rates between phases. </w:t>
      </w:r>
      <w:r w:rsidRPr="00AD0AFF">
        <w:fldChar w:fldCharType="begin" w:fldLock="1"/>
      </w:r>
      <w:r w:rsidRPr="00AD0AFF">
        <w:instrText>ADDIN CSL_CITATION {"citationItems":[{"id":"ITEM-1","itemData":{"DOI":"10.1016/j.gca.2015.03.041","ISSN":"00167037","abstract":"Closure temperature is an important concept to many diffusion related problems involving cooling. The basic idea and formulation were outlined in the seminal work of Dodson for cooling mono-mineralic systems. The Dodson's equation has been widely used to calculate closure temperatures for igneous and metamorphic rocks that contain more than one mineral. The purpose of this study is to examine closure temperatures in cooling bi-mineralic systems and to investigate the physical meaning of temperatures calculated using the REE-in-two-pyroxene thermometer. We conduct numerical simulations of diffusive redistribution of trace elements between two coexisting minerals under prescribed cooling using temperature-dependent diffusion coefficients and mineral-mineral partition coefficients. Following Dodson's treatment, the closure temperature in bi-mineralic systems can be defined by the evolution of either average trace element concentrations in the two minerals or their ratio. The latter defines an effective partition coefficient. Closure temperatures calculated based on the two definitions are compared for a range of cooling rates, grain sizes, mineral proportions, and temperature-dependent partition coefficients and diffusion coefficients. Temperatures defined by the effective partition coefficient are recommended. Application to diffusive redistribution of rare earth elements (REE) in orthopyroxene-clinopyroxene systems demonstrates that closure temperature differences among REE are small and hence their average value may be used as the closure temperature for the cooling two-pyroxene system. The average closure temperature of REE in the two-pyroxene system is essentially the same as the temperature calculated using the REE-in-two-pyroxene thermometer and practically independent of pyroxene modal abundance in the system. Differences in temperatures calculated using the REE- and major element-based two-pyroxene thermometers can be used to infer cooling rate of two-pyroxene bearing mafic and ultramafic rocks.","author":[{"dropping-particle":"","family":"Yao","given":"Lijing","non-dropping-particle":"","parse-names":false,"suffix":""},{"dropping-particle":"","family":"Liang","given":"Yan","non-dropping-particle":"","parse-names":false,"suffix":""}],"container-title":"Geochimica et Cosmochimica Acta","id":"ITEM-1","issued":{"date-parts":[["2015"]]},"page":"137-150","publisher":"Elsevier Ltd","title":"Closure temperature in cooling bi-mineralic systems: I. Definition and with application to REE-in-two-pyroxene thermometer","type":"article-journal","volume":"162"},"uris":["http://www.mendeley.com/documents/?uuid=16792648-feaa-42aa-a1d8-ef261acf153e"]}],"mendeley":{"formattedCitation":"(Yao &amp; Liang, 2015)","manualFormatting":"Yao &amp; Liang (2015)","plainTextFormattedCitation":"(Yao &amp; Liang, 2015)","previouslyFormattedCitation":"(Yao &amp; Liang, 2015)"},"properties":{"noteIndex":0},"schema":"https://github.com/citation-style-language/schema/raw/master/csl-citation.json"}</w:instrText>
      </w:r>
      <w:r w:rsidRPr="00AD0AFF">
        <w:fldChar w:fldCharType="separate"/>
      </w:r>
      <w:r w:rsidRPr="00AD0AFF">
        <w:rPr>
          <w:noProof/>
        </w:rPr>
        <w:t>Yao &amp; Liang (2015)</w:t>
      </w:r>
      <w:r w:rsidRPr="00AD0AFF">
        <w:fldChar w:fldCharType="end"/>
      </w:r>
      <w:r w:rsidRPr="00AD0AFF">
        <w:t xml:space="preserve"> explored this problem numerically; </w:t>
      </w:r>
      <w:r w:rsidRPr="00AD0AFF">
        <w:fldChar w:fldCharType="begin" w:fldLock="1"/>
      </w:r>
      <w:r w:rsidRPr="00AD0AFF">
        <w:instrText>ADDIN CSL_CITATION {"citationItems":[{"id":"ITEM-1","itemData":{"DOI":"10.1016/j.gca.2015.05.028","ISSN":"00167037","abstract":"Closure temperature is defined as the lower temperature limit at which the element of interest effectively ceases diffusive exchange with its surrounding medium during cooling. Here we generalize the classic equation of Dodson (1973) for cooling mono-mineralic systems to cooling bi-mineralic aggregates by considering diffusive exchange of a trace element between the two minerals in a closed system. We present a simple analytical model that includes key parameters affecting the closure temperature of a trace element in cooling bi-mineralic systems: cooling rate, temperature-dependent diffusion coefficients for the trace element in the two minerals, temperature-dependent partition coefficient of the trace element between the two minerals, effective grain sizes of the two minerals, and volume proportions of the minerals in the system. We show that closure temperatures of a trace element in cooling bi-mineralic systems are bounded by the closure temperatures of the trace element in the two mono-mineralic systems and that our generalized model reduces to Dodson's equation when one of the mineral serves as \"an effective infinite\" reservoir to the other mineral. Application to closure temperatures of REE in orthopyroxene and clinopyroxene bi-mineralic systems highlights the importance of REE diffusion and partitioning in the pyroxenes as well as clinopyroxene modal abundance and grain size in the systems. Closure temperatures for REE in two-pyroxene bearing equigranular rocks are controlled primarily by diffusion in orthopyroxene unless the modal abundance of clinopyroxene is very small. This has important bearings on the interpretation of temperatures derived from the REE-in-two-pyroxene thermometer.","author":[{"dropping-particle":"","family":"Liang","given":"Yan","non-dropping-particle":"","parse-names":false,"suffix":""}],"container-title":"Geochimica et Cosmochimica Acta","id":"ITEM-1","issued":{"date-parts":[["2015"]]},"page":"35-43","publisher":"Elsevier Ltd","title":"A simple model for closure temperature of a trace element in cooling bi-mineralic systems","type":"article-journal","volume":"165"},"uris":["http://www.mendeley.com/documents/?uuid=aee774f5-4a88-45c4-b50a-af9a420ac8a2"]}],"mendeley":{"formattedCitation":"(Liang, 2015)","manualFormatting":"Liang (2015)","plainTextFormattedCitation":"(Liang, 2015)","previouslyFormattedCitation":"(Liang, 2015)"},"properties":{"noteIndex":0},"schema":"https://github.com/citation-style-language/schema/raw/master/csl-citation.json"}</w:instrText>
      </w:r>
      <w:r w:rsidRPr="00AD0AFF">
        <w:fldChar w:fldCharType="separate"/>
      </w:r>
      <w:r w:rsidRPr="00AD0AFF">
        <w:rPr>
          <w:noProof/>
        </w:rPr>
        <w:t>Liang (2015)</w:t>
      </w:r>
      <w:r w:rsidRPr="00AD0AFF">
        <w:fldChar w:fldCharType="end"/>
      </w:r>
      <w:r w:rsidRPr="00AD0AFF">
        <w:t xml:space="preserve"> developed a generalized closure temperature equation for </w:t>
      </w:r>
      <w:proofErr w:type="spellStart"/>
      <w:r w:rsidRPr="00AD0AFF">
        <w:t>bimineralic</w:t>
      </w:r>
      <w:proofErr w:type="spellEnd"/>
      <w:r w:rsidRPr="00AD0AFF">
        <w:t xml:space="preserve"> systems. The studies found that unless </w:t>
      </w:r>
      <w:r>
        <w:t xml:space="preserve">the </w:t>
      </w:r>
      <w:r w:rsidRPr="00AD0AFF">
        <w:t>clinopyroxene mode is less than 5% that of orthopyroxene, clinopyroxene can be treated as an effectively infinite reservoir for REEs, and diffusion in orthopyroxene rate limits REE exchange between two pyroxenes</w:t>
      </w:r>
      <w:r>
        <w:t xml:space="preserve"> (see Table </w:t>
      </w:r>
      <w:r w:rsidR="006C6530">
        <w:t>1.</w:t>
      </w:r>
      <w:r>
        <w:t xml:space="preserve">3 for </w:t>
      </w:r>
    </w:p>
    <w:p w14:paraId="689EB40C" w14:textId="0AD1ED67" w:rsidR="003748C4" w:rsidRDefault="003748C4" w:rsidP="003748C4">
      <w:bookmarkStart w:id="47" w:name="_Toc109738671"/>
      <w:r w:rsidRPr="007827AB">
        <w:rPr>
          <w:sz w:val="20"/>
          <w:szCs w:val="20"/>
        </w:rPr>
        <w:lastRenderedPageBreak/>
        <w:t xml:space="preserve">Figure </w:t>
      </w:r>
      <w:r>
        <w:rPr>
          <w:sz w:val="20"/>
          <w:szCs w:val="20"/>
        </w:rPr>
        <w:t>1.</w:t>
      </w:r>
      <w:r>
        <w:rPr>
          <w:sz w:val="20"/>
          <w:szCs w:val="20"/>
        </w:rPr>
        <w:fldChar w:fldCharType="begin"/>
      </w:r>
      <w:r>
        <w:rPr>
          <w:sz w:val="20"/>
          <w:szCs w:val="20"/>
        </w:rPr>
        <w:instrText xml:space="preserve"> SEQ Figure \* ARABIC \s 1 </w:instrText>
      </w:r>
      <w:r>
        <w:rPr>
          <w:sz w:val="20"/>
          <w:szCs w:val="20"/>
        </w:rPr>
        <w:fldChar w:fldCharType="separate"/>
      </w:r>
      <w:r w:rsidR="008701A2">
        <w:rPr>
          <w:noProof/>
          <w:sz w:val="20"/>
          <w:szCs w:val="20"/>
        </w:rPr>
        <w:t>9</w:t>
      </w:r>
      <w:r>
        <w:rPr>
          <w:sz w:val="20"/>
          <w:szCs w:val="20"/>
        </w:rPr>
        <w:fldChar w:fldCharType="end"/>
      </w:r>
      <w:r w:rsidRPr="007827AB">
        <w:rPr>
          <w:sz w:val="20"/>
          <w:szCs w:val="20"/>
        </w:rPr>
        <w:t xml:space="preserve">. </w:t>
      </w:r>
      <w:r w:rsidRPr="00C343DA">
        <w:rPr>
          <w:sz w:val="20"/>
          <w:szCs w:val="20"/>
        </w:rPr>
        <w:t xml:space="preserve">Comparison between cooling rates obtained from samples in this study (green, </w:t>
      </w:r>
      <w:proofErr w:type="gramStart"/>
      <w:r w:rsidRPr="00C343DA">
        <w:rPr>
          <w:sz w:val="20"/>
          <w:szCs w:val="20"/>
        </w:rPr>
        <w:t>magenta</w:t>
      </w:r>
      <w:proofErr w:type="gramEnd"/>
      <w:r w:rsidRPr="00C343DA">
        <w:rPr>
          <w:sz w:val="20"/>
          <w:szCs w:val="20"/>
        </w:rPr>
        <w:t xml:space="preserve"> and blue diamonds and squares) and modeled conductive cooling rates for three temperature intervals (red, blue and green lines, 1200-900°C, 1000-700°C, and 750-600°C, respectively). Insets show cartoons reflecting the relevant crustal accretion mechanism and cooling regime assumed for each panel. A Gabbro Glacier scenario is shown in (a), with conductive cooling starting at the dike-gabbro transition, beneath which hydrothermal circulation does not extend. A hydrothermal model from </w:t>
      </w:r>
      <w:proofErr w:type="spellStart"/>
      <w:r w:rsidRPr="00C343DA">
        <w:rPr>
          <w:sz w:val="20"/>
          <w:szCs w:val="20"/>
        </w:rPr>
        <w:t>Maclennan</w:t>
      </w:r>
      <w:proofErr w:type="spellEnd"/>
      <w:r w:rsidRPr="00C343DA">
        <w:rPr>
          <w:sz w:val="20"/>
          <w:szCs w:val="20"/>
        </w:rPr>
        <w:t xml:space="preserve"> et al., 2005, is shown for comparison, which assumes a thinner extrusive section and lower thermal diffusivity compared to models from this study. A Sheeted Sills scenario is shown in (b), which assumes convective cooling by hydrothermal circulation throughout the entire crustal column, and conductive cooling beneath the Moho. The sample-based cooling rates obtained in this study are shown at their approximate depths relative to the </w:t>
      </w:r>
      <w:proofErr w:type="gramStart"/>
      <w:r w:rsidRPr="00C343DA">
        <w:rPr>
          <w:sz w:val="20"/>
          <w:szCs w:val="20"/>
        </w:rPr>
        <w:t>Moho, and</w:t>
      </w:r>
      <w:proofErr w:type="gramEnd"/>
      <w:r w:rsidRPr="00C343DA">
        <w:rPr>
          <w:sz w:val="20"/>
          <w:szCs w:val="20"/>
        </w:rPr>
        <w:t xml:space="preserve"> are the same in both panels. Note the sample-based cooling rates obtained from three independent thermometric and </w:t>
      </w:r>
      <w:proofErr w:type="spellStart"/>
      <w:r w:rsidRPr="00C343DA">
        <w:rPr>
          <w:sz w:val="20"/>
          <w:szCs w:val="20"/>
        </w:rPr>
        <w:t>geospeedometric</w:t>
      </w:r>
      <w:proofErr w:type="spellEnd"/>
      <w:r w:rsidRPr="00C343DA">
        <w:rPr>
          <w:sz w:val="20"/>
          <w:szCs w:val="20"/>
        </w:rPr>
        <w:t xml:space="preserve"> methods </w:t>
      </w:r>
      <w:r w:rsidRPr="00C343DA">
        <w:rPr>
          <w:b/>
          <w:bCs/>
          <w:i/>
          <w:iCs/>
          <w:sz w:val="20"/>
          <w:szCs w:val="20"/>
        </w:rPr>
        <w:fldChar w:fldCharType="begin" w:fldLock="1"/>
      </w:r>
      <w:r w:rsidRPr="00C343DA">
        <w:rPr>
          <w:sz w:val="20"/>
          <w:szCs w:val="20"/>
        </w:rPr>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applications","type":"article-journal","volume":"54"},"uris":["http://www.mendeley.com/documents/?uuid=91096bb6-4f27-4518-9a4e-e0c9afe14114"]},{"id":"ITEM-2","itemData":{"DOI":"10.1016/j.epsl.2015.02.042","ISBN":"0012-821X","ISSN":"0012821X","abstract":"Mantle peridotites from ophiolites are commonly interpreted as having mid-ocean ridge (MOR) or supra-subduction zone (SSZ) affinity. Recently, an REE-in-two-pyroxene thermometer was developed (Liang et al., 2013) that has higher closure temperatures (designated as T&lt;inf&gt;REE&lt;/inf&gt;) than major element based two-pyroxene thermometers for mafic and ultramafic rocks that experienced cooling. The REE-in-two-pyroxene thermometer has the potential to extract meaningful cooling rates from ophiolitic peridotites and thus shed new light on the thermal history of the different tectonic regimes. We calculated T&lt;inf&gt;REE&lt;/inf&gt; for available literature data from abyssal peridotites, subcontinental (SC) peridotites, and ophiolites around the world (Alps, Coast Range, Corsica, New Caledonia, Oman, Othris, Puerto Rico, Russia, and Turkey), and augmented the data with new measurements for peridotites from the Trinity and Josephine ophiolites and the Mariana trench. T&lt;inf&gt;REE&lt;/inf&gt; are compared to major element based thermometers, including the two-pyroxene thermometer of Brey and K??hler (1990) (T&lt;inf&gt;BKN&lt;/inf&gt;). Samples with SC affinity have T&lt;inf&gt;REE&lt;/inf&gt; and T&lt;inf&gt;BKN&lt;/inf&gt; in good agreement. Samples with MOR and SSZ affinity have near-solidus T&lt;inf&gt;REE&lt;/inf&gt; but T&lt;inf&gt;BKN&lt;/inf&gt; hundreds of degrees lower. Closure temperatures for REE and Fe-Mg in pyroxenes were calculated to compare cooling rates among abyssal peridotites, MOR ophiolites, and SSZ ophiolites. Abyssal peridotites appear to cool more rapidly than peridotites from most ophiolites. On average, SSZ ophiolites have lower closure temperatures than abyssal peridotites and many ophiolites with MOR affinity. We propose that these lower temperatures can be attributed to the residence time in the cooling oceanic lithosphere prior to obduction. MOR ophiolites define a continuum spanning cooling rates from SSZ ophiolites to abyssal peridotites. Consistent high closure temperatures for abyssal peridotites and the Oman and Corsica ophiolites suggests hydrothermal circulation and/or rapid cooling events (e.g., normal faulting, unroofing) control the late thermal histories of peridotites from transform faults and slow and fast spreading centers with or without a crustal section.","author":[{"dropping-particle":"","family":"Dygert","given":"Nick","non-dropping-particle":"","parse-names":false,"suffix":""},{"dropping-particle":"","family":"Liang","given":"Yan","non-dropping-particle":"","parse-names":false,"suffix":""}],"container-title":"Earth and Planetary Science Letters","id":"ITEM-2","issued":{"date-parts":[["2015"]]},"page":"151-161","title":"Temperatures and cooling rates recorded in REE in coexisting pyroxenes in ophiolitic and abyssal peridotites","type":"article-journal","volume":"420"},"uris":["http://www.mendeley.com/documents/?uuid=e48d5f74-9cf4-4c45-adcc-fe92d8ea473f"]},{"id":"ITEM-3","itemData":{"DOI":"10.1016/j.epsl.2018.01.032","ISSN":"0012821X","abstract":"A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Letters","id":"ITEM-3","issued":{"date-parts":[["2018","2","12"]]},"page":"165-178","publisher":"Elsevier B.V.","title":"aFormation of fast-spreading lower oceanic crust as revealed by a new Mg–REE coupled geospeedometer","type":"article-journal","volume":"487"},"uris":["http://www.mendeley.com/documents/?uuid=f486dd42-88a6-4fd7-8dea-0a2ba656c4dd"]},{"id":"ITEM-4","itemData":{"ISSN":"0010-7999","author":[{"dropping-particle":"","family":"Dodson","given":"Martin H","non-dropping-particle":"","parse-names":false,"suffix":""}],"container-title":"Contributions to Mineralogy and Petrology","id":"ITEM-4","issue":"3","issued":{"date-parts":[["1973"]]},"page":"259-274","publisher":"Springer","title":"Closure temperature in cooling geochronological and petrological systems","type":"article-journal","volume":"40"},"uris":["http://www.mendeley.com/documents/?uuid=d01358b9-da0d-494f-a6d5-652fcbd100f2"]}],"mendeley":{"formattedCitation":"(Dodson, 1973; Dygert &amp; Liang, 2015; Köhler &amp; Brey, 1990; Sun &amp; Lissenberg, 2018a)","plainTextFormattedCitation":"(Dodson, 1973; Dygert &amp; Liang, 2015; Köhler &amp; Brey, 1990; Sun &amp; Lissenberg, 2018a)","previouslyFormattedCitation":"(Dodson, 1973; Dygert &amp; Liang, 2015; Köhler &amp; Brey, 1990; Sun &amp; Lissenberg, 2018a)"},"properties":{"noteIndex":0},"schema":"https://github.com/citation-style-language/schema/raw/master/csl-citation.json"}</w:instrText>
      </w:r>
      <w:r w:rsidRPr="00C343DA">
        <w:rPr>
          <w:b/>
          <w:bCs/>
          <w:i/>
          <w:iCs/>
          <w:sz w:val="20"/>
          <w:szCs w:val="20"/>
        </w:rPr>
        <w:fldChar w:fldCharType="separate"/>
      </w:r>
      <w:r w:rsidRPr="00C343DA">
        <w:rPr>
          <w:noProof/>
          <w:sz w:val="20"/>
          <w:szCs w:val="20"/>
        </w:rPr>
        <w:t>(Dodson, 1973; Dygert &amp; Liang, 2015; Sun &amp; Lissenberg, 2018a)</w:t>
      </w:r>
      <w:r w:rsidRPr="00C343DA">
        <w:rPr>
          <w:b/>
          <w:bCs/>
          <w:i/>
          <w:iCs/>
          <w:sz w:val="20"/>
          <w:szCs w:val="20"/>
        </w:rPr>
        <w:fldChar w:fldCharType="end"/>
      </w:r>
      <w:r w:rsidRPr="00C343DA">
        <w:rPr>
          <w:sz w:val="20"/>
          <w:szCs w:val="20"/>
        </w:rPr>
        <w:t xml:space="preserve"> are in agreement, and that the rates are consistent for samples above and below the Moho at both localities. The rates obtained in this study are significantly higher than rates predicted in a Gabbro Glacier scenario (a), but consistent with deep hydrothermal circulation and convective cooling throughout the gabbroic section, as in a Sheeted Sills scenario (b). A model of hydrothermal cooling of the crust is shown as a vertical purple line in (b) for a reference permeability (k</w:t>
      </w:r>
      <w:r w:rsidRPr="00C343DA">
        <w:rPr>
          <w:sz w:val="20"/>
          <w:szCs w:val="20"/>
          <w:vertAlign w:val="subscript"/>
        </w:rPr>
        <w:t>0</w:t>
      </w:r>
      <w:r w:rsidRPr="00C343DA">
        <w:rPr>
          <w:sz w:val="20"/>
          <w:szCs w:val="20"/>
        </w:rPr>
        <w:t>) of 2×10</w:t>
      </w:r>
      <w:r w:rsidRPr="00C343DA">
        <w:rPr>
          <w:sz w:val="20"/>
          <w:szCs w:val="20"/>
          <w:vertAlign w:val="superscript"/>
        </w:rPr>
        <w:t>-14</w:t>
      </w:r>
      <w:r w:rsidRPr="00C343DA">
        <w:rPr>
          <w:sz w:val="20"/>
          <w:szCs w:val="20"/>
        </w:rPr>
        <w:t xml:space="preserve"> </w:t>
      </w:r>
      <w:r w:rsidRPr="00C343DA">
        <w:rPr>
          <w:b/>
          <w:bCs/>
          <w:i/>
          <w:iCs/>
          <w:sz w:val="20"/>
          <w:szCs w:val="20"/>
        </w:rPr>
        <w:fldChar w:fldCharType="begin" w:fldLock="1"/>
      </w:r>
      <w:r w:rsidRPr="00C343DA">
        <w:rPr>
          <w:sz w:val="20"/>
          <w:szCs w:val="20"/>
        </w:rPr>
        <w:instrText>ADDIN CSL_CITATION {"citationItems":[{"id":"ITEM-1","itemData":{"DOI":"10.1029/2001GC000215","ISSN":"15252027","abstract":"There are two competing models for lower crustal accretion at fast spreading ridges. In the gabbro glacier model, all the lower crust solidifies in a magma lens at the dike/gabbro boundary and then flows to its final level. In the sheeted sill model, the lower crust is formed by sills emplaced at a variety of depths. We present a steady state numerical representation of the sill model that explicitly includes hydrothermal circulation. The crust is accreted uniformly at the ridge axis at all depths and hydrothermal circulation occurs in crustal rocks that have cooled below a threshold temperature. The results show that when the permeability exceeds a threshold value (̃4 × 10 -14 m2 for a cracking temperature of 800°C and a uniform permeability), hydrothermal circulation can cool the entire crust near the ridge axis, producing vertical isotherms in the lower crust. At lower permeabilities, the properties of seawater lead to bimodal cooling with the lowermost crust cooling more slowly than shallower depths. These results are reasonably consistent with studies of the seismic structure of the East Pacific Rise and of plagioclase crystal size distributions in gabbros from Oman. We infer that the sheeted sill model cannot be discarded on thermal grounds. © 2003 by the American Geophysical Union.","author":[{"dropping-particle":"","family":"Cherkaoui","given":"Abdellah S.M.","non-dropping-particle":"","parse-names":false,"suffix":""},{"dropping-particle":"","family":"Wilcock","given":"William S.D.","non-dropping-particle":"","parse-names":false,"suffix":""},{"dropping-particle":"","family":"Dunn","given":"Robert A.","non-dropping-particle":"","parse-names":false,"suffix":""},{"dropping-particle":"","family":"Toomey","given":"Douglas R.","non-dropping-particle":"","parse-names":false,"suffix":""}],"container-title":"Geochemistry, Geophysics, Geosystems","id":"ITEM-1","issue":"9","issued":{"date-parts":[["2003"]]},"title":"A numerical model of hydrothermal cooling and crustal accretion at a fast spreading mid-ocean ridge","type":"article-journal","volume":"4"},"uris":["http://www.mendeley.com/documents/?uuid=c52478e4-dcee-4ae9-b480-2449077d5a81"]}],"mendeley":{"formattedCitation":"(Cherkaoui et al., 2003)","plainTextFormattedCitation":"(Cherkaoui et al., 2003)","previouslyFormattedCitation":"(Cherkaoui et al., 2003)"},"properties":{"noteIndex":0},"schema":"https://github.com/citation-style-language/schema/raw/master/csl-citation.json"}</w:instrText>
      </w:r>
      <w:r w:rsidRPr="00C343DA">
        <w:rPr>
          <w:b/>
          <w:bCs/>
          <w:i/>
          <w:iCs/>
          <w:sz w:val="20"/>
          <w:szCs w:val="20"/>
        </w:rPr>
        <w:fldChar w:fldCharType="separate"/>
      </w:r>
      <w:r w:rsidRPr="00C343DA">
        <w:rPr>
          <w:noProof/>
          <w:sz w:val="20"/>
          <w:szCs w:val="20"/>
        </w:rPr>
        <w:t>(Cherkaoui et al., 2003)</w:t>
      </w:r>
      <w:r w:rsidRPr="00C343DA">
        <w:rPr>
          <w:b/>
          <w:bCs/>
          <w:i/>
          <w:iCs/>
          <w:sz w:val="20"/>
          <w:szCs w:val="20"/>
        </w:rPr>
        <w:fldChar w:fldCharType="end"/>
      </w:r>
      <w:r w:rsidRPr="00C343DA">
        <w:rPr>
          <w:sz w:val="20"/>
          <w:szCs w:val="20"/>
        </w:rPr>
        <w:t xml:space="preserve">, the black arrow indicates that as crustal permeability increases, the cooling rate in the crust would correspondingly increase. Predicted cooling rates from published conductive-hydrothermal hybrid scenarios and a gabbro glacier scenario with concomitant off-axis hydrothermal circulation (blue field, </w:t>
      </w:r>
      <w:r w:rsidRPr="00C343DA">
        <w:rPr>
          <w:b/>
          <w:bCs/>
          <w:i/>
          <w:iCs/>
          <w:sz w:val="20"/>
          <w:szCs w:val="20"/>
        </w:rPr>
        <w:fldChar w:fldCharType="begin" w:fldLock="1"/>
      </w:r>
      <w:r w:rsidRPr="00C343DA">
        <w:rPr>
          <w:sz w:val="20"/>
          <w:szCs w:val="20"/>
        </w:rPr>
        <w:instrText xml:space="preserve">ADDIN CSL_CITATION {"citationItems":[{"id":"ITEM-1","itemData":{"DOI":"10.1130/G21207.1","ISSN":"00917613","abstract":"Thermal models of mid-ocean ridges that balance the influx of heat from magmatic sources with the removal of heat by conduction and hydrothermal circulation allow quantification of cooling of young oceanic crust. These models reproduce key observations relating to crustal accretion and hydrothermal cooling at fast-spreading ridges. The rate of cooling is constrained both by the bathymetry of ridge axes and by olivine compositions from ophiolite gabbros. Successful models involve extensive hydrothermal cooling of the lower crust within 20 km of the ridge, with </w:instrText>
      </w:r>
      <w:r w:rsidRPr="00C343DA">
        <w:rPr>
          <w:rFonts w:ascii="Cambria Math" w:hAnsi="Cambria Math" w:cs="Cambria Math"/>
          <w:sz w:val="20"/>
          <w:szCs w:val="20"/>
        </w:rPr>
        <w:instrText>∼</w:instrText>
      </w:r>
      <w:r w:rsidRPr="00C343DA">
        <w:rPr>
          <w:sz w:val="20"/>
          <w:szCs w:val="20"/>
        </w:rPr>
        <w:instrText>50-70 kW of hydrothermal cooling for every 1 m of ridge axis at crustal ages of &lt;0.1-0.4 Ma. These estimates can be used to refine global models of geochemical and thermal fluxes close to spreading ridges. © 2005 Geological Society of America.","author":[{"dropping-particle":"","family":"Maclennan","given":"John","non-dropping-particle":"","parse-names":false,"suffix":""},{"dropping-particle":"","family":"Hulme","given":"Tom","non-dropping-particle":"","parse-names":false,"suffix":""},{"dropping-particle":"","family":"Singh","given":"Satish C.","non-dropping-particle":"","parse-names":false,"suffix":""}],"container-title":"Geology","id":"ITEM-1","issue":"5","issued":{"date-parts":[["2005"]]},"page":"357-360","title":"Cooling of the lower oceanic crust","type":"article-journal","volume":"33"},"uris":["http://www.mendeley.com/documents/?uuid=aa8ec40b-3c52-44df-8559-d92119e5403c"]}],"mendeley":{"formattedCitation":"(John Maclennan et al., 2005)","plainTextFormattedCitation":"(John Maclennan et al., 2005)","previouslyFormattedCitation":"(John Maclennan et al., 2005)"},"properties":{"noteIndex":0},"schema":"https://github.com/citation-style-language/schema/raw/master/csl-citation.json"}</w:instrText>
      </w:r>
      <w:r w:rsidRPr="00C343DA">
        <w:rPr>
          <w:b/>
          <w:bCs/>
          <w:i/>
          <w:iCs/>
          <w:sz w:val="20"/>
          <w:szCs w:val="20"/>
        </w:rPr>
        <w:fldChar w:fldCharType="separate"/>
      </w:r>
      <w:r w:rsidRPr="00C343DA">
        <w:rPr>
          <w:noProof/>
          <w:sz w:val="20"/>
          <w:szCs w:val="20"/>
        </w:rPr>
        <w:t>Maclennan et al., 2005)</w:t>
      </w:r>
      <w:r w:rsidRPr="00C343DA">
        <w:rPr>
          <w:b/>
          <w:bCs/>
          <w:i/>
          <w:iCs/>
          <w:sz w:val="20"/>
          <w:szCs w:val="20"/>
        </w:rPr>
        <w:fldChar w:fldCharType="end"/>
      </w:r>
      <w:r w:rsidRPr="00C343DA">
        <w:rPr>
          <w:sz w:val="20"/>
          <w:szCs w:val="20"/>
        </w:rPr>
        <w:t xml:space="preserve"> are ~1 order of magnitude slower than rates obtained from our samples, implying that hydrothermal cooling efficiency exceeded ~80 kW/m.</w:t>
      </w:r>
      <w:bookmarkEnd w:id="47"/>
    </w:p>
    <w:p w14:paraId="2B6E2D31" w14:textId="77777777" w:rsidR="003748C4" w:rsidRDefault="003748C4" w:rsidP="003748C4">
      <w:pPr>
        <w:rPr>
          <w:bdr w:val="none" w:sz="0" w:space="0" w:color="auto" w:frame="1"/>
        </w:rPr>
      </w:pPr>
      <w:r>
        <w:rPr>
          <w:bdr w:val="none" w:sz="0" w:space="0" w:color="auto" w:frame="1"/>
        </w:rPr>
        <w:br w:type="page"/>
      </w:r>
    </w:p>
    <w:p w14:paraId="3CC87BCE" w14:textId="77777777" w:rsidR="003748C4" w:rsidRDefault="003748C4" w:rsidP="003748C4">
      <w:pPr>
        <w:rPr>
          <w:bdr w:val="none" w:sz="0" w:space="0" w:color="auto" w:frame="1"/>
        </w:rPr>
      </w:pPr>
      <w:r>
        <w:rPr>
          <w:b/>
          <w:i/>
          <w:noProof/>
        </w:rPr>
        <w:lastRenderedPageBreak/>
        <w:drawing>
          <wp:anchor distT="0" distB="0" distL="114300" distR="114300" simplePos="0" relativeHeight="251666432" behindDoc="0" locked="0" layoutInCell="1" allowOverlap="1" wp14:anchorId="724260DB" wp14:editId="5EA52E76">
            <wp:simplePos x="0" y="0"/>
            <wp:positionH relativeFrom="column">
              <wp:posOffset>1012190</wp:posOffset>
            </wp:positionH>
            <wp:positionV relativeFrom="paragraph">
              <wp:posOffset>1617</wp:posOffset>
            </wp:positionV>
            <wp:extent cx="3910330" cy="7668895"/>
            <wp:effectExtent l="0" t="0" r="0" b="0"/>
            <wp:wrapTopAndBottom/>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schematic&#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10330" cy="7668895"/>
                    </a:xfrm>
                    <a:prstGeom prst="rect">
                      <a:avLst/>
                    </a:prstGeom>
                  </pic:spPr>
                </pic:pic>
              </a:graphicData>
            </a:graphic>
            <wp14:sizeRelH relativeFrom="margin">
              <wp14:pctWidth>0</wp14:pctWidth>
            </wp14:sizeRelH>
            <wp14:sizeRelV relativeFrom="margin">
              <wp14:pctHeight>0</wp14:pctHeight>
            </wp14:sizeRelV>
          </wp:anchor>
        </w:drawing>
      </w:r>
    </w:p>
    <w:p w14:paraId="6099D4A2" w14:textId="77777777" w:rsidR="003748C4" w:rsidRDefault="003748C4">
      <w:r>
        <w:br w:type="page"/>
      </w:r>
    </w:p>
    <w:p w14:paraId="3590B5D6" w14:textId="16734E91" w:rsidR="003C07D0" w:rsidRPr="00AD0AFF" w:rsidRDefault="003C07D0" w:rsidP="003748C4">
      <w:pPr>
        <w:spacing w:line="360" w:lineRule="auto"/>
      </w:pPr>
      <w:r>
        <w:lastRenderedPageBreak/>
        <w:t>relative pyroxene modes in rocks from this study).</w:t>
      </w:r>
      <w:r w:rsidRPr="00AD0AFF">
        <w:t xml:space="preserve"> </w:t>
      </w:r>
      <w:r>
        <w:t>E</w:t>
      </w:r>
      <w:r w:rsidRPr="00AD0AFF">
        <w:t xml:space="preserve">xperimental work has demonstrated that </w:t>
      </w:r>
      <w:r>
        <w:t xml:space="preserve">within analytical uncertainty, </w:t>
      </w:r>
      <w:r w:rsidRPr="00AD0AFF">
        <w:t xml:space="preserve">diffusion rates are </w:t>
      </w:r>
      <w:r>
        <w:t>uniform</w:t>
      </w:r>
      <w:r w:rsidRPr="00AD0AFF">
        <w:t xml:space="preserve"> among REEs in orthopyroxene </w:t>
      </w:r>
      <w:r w:rsidRPr="00AD0AFF">
        <w:fldChar w:fldCharType="begin" w:fldLock="1"/>
      </w:r>
      <w:r w:rsidRPr="00AD0AFF">
        <w:instrText>ADDIN CSL_CITATION {"citationItems":[{"id":"ITEM-1","itemData":{"DOI":"10.1016/j.gca.2006.12.001","ISBN":"0016-7037","ISSN":"00167037","PMID":"244906100017","abstract":"Chemical diffusion coefficients of La, Nd, Eu, Gd, and Yb in natural enstatite have been measured at 850-1250 °C and 1 atm. Anhydrous diffusion experiments were run in Pt capsules in air, or in sealed silica glass capsules under an iron-wüstite (IW) solid buffer. The sources of diffusant were pre-reacted mixtures of synthetic enstatite powder and microcrystalline rare-earth aluminate garnet. Rutherford Backscattering Spectrometry (RBS) was used to measure diffusion profiles. For Gd diffusion in air over the temperature range 1000-1250 °C, the following Arrhenius relation is found for diffusion normal to (210):DGd,air= 2.55 × 10- 9exp (321 ± 85 kJ mol- 1/ RT) m2s- 1.There is no significant difference between Gd diffusion in air and under IW-buffered conditions. Behavior similar to Gd is also noted for Nd. The Arrhenius relationship for Eu diffusion in enstatite, normal to (210) and at 850-1150 °C and IW-buffered conditions, isDEu,IW= 6.93 × 10- 6exp (- 384 ± 29 kJ mol- 1/ RT) m2s- 1.For Eu diffusion in air over the temperature range 1000-1200 °C for the same orientation, the following Arrhenius relation is found:DEu,air= 1.70 × 10- 8exp (- 350 ± 42 kJ mol- 1/ RT) m2s- 1.For Eu diffusion under IW-buffered conditions and for experiments run in air, diffusivities normal to (001) are similar to those for diffusion normal to (210). Eu diffusion under IW-buffered conditions is more than an order of magnitude faster than Eu diffusion in air. It is likely that majority of Eu is in the divalent state for diffusion under IW-buffered conditions, but Eu is in the trivalent state for diffusion in air. In the case of Nd and Gd, where valence state does not change under the investigated fO2conditions, diffusivities measured for experiments run both in air and under IW-buffered conditions are comparable to those obtained for trivalent Eu. Further, measurements of La, Nd, Eu+3, Gd, and Yb diffusion suggest that diffusion of trivalent REE in enstatite is not sensitive to ionic size, in contrast to that observed for REE diffusion in diopside [Van Orman, J.A., Grove, T.L., Shimizu, N., 2001. Rare earth element diffusion in diopside; influence of temperature, pressure, and ionic radius, and an elastic model for diffusion in silicates. Contrib. Mineral. Petrol. 141, 687-703]. These differences in diffusive behavior of REE between diopside and enstatite, as well as Eu2+and Eu3+in enstatite, can result in significant REE fractionation between coexisting pyroxenes during partial…","author":[{"dropping-particle":"","family":"Cherniak","given":"Daniele J.","non-dropping-particle":"","parse-names":false,"suffix":""},{"dropping-particle":"","family":"Liang","given":"Yan","non-dropping-particle":"","parse-names":false,"suffix":""}],"container-title":"Geochimica et Cosmochimica Acta","id":"ITEM-1","issue":"5","issued":{"date-parts":[["2007"]]},"page":"1324-1340","title":"Rare earth element diffusion in natural enstatite","type":"article-journal","volume":"71"},"uris":["http://www.mendeley.com/documents/?uuid=bc33f56f-e3e0-4b5d-a223-ccdc60b1448b"]}],"mendeley":{"formattedCitation":"(Cherniak &amp; Liang, 2007)","plainTextFormattedCitation":"(Cherniak &amp; Liang, 2007)","previouslyFormattedCitation":"(Cherniak &amp; Liang, 2007)"},"properties":{"noteIndex":0},"schema":"https://github.com/citation-style-language/schema/raw/master/csl-citation.json"}</w:instrText>
      </w:r>
      <w:r w:rsidRPr="00AD0AFF">
        <w:fldChar w:fldCharType="separate"/>
      </w:r>
      <w:r w:rsidRPr="00AD0AFF">
        <w:rPr>
          <w:noProof/>
        </w:rPr>
        <w:t>(Cherniak &amp; Liang, 2007)</w:t>
      </w:r>
      <w:r w:rsidRPr="00AD0AFF">
        <w:fldChar w:fldCharType="end"/>
      </w:r>
      <w:r w:rsidRPr="00AD0AFF">
        <w:t xml:space="preserve">. </w:t>
      </w:r>
      <w:r w:rsidRPr="00AD0AFF">
        <w:fldChar w:fldCharType="begin" w:fldLock="1"/>
      </w:r>
      <w:r w:rsidRPr="00AD0AFF">
        <w:instrText>ADDIN CSL_CITATION {"citationItems":[{"id":"ITEM-1","itemData":{"DOI":"10.1016/j.epsl.2015.02.042","ISBN":"0012-821X","ISSN":"0012821X","abstract":"Mantle peridotites from ophiolites are commonly interpreted as having mid-ocean ridge (MOR) or supra-subduction zone (SSZ) affinity. Recently, an REE-in-two-pyroxene thermometer was developed (Liang et al., 2013) that has higher closure temperatures (designated as T&lt;inf&gt;REE&lt;/inf&gt;) than major element based two-pyroxene thermometers for mafic and ultramafic rocks that experienced cooling. The REE-in-two-pyroxene thermometer has the potential to extract meaningful cooling rates from ophiolitic peridotites and thus shed new light on the thermal history of the different tectonic regimes. We calculated T&lt;inf&gt;REE&lt;/inf&gt; for available literature data from abyssal peridotites, subcontinental (SC) peridotites, and ophiolites around the world (Alps, Coast Range, Corsica, New Caledonia, Oman, Othris, Puerto Rico, Russia, and Turkey), and augmented the data with new measurements for peridotites from the Trinity and Josephine ophiolites and the Mariana trench. T&lt;inf&gt;REE&lt;/inf&gt; are compared to major element based thermometers, including the two-pyroxene thermometer of Brey and K??hler (1990) (T&lt;inf&gt;BKN&lt;/inf&gt;). Samples with SC affinity have T&lt;inf&gt;REE&lt;/inf&gt; and T&lt;inf&gt;BKN&lt;/inf&gt; in good agreement. Samples with MOR and SSZ affinity have near-solidus T&lt;inf&gt;REE&lt;/inf&gt; but T&lt;inf&gt;BKN&lt;/inf&gt; hundreds of degrees lower. Closure temperatures for REE and Fe-Mg in pyroxenes were calculated to compare cooling rates among abyssal peridotites, MOR ophiolites, and SSZ ophiolites. Abyssal peridotites appear to cool more rapidly than peridotites from most ophiolites. On average, SSZ ophiolites have lower closure temperatures than abyssal peridotites and many ophiolites with MOR affinity. We propose that these lower temperatures can be attributed to the residence time in the cooling oceanic lithosphere prior to obduction. MOR ophiolites define a continuum spanning cooling rates from SSZ ophiolites to abyssal peridotites. Consistent high closure temperatures for abyssal peridotites and the Oman and Corsica ophiolites suggests hydrothermal circulation and/or rapid cooling events (e.g., normal faulting, unroofing) control the late thermal histories of peridotites from transform faults and slow and fast spreading centers with or without a crustal section.","author":[{"dropping-particle":"","family":"Dygert","given":"Nick","non-dropping-particle":"","parse-names":false,"suffix":""},{"dropping-particle":"","family":"Liang","given":"Yan","non-dropping-particle":"","parse-names":false,"suffix":""}],"container-title":"Earth and Planetary Science Letters","id":"ITEM-1","issued":{"date-parts":[["2015"]]},"page":"151-161","title":"Temperatures and cooling rates recorded in REE in coexisting pyroxenes in ophiolitic and abyssal peridotites","type":"article-journal","volume":"420"},"uris":["http://www.mendeley.com/documents/?uuid=e48d5f74-9cf4-4c45-adcc-fe92d8ea473f"]}],"mendeley":{"formattedCitation":"(Dygert &amp; Liang, 2015)","manualFormatting":"Dygert &amp; Liang (2015)","plainTextFormattedCitation":"(Dygert &amp; Liang, 2015)","previouslyFormattedCitation":"(Dygert &amp; Liang, 2015)"},"properties":{"noteIndex":0},"schema":"https://github.com/citation-style-language/schema/raw/master/csl-citation.json"}</w:instrText>
      </w:r>
      <w:r w:rsidRPr="00AD0AFF">
        <w:fldChar w:fldCharType="separate"/>
      </w:r>
      <w:r w:rsidRPr="00AD0AFF">
        <w:rPr>
          <w:noProof/>
        </w:rPr>
        <w:t>Dygert &amp; Liang (2015)</w:t>
      </w:r>
      <w:r w:rsidRPr="00AD0AFF">
        <w:fldChar w:fldCharType="end"/>
      </w:r>
      <w:r w:rsidRPr="00AD0AFF">
        <w:t xml:space="preserve"> developed </w:t>
      </w:r>
      <w:r>
        <w:t xml:space="preserve">a </w:t>
      </w:r>
      <w:r w:rsidRPr="00AD0AFF">
        <w:t xml:space="preserve">method to extract rates from </w:t>
      </w:r>
      <w:r w:rsidRPr="00AD0AFF">
        <w:rPr>
          <w:i/>
        </w:rPr>
        <w:t>T</w:t>
      </w:r>
      <w:r w:rsidRPr="00AD0AFF">
        <w:rPr>
          <w:i/>
          <w:vertAlign w:val="subscript"/>
        </w:rPr>
        <w:t>REE-in-two-Pyroxene</w:t>
      </w:r>
      <w:r w:rsidRPr="00AD0AFF">
        <w:t>–</w:t>
      </w:r>
      <w:r w:rsidRPr="00AD0AFF">
        <w:rPr>
          <w:i/>
        </w:rPr>
        <w:t>T</w:t>
      </w:r>
      <w:r w:rsidRPr="00AD0AFF">
        <w:rPr>
          <w:i/>
          <w:vertAlign w:val="subscript"/>
        </w:rPr>
        <w:t>BKN</w:t>
      </w:r>
      <w:r w:rsidRPr="00AD0AFF">
        <w:t xml:space="preserve"> using a modified form of Equation 1 </w:t>
      </w:r>
      <w:r w:rsidRPr="00AD0AFF">
        <w:fldChar w:fldCharType="begin" w:fldLock="1"/>
      </w:r>
      <w:r w:rsidRPr="00AD0AFF">
        <w:instrText>ADDIN CSL_CITATION {"citationItems":[{"id":"ITEM-1","itemData":{"DOI":"10.1016/S0012-821X(99)00089-8","ISSN":"0012821X","abstract":"The commonly used expression of the closure temperature, T(C), of a diffusing species in a mineral, as derived by M.H. Dodson [Contrib. Mineral. Petrol. 40 (1973) 259-264], is applicable only to systems which have undergone sufficient diffusion so that even the composition at the center of individual grains is significantly removed from that established at the onset of cooling. We have extended Dodson's formulation to include cases with arbitrarily small amount of diffusion, and applied it to calculate T(C) and age profiles, which would develop in single crystals of different geometries. These results permit evaluation of the extent of resetting of mineral age and of ion exchange geothermometers during cooling. The measured age profile of a mineral can also be used to constrain its cooling rate. These applications have been illustrated for the cases of garnet-biotite Fe-Mg exchange geothermometer, and the cooling age and closure temperatures of the Sm-Nd and Lu-Hf decay systems in garnet.","author":[{"dropping-particle":"","family":"Ganguly","given":"Jibamitra","non-dropping-particle":"","parse-names":false,"suffix":""},{"dropping-particle":"","family":"Tirone","given":"Massimiliano","non-dropping-particle":"","parse-names":false,"suffix":""}],"container-title":"Earth and Planetary Science Letters","id":"ITEM-1","issue":"1-2","issued":{"date-parts":[["1999"]]},"page":"131-140","title":"Diffusion closure temperature and age of a mineral with arbitrary extent of diffusion: Theoretical formulation and applications","type":"article-journal","volume":"170"},"uris":["http://www.mendeley.com/documents/?uuid=7d258558-e82e-4c17-a369-5391e866fd0a"]}],"mendeley":{"formattedCitation":"(Ganguly &amp; Tirone, 1999)","plainTextFormattedCitation":"(Ganguly &amp; Tirone, 1999)","previouslyFormattedCitation":"(Ganguly &amp; Tirone, 1999)"},"properties":{"noteIndex":0},"schema":"https://github.com/citation-style-language/schema/raw/master/csl-citation.json"}</w:instrText>
      </w:r>
      <w:r w:rsidRPr="00AD0AFF">
        <w:fldChar w:fldCharType="separate"/>
      </w:r>
      <w:r w:rsidRPr="00AD0AFF">
        <w:rPr>
          <w:noProof/>
        </w:rPr>
        <w:t>(Ganguly &amp; Tirone, 1999)</w:t>
      </w:r>
      <w:r w:rsidRPr="00AD0AFF">
        <w:fldChar w:fldCharType="end"/>
      </w:r>
      <w:r w:rsidRPr="00AD0AFF">
        <w:t xml:space="preserve">. This method assumes </w:t>
      </w:r>
      <w:r w:rsidRPr="00AD0AFF">
        <w:rPr>
          <w:i/>
        </w:rPr>
        <w:t>T</w:t>
      </w:r>
      <w:r w:rsidRPr="00AD0AFF">
        <w:rPr>
          <w:i/>
          <w:vertAlign w:val="subscript"/>
        </w:rPr>
        <w:t>BKN</w:t>
      </w:r>
      <w:r w:rsidRPr="00AD0AFF">
        <w:t xml:space="preserve"> are effectively modeled using diffusivities for Fe-Mg interdiffusion in diopside </w:t>
      </w:r>
      <w:r w:rsidRPr="00AD0AFF">
        <w:fldChar w:fldCharType="begin" w:fldLock="1"/>
      </w:r>
      <w:r w:rsidRPr="00AD0AFF">
        <w:instrText>ADDIN CSL_CITATION {"citationItems":[{"id":"ITEM-1","itemData":{"DOI":"10.1127/0935-1221/2006/0018-0705","ISBN":"0935-1221","ISSN":"09351221","abstract":"We investigated (Fe,Mn)-Mg interdiffusion along the [001] axis in single crystals of natural diopside at ambient pressure, at temperatures between 1000 degrees C to 1200 degrees C and at oxygen fugacities between 10-(18.5) atm to 10(-6) atm. Thin layers (similar to 350-550 angstrom) of ferro-johannsenite deposited by RF plasma sputtering provided iron and manganese for exchange with magnesium from the diopside substrates. Interdiffusion profiles of Fe-Mg and Mn-Mg were analysed by secondary ion mass spectrometry in depth profiling mode. We found that the (Fe,Mn)-Mg interdiffusion coefficient is strongly pO(2) sensitive. At 1100 degrees C and between 10(-7) atm and 10(-15) atm the interdiffusion coefficient is proportional to similar to (pO(2))(m), indicative of an extrinsic point defects regime. We obtained m = 0.22 +/- 0.02, indicating a vacancy mechanism. The data at 1100 degrees C further suggest that at pO(2) &lt; 10(-15) atm and at pO(2) &gt; 10(-7) atm the interdiffusion coefficient is pO(2)-independent, possibly in relation with the appearance of Early Partial Melting (EPM, Jaoul &amp; Raterron, 1994). At constant oxygen fugacity and without EPM the interdiffusion coefficient has an activation energy of 297 +/- 31 kJ/mol. Our data significantly improve the constraints on the activation energy beyond the preliminary results reported earlier (Dimanov &amp; Sautter, 2000). This work contributes towards a better understanding of the point defects chemistry and diffusion mechanisms in Fe-bearing diopside.","author":[{"dropping-particle":"","family":"Dimanov","given":"Alexandre","non-dropping-particle":"","parse-names":false,"suffix":""},{"dropping-particle":"","family":"Wiedenbeck","given":"Michael","non-dropping-particle":"","parse-names":false,"suffix":""}],"container-title":"European Journal of Mineralogy","id":"ITEM-1","issue":"6","issued":{"date-parts":[["2006"]]},"page":"705-718","title":"(Fe,Mn)-Mg interdiffusion in natural diopside: effect of pO2","type":"article-journal","volume":"18"},"uris":["http://www.mendeley.com/documents/?uuid=b6a4f84e-d0d8-49dc-bdd4-7d7261c308bd"]}],"mendeley":{"formattedCitation":"(Dimanov &amp; Wiedenbeck, 2006)","plainTextFormattedCitation":"(Dimanov &amp; Wiedenbeck, 2006)","previouslyFormattedCitation":"(Dimanov &amp; Wiedenbeck, 2006)"},"properties":{"noteIndex":0},"schema":"https://github.com/citation-style-language/schema/raw/master/csl-citation.json"}</w:instrText>
      </w:r>
      <w:r w:rsidRPr="00AD0AFF">
        <w:fldChar w:fldCharType="separate"/>
      </w:r>
      <w:r w:rsidRPr="00AD0AFF">
        <w:rPr>
          <w:noProof/>
        </w:rPr>
        <w:t>(Dimanov &amp; Wiedenbeck, 2006)</w:t>
      </w:r>
      <w:r w:rsidRPr="00AD0AFF">
        <w:fldChar w:fldCharType="end"/>
      </w:r>
      <w:r w:rsidRPr="00AD0AFF">
        <w:t>, and provides an average cooling rate through the temperature interval recorded by the two thermometers. The initial or peak temperature the sample cooled from can also be constrained.</w:t>
      </w:r>
    </w:p>
    <w:p w14:paraId="6CD28CCE" w14:textId="407459E3" w:rsidR="00C343DA" w:rsidRDefault="003C07D0" w:rsidP="00263ABB">
      <w:pPr>
        <w:spacing w:line="360" w:lineRule="auto"/>
        <w:ind w:firstLine="360"/>
      </w:pPr>
      <w:r w:rsidRPr="00AD0AFF">
        <w:t xml:space="preserve">Using the aforementioned methods, and assuming an average grain radius for the peridotite samples of 0.5 mm (Figure </w:t>
      </w:r>
      <w:r w:rsidR="009B3070">
        <w:t>1.</w:t>
      </w:r>
      <w:r w:rsidRPr="00AD0AFF">
        <w:t xml:space="preserve">2; </w:t>
      </w:r>
      <w:r w:rsidRPr="00AD0AFF">
        <w:fldChar w:fldCharType="begin" w:fldLock="1"/>
      </w:r>
      <w:r>
        <w:instrText>ADDIN CSL_CITATION {"citationItems":[{"id":"ITEM-1","itemData":{"DOI":"10.2973/odp.proc.sr.147.1996","collection-title":"Proceedings of the Ocean Drilling Program","editor":[{"dropping-particle":"","family":"Mevel","given":"C.","non-dropping-particle":"","parse-names":false,"suffix":""},{"dropping-particle":"","family":"Gillis","given":"K.M.","non-dropping-particle":"","parse-names":false,"suffix":""},{"dropping-particle":"","family":"Allan","given":"J.F.","non-dropping-particle":"","parse-names":false,"suffix":""},{"dropping-particle":"","family":"Meyer","given":"P.S.","non-dropping-particle":"","parse-names":false,"suffix":""}],"id":"ITEM-1","issued":{"date-parts":[["1996","4"]]},"publisher":"Ocean Drilling Program","title":"Proceedings of the Ocean Drilling Program, 147 Scientific Results","type":"article-journal","volume":"147"},"uris":["http://www.mendeley.com/documents/?uuid=7db4e87c-a64c-40f8-bb43-3178d5378d2d"]}],"mendeley":{"formattedCitation":"(Mevel et al., 1996)","manualFormatting":"Mevel et al., 1996)","plainTextFormattedCitation":"(Mevel et al., 1996)","previouslyFormattedCitation":"(Mevel et al., 1996)"},"properties":{"noteIndex":0},"schema":"https://github.com/citation-style-language/schema/raw/master/csl-citation.json"}</w:instrText>
      </w:r>
      <w:r w:rsidRPr="00AD0AFF">
        <w:fldChar w:fldCharType="separate"/>
      </w:r>
      <w:r w:rsidRPr="00AD0AFF">
        <w:rPr>
          <w:noProof/>
        </w:rPr>
        <w:t>Mevel et al., 1996)</w:t>
      </w:r>
      <w:r w:rsidRPr="00AD0AFF">
        <w:fldChar w:fldCharType="end"/>
      </w:r>
      <w:r w:rsidRPr="00AD0AFF">
        <w:t xml:space="preserve">, we produced a net of cooling-rate dependent closure temperatures overlaid on the </w:t>
      </w:r>
      <w:r w:rsidRPr="00AD0AFF">
        <w:rPr>
          <w:i/>
        </w:rPr>
        <w:t>T</w:t>
      </w:r>
      <w:r w:rsidRPr="00AD0AFF">
        <w:rPr>
          <w:i/>
          <w:vertAlign w:val="subscript"/>
        </w:rPr>
        <w:t>BKN</w:t>
      </w:r>
      <w:r w:rsidRPr="00AD0AFF">
        <w:t xml:space="preserve"> and </w:t>
      </w:r>
      <w:r w:rsidRPr="00AD0AFF">
        <w:rPr>
          <w:i/>
        </w:rPr>
        <w:t>T</w:t>
      </w:r>
      <w:r w:rsidRPr="00AD0AFF">
        <w:rPr>
          <w:i/>
          <w:vertAlign w:val="subscript"/>
        </w:rPr>
        <w:t>REE-in-two-Pyroxene</w:t>
      </w:r>
      <w:r w:rsidRPr="00AD0AFF">
        <w:t xml:space="preserve"> data (Figure </w:t>
      </w:r>
      <w:r w:rsidR="009B3070">
        <w:t>1.</w:t>
      </w:r>
      <w:r w:rsidRPr="00AD0AFF">
        <w:t xml:space="preserve">8). Samples potentially affected by low pyroxene modes (see Section </w:t>
      </w:r>
      <w:r>
        <w:t>5</w:t>
      </w:r>
      <w:r w:rsidRPr="00AD0AFF">
        <w:t xml:space="preserve">.1.2) are shown in gray, samples with clinopyroxene </w:t>
      </w:r>
      <w:r>
        <w:t xml:space="preserve">interpreted to be </w:t>
      </w:r>
      <w:r w:rsidRPr="00AD0AFF">
        <w:t xml:space="preserve">residual </w:t>
      </w:r>
      <w:r>
        <w:t xml:space="preserve">after partial melting and cooling from peak temperatures </w:t>
      </w:r>
      <w:r w:rsidRPr="00AD0AFF">
        <w:t xml:space="preserve">are shown with colored symbols. Cooling rates scaled to the measured grain sizes are reported in Table </w:t>
      </w:r>
      <w:proofErr w:type="gramStart"/>
      <w:r w:rsidR="009B3070">
        <w:t>1.</w:t>
      </w:r>
      <w:r w:rsidRPr="00AD0AFF">
        <w:t>3, and</w:t>
      </w:r>
      <w:proofErr w:type="gramEnd"/>
      <w:r w:rsidRPr="00AD0AFF">
        <w:t xml:space="preserve"> range from 0.13 to 2.6 </w:t>
      </w:r>
      <w:r w:rsidRPr="00AD0AFF">
        <w:rPr>
          <w:rFonts w:ascii="Calibri" w:hAnsi="Calibri" w:cs="Calibri"/>
        </w:rPr>
        <w:t>°</w:t>
      </w:r>
      <w:r w:rsidRPr="00AD0AFF">
        <w:t>C/y, from apparent peak or initial temperatures of ~1150 to ~1350</w:t>
      </w:r>
      <w:r w:rsidRPr="00AD0AFF">
        <w:rPr>
          <w:rFonts w:ascii="Calibri" w:hAnsi="Calibri" w:cs="Calibri"/>
        </w:rPr>
        <w:t>°</w:t>
      </w:r>
      <w:r w:rsidRPr="00AD0AFF">
        <w:t xml:space="preserve">C. Interestingly, the </w:t>
      </w:r>
      <w:proofErr w:type="spellStart"/>
      <w:r w:rsidRPr="00AD0AFF">
        <w:t>Oman</w:t>
      </w:r>
      <w:r>
        <w:t>DP</w:t>
      </w:r>
      <w:proofErr w:type="spellEnd"/>
      <w:r w:rsidRPr="00AD0AFF">
        <w:t xml:space="preserve"> samples </w:t>
      </w:r>
      <w:r>
        <w:t>have similar or</w:t>
      </w:r>
      <w:r w:rsidRPr="00AD0AFF">
        <w:t xml:space="preserve"> lower initial temperatures than the Hess Deep sample. The rates are highly consistent with those determined from </w:t>
      </w:r>
      <w:proofErr w:type="spellStart"/>
      <w:r w:rsidRPr="00AD0AFF">
        <w:rPr>
          <w:i/>
        </w:rPr>
        <w:t>T</w:t>
      </w:r>
      <w:r w:rsidRPr="00AD0AFF">
        <w:rPr>
          <w:i/>
          <w:vertAlign w:val="subscript"/>
        </w:rPr>
        <w:t>Ca</w:t>
      </w:r>
      <w:proofErr w:type="spellEnd"/>
      <w:r w:rsidRPr="00AD0AFF">
        <w:rPr>
          <w:i/>
          <w:vertAlign w:val="subscript"/>
        </w:rPr>
        <w:t>-in-</w:t>
      </w:r>
      <w:proofErr w:type="spellStart"/>
      <w:r w:rsidRPr="00AD0AFF">
        <w:rPr>
          <w:i/>
          <w:vertAlign w:val="subscript"/>
        </w:rPr>
        <w:t>Ol</w:t>
      </w:r>
      <w:proofErr w:type="spellEnd"/>
      <w:r w:rsidRPr="00AD0AFF">
        <w:t xml:space="preserve">, previous determinations for samples from the oceanic crust and uppermost mantle lithosphere </w:t>
      </w:r>
      <w:r w:rsidRPr="00AD0AFF">
        <w:fldChar w:fldCharType="begin" w:fldLock="1"/>
      </w:r>
      <w:r>
        <w:instrText>ADDIN CSL_CITATION {"citationItems":[{"id":"ITEM-1","itemData":{"DOI":"10.1016/j.epsl.2007.11.034","ISBN":"0012-821X","ISSN":"0012821X","abstract":"Debate over the mechanism of accretion of the lower oceanic crust has centered around the gabbro glacier and the sheeted sills models. The thermal profile of the crust, specifically the roles of hydrothermal circulation and cooling rate, is a key component in distinguishing between these two models. Results of this study show no systematic variation of cooling rate with depth in the lower crust of the Khafifah section in the Wadi Tayin massif of the Oman ophiolite. Additionally, very high rates recorded near the base of the crust suggest that hydrothermal circulation plays an important role in the removal of heat throughout the crust. While the conclusions presented here do not rule out the possibility of accretion by gabbro glacier, they do contradict the initial tenet of the gabbro glacier model - convective heat loss by hydrothermal circulation can penetrate to Moho depths and crystallization is not, by necessity, constrained to the upper crust. On the basis of these results it can be concluded that the sheeted sills model is a thermally viable mechanism for accretion of oceanic lower crust. © 2007 Elsevier B.V. All rights reserved.","author":[{"dropping-particle":"","family":"VanTongeren","given":"Jill A.","non-dropping-particle":"","parse-names":false,"suffix":""},{"dropping-particle":"","family":"Kelemen","given":"Peter B.","non-dropping-particle":"","parse-names":false,"suffix":""},{"dropping-particle":"","family":"Hanghøj","given":"Karen","non-dropping-particle":"","parse-names":false,"suffix":""}],"container-title":"Earth and Planetary Science Letters","id":"ITEM-1","issue":"1-2","issued":{"date-parts":[["2008"]]},"page":"69-82","title":"Cooling rates in the lower crust of the Oman ophiolite: Ca in olivine, revisited","type":"article-journal","volume":"267"},"uris":["http://www.mendeley.com/documents/?uuid=e834f3dd-2a52-4db0-a22d-bac931605280"]},{"id":"ITEM-2","itemData":{"DOI":"10.1016/j.epsl.2017.02.038","ISSN":"0012821X","abstract":"To understand how the mantle cools beneath mid-ocean ridge spreading centers, we applied a REE-in-two-pyroxene thermometer and major element thermometers to peridotites from the Wadi Tayin massif in the southern part of the Samail ophiolite in the Sultanate of Oman, which represent more than 10 km of structural depth beneath the paleo-Moho. Closure temperatures for REEs in pyroxenes deduced from the REE-in-two-pyroxene thermometer (TREE) decrease smoothly and systematically with depth in the section, from &gt;1300??C near the crust to &lt;1100??C near the metamorphic sole, consistent with previously observed, similar variations in mineral thermometers with lower cooling temperatures. Estimated cooling rates decrease from ?0.3??C/y just below the crust?mantle transition zone (MTZ) to ?10?3??C/y at a depth of six km below the MTZ. Cooling rates derived from Ca-in-olivine thermometry also decrease moving deeper into the section. These variations in cooling rate are most consistent with conductive cooling of the mantle beneath a cold overlying crust. In turn, this suggests that hydrothermal circulation extended to the MTZ near the axis of the fast-spreading ridge where the igneous crust of the Samail ophiolite formed. These observations are consistent with the Sheeted Sills model for accretion of lower oceanic crust, and with previous work demonstrating very rapid cooling rates in the crust of the Wadi Tayin massif. Our observations, combined with previous results, suggest that efficient hydrothermal circulation beneath fast spreading centers cools the uppermost mantle from magmatic temperatures to &lt;1000??C as quickly as tectonic exhumation at amagmatic spreading centers. In contrast, thermometers sensitive to cooling over lower temperature intervals indicate that the Wadi Tayin peridotites cooled more slowly than tectonically exhumed peridotites sampled near the seafloor along mid-ocean ridges. Hydrothermal cooling of the crust may have waned, so that the crust?mantle package cooled more slowly, whereas rapid cooling of abyssal peridotites during tectonic exhumation continued to seafloor temperatures.","author":[{"dropping-particle":"","family":"Dygert","given":"Nick","non-dropping-particle":"","parse-names":false,"suffix":""},{"dropping-particle":"","family":"Kelemen","given":"Peter B.","non-dropping-particle":"","parse-names":false,"suffix":""},{"dropping-particle":"","family":"Liang","given":"Yan","non-dropping-particle":"","parse-names":false,"suffix":""}],"container-title":"Earth and Planetary Science Letters","id":"ITEM-2","issued":{"date-parts":[["2017"]]},"page":"134-144","publisher":"Elsevier B.V.","title":"Spatial variations in cooling rate in the mantle section of the Samail ophiolite in Oman: Implications for formation of lithosphere at mid-ocean ridges","type":"article-journal","volume":"465"},"uris":["http://www.mendeley.com/documents/?uuid=67ec3375-a99a-4c3e-81f5-c4bab6e86be5"]},{"id":"ITEM-3","itemData":{"DOI":"10.1016/j.epsl.2018.01.032","ISSN":"0012821X","abstract":"A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Letters","id":"ITEM-3","issued":{"date-parts":[["2018","2","12"]]},"page":"165-178","publisher":"Elsevier B.V.","title":"aFormation of fast-spreading lower oceanic crust as revealed by a new Mg–REE coupled geospeedometer","type":"article-journal","volume":"487"},"uris":["http://www.mendeley.com/documents/?uuid=f486dd42-88a6-4fd7-8dea-0a2ba656c4dd"]},{"id":"ITEM-4","itemData":{"DOI":"10.1016/j.lithos.2019.01.001","ISSN":"18726143","abstract":"We examine the partial melting and the cooling history of a ~5 km section of mantle lithosphere preserved in the Donjek massif, part of a Permian ophiolite in the northern Cordillera of Yukon, Canada. The mantle rocks are depleted spinel harzburgite containing &lt;3% clinopyroxene displaying steep rare-earth element (REE) chondrite-normalized profiles and low (Gd/Yb) n (0.02 to 0.07) compared to most other ophiolites. The REE patterns of clinopyroxene can be modeled as 16–20% partial melts of typical depleted mid-ocean ridge (MOR) mantle. The REE exchange between coexisting ortho- and clinopyroxene preserves temperatures (T REE ) of 1150–1360 °C, some of the highest values recorded in ophiolites and abyssal peridotites, and show a positive correlation with Ca–Mg exchange (solvus) temperatures (T BKN ) of 900–970 °C. The harzburgite represents lithosphere formed at an initial melting temperature of ~ 1350 °C that cooled at rate of 10 −1 to 10 −4 °C/year as deduced by T REE values with cation diffusion and grain size data. The T REE temperatures and cooling rates for the Donjek massif show a regular systematic variation with depth from the crust-mantle transition along a trend similar to the Samail ophiolite of Oman, consistent with conductive heat transfer beneath a cool lower crust. High near-solidus temperatures and the cooling rates in the massif were a consequence of rapid obduction against oceanic crust along either a transform or low angle detachment soon after melt extraction. Final emplacement of the ophiolite as klippen on underlying continental crust occurred ~ 40 m.y. later.","author":[{"dropping-particle":"","family":"Canil","given":"Dante","non-dropping-particle":"","parse-names":false,"suffix":""},{"dropping-particle":"","family":"Grundy","given":"Ryan","non-dropping-particle":"","parse-names":false,"suffix":""},{"dropping-particle":"","family":"Johnston","given":"Stephen T.","non-dropping-particle":"","parse-names":false,"suffix":""}],"container-title":"Lithos","id":"ITEM-4","issued":{"date-parts":[["2019"]]},"page":"33-42","publisher":"Elsevier B.V.","title":"Thermal history of the Donjek harzburgite massif in ophiolite from Yukon, Canada with implications for the cooling of oceanic mantle lithosphere","type":"article-journal","volume":"328-329"},"uris":["http://www.mendeley.com/documents/?uuid=402bb4ad-d669-4699-9ffe-4dca60fcfb15"]},{"id":"ITEM-5","itemData":{"DOI":"10.1029/2020JB019573","ISSN":"21699356","abstract":"As the largest and best exposed example of paleo fast-spreading oceanic crust on land, the Samail ophiolite in the Sultanate of Oman represents an ideal natural laboratory for investigating deep crustal processes at fast-spreading mid-ocean ridges. We studied two layered gabbro sequences from different stratigraphic depths: one from the middle of the plutonic crust showing decimeter-scale modal layering (i.e., varying phase proportions) with olivine abundances gradually decreasing from layer bases to tops (Wadi Somerah, Sumail block) and one located near the crust-mantle boundary showing millimeter-scale olivine-rich layers (Wadi Wariyah, Wadi Tayin block). Our multimethod approach of field, petrographic, geochemical, and microstructural observations focuses on documenting layered textures that are widely observed within the lower oceanic crust as well as understanding their formation mechanisms within the context of small scale crustal accretion processes beneath fast-spreading mid-ocean ridges. Results from the mid-crustal sequence indicate moderate cooling rates (Ca-in-olivine: log[dT/dt; °C yr−1] = −2.21 ± 0.7) and correlated variations in mineral compositions and microstructures. We infer that decimeter-scale layers in Wadi Somerah were deposited by density currents of crystal-laden magma within a sill environment that potentially experienced occasional magma replenishment. The millimeter layering in Wadi Wariyah is best explained by Ostwald ripening emphasizing initial heterogeneities possibly being provoked by cyclical nucleation of olivine through the competing effects of element diffusion and rapid cooling. Fast cooling is recorded for the crustal base (Ca-in-olivine: log[dT/dt; °C yr−1] = −1.19 ± 0.5, Mg-in-plagioclase: log[dT/dt; °C yr−1] = −1.35°C ± 0.6) demonstrating that heat locally can be lost very efficiently from the lowermost crust.","author":[{"dropping-particle":"","family":"Mock","given":"D.","non-dropping-particle":"","parse-names":false,"suffix":""},{"dropping-particle":"","family":"Neave","given":"D. A.","non-dropping-particle":"","parse-names":false,"suffix":""},{"dropping-particle":"","family":"Müller","given":"S.","non-dropping-particle":"","parse-names":false,"suffix":""},{"dropping-particle":"","family":"Garbe-Schönberg","given":"D.","non-dropping-particle":"","parse-names":false,"suffix":""},{"dropping-particle":"","family":"Namur","given":"O.","non-dropping-particle":"","parse-names":false,"suffix":""},{"dropping-particle":"","family":"Ildefonse","given":"B.","non-dropping-particle":"","parse-names":false,"suffix":""},{"dropping-particle":"","family":"Koepke","given":"J.","non-dropping-particle":"","parse-names":false,"suffix":""}],"container-title":"Journal of Geophysical Research: Solid Earth","id":"ITEM-5","issue":"1","issued":{"date-parts":[["2021"]]},"title":"Formation of Igneous Layering in the Lower Oceanic Crust From the Samail Ophiolite, Sultanate of Oman","type":"article-journal","volume":"126"},"uris":["http://www.mendeley.com/documents/?uuid=8f6d1c91-954d-4772-9d31-69fccb4b2c2a"]}],"mendeley":{"formattedCitation":"(Canil et al., 2019; Dygert et al., 2017; Mock et al., 2021; Sun &amp; Lissenberg, 2018a; VanTongeren et al., 2008)","manualFormatting":"(e.g., Canil et al., 2019; Dygert et al., 2017; Mock et al., 2021; Sun &amp; Lissenberg, 2018a; VanTongeren et al., 2008)","plainTextFormattedCitation":"(Canil et al., 2019; Dygert et al., 2017; Mock et al., 2021; Sun &amp; Lissenberg, 2018a; VanTongeren et al., 2008)","previouslyFormattedCitation":"(Canil et al., 2019; Dygert et al., 2017; Mock et al., 2021; Sun &amp; Lissenberg, 2018a; VanTongeren et al., 2008)"},"properties":{"noteIndex":0},"schema":"https://github.com/citation-style-language/schema/raw/master/csl-citation.json"}</w:instrText>
      </w:r>
      <w:r w:rsidRPr="00AD0AFF">
        <w:fldChar w:fldCharType="separate"/>
      </w:r>
      <w:r w:rsidRPr="009F0652">
        <w:rPr>
          <w:noProof/>
        </w:rPr>
        <w:t>(</w:t>
      </w:r>
      <w:r>
        <w:rPr>
          <w:noProof/>
        </w:rPr>
        <w:t xml:space="preserve">e.g., </w:t>
      </w:r>
      <w:r w:rsidRPr="009F0652">
        <w:rPr>
          <w:noProof/>
        </w:rPr>
        <w:t>Canil et al., 2019; Dygert et al., 2017; Mock et al., 2021; Sun &amp; Lissenberg, 2018a; VanTongeren et al., 2008)</w:t>
      </w:r>
      <w:r w:rsidRPr="00AD0AFF">
        <w:fldChar w:fldCharType="end"/>
      </w:r>
      <w:r w:rsidRPr="00AD0AFF">
        <w:t xml:space="preserve">, and are 2-3 orders of magnitude faster than a scenario where the overlying lower crustal section is cooled conductively. </w:t>
      </w:r>
      <w:r>
        <w:t xml:space="preserve">The rates are plotted as blue squares in Figure </w:t>
      </w:r>
      <w:r w:rsidR="009B3070">
        <w:t>1.</w:t>
      </w:r>
      <w:r>
        <w:t>9.</w:t>
      </w:r>
    </w:p>
    <w:p w14:paraId="316A7997" w14:textId="54D6CFA5" w:rsidR="008513D4" w:rsidRPr="008B28E4" w:rsidRDefault="00F55061" w:rsidP="00F24389">
      <w:pPr>
        <w:pStyle w:val="Style1"/>
        <w:spacing w:line="360" w:lineRule="auto"/>
      </w:pPr>
      <w:bookmarkStart w:id="48" w:name="_Toc109036132"/>
      <w:r w:rsidRPr="008B28E4">
        <w:t xml:space="preserve">5.2.3 </w:t>
      </w:r>
      <w:r w:rsidR="00C343DA" w:rsidRPr="008B28E4">
        <w:t>Rates from REE-in-clinopyroxene-plagioclase temperatures and Mg-in-plagioclase temperatures</w:t>
      </w:r>
      <w:bookmarkEnd w:id="48"/>
    </w:p>
    <w:p w14:paraId="0DABBBE0" w14:textId="01B0CBAD" w:rsidR="00C343DA" w:rsidRPr="00AD0AFF" w:rsidRDefault="00C343DA" w:rsidP="001E0B34">
      <w:pPr>
        <w:pStyle w:val="BodyTextFirstIndent"/>
        <w:spacing w:line="360" w:lineRule="auto"/>
      </w:pPr>
      <w:r w:rsidRPr="00AD0AFF">
        <w:t xml:space="preserve">Cooling rates for the gabbros were </w:t>
      </w:r>
      <w:r>
        <w:t>calculated</w:t>
      </w:r>
      <w:r w:rsidRPr="00AD0AFF">
        <w:t xml:space="preserve"> using the coupled </w:t>
      </w:r>
      <w:proofErr w:type="spellStart"/>
      <w:r w:rsidRPr="00AD0AFF">
        <w:rPr>
          <w:i/>
        </w:rPr>
        <w:t>T</w:t>
      </w:r>
      <w:r w:rsidRPr="00AD0AFF">
        <w:rPr>
          <w:i/>
          <w:vertAlign w:val="subscript"/>
        </w:rPr>
        <w:t>Mg</w:t>
      </w:r>
      <w:proofErr w:type="spellEnd"/>
      <w:r w:rsidRPr="00AD0AFF">
        <w:rPr>
          <w:i/>
          <w:vertAlign w:val="subscript"/>
        </w:rPr>
        <w:t>-in-</w:t>
      </w:r>
      <w:proofErr w:type="spellStart"/>
      <w:r w:rsidRPr="00AD0AFF">
        <w:rPr>
          <w:i/>
          <w:vertAlign w:val="subscript"/>
        </w:rPr>
        <w:t>Plag</w:t>
      </w:r>
      <w:proofErr w:type="spellEnd"/>
      <w:r w:rsidRPr="00AD0AFF">
        <w:t xml:space="preserve"> – </w:t>
      </w:r>
      <w:r w:rsidRPr="00AD0AFF">
        <w:rPr>
          <w:i/>
        </w:rPr>
        <w:t>T</w:t>
      </w:r>
      <w:r w:rsidRPr="00AD0AFF">
        <w:rPr>
          <w:i/>
          <w:vertAlign w:val="subscript"/>
        </w:rPr>
        <w:t>REE-in-</w:t>
      </w:r>
      <w:proofErr w:type="spellStart"/>
      <w:r w:rsidRPr="00AD0AFF">
        <w:rPr>
          <w:i/>
          <w:vertAlign w:val="subscript"/>
        </w:rPr>
        <w:t>Cpx</w:t>
      </w:r>
      <w:proofErr w:type="spellEnd"/>
      <w:r w:rsidRPr="00AD0AFF">
        <w:rPr>
          <w:i/>
          <w:vertAlign w:val="subscript"/>
        </w:rPr>
        <w:t>-</w:t>
      </w:r>
      <w:proofErr w:type="spellStart"/>
      <w:r w:rsidRPr="00AD0AFF">
        <w:rPr>
          <w:i/>
          <w:vertAlign w:val="subscript"/>
        </w:rPr>
        <w:t>Plag</w:t>
      </w:r>
      <w:proofErr w:type="spellEnd"/>
      <w:r w:rsidRPr="00AD0AFF">
        <w:t xml:space="preserve"> </w:t>
      </w:r>
      <w:r>
        <w:t>speedometer</w:t>
      </w:r>
      <w:r w:rsidRPr="00AD0AFF">
        <w:t xml:space="preserve"> of </w:t>
      </w:r>
      <w:r w:rsidRPr="00AD0AFF">
        <w:fldChar w:fldCharType="begin" w:fldLock="1"/>
      </w:r>
      <w:r w:rsidRPr="00AD0AFF">
        <w:instrText>ADDIN CSL_CITATION {"citationItems":[{"id":"ITEM-1","itemData":{"DOI":"10.1016/j.epsl.2018.01.032","ISSN":"0012821X","abstract":"A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Letters","id":"ITEM-1","issued":{"date-parts":[["2018","2","12"]]},"page":"165-178","publisher":"Elsevier B.V.","title":"aFormation of fast-spreading lower oceanic crust as revealed by a new Mg–REE coupled geospeedometer","type":"article-journal","volume":"487"},"uris":["http://www.mendeley.com/documents/?uuid=f486dd42-88a6-4fd7-8dea-0a2ba656c4dd"]}],"mendeley":{"formattedCitation":"(Sun &amp; Lissenberg, 2018a)","manualFormatting":"Sun &amp; Lissenberg, 2018a","plainTextFormattedCitation":"(Sun &amp; Lissenberg, 2018a)","previouslyFormattedCitation":"(Sun &amp; Lissenberg, 2018a)"},"properties":{"noteIndex":0},"schema":"https://github.com/citation-style-language/schema/raw/master/csl-citation.json"}</w:instrText>
      </w:r>
      <w:r w:rsidRPr="00AD0AFF">
        <w:fldChar w:fldCharType="separate"/>
      </w:r>
      <w:r w:rsidRPr="00AD0AFF">
        <w:rPr>
          <w:noProof/>
        </w:rPr>
        <w:t>Sun &amp; Lissenberg, 2018a</w:t>
      </w:r>
      <w:r w:rsidRPr="00AD0AFF">
        <w:fldChar w:fldCharType="end"/>
      </w:r>
      <w:r w:rsidRPr="00AD0AFF">
        <w:t xml:space="preserve">, which leverages numerical solutions to </w:t>
      </w:r>
      <w:r>
        <w:t>a</w:t>
      </w:r>
      <w:r w:rsidRPr="00AD0AFF">
        <w:t xml:space="preserve"> </w:t>
      </w:r>
      <w:proofErr w:type="spellStart"/>
      <w:r>
        <w:t>bimineralic</w:t>
      </w:r>
      <w:proofErr w:type="spellEnd"/>
      <w:r>
        <w:t xml:space="preserve"> formulation of the </w:t>
      </w:r>
      <w:r w:rsidRPr="00AD0AFF">
        <w:t>diffusion equation</w:t>
      </w:r>
      <w:r>
        <w:t>, in order</w:t>
      </w:r>
      <w:r w:rsidRPr="00AD0AFF">
        <w:t xml:space="preserve"> to determine a cooling rate and initial temperature (assuming spherical geometry). The speedometer takes mineral </w:t>
      </w:r>
      <w:r w:rsidRPr="00AD0AFF">
        <w:lastRenderedPageBreak/>
        <w:t xml:space="preserve">composition, grain size, and mineral modes into account, and is </w:t>
      </w:r>
      <w:r>
        <w:t>applicable</w:t>
      </w:r>
      <w:r w:rsidRPr="00AD0AFF">
        <w:t xml:space="preserve"> to average mineral compositions as provided by our dataset. </w:t>
      </w:r>
      <w:r>
        <w:t xml:space="preserve">The model of Sun &amp; </w:t>
      </w:r>
      <w:proofErr w:type="spellStart"/>
      <w:r>
        <w:t>Lissenberg</w:t>
      </w:r>
      <w:proofErr w:type="spellEnd"/>
      <w:r>
        <w:t xml:space="preserve"> (2018a) was parameterized using a larger calibration dataset and leverages a more generalized silica activity model than that of </w:t>
      </w:r>
      <w:proofErr w:type="spellStart"/>
      <w:r>
        <w:t>Faak</w:t>
      </w:r>
      <w:proofErr w:type="spellEnd"/>
      <w:r>
        <w:t xml:space="preserve"> et al. (2013; 2014). Additionally, it does not rely on the presence of exchange-related grain-scale concentration gradients which may be absent depending on kinetics, grain size and cooling rate, making it more broadly applicable to oceanic gabbros. W</w:t>
      </w:r>
      <w:r w:rsidRPr="00AD0AFF">
        <w:t xml:space="preserve">e refrain </w:t>
      </w:r>
      <w:r>
        <w:t>from</w:t>
      </w:r>
      <w:r w:rsidRPr="00AD0AFF">
        <w:t xml:space="preserve"> commenting </w:t>
      </w:r>
      <w:r>
        <w:t xml:space="preserve">further </w:t>
      </w:r>
      <w:r w:rsidRPr="00AD0AFF">
        <w:t xml:space="preserve">on </w:t>
      </w:r>
      <w:r>
        <w:t>other</w:t>
      </w:r>
      <w:r w:rsidRPr="00AD0AFF">
        <w:t xml:space="preserve"> respective advantages and disadvantages of the </w:t>
      </w:r>
      <w:r w:rsidRPr="00AD0AFF">
        <w:fldChar w:fldCharType="begin" w:fldLock="1"/>
      </w:r>
      <w:r>
        <w:instrText>ADDIN CSL_CITATION {"citationItems":[{"id":"ITEM-1","itemData":{"DOI":"10.1016/j.epsl.2018.01.032","ISSN":"0012821X","abstract":"A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Letters","id":"ITEM-1","issued":{"date-parts":[["2018","2","12"]]},"page":"165-178","publisher":"Elsevier B.V.","title":"aFormation of fast-spreading lower oceanic crust as revealed by a new Mg–REE coupled geospeedometer","type":"article-journal","volume":"487"},"uris":["http://www.mendeley.com/documents/?uuid=f486dd42-88a6-4fd7-8dea-0a2ba656c4dd"]},{"id":"ITEM-2","itemData":{"DOI":"10.1016/j.gca.2014.06.005","ISBN":"0016-7037","ISSN":"00167037","abstract":"We present a new Mg-in-plagioclase geospeedometer based on the diffusive exchange of Mg between plagioclase and clinopyroxene that allows cooling rates of a wide range of mafic rocks to be determined. The major element composition of plagioclase is shown to play an important role in driving the flux of Mg as well as the partitioning of Mg between plagioclase and clinopyroxene. Therefore, commonly used analytical solutions to the diffusion equation are not applicable in this system and an alternate approach is developed. Practical aspects of the method such as the role of anorthite zoning patterns and influence of shapes of cooling paths and grain geometries in controlling the Mg concentration profile shapes are discussed. Propagation of uncertainties in the knowledge of diffusion and partition coefficients shows that the method is capable of resolving small differences in cooling rates (e.g., log[dT/dt°Cyr-1]=-3±0.3 in one example). The approach is illustrated by application to two samples from the lower oceanic crust. © 2014 Elsevier Ltd.","author":[{"dropping-particle":"","family":"Faak","given":"Kathrin","non-dropping-particle":"","parse-names":false,"suffix":""},{"dropping-particle":"","family":"Coogan","given":"Laurence A.","non-dropping-particle":"","parse-names":false,"suffix":""},{"dropping-particle":"","family":"Chakraborty","given":"Sumit","non-dropping-particle":"","parse-names":false,"suffix":""}],"container-title":"Geochimica et Cosmochimica Acta","id":"ITEM-2","issued":{"date-parts":[["2014"]]},"page":"691-707","publisher":"Elsevier Ltd","title":"A new Mg-in-plagioclase geospeedometer for the determination of cooling rates of mafic rocks","type":"article-journal","volume":"140"},"uris":["http://www.mendeley.com/documents/?uuid=963f7023-c079-4393-9e90-debb7105cff9"]}],"mendeley":{"formattedCitation":"(Faak et al., 2014; Sun &amp; Lissenberg, 2018a)","manualFormatting":"Faak et al., (2014); Sun &amp; Lissenberg, (2018a)","plainTextFormattedCitation":"(Faak et al., 2014; Sun &amp; Lissenberg, 2018a)","previouslyFormattedCitation":"(Faak et al., 2015; Sun &amp; Lissenberg, 2018a)"},"properties":{"noteIndex":0},"schema":"https://github.com/citation-style-language/schema/raw/master/csl-citation.json"}</w:instrText>
      </w:r>
      <w:r w:rsidRPr="00AD0AFF">
        <w:fldChar w:fldCharType="separate"/>
      </w:r>
      <w:r w:rsidRPr="00DC5220">
        <w:rPr>
          <w:noProof/>
        </w:rPr>
        <w:t xml:space="preserve">Faak et al., </w:t>
      </w:r>
      <w:r>
        <w:rPr>
          <w:noProof/>
        </w:rPr>
        <w:t>(</w:t>
      </w:r>
      <w:r w:rsidRPr="00DC5220">
        <w:rPr>
          <w:noProof/>
        </w:rPr>
        <w:t>2014</w:t>
      </w:r>
      <w:r>
        <w:rPr>
          <w:noProof/>
        </w:rPr>
        <w:t>) and</w:t>
      </w:r>
      <w:r w:rsidRPr="00DC5220">
        <w:rPr>
          <w:noProof/>
        </w:rPr>
        <w:t xml:space="preserve"> Sun &amp; Lissenberg, </w:t>
      </w:r>
      <w:r>
        <w:rPr>
          <w:noProof/>
        </w:rPr>
        <w:t>(</w:t>
      </w:r>
      <w:r w:rsidRPr="00DC5220">
        <w:rPr>
          <w:noProof/>
        </w:rPr>
        <w:t>2018a)</w:t>
      </w:r>
      <w:r w:rsidRPr="00AD0AFF">
        <w:fldChar w:fldCharType="end"/>
      </w:r>
      <w:r w:rsidRPr="00AD0AFF">
        <w:t xml:space="preserve"> speedometers for oceanic gabbros, as they are thoroughly described in the commentary of </w:t>
      </w:r>
      <w:r w:rsidRPr="00AD0AFF">
        <w:fldChar w:fldCharType="begin" w:fldLock="1"/>
      </w:r>
      <w:r w:rsidRPr="00AD0AFF">
        <w:instrText>ADDIN CSL_CITATION {"citationItems":[{"id":"ITEM-1","itemData":{"DOI":"10.1016/j.epsl.2018.08.036","ISBN":"0012-821X","ISSN":"0012821X","abstract":"A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Faak","given":"Kathrin","non-dropping-particle":"","parse-names":false,"suffix":""},{"dropping-particle":"","family":"Chakraborty","given":"Sumit","non-dropping-particle":"","parse-names":false,"suffix":""},{"dropping-particle":"","family":"Coogan","given":"Laurence A.","non-dropping-particle":"","parse-names":false,"suffix":""},{"dropping-particle":"","family":"Dohmen","given":"Ralf","non-dropping-particle":"","parse-names":false,"suffix":""}],"container-title":"Earth and Planetary Science Letters","id":"ITEM-1","issued":{"date-parts":[["2018","11"]]},"page":"284-286","title":"Comment on ‘Formation of fast-spreading lower oceanic crust as revealed by a new Mg–REE coupled geospeedometer’ by Sun and Lissenberg","type":"article-journal","volume":"502"},"uris":["http://www.mendeley.com/documents/?uuid=29743baa-a54a-4b25-8058-4d0c9ac9f606"]}],"mendeley":{"formattedCitation":"(Faak et al., 2018)","manualFormatting":"Faak et al., 2018","plainTextFormattedCitation":"(Faak et al., 2018)","previouslyFormattedCitation":"(Faak et al., 2018)"},"properties":{"noteIndex":0},"schema":"https://github.com/citation-style-language/schema/raw/master/csl-citation.json"}</w:instrText>
      </w:r>
      <w:r w:rsidRPr="00AD0AFF">
        <w:fldChar w:fldCharType="separate"/>
      </w:r>
      <w:r w:rsidRPr="00AD0AFF">
        <w:rPr>
          <w:noProof/>
        </w:rPr>
        <w:t>Faak et al., 2018</w:t>
      </w:r>
      <w:r w:rsidRPr="00AD0AFF">
        <w:fldChar w:fldCharType="end"/>
      </w:r>
      <w:r w:rsidRPr="00AD0AFF">
        <w:t xml:space="preserve"> and reply of </w:t>
      </w:r>
      <w:r w:rsidRPr="00AD0AFF">
        <w:fldChar w:fldCharType="begin" w:fldLock="1"/>
      </w:r>
      <w:r w:rsidRPr="00AD0AFF">
        <w:instrText>ADDIN CSL_CITATION {"citationItems":[{"id":"ITEM-1","itemData":{"DOI":"10.1016/j.epsl.2018.08.044","ISSN":"0012821X","abstract":"The commentary note from Faak et al. questioned the new Mg–REE coupled geospeedometry and its application to Hess Deep gabbros in the recent paper of Sun and Lissenberg (2018; denoted as S&amp;L). Characterizing S&amp;L's approach as “flawed”, Faak et al. mistakenly asserted that S&amp;L's results regarding rapid hydrothermal cooling of the fast-spreading lower oceanic crust were “incorrect”. Instead, they claimed that the Mg-in-plagioclase geospeedometry used in Faak et al. (2015) showed “good precision as well as accuracy”, which produced slower cooling rates consistent with conductive cooling. We strongly disagree with Faak et al.'s claims but appreciate the opportunity here allowing us to further elaborate S&amp;L's approach in greater detail. In this reply, we show that the erroneous claims of Faak et al. are derived from their misunderstandings on geospeedometry regarding the calibration of exchange thermometers and bulk-diffusion modeling for multi-mineral systems.","author":[{"dropping-particle":"","family":"Sun","given":"Chenguang","non-dropping-particle":"","parse-names":false,"suffix":""},{"dropping-particle":"","family":"Lissenberg","given":"C. Johan","non-dropping-particle":"","parse-names":false,"suffix":""}],"container-title":"Earth and Planetary Science Letters","id":"ITEM-1","issued":{"date-parts":[["2018","9","3"]]},"page":"287-290","publisher":"Elsevier B.V.","title":"Caveats and challenges in geospeedometry: A reply to Faak et al.'s critique of the Mg–REE coupled geospeedometry","type":"article-journal","volume":"502"},"uris":["http://www.mendeley.com/documents/?uuid=9d5b60f0-6406-461f-9a0d-10e67dead94f"]}],"mendeley":{"formattedCitation":"(Sun &amp; Lissenberg, 2018b)","manualFormatting":"Sun &amp; Lissenberg, 2018b","plainTextFormattedCitation":"(Sun &amp; Lissenberg, 2018b)","previouslyFormattedCitation":"(Sun &amp; Lissenberg, 2018b)"},"properties":{"noteIndex":0},"schema":"https://github.com/citation-style-language/schema/raw/master/csl-citation.json"}</w:instrText>
      </w:r>
      <w:r w:rsidRPr="00AD0AFF">
        <w:fldChar w:fldCharType="separate"/>
      </w:r>
      <w:r w:rsidRPr="00AD0AFF">
        <w:rPr>
          <w:noProof/>
        </w:rPr>
        <w:t>Sun &amp; Lissenberg, 2018b</w:t>
      </w:r>
      <w:r w:rsidRPr="00AD0AFF">
        <w:fldChar w:fldCharType="end"/>
      </w:r>
      <w:r w:rsidRPr="00AD0AFF">
        <w:t xml:space="preserve">. (However, see Section </w:t>
      </w:r>
      <w:r>
        <w:t>5</w:t>
      </w:r>
      <w:r w:rsidRPr="00AD0AFF">
        <w:t>.1.1, for a brief discussion of potential issues associated with determining temperatures and cooling rates from samples with complex open-system geologic histories</w:t>
      </w:r>
      <w:r>
        <w:t>, which would afflict both speedometers</w:t>
      </w:r>
      <w:r w:rsidRPr="00AD0AFF">
        <w:t>).</w:t>
      </w:r>
    </w:p>
    <w:p w14:paraId="4607FB4A" w14:textId="5CC76714" w:rsidR="00C343DA" w:rsidRDefault="00C343DA" w:rsidP="00F24389">
      <w:pPr>
        <w:spacing w:line="360" w:lineRule="auto"/>
        <w:ind w:firstLine="360"/>
      </w:pPr>
      <w:r w:rsidRPr="00AD0AFF">
        <w:t xml:space="preserve">Cooling rate inversion diagrams are </w:t>
      </w:r>
      <w:r>
        <w:t xml:space="preserve">presented </w:t>
      </w:r>
      <w:r w:rsidRPr="00AD0AFF">
        <w:t>in the electronic supplement</w:t>
      </w:r>
      <w:r>
        <w:t xml:space="preserve"> (Figure </w:t>
      </w:r>
      <w:r w:rsidR="009B3070">
        <w:t>1.1</w:t>
      </w:r>
      <w:r>
        <w:t>2),</w:t>
      </w:r>
      <w:r w:rsidRPr="00AD0AFF">
        <w:t xml:space="preserve"> and cooling rates (for the </w:t>
      </w:r>
      <w:proofErr w:type="spellStart"/>
      <w:r w:rsidRPr="00AD0AFF">
        <w:t>Oman</w:t>
      </w:r>
      <w:r>
        <w:t>DP</w:t>
      </w:r>
      <w:proofErr w:type="spellEnd"/>
      <w:r w:rsidRPr="00AD0AFF">
        <w:t xml:space="preserve"> samples only, see Section </w:t>
      </w:r>
      <w:r>
        <w:t>5</w:t>
      </w:r>
      <w:r w:rsidRPr="00AD0AFF">
        <w:t xml:space="preserve">.1.1) are reported in Table </w:t>
      </w:r>
      <w:r w:rsidR="009B3070">
        <w:t>1.</w:t>
      </w:r>
      <w:r w:rsidRPr="00AD0AFF">
        <w:t xml:space="preserve">3. Perhaps owing to analytical scatter or the sample’s geologic history, one of the three </w:t>
      </w:r>
      <w:proofErr w:type="spellStart"/>
      <w:r w:rsidRPr="00AD0AFF">
        <w:t>Oman</w:t>
      </w:r>
      <w:r>
        <w:t>DP</w:t>
      </w:r>
      <w:proofErr w:type="spellEnd"/>
      <w:r w:rsidRPr="00AD0AFF">
        <w:t xml:space="preserve"> </w:t>
      </w:r>
      <w:proofErr w:type="spellStart"/>
      <w:r w:rsidRPr="00AD0AFF">
        <w:t>gabbros</w:t>
      </w:r>
      <w:proofErr w:type="spellEnd"/>
      <w:r w:rsidRPr="00AD0AFF">
        <w:t xml:space="preserve"> (5057_5707A_113z_03_036-040) has a </w:t>
      </w:r>
      <w:r w:rsidRPr="00AD0AFF">
        <w:rPr>
          <w:i/>
        </w:rPr>
        <w:t>T</w:t>
      </w:r>
      <w:r w:rsidRPr="00AD0AFF">
        <w:rPr>
          <w:i/>
          <w:vertAlign w:val="subscript"/>
        </w:rPr>
        <w:t>REE-in-</w:t>
      </w:r>
      <w:proofErr w:type="spellStart"/>
      <w:r w:rsidRPr="00AD0AFF">
        <w:rPr>
          <w:i/>
          <w:vertAlign w:val="subscript"/>
        </w:rPr>
        <w:t>Cpx</w:t>
      </w:r>
      <w:proofErr w:type="spellEnd"/>
      <w:r w:rsidRPr="00AD0AFF">
        <w:rPr>
          <w:i/>
          <w:vertAlign w:val="subscript"/>
        </w:rPr>
        <w:t>-</w:t>
      </w:r>
      <w:proofErr w:type="spellStart"/>
      <w:r w:rsidRPr="00AD0AFF">
        <w:rPr>
          <w:i/>
          <w:vertAlign w:val="subscript"/>
        </w:rPr>
        <w:t>Plag</w:t>
      </w:r>
      <w:proofErr w:type="spellEnd"/>
      <w:r w:rsidRPr="00AD0AFF">
        <w:t xml:space="preserve"> and </w:t>
      </w:r>
      <w:proofErr w:type="spellStart"/>
      <w:r w:rsidRPr="00AD0AFF">
        <w:rPr>
          <w:i/>
        </w:rPr>
        <w:t>T</w:t>
      </w:r>
      <w:r w:rsidRPr="00AD0AFF">
        <w:rPr>
          <w:i/>
          <w:vertAlign w:val="subscript"/>
        </w:rPr>
        <w:t>Mg</w:t>
      </w:r>
      <w:proofErr w:type="spellEnd"/>
      <w:r w:rsidRPr="00AD0AFF">
        <w:rPr>
          <w:i/>
          <w:vertAlign w:val="subscript"/>
        </w:rPr>
        <w:t>-in-</w:t>
      </w:r>
      <w:proofErr w:type="spellStart"/>
      <w:r w:rsidRPr="00AD0AFF">
        <w:rPr>
          <w:i/>
          <w:vertAlign w:val="subscript"/>
        </w:rPr>
        <w:t>Plag</w:t>
      </w:r>
      <w:proofErr w:type="spellEnd"/>
      <w:r w:rsidRPr="00AD0AFF">
        <w:t xml:space="preserve"> temperature distribution beyond the physically reasonable Dodson limit (cf</w:t>
      </w:r>
      <w:r>
        <w:t>.,</w:t>
      </w:r>
      <w:r w:rsidRPr="00AD0AFF">
        <w:t xml:space="preserve"> </w:t>
      </w:r>
      <w:r w:rsidRPr="00AD0AFF">
        <w:fldChar w:fldCharType="begin" w:fldLock="1"/>
      </w:r>
      <w:r w:rsidRPr="00AD0AFF">
        <w:instrText>ADDIN CSL_CITATION {"citationItems":[{"id":"ITEM-1","itemData":{"DOI":"10.1016/j.epsl.2018.01.032","ISSN":"0012821X","abstract":"A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Letters","id":"ITEM-1","issued":{"date-parts":[["2018","2","12"]]},"page":"165-178","publisher":"Elsevier B.V.","title":"aFormation of fast-spreading lower oceanic crust as revealed by a new Mg–REE coupled geospeedometer","type":"article-journal","volume":"487"},"uris":["http://www.mendeley.com/documents/?uuid=f486dd42-88a6-4fd7-8dea-0a2ba656c4dd"]}],"mendeley":{"formattedCitation":"(Sun &amp; Lissenberg, 2018a)","manualFormatting":"Sun &amp; Lissenberg, 2018a)","plainTextFormattedCitation":"(Sun &amp; Lissenberg, 2018a)","previouslyFormattedCitation":"(Sun &amp; Lissenberg, 2018a)"},"properties":{"noteIndex":0},"schema":"https://github.com/citation-style-language/schema/raw/master/csl-citation.json"}</w:instrText>
      </w:r>
      <w:r w:rsidRPr="00AD0AFF">
        <w:fldChar w:fldCharType="separate"/>
      </w:r>
      <w:r w:rsidRPr="00AD0AFF">
        <w:rPr>
          <w:noProof/>
        </w:rPr>
        <w:t>Sun &amp; Lissenberg, 2018a)</w:t>
      </w:r>
      <w:r w:rsidRPr="00AD0AFF">
        <w:fldChar w:fldCharType="end"/>
      </w:r>
      <w:r w:rsidRPr="00AD0AFF">
        <w:t xml:space="preserve">; for this sample no rate can be determined. Rates for the other </w:t>
      </w:r>
      <w:proofErr w:type="spellStart"/>
      <w:r w:rsidRPr="00AD0AFF">
        <w:t>Oman</w:t>
      </w:r>
      <w:r>
        <w:t>DP</w:t>
      </w:r>
      <w:proofErr w:type="spellEnd"/>
      <w:r w:rsidRPr="00AD0AFF">
        <w:t xml:space="preserve"> </w:t>
      </w:r>
      <w:proofErr w:type="spellStart"/>
      <w:r w:rsidRPr="00AD0AFF">
        <w:t>gabbros</w:t>
      </w:r>
      <w:proofErr w:type="spellEnd"/>
      <w:r w:rsidRPr="00AD0AFF">
        <w:t xml:space="preserve"> are 0.1 and 0.07 </w:t>
      </w:r>
      <w:r w:rsidRPr="00AD0AFF">
        <w:rPr>
          <w:rFonts w:ascii="Calibri" w:hAnsi="Calibri" w:cs="Calibri"/>
        </w:rPr>
        <w:t>°</w:t>
      </w:r>
      <w:r w:rsidRPr="00AD0AFF">
        <w:t xml:space="preserve">C/y, consistent with rates determined using the </w:t>
      </w:r>
      <w:r w:rsidRPr="00AD0AFF">
        <w:rPr>
          <w:i/>
        </w:rPr>
        <w:t>T</w:t>
      </w:r>
      <w:r w:rsidRPr="00AD0AFF">
        <w:rPr>
          <w:i/>
          <w:vertAlign w:val="subscript"/>
        </w:rPr>
        <w:t>REE-in-two-Pyroxene</w:t>
      </w:r>
      <w:r w:rsidRPr="00AD0AFF">
        <w:t xml:space="preserve"> – </w:t>
      </w:r>
      <w:r w:rsidRPr="00AD0AFF">
        <w:rPr>
          <w:i/>
        </w:rPr>
        <w:t>T</w:t>
      </w:r>
      <w:r w:rsidRPr="00AD0AFF">
        <w:rPr>
          <w:i/>
          <w:vertAlign w:val="subscript"/>
        </w:rPr>
        <w:t>BKN</w:t>
      </w:r>
      <w:r w:rsidRPr="00AD0AFF">
        <w:t xml:space="preserve"> and </w:t>
      </w:r>
      <w:proofErr w:type="spellStart"/>
      <w:r w:rsidRPr="00AD0AFF">
        <w:rPr>
          <w:i/>
        </w:rPr>
        <w:t>T</w:t>
      </w:r>
      <w:r w:rsidRPr="00AD0AFF">
        <w:rPr>
          <w:i/>
          <w:vertAlign w:val="subscript"/>
        </w:rPr>
        <w:t>Ca</w:t>
      </w:r>
      <w:proofErr w:type="spellEnd"/>
      <w:r w:rsidRPr="00AD0AFF">
        <w:rPr>
          <w:i/>
          <w:vertAlign w:val="subscript"/>
        </w:rPr>
        <w:t>-in-</w:t>
      </w:r>
      <w:proofErr w:type="spellStart"/>
      <w:r w:rsidRPr="00AD0AFF">
        <w:rPr>
          <w:i/>
          <w:vertAlign w:val="subscript"/>
        </w:rPr>
        <w:t>Ol</w:t>
      </w:r>
      <w:proofErr w:type="spellEnd"/>
      <w:r w:rsidRPr="0010191D">
        <w:t>-</w:t>
      </w:r>
      <w:r w:rsidRPr="00AD0AFF">
        <w:t xml:space="preserve">based methods described in Sections </w:t>
      </w:r>
      <w:r>
        <w:t>5</w:t>
      </w:r>
      <w:r w:rsidRPr="00AD0AFF">
        <w:t xml:space="preserve">.2.1 and </w:t>
      </w:r>
      <w:r>
        <w:t>5</w:t>
      </w:r>
      <w:r w:rsidRPr="00AD0AFF">
        <w:t xml:space="preserve">.2.2. The </w:t>
      </w:r>
      <w:r w:rsidRPr="00AD0AFF">
        <w:rPr>
          <w:i/>
        </w:rPr>
        <w:t>T</w:t>
      </w:r>
      <w:r w:rsidRPr="00AD0AFF">
        <w:rPr>
          <w:i/>
          <w:vertAlign w:val="subscript"/>
        </w:rPr>
        <w:t>REE-in-</w:t>
      </w:r>
      <w:proofErr w:type="spellStart"/>
      <w:r w:rsidRPr="00AD0AFF">
        <w:rPr>
          <w:i/>
          <w:vertAlign w:val="subscript"/>
        </w:rPr>
        <w:t>Cpx</w:t>
      </w:r>
      <w:proofErr w:type="spellEnd"/>
      <w:r w:rsidRPr="00AD0AFF">
        <w:rPr>
          <w:i/>
          <w:vertAlign w:val="subscript"/>
        </w:rPr>
        <w:t>-</w:t>
      </w:r>
      <w:proofErr w:type="spellStart"/>
      <w:r w:rsidRPr="00AD0AFF">
        <w:rPr>
          <w:i/>
          <w:vertAlign w:val="subscript"/>
        </w:rPr>
        <w:t>Plag</w:t>
      </w:r>
      <w:proofErr w:type="spellEnd"/>
      <w:r w:rsidRPr="00AD0AFF">
        <w:t xml:space="preserve"> – </w:t>
      </w:r>
      <w:proofErr w:type="spellStart"/>
      <w:r w:rsidRPr="00AD0AFF">
        <w:rPr>
          <w:i/>
        </w:rPr>
        <w:t>T</w:t>
      </w:r>
      <w:r w:rsidRPr="00AD0AFF">
        <w:rPr>
          <w:i/>
          <w:vertAlign w:val="subscript"/>
        </w:rPr>
        <w:t>Mg</w:t>
      </w:r>
      <w:proofErr w:type="spellEnd"/>
      <w:r w:rsidRPr="00AD0AFF">
        <w:rPr>
          <w:i/>
          <w:vertAlign w:val="subscript"/>
        </w:rPr>
        <w:t>-in-</w:t>
      </w:r>
      <w:proofErr w:type="spellStart"/>
      <w:r w:rsidRPr="00AD0AFF">
        <w:rPr>
          <w:i/>
          <w:vertAlign w:val="subscript"/>
        </w:rPr>
        <w:t>Plag</w:t>
      </w:r>
      <w:proofErr w:type="spellEnd"/>
      <w:r w:rsidRPr="00AD0AFF">
        <w:t xml:space="preserve"> rates are plotted as magenta squares in Figure </w:t>
      </w:r>
      <w:r w:rsidR="009B3070">
        <w:t>1.</w:t>
      </w:r>
      <w:r w:rsidRPr="00AD0AFF">
        <w:t>9.</w:t>
      </w:r>
    </w:p>
    <w:p w14:paraId="268C6AC2" w14:textId="5E6D9ABE" w:rsidR="00C343DA" w:rsidRPr="00AC3D41" w:rsidRDefault="00F55061" w:rsidP="00F24389">
      <w:pPr>
        <w:pStyle w:val="Heading3"/>
        <w:spacing w:line="360" w:lineRule="auto"/>
      </w:pPr>
      <w:bookmarkStart w:id="49" w:name="_Toc109036133"/>
      <w:r>
        <w:t xml:space="preserve">5.3 </w:t>
      </w:r>
      <w:r w:rsidR="00C343DA" w:rsidRPr="6F96FD7C">
        <w:t>Implications for cooling and crustal accretion mechanisms</w:t>
      </w:r>
      <w:bookmarkEnd w:id="49"/>
    </w:p>
    <w:p w14:paraId="0B248A80" w14:textId="34D35779" w:rsidR="00C343DA" w:rsidRPr="00C343DA" w:rsidRDefault="00C343DA" w:rsidP="001E0B34">
      <w:pPr>
        <w:pStyle w:val="NormalWeb"/>
        <w:spacing w:line="360" w:lineRule="auto"/>
        <w:ind w:firstLine="360"/>
        <w:rPr>
          <w:rFonts w:ascii="Arial" w:hAnsi="Arial" w:cs="Arial"/>
        </w:rPr>
      </w:pPr>
      <w:r w:rsidRPr="00C343DA">
        <w:rPr>
          <w:rFonts w:ascii="Arial" w:hAnsi="Arial" w:cs="Arial"/>
        </w:rPr>
        <w:t xml:space="preserve">In Figure </w:t>
      </w:r>
      <w:r w:rsidR="009B3070">
        <w:rPr>
          <w:rFonts w:ascii="Arial" w:hAnsi="Arial" w:cs="Arial"/>
        </w:rPr>
        <w:t>1.</w:t>
      </w:r>
      <w:r w:rsidRPr="00C343DA">
        <w:rPr>
          <w:rFonts w:ascii="Arial" w:hAnsi="Arial" w:cs="Arial"/>
        </w:rPr>
        <w:t xml:space="preserve">9, cooling rates obtained from thermometric data are compared to conductive cooling models relevant to Gabbro Glacier and Sheeted Sills scenarios. Only the cooling rate data we interpret as most physically meaningful are compared to the models (see Sections 5.1 and 5.2), however, we note that the apparent rates from samples flagged because of grain scale heterogeneity or minor clinopyroxene mode are consistent with our general observations (Table </w:t>
      </w:r>
      <w:r w:rsidR="006C6530">
        <w:rPr>
          <w:rFonts w:ascii="Arial" w:hAnsi="Arial" w:cs="Arial"/>
        </w:rPr>
        <w:t>1.</w:t>
      </w:r>
      <w:r w:rsidRPr="00C343DA">
        <w:rPr>
          <w:rFonts w:ascii="Arial" w:hAnsi="Arial" w:cs="Arial"/>
        </w:rPr>
        <w:t xml:space="preserve">3). </w:t>
      </w:r>
      <w:proofErr w:type="gramStart"/>
      <w:r w:rsidRPr="00C343DA">
        <w:rPr>
          <w:rFonts w:ascii="Arial" w:hAnsi="Arial" w:cs="Arial"/>
        </w:rPr>
        <w:t>Despite the fact that</w:t>
      </w:r>
      <w:proofErr w:type="gramEnd"/>
      <w:r w:rsidRPr="00C343DA">
        <w:rPr>
          <w:rFonts w:ascii="Arial" w:hAnsi="Arial" w:cs="Arial"/>
        </w:rPr>
        <w:t xml:space="preserve"> reliable cooling rates cannot be recovered from Hess Deep gabbros, because their thermal </w:t>
      </w:r>
      <w:r w:rsidRPr="00C343DA">
        <w:rPr>
          <w:rFonts w:ascii="Arial" w:hAnsi="Arial" w:cs="Arial"/>
        </w:rPr>
        <w:lastRenderedPageBreak/>
        <w:t>histories must be intimately related to underlying peridotites, the peridotites place important constraints on cooling of the oceanic crust beneath the East Pacific Rise.</w:t>
      </w:r>
    </w:p>
    <w:p w14:paraId="374F4345" w14:textId="43BBD63E" w:rsidR="00C343DA" w:rsidRPr="001E0B34" w:rsidRDefault="00C343DA" w:rsidP="001E0B34">
      <w:pPr>
        <w:pStyle w:val="NormalWeb"/>
        <w:spacing w:line="360" w:lineRule="auto"/>
        <w:ind w:firstLine="360"/>
        <w:rPr>
          <w:rFonts w:ascii="Arial" w:hAnsi="Arial" w:cs="Arial"/>
        </w:rPr>
      </w:pPr>
      <w:r w:rsidRPr="00C343DA">
        <w:rPr>
          <w:rFonts w:ascii="Arial" w:hAnsi="Arial" w:cs="Arial"/>
        </w:rPr>
        <w:t xml:space="preserve">Our cooling models assume conductive cooling of the lithosphere into a cold thermal boundary layer and are constructed using a half-space solution to the one-dimensional heat conduction equation (Equation 4-125, </w:t>
      </w:r>
      <w:r w:rsidRPr="00C343DA">
        <w:rPr>
          <w:rFonts w:ascii="Arial" w:hAnsi="Arial" w:cs="Arial"/>
        </w:rPr>
        <w:fldChar w:fldCharType="begin" w:fldLock="1"/>
      </w:r>
      <w:r w:rsidRPr="00C343DA">
        <w:rPr>
          <w:rFonts w:ascii="Arial" w:hAnsi="Arial" w:cs="Arial"/>
        </w:rPr>
        <w:instrText>ADDIN CSL_CITATION {"citationItems":[{"id":"ITEM-1","itemData":{"DOI":"10.2277/0521661862","ISBN":"0521661862","author":[{"dropping-particle":"","family":"Turcotte","given":"Donald L","non-dropping-particle":"","parse-names":false,"suffix":""},{"dropping-particle":"","family":"Schubert","given":"Gerald","non-dropping-particle":"","parse-names":false,"suffix":""}],"id":"ITEM-1","issued":{"date-parts":[["2002"]]},"title":"Geodynamics - 2nd edition","type":"book"},"uris":["http://www.mendeley.com/documents/?uuid=05d8ca83-d1cf-48cb-8ad2-b4b3bbde5be6"]}],"mendeley":{"formattedCitation":"(Turcotte &amp; Schubert, 2002)","manualFormatting":"Turcotte and Schubert, 2002)","plainTextFormattedCitation":"(Turcotte &amp; Schubert, 2002)","previouslyFormattedCitation":"(Turcotte &amp; Schubert, 2002)"},"properties":{"noteIndex":0},"schema":"https://github.com/citation-style-language/schema/raw/master/csl-citation.json"}</w:instrText>
      </w:r>
      <w:r w:rsidRPr="00C343DA">
        <w:rPr>
          <w:rFonts w:ascii="Arial" w:hAnsi="Arial" w:cs="Arial"/>
        </w:rPr>
        <w:fldChar w:fldCharType="separate"/>
      </w:r>
      <w:r w:rsidRPr="00C343DA">
        <w:rPr>
          <w:rFonts w:ascii="Arial" w:hAnsi="Arial" w:cs="Arial"/>
          <w:noProof/>
        </w:rPr>
        <w:t>Turcotte and Schubert, 2002)</w:t>
      </w:r>
      <w:r w:rsidRPr="00C343DA">
        <w:rPr>
          <w:rFonts w:ascii="Arial" w:hAnsi="Arial" w:cs="Arial"/>
        </w:rPr>
        <w:fldChar w:fldCharType="end"/>
      </w:r>
      <w:r w:rsidRPr="00C343DA">
        <w:rPr>
          <w:rFonts w:ascii="Arial" w:hAnsi="Arial" w:cs="Arial"/>
        </w:rPr>
        <w:t>:</w:t>
      </w:r>
    </w:p>
    <w:p w14:paraId="76D47518" w14:textId="77777777" w:rsidR="00C343DA" w:rsidRDefault="00C343DA" w:rsidP="00F24389">
      <w:pPr>
        <w:pStyle w:val="NormalWeb"/>
        <w:spacing w:line="360" w:lineRule="auto"/>
        <w:ind w:firstLine="720"/>
        <w:rPr>
          <w:iCs/>
          <w:color w:val="000000" w:themeColor="text1"/>
          <w:kern w:val="24"/>
          <w:szCs w:val="72"/>
        </w:rPr>
      </w:pPr>
      <m:oMath>
        <m:r>
          <w:rPr>
            <w:rFonts w:ascii="Cambria Math" w:hAnsi="Cambria Math" w:cstheme="minorBidi"/>
            <w:color w:val="000000" w:themeColor="text1"/>
            <w:kern w:val="24"/>
            <w:sz w:val="32"/>
            <w:szCs w:val="36"/>
          </w:rPr>
          <m:t xml:space="preserve"> T=</m:t>
        </m:r>
        <m:d>
          <m:dPr>
            <m:ctrlPr>
              <w:rPr>
                <w:rFonts w:ascii="Cambria Math" w:hAnsi="Cambria Math"/>
                <w:i/>
                <w:iCs/>
                <w:color w:val="000000" w:themeColor="text1"/>
                <w:kern w:val="24"/>
                <w:sz w:val="32"/>
                <w:szCs w:val="36"/>
              </w:rPr>
            </m:ctrlPr>
          </m:dPr>
          <m:e>
            <m:sSub>
              <m:sSubPr>
                <m:ctrlPr>
                  <w:rPr>
                    <w:rFonts w:ascii="Cambria Math" w:hAnsi="Cambria Math"/>
                    <w:i/>
                    <w:iCs/>
                    <w:color w:val="000000" w:themeColor="text1"/>
                    <w:kern w:val="24"/>
                    <w:sz w:val="32"/>
                    <w:szCs w:val="36"/>
                  </w:rPr>
                </m:ctrlPr>
              </m:sSubPr>
              <m:e>
                <m:r>
                  <w:rPr>
                    <w:rFonts w:ascii="Cambria Math" w:hAnsi="Cambria Math" w:cstheme="minorBidi"/>
                    <w:color w:val="000000" w:themeColor="text1"/>
                    <w:kern w:val="24"/>
                    <w:sz w:val="32"/>
                    <w:szCs w:val="36"/>
                  </w:rPr>
                  <m:t>T</m:t>
                </m:r>
              </m:e>
              <m:sub>
                <m:r>
                  <w:rPr>
                    <w:rFonts w:ascii="Cambria Math" w:hAnsi="Cambria Math" w:cstheme="minorBidi"/>
                    <w:color w:val="000000" w:themeColor="text1"/>
                    <w:kern w:val="24"/>
                    <w:sz w:val="32"/>
                    <w:szCs w:val="36"/>
                  </w:rPr>
                  <m:t>1</m:t>
                </m:r>
              </m:sub>
            </m:sSub>
            <m:r>
              <w:rPr>
                <w:rFonts w:ascii="Cambria Math" w:hAnsi="Cambria Math" w:cstheme="minorBidi"/>
                <w:color w:val="000000" w:themeColor="text1"/>
                <w:kern w:val="24"/>
                <w:sz w:val="32"/>
                <w:szCs w:val="36"/>
              </w:rPr>
              <m:t>-</m:t>
            </m:r>
            <m:sSub>
              <m:sSubPr>
                <m:ctrlPr>
                  <w:rPr>
                    <w:rFonts w:ascii="Cambria Math" w:hAnsi="Cambria Math"/>
                    <w:i/>
                    <w:iCs/>
                    <w:color w:val="000000" w:themeColor="text1"/>
                    <w:kern w:val="24"/>
                    <w:sz w:val="32"/>
                    <w:szCs w:val="36"/>
                  </w:rPr>
                </m:ctrlPr>
              </m:sSubPr>
              <m:e>
                <m:r>
                  <w:rPr>
                    <w:rFonts w:ascii="Cambria Math" w:hAnsi="Cambria Math" w:cstheme="minorBidi"/>
                    <w:color w:val="000000" w:themeColor="text1"/>
                    <w:kern w:val="24"/>
                    <w:sz w:val="32"/>
                    <w:szCs w:val="36"/>
                  </w:rPr>
                  <m:t>T</m:t>
                </m:r>
              </m:e>
              <m:sub>
                <m:r>
                  <w:rPr>
                    <w:rFonts w:ascii="Cambria Math" w:hAnsi="Cambria Math" w:cstheme="minorBidi"/>
                    <w:color w:val="000000" w:themeColor="text1"/>
                    <w:kern w:val="24"/>
                    <w:sz w:val="32"/>
                    <w:szCs w:val="36"/>
                  </w:rPr>
                  <m:t>0</m:t>
                </m:r>
              </m:sub>
            </m:sSub>
          </m:e>
        </m:d>
        <m:r>
          <w:rPr>
            <w:rFonts w:ascii="Cambria Math" w:hAnsi="Cambria Math" w:cstheme="minorBidi"/>
            <w:color w:val="000000" w:themeColor="text1"/>
            <w:kern w:val="24"/>
            <w:sz w:val="32"/>
            <w:szCs w:val="36"/>
          </w:rPr>
          <m:t>×</m:t>
        </m:r>
        <m:func>
          <m:funcPr>
            <m:ctrlPr>
              <w:rPr>
                <w:rFonts w:ascii="Cambria Math" w:hAnsi="Cambria Math"/>
                <w:i/>
                <w:iCs/>
                <w:color w:val="000000" w:themeColor="text1"/>
                <w:kern w:val="24"/>
                <w:sz w:val="32"/>
                <w:szCs w:val="36"/>
              </w:rPr>
            </m:ctrlPr>
          </m:funcPr>
          <m:fName>
            <m:r>
              <w:rPr>
                <w:rFonts w:ascii="Cambria Math" w:hAnsi="Cambria Math" w:cstheme="minorBidi"/>
                <w:color w:val="000000" w:themeColor="text1"/>
                <w:kern w:val="24"/>
                <w:sz w:val="32"/>
                <w:szCs w:val="36"/>
              </w:rPr>
              <m:t>erf</m:t>
            </m:r>
          </m:fName>
          <m:e>
            <m:d>
              <m:dPr>
                <m:ctrlPr>
                  <w:rPr>
                    <w:rFonts w:ascii="Cambria Math" w:hAnsi="Cambria Math"/>
                    <w:i/>
                    <w:iCs/>
                    <w:color w:val="000000" w:themeColor="text1"/>
                    <w:kern w:val="24"/>
                    <w:sz w:val="32"/>
                    <w:szCs w:val="36"/>
                  </w:rPr>
                </m:ctrlPr>
              </m:dPr>
              <m:e>
                <m:f>
                  <m:fPr>
                    <m:ctrlPr>
                      <w:rPr>
                        <w:rFonts w:ascii="Cambria Math" w:hAnsi="Cambria Math"/>
                        <w:i/>
                        <w:iCs/>
                        <w:color w:val="000000" w:themeColor="text1"/>
                        <w:kern w:val="24"/>
                        <w:sz w:val="32"/>
                        <w:szCs w:val="36"/>
                      </w:rPr>
                    </m:ctrlPr>
                  </m:fPr>
                  <m:num>
                    <m:r>
                      <w:rPr>
                        <w:rFonts w:ascii="Cambria Math" w:hAnsi="Cambria Math" w:cstheme="minorBidi"/>
                        <w:color w:val="000000" w:themeColor="text1"/>
                        <w:kern w:val="24"/>
                        <w:sz w:val="32"/>
                        <w:szCs w:val="36"/>
                      </w:rPr>
                      <m:t>z</m:t>
                    </m:r>
                  </m:num>
                  <m:den>
                    <m:r>
                      <w:rPr>
                        <w:rFonts w:ascii="Cambria Math" w:hAnsi="Cambria Math" w:cstheme="minorBidi"/>
                        <w:color w:val="000000" w:themeColor="text1"/>
                        <w:kern w:val="24"/>
                        <w:sz w:val="32"/>
                        <w:szCs w:val="36"/>
                      </w:rPr>
                      <m:t>2</m:t>
                    </m:r>
                    <m:rad>
                      <m:radPr>
                        <m:degHide m:val="1"/>
                        <m:ctrlPr>
                          <w:rPr>
                            <w:rFonts w:ascii="Cambria Math" w:hAnsi="Cambria Math"/>
                            <w:i/>
                            <w:iCs/>
                            <w:color w:val="000000" w:themeColor="text1"/>
                            <w:kern w:val="24"/>
                            <w:sz w:val="32"/>
                            <w:szCs w:val="36"/>
                          </w:rPr>
                        </m:ctrlPr>
                      </m:radPr>
                      <m:deg/>
                      <m:e>
                        <m:r>
                          <w:rPr>
                            <w:rFonts w:ascii="Cambria Math" w:hAnsi="Cambria Math" w:cstheme="minorBidi"/>
                            <w:color w:val="000000" w:themeColor="text1"/>
                            <w:kern w:val="24"/>
                            <w:sz w:val="32"/>
                            <w:szCs w:val="36"/>
                          </w:rPr>
                          <m:t>κt</m:t>
                        </m:r>
                      </m:e>
                    </m:rad>
                  </m:den>
                </m:f>
              </m:e>
            </m:d>
          </m:e>
        </m:func>
        <m:r>
          <w:rPr>
            <w:rFonts w:ascii="Cambria Math" w:hAnsi="Cambria Math" w:cstheme="minorBidi"/>
            <w:color w:val="000000" w:themeColor="text1"/>
            <w:kern w:val="24"/>
            <w:sz w:val="32"/>
            <w:szCs w:val="36"/>
          </w:rPr>
          <m:t>+</m:t>
        </m:r>
        <m:sSub>
          <m:sSubPr>
            <m:ctrlPr>
              <w:rPr>
                <w:rFonts w:ascii="Cambria Math" w:hAnsi="Cambria Math"/>
                <w:i/>
                <w:iCs/>
                <w:color w:val="000000" w:themeColor="text1"/>
                <w:kern w:val="24"/>
                <w:sz w:val="32"/>
                <w:szCs w:val="36"/>
              </w:rPr>
            </m:ctrlPr>
          </m:sSubPr>
          <m:e>
            <m:r>
              <w:rPr>
                <w:rFonts w:ascii="Cambria Math" w:hAnsi="Cambria Math" w:cstheme="minorBidi"/>
                <w:color w:val="000000" w:themeColor="text1"/>
                <w:kern w:val="24"/>
                <w:sz w:val="32"/>
                <w:szCs w:val="36"/>
              </w:rPr>
              <m:t>T</m:t>
            </m:r>
          </m:e>
          <m:sub>
            <m:r>
              <w:rPr>
                <w:rFonts w:ascii="Cambria Math" w:hAnsi="Cambria Math" w:cstheme="minorBidi"/>
                <w:color w:val="000000" w:themeColor="text1"/>
                <w:kern w:val="24"/>
                <w:sz w:val="32"/>
                <w:szCs w:val="36"/>
              </w:rPr>
              <m:t>0</m:t>
            </m:r>
          </m:sub>
        </m:sSub>
      </m:oMath>
      <w:r>
        <w:rPr>
          <w:rFonts w:ascii="Cambria Math" w:hAnsi="Cambria Math" w:cstheme="minorBidi"/>
          <w:i/>
          <w:iCs/>
          <w:color w:val="000000" w:themeColor="text1"/>
          <w:kern w:val="24"/>
          <w:szCs w:val="72"/>
        </w:rPr>
        <w:tab/>
      </w:r>
      <w:r>
        <w:rPr>
          <w:rFonts w:ascii="Cambria Math" w:hAnsi="Cambria Math" w:cstheme="minorBidi"/>
          <w:i/>
          <w:iCs/>
          <w:color w:val="000000" w:themeColor="text1"/>
          <w:kern w:val="24"/>
          <w:szCs w:val="72"/>
        </w:rPr>
        <w:tab/>
      </w:r>
      <w:r>
        <w:rPr>
          <w:rFonts w:ascii="Cambria Math" w:hAnsi="Cambria Math" w:cstheme="minorBidi"/>
          <w:i/>
          <w:iCs/>
          <w:color w:val="000000" w:themeColor="text1"/>
          <w:kern w:val="24"/>
          <w:szCs w:val="72"/>
        </w:rPr>
        <w:tab/>
      </w:r>
      <w:r>
        <w:rPr>
          <w:rFonts w:ascii="Cambria Math" w:hAnsi="Cambria Math" w:cstheme="minorBidi"/>
          <w:i/>
          <w:iCs/>
          <w:color w:val="000000" w:themeColor="text1"/>
          <w:kern w:val="24"/>
          <w:szCs w:val="72"/>
        </w:rPr>
        <w:tab/>
      </w:r>
      <w:r>
        <w:rPr>
          <w:rFonts w:ascii="Cambria Math" w:hAnsi="Cambria Math" w:cstheme="minorBidi"/>
          <w:i/>
          <w:iCs/>
          <w:color w:val="000000" w:themeColor="text1"/>
          <w:kern w:val="24"/>
          <w:szCs w:val="72"/>
        </w:rPr>
        <w:tab/>
      </w:r>
      <w:r>
        <w:rPr>
          <w:iCs/>
          <w:color w:val="000000" w:themeColor="text1"/>
          <w:kern w:val="24"/>
          <w:szCs w:val="72"/>
        </w:rPr>
        <w:t>(2).</w:t>
      </w:r>
    </w:p>
    <w:p w14:paraId="610A27A1" w14:textId="113BAC13" w:rsidR="00C343DA" w:rsidRDefault="00C343DA" w:rsidP="00F24389">
      <w:pPr>
        <w:spacing w:line="360" w:lineRule="auto"/>
      </w:pPr>
      <w:r>
        <w:t xml:space="preserve">where </w:t>
      </w:r>
      <w:r w:rsidRPr="4DF8874B">
        <w:rPr>
          <w:i/>
          <w:iCs/>
        </w:rPr>
        <w:t>T</w:t>
      </w:r>
      <w:r w:rsidRPr="4DF8874B">
        <w:rPr>
          <w:i/>
          <w:iCs/>
          <w:vertAlign w:val="subscript"/>
        </w:rPr>
        <w:t>1</w:t>
      </w:r>
      <w:r>
        <w:t xml:space="preserve"> is the uniform initial temperature of the lithosphere and </w:t>
      </w:r>
      <w:r w:rsidRPr="4DF8874B">
        <w:rPr>
          <w:i/>
          <w:iCs/>
        </w:rPr>
        <w:t>T</w:t>
      </w:r>
      <w:r w:rsidRPr="4DF8874B">
        <w:rPr>
          <w:i/>
          <w:iCs/>
          <w:vertAlign w:val="subscript"/>
        </w:rPr>
        <w:t>0</w:t>
      </w:r>
      <w:r>
        <w:t xml:space="preserve"> is the temperature at the rock–seawater interface; </w:t>
      </w:r>
      <w:r w:rsidRPr="4DF8874B">
        <w:rPr>
          <w:i/>
          <w:iCs/>
        </w:rPr>
        <w:t>z</w:t>
      </w:r>
      <w:r>
        <w:t xml:space="preserve"> is the depth into the conductive profile; </w:t>
      </w:r>
      <w:r w:rsidRPr="4DF8874B">
        <w:rPr>
          <w:i/>
          <w:iCs/>
        </w:rPr>
        <w:t>t</w:t>
      </w:r>
      <w:r>
        <w:t xml:space="preserve"> is time; and κ is thermal diffusivity (10</w:t>
      </w:r>
      <w:r w:rsidRPr="4DF8874B">
        <w:rPr>
          <w:vertAlign w:val="superscript"/>
        </w:rPr>
        <w:t>-6</w:t>
      </w:r>
      <w:r>
        <w:t xml:space="preserve"> m</w:t>
      </w:r>
      <w:r w:rsidRPr="4DF8874B">
        <w:rPr>
          <w:vertAlign w:val="superscript"/>
        </w:rPr>
        <w:t>2</w:t>
      </w:r>
      <w:r>
        <w:t>/s). Here we assume an initial temperature of 1250</w:t>
      </w:r>
      <w:r w:rsidRPr="4DF8874B">
        <w:rPr>
          <w:rFonts w:ascii="Roboto" w:eastAsia="Roboto" w:hAnsi="Roboto" w:cs="Roboto"/>
          <w:color w:val="4D5156"/>
          <w:sz w:val="21"/>
          <w:szCs w:val="21"/>
        </w:rPr>
        <w:t>°</w:t>
      </w:r>
      <w:r>
        <w:t xml:space="preserve">C, close to (but slightly higher than) plagioclase and clinopyroxene </w:t>
      </w:r>
      <w:proofErr w:type="spellStart"/>
      <w:r>
        <w:t>cosaturation</w:t>
      </w:r>
      <w:proofErr w:type="spellEnd"/>
      <w:r>
        <w:t xml:space="preserve"> temperatures for dry MORBs </w:t>
      </w:r>
      <w:r>
        <w:fldChar w:fldCharType="begin" w:fldLock="1"/>
      </w:r>
      <w:r>
        <w:instrText>ADDIN CSL_CITATION {"citationItems":[{"id":"ITEM-1","itemData":{"DOI":"10.1007/BF01160283","ISSN":"00107999","abstract":"One-atmosphere melting experiments are used to assess the role of clinopyroxene in producing the compositional variations observed in mid-ocean-ridge basalts (MORBs) from the North Atlantic. Analog models of natural glasses and associated phenocrysts show that several possible parental magmas may undergo low pressure fractional crystallization involving olivine and spinel, followed by plagioclase, and then by augite. The phenocryst phase assemblages in natural deep-sea basalts are closely correlated with the major element compositions of their associated quenched glasses, and the projections of these glasses on the Oliv-Cpx-Qtz pseudoternary correspond to the 1-atmosphere phase boundaries and reaction points defined by laboratory experiments. Comparison of natural phenocryst's with experimental phases indicates that the augites preserved in moderately fractionated MORB from the FAMOUS area may have formed at or near the ocean floor and need not be relics of high pressure processes. © 1983 Springer-Verlag.","author":[{"dropping-particle":"","family":"Grove","given":"T. L.","non-dropping-particle":"","parse-names":false,"suffix":""},{"dropping-particle":"","family":"Bryan","given":"W. B.","non-dropping-particle":"","parse-names":false,"suffix":""}],"container-title":"Contributions to Mineralogy and Petrology","id":"ITEM-1","issue":"4","issued":{"date-parts":[["1983"]]},"page":"293-309","title":"Fractionation of pyroxene-phyric MORB at low pressure: An experimental study","type":"article-journal","volume":"84"},"uris":["http://www.mendeley.com/documents/?uuid=bb33afcb-e357-4f08-b046-40092010e116"]},{"id":"ITEM-2","itemData":{"DOI":"10.1093/petrology/egh042","ISSN":"00223530","abstract":"Two series of anhydrous experiments have been performed in an end-loaded piston cylinder apparatus on a primitive, mantle-derived tholeiitic basalt at 1·0 GPa pressure and temperatures in the range 1060-1330°C. The experimental data provide constraints on phase equilibria, and solid and liquid compositions along the liquid line of descent of primary basaltic magmas differentiating in storage reservoirs located at the base of the continental crust. The first series are equilibrium crystallization experiments on a single basaltic bulk composition; the second series are fractionation experiments where near-perfect fractional crystallization was approached in a stepwise manner using 30°C temperature steps and starting compositions corresponding to the liquid composition of the previous, higher-temperature glass composition. Liquids in the fractional crystallization experiments evolve with progressive SiO2 increase from basalts to dacites, whereas the liquids in the equilibrium crystallization experiments remain basaltic and display only a moderate SiO2 increase accompanied by more pronounced Al2O 3 enrichment. The principal phase equilibria controls responsible for these contrasting trends are suppression of the peritectic olivine + liquid = opx reaction and earlier plagioclase saturation in the fractionation experiments compared with the equilibrium experiments. Both crystalIization processes lead to the formation of large volumes of ultramafic cumulates related to the suppression of plagioclase crystallization relative to pyroxenes at high pressures. This is in contrast to low-pressure fractionation of tholeiitic liquids, where early plagioclase saturation leads to the production of troctolites followed by (olivine-) gabbros at an early stage of differentiation. © Oxford University Press 2004; all rights reserved.","author":[{"dropping-particle":"","family":"Villiger","given":"Samuel","non-dropping-particle":"","parse-names":false,"suffix":""},{"dropping-particle":"","family":"Ulmer","given":"Peter","non-dropping-particle":"","parse-names":false,"suffix":""},{"dropping-particle":"","family":"Müntener","given":"Othmar","non-dropping-particle":"","parse-names":false,"suffix":""},{"dropping-particle":"","family":"Thompson","given":"Alan Bruce","non-dropping-particle":"","parse-names":false,"suffix":""}],"container-title":"Journal of Petrology","id":"ITEM-2","issue":"12","issued":{"date-parts":[["2004"]]},"page":"2369-2388","title":"The liquid line of descent of anhydrous, mantle-derived, tholeiitic liquids by fractional and equilibrium crystallization - An experimental study at 1·0 GPa","type":"article-journal","volume":"45"},"uris":["http://www.mendeley.com/documents/?uuid=f3d08ab4-0eb5-459c-a58f-f2e79d8c3527"]}],"mendeley":{"formattedCitation":"(Grove &amp; Bryan, 1983; Villiger et al., 2004)","manualFormatting":"(e.g., Grove &amp; Bryan, 1983; Villiger et al., 2004)","plainTextFormattedCitation":"(Grove &amp; Bryan, 1983; Villiger et al., 2004)","previouslyFormattedCitation":"(Grove &amp; Bryan, 1983; Villiger et al., 2004)"},"properties":{"noteIndex":0},"schema":"https://github.com/citation-style-language/schema/raw/master/csl-citation.json"}</w:instrText>
      </w:r>
      <w:r>
        <w:fldChar w:fldCharType="separate"/>
      </w:r>
      <w:r w:rsidRPr="4DF8874B">
        <w:rPr>
          <w:noProof/>
        </w:rPr>
        <w:t>(e.g., Grove &amp; Bryan, 1983; Villiger et al., 2004)</w:t>
      </w:r>
      <w:r>
        <w:fldChar w:fldCharType="end"/>
      </w:r>
      <w:r>
        <w:t xml:space="preserve">, and between the REE-based temperatures obtained from the peridotites and gabbros (Table </w:t>
      </w:r>
      <w:r w:rsidR="009B3070">
        <w:t>1.</w:t>
      </w:r>
      <w:r>
        <w:t xml:space="preserve">2). Figure </w:t>
      </w:r>
      <w:r w:rsidR="009B3070">
        <w:t>1.</w:t>
      </w:r>
      <w:r>
        <w:t xml:space="preserve">9 shows average cooling rates calculated using Equation 2 through temperature intervals relevant to the thermometers applied in this study. In the Gabbro Glacier scenario (Figure </w:t>
      </w:r>
      <w:r w:rsidR="009B3070">
        <w:t>1.</w:t>
      </w:r>
      <w:r>
        <w:t xml:space="preserve">9a) and the Sheeted Sills scenario (Figure </w:t>
      </w:r>
      <w:r w:rsidR="009B3070">
        <w:t>1.</w:t>
      </w:r>
      <w:r>
        <w:t xml:space="preserve">9b), the lithosphere starts with a uniform initial temperature at all depths but the conductive cooling regime underlying the hydrothermal section of the lithosphere is shallower or deeper depending on the vertical extent of hydrothermal cooling due to sea-water circulation. In a Gabbro Glacier scenario, the extrusive section of the crust is hydrothermally cooled, and the gabbroic section of the crust and underlying peridotites cool conductively (Figure </w:t>
      </w:r>
      <w:r w:rsidR="009B3070">
        <w:t>1.</w:t>
      </w:r>
      <w:r>
        <w:t>9a). In a Sheeted Sills scenario, the peridotites underlying the crustal section are conductively cooled, and the entire overlying crustal section is hydrothermally cooled.</w:t>
      </w:r>
    </w:p>
    <w:p w14:paraId="7F2D4964" w14:textId="79A02F18" w:rsidR="00C343DA" w:rsidRDefault="00C343DA" w:rsidP="001E0B34">
      <w:pPr>
        <w:pStyle w:val="BodyTextFirstIndent"/>
        <w:spacing w:line="360" w:lineRule="auto"/>
      </w:pPr>
      <w:r>
        <w:t xml:space="preserve">A Gabbro Glacier scenario would produce a dramatic decrease in cooling rate with depth starting immediately beneath the extrusive section. A Sheeted Sills scenario produces the same rates at greater depth, with cooling above the Moho dominated by convection (Figure </w:t>
      </w:r>
      <w:r w:rsidR="009B3070">
        <w:t>1.</w:t>
      </w:r>
      <w:r>
        <w:t xml:space="preserve">9b). For reference, Figure </w:t>
      </w:r>
      <w:r w:rsidR="009B3070">
        <w:t>1.</w:t>
      </w:r>
      <w:r>
        <w:t>9b also shows a convective cooling model for the entire crust assuming a reference permeability of 2x10</w:t>
      </w:r>
      <w:r w:rsidRPr="70EE836C">
        <w:rPr>
          <w:vertAlign w:val="superscript"/>
        </w:rPr>
        <w:t>-14</w:t>
      </w:r>
      <w:r>
        <w:t xml:space="preserve"> </w:t>
      </w:r>
      <w:r>
        <w:fldChar w:fldCharType="begin" w:fldLock="1"/>
      </w:r>
      <w:r>
        <w:instrText>ADDIN CSL_CITATION {"citationItems":[{"id":"ITEM-1","itemData":{"DOI":"10.1029/2001GC000215","ISSN":"15252027","abstract":"There are two competing models for lower crustal accretion at fast spreading ridges. In the gabbro glacier model, all the lower crust solidifies in a magma lens at the dike/gabbro boundary and then flows to its final level. In the sheeted sill model, the lower crust is formed by sills emplaced at a variety of depths. We present a steady state numerical representation of the sill model that explicitly includes hydrothermal circulation. The crust is accreted uniformly at the ridge axis at all depths and hydrothermal circulation occurs in crustal rocks that have cooled below a threshold temperature. The results show that when the permeability exceeds a threshold value (̃4 × 10 -14 m2 for a cracking temperature of 800°C and a uniform permeability), hydrothermal circulation can cool the entire crust near the ridge axis, producing vertical isotherms in the lower crust. At lower permeabilities, the properties of seawater lead to bimodal cooling with the lowermost crust cooling more slowly than shallower depths. These results are reasonably consistent with studies of the seismic structure of the East Pacific Rise and of plagioclase crystal size distributions in gabbros from Oman. We infer that the sheeted sill model cannot be discarded on thermal grounds. © 2003 by the American Geophysical Union.","author":[{"dropping-particle":"","family":"Cherkaoui","given":"Abdellah S.M.","non-dropping-particle":"","parse-names":false,"suffix":""},{"dropping-particle":"","family":"Wilcock","given":"William S.D.","non-dropping-particle":"","parse-names":false,"suffix":""},{"dropping-particle":"","family":"Dunn","given":"Robert A.","non-dropping-particle":"","parse-names":false,"suffix":""},{"dropping-particle":"","family":"Toomey","given":"Douglas R.","non-dropping-particle":"","parse-names":false,"suffix":""}],"container-title":"Geochemistry, Geophysics, Geosystems","id":"ITEM-1","issue":"9","issued":{"date-parts":[["2003"]]},"title":"A numerical model of hydrothermal cooling and crustal accretion at a fast spreading mid-ocean ridge","type":"article-journal","volume":"4"},"uris":["http://www.mendeley.com/documents/?uuid=c52478e4-dcee-4ae9-b480-2449077d5a81"]}],"mendeley":{"formattedCitation":"(Cherkaoui et al., 2003)","plainTextFormattedCitation":"(Cherkaoui et al., 2003)","previouslyFormattedCitation":"(Cherkaoui et al., 2003)"},"properties":{"noteIndex":0},"schema":"https://github.com/citation-style-language/schema/raw/master/csl-citation.json"}</w:instrText>
      </w:r>
      <w:r>
        <w:fldChar w:fldCharType="separate"/>
      </w:r>
      <w:r w:rsidRPr="70EE836C">
        <w:rPr>
          <w:noProof/>
        </w:rPr>
        <w:t>(Cherkaoui et al., 2003)</w:t>
      </w:r>
      <w:r>
        <w:fldChar w:fldCharType="end"/>
      </w:r>
      <w:r>
        <w:t xml:space="preserve">; higher permeabilities would produce faster cooling rates in the crustal section. Conductive-hydrothermal hybrid models from </w:t>
      </w:r>
      <w:r>
        <w:fldChar w:fldCharType="begin" w:fldLock="1"/>
      </w:r>
      <w:r>
        <w:instrText xml:space="preserve">ADDIN CSL_CITATION {"citationItems":[{"id":"ITEM-1","itemData":{"DOI":"10.1130/G21207.1","ISSN":"00917613","abstract":"Thermal models of mid-ocean ridges that balance the influx of heat from magmatic sources with the removal of heat by conduction and hydrothermal circulation allow quantification of cooling of young oceanic crust. These models reproduce key observations relating to crustal accretion and hydrothermal cooling at fast-spreading ridges. The rate of cooling is constrained both by the bathymetry of ridge axes and by olivine compositions from ophiolite gabbros. Successful models involve extensive hydrothermal cooling of the lower crust within 20 km of the ridge, with </w:instrText>
      </w:r>
      <w:r>
        <w:rPr>
          <w:rFonts w:ascii="Cambria Math" w:hAnsi="Cambria Math" w:cs="Cambria Math"/>
        </w:rPr>
        <w:instrText>∼</w:instrText>
      </w:r>
      <w:r>
        <w:instrText>50-70 kW of hydrothermal cooling for every 1 m of ridge axis at crustal ages of &lt;0.1-0.4 Ma. These estimates can be used to refine global models of geochemical and thermal fluxes close to spreading ridges. © 2005 Geological Society of America.","author":[{"dropping-particle":"","family":"Maclennan","given":"John","non-dropping-particle":"","parse-names":false,"suffix":""},{"dropping-particle":"","family":"Hulme","given":"Tom","non-dropping-particle":"","parse-names":false,"suffix":""},{"dropping-particle":"","family":"Singh","given":"Satish C.","non-dropping-particle":"","parse-names":false,"suffix":""}],"container-title":"Geology","id":"ITEM-1","issue":"5","issued":{"date-parts":[["2005"]]},"page":"357-360","title":"Cooling of the lower oceanic crust","type":"article-journal","volume":"33"},"uris":["http://www.mendeley.com/documents/?uuid=aa8ec40b-3c52-44df-8559-d92119e5403c"]}],"mendeley":{"formattedCitation":"(John Maclennan et al., 2005)","manualFormatting":"Maclennan et al., (2005)","plainTextFormattedCitation":"(John Maclennan et al., 2005)","previouslyFormattedCitation":"(John Maclennan et al., 2005)"},"properties":{"noteIndex":0},"schema":"https://github.com/citation-style-language/schema/raw/master/csl-citation.json"}</w:instrText>
      </w:r>
      <w:r>
        <w:fldChar w:fldCharType="separate"/>
      </w:r>
      <w:r w:rsidRPr="00E6118B">
        <w:rPr>
          <w:noProof/>
        </w:rPr>
        <w:t xml:space="preserve">Maclennan et al., </w:t>
      </w:r>
      <w:r>
        <w:rPr>
          <w:noProof/>
        </w:rPr>
        <w:t>(</w:t>
      </w:r>
      <w:r w:rsidRPr="00E6118B">
        <w:rPr>
          <w:noProof/>
        </w:rPr>
        <w:t>2005)</w:t>
      </w:r>
      <w:r>
        <w:fldChar w:fldCharType="end"/>
      </w:r>
      <w:r>
        <w:t xml:space="preserve"> , based on the model formulation of </w:t>
      </w:r>
      <w:r>
        <w:fldChar w:fldCharType="begin" w:fldLock="1"/>
      </w:r>
      <w:r>
        <w:instrText>ADDIN CSL_CITATION {"citationItems":[{"id":"ITEM-1","itemData":{"DOI":"10.1029/2003GC000605","ISBN":"1525-2027","ISSN":"15252027","abstract":"Models of oceanic crustal accretion should be able to reproduce both petrological and geological observations from ophiolites and geophysical observations from active spreading ridges. We have developed thermal models of crustal accretion at fast spreading ridges that incorporate petrological variation and allow for a variable vertical distribution of crystallization. Including petrological variation has a major effect on the distribution of melt within the crust and the consequent interpretation of model results in terms of geophysical observables. In particular, the narrow melt lens imaged by seismic reflection surveys can be produced by the presence of large-scale compositional stratification within the crust, such as that observed in the Oman ophiolite. Controlling the vertical distribution of crystallization allows a range of crustal accretion mechanisms to be tested, including the many sills and gabbro glacier models. Both gabbro glacier and many sills models can broadly match the geophysical observations, but the preferred model is a hybrid, where the uppermost 25% or more of the lower crust forms in a gabbro glacier and the lowermost 25% or more of the lower crust forms by crystallization in situ. The success of all models is dependent on the strength and distribution of hydrothermal cooling.","author":[{"dropping-particle":"","family":"Maclennan","given":"J.","non-dropping-particle":"","parse-names":false,"suffix":""},{"dropping-particle":"","family":"Hulme","given":"T.","non-dropping-particle":"","parse-names":false,"suffix":""},{"dropping-particle":"","family":"Singh","given":"S. C.","non-dropping-particle":"","parse-names":false,"suffix":""}],"container-title":"Geochemistry, Geophysics, Geosystems","id":"ITEM-1","issue":"2","issued":{"date-parts":[["2004"]]},"title":"Thermal models of oceanic crustal accretion: Linking geophysical, geological and petrological observations","type":"article-journal","volume":"5"},"uris":["http://www.mendeley.com/documents/?uuid=e8a6ea03-605c-48c0-8208-010ad6e9b16b"]}],"mendeley":{"formattedCitation":"(J. Maclennan et al., 2004)","manualFormatting":" Maclennan et al., (2004)","plainTextFormattedCitation":"(J. Maclennan et al., 2004)","previouslyFormattedCitation":"(J. Maclennan et al., 2004)"},"properties":{"noteIndex":0},"schema":"https://github.com/citation-style-language/schema/raw/master/csl-citation.json"}</w:instrText>
      </w:r>
      <w:r>
        <w:fldChar w:fldCharType="separate"/>
      </w:r>
      <w:r w:rsidRPr="009F4820">
        <w:rPr>
          <w:noProof/>
        </w:rPr>
        <w:t xml:space="preserve"> Maclennan et al., </w:t>
      </w:r>
      <w:r>
        <w:rPr>
          <w:noProof/>
        </w:rPr>
        <w:t>(</w:t>
      </w:r>
      <w:r w:rsidRPr="009F4820">
        <w:rPr>
          <w:noProof/>
        </w:rPr>
        <w:t>2004)</w:t>
      </w:r>
      <w:r>
        <w:fldChar w:fldCharType="end"/>
      </w:r>
      <w:r>
        <w:t xml:space="preserve">, are also shown in Figure </w:t>
      </w:r>
      <w:r w:rsidR="009B3070">
        <w:t>1.</w:t>
      </w:r>
      <w:r>
        <w:t xml:space="preserve">9b, </w:t>
      </w:r>
      <w:r>
        <w:lastRenderedPageBreak/>
        <w:t xml:space="preserve">and in Figure </w:t>
      </w:r>
      <w:r w:rsidR="009B3070">
        <w:t>1.</w:t>
      </w:r>
      <w:r>
        <w:t xml:space="preserve">9a, their model assuming conductive cooling for a lower thermal diffusivity and thinner extrusive crust than our model is shown. </w:t>
      </w:r>
    </w:p>
    <w:p w14:paraId="02A36183" w14:textId="4730A16F" w:rsidR="00C343DA" w:rsidRPr="00263ABB" w:rsidRDefault="00C343DA" w:rsidP="00263ABB">
      <w:pPr>
        <w:spacing w:line="360" w:lineRule="auto"/>
        <w:ind w:firstLine="360"/>
      </w:pPr>
      <w:r>
        <w:t xml:space="preserve">At a given depth, the measured </w:t>
      </w:r>
      <w:proofErr w:type="spellStart"/>
      <w:r>
        <w:t>peridotitic</w:t>
      </w:r>
      <w:proofErr w:type="spellEnd"/>
      <w:r>
        <w:t xml:space="preserve"> and gabbroic cooling rates are much faster than the predicted cooling rates in the Gabbro Glacier scenario while in a Sheeted Sills scenario, the predicted cooling rates agree with rates from the geochemical data obtained in this study (0.02 - 2.6 °C/y), for temperature intervals relevant to the thermometers. We note these rates are consistent among three independent </w:t>
      </w:r>
      <w:proofErr w:type="spellStart"/>
      <w:r>
        <w:t>geospeedometric</w:t>
      </w:r>
      <w:proofErr w:type="spellEnd"/>
      <w:r>
        <w:t xml:space="preserve"> methods based on five independent thermometers. We conclude that the new </w:t>
      </w:r>
      <w:proofErr w:type="spellStart"/>
      <w:r>
        <w:t>geospeedometric</w:t>
      </w:r>
      <w:proofErr w:type="spellEnd"/>
      <w:r>
        <w:t xml:space="preserve"> results are inconsistent with a Gabbro Glacier-type scenario, and instead support hydrothermal cooling of the entire crustal section beneath the ridge axis for rocks recovered at Hess Deep and Wadi </w:t>
      </w:r>
      <w:proofErr w:type="spellStart"/>
      <w:r>
        <w:t>Zeeb</w:t>
      </w:r>
      <w:proofErr w:type="spellEnd"/>
      <w:r>
        <w:t xml:space="preserve">, Oman, consistent with a Sheeted Sills scenario for accretion of oceanic crust. The ~1 order of magnitude discrepancy between models of </w:t>
      </w:r>
      <w:proofErr w:type="spellStart"/>
      <w:r>
        <w:t>Maclennan</w:t>
      </w:r>
      <w:proofErr w:type="spellEnd"/>
      <w:r>
        <w:t xml:space="preserve"> et al. (2005) and our results suggests that hydrothermal cooling efficiency exceeded ~80 kW/m throughout the crust at Hess Deep and Wadi </w:t>
      </w:r>
      <w:proofErr w:type="spellStart"/>
      <w:r>
        <w:t>Zeeb</w:t>
      </w:r>
      <w:proofErr w:type="spellEnd"/>
      <w:r>
        <w:t>.</w:t>
      </w:r>
    </w:p>
    <w:p w14:paraId="06429EAE" w14:textId="3CCFD2C9" w:rsidR="00C343DA" w:rsidRPr="00837FC3" w:rsidRDefault="00F55061" w:rsidP="00056273">
      <w:pPr>
        <w:pStyle w:val="Heading3"/>
        <w:spacing w:line="360" w:lineRule="auto"/>
      </w:pPr>
      <w:bookmarkStart w:id="50" w:name="_Toc109036134"/>
      <w:r>
        <w:t xml:space="preserve">5.4 </w:t>
      </w:r>
      <w:r w:rsidR="00C343DA" w:rsidRPr="6F96FD7C">
        <w:t xml:space="preserve">Comparison with previous </w:t>
      </w:r>
      <w:r w:rsidR="00C343DA">
        <w:t>thermometric investigations</w:t>
      </w:r>
      <w:bookmarkEnd w:id="50"/>
    </w:p>
    <w:p w14:paraId="702A83D8" w14:textId="62A3FA73" w:rsidR="00C343DA" w:rsidRDefault="00C343DA" w:rsidP="001E0B34">
      <w:pPr>
        <w:pStyle w:val="BodyTextFirstIndent"/>
        <w:spacing w:line="360" w:lineRule="auto"/>
      </w:pPr>
      <w:r>
        <w:t xml:space="preserve">Our new cooling rates were calculated using methods that rely on closure temperatures determined from averaged mineral compositions (Dodson, 1973; Dygert and Liang, 2015; Sun and </w:t>
      </w:r>
      <w:proofErr w:type="spellStart"/>
      <w:r>
        <w:t>Lissenberg</w:t>
      </w:r>
      <w:proofErr w:type="spellEnd"/>
      <w:r>
        <w:t xml:space="preserve">, 2018a). Several authors took an alternative approach and applied diffusion models to geochemical profiles obtained from grain-scale electron microprobe traverses, to invert rates from spatial variations (or lack thereof) in concentration (e.g., Coogan et al., 2002; Coogan et al., 2007; </w:t>
      </w:r>
      <w:proofErr w:type="spellStart"/>
      <w:r>
        <w:t>Faak</w:t>
      </w:r>
      <w:proofErr w:type="spellEnd"/>
      <w:r>
        <w:t xml:space="preserve"> and Gillis, 2016; Mock et al., 2021). To facilitate direct comparison with our new results, we recalculated Ca-in-olivine rates using data from Coogan et al., 2002, Coogan et al., 2007, and </w:t>
      </w:r>
      <w:proofErr w:type="spellStart"/>
      <w:r>
        <w:t>Faak</w:t>
      </w:r>
      <w:proofErr w:type="spellEnd"/>
      <w:r>
        <w:t xml:space="preserve"> and Gillis, 2016, using the average-based methods we employed to evaluate our own data. Redetermining rates from Mg-in-plagioclase data was not possible, as the mineral average-based Sun and </w:t>
      </w:r>
      <w:proofErr w:type="spellStart"/>
      <w:r>
        <w:t>Lissenberg</w:t>
      </w:r>
      <w:proofErr w:type="spellEnd"/>
      <w:r>
        <w:t xml:space="preserve">, 2018a speedometer takes mineral modes and grain size information into consideration, and requires knowledge of coexisting clinopyroxene composition, information that was not reported in the studies of </w:t>
      </w:r>
      <w:proofErr w:type="spellStart"/>
      <w:r>
        <w:t>Faak</w:t>
      </w:r>
      <w:proofErr w:type="spellEnd"/>
      <w:r>
        <w:t xml:space="preserve"> et al., 2015 or </w:t>
      </w:r>
      <w:proofErr w:type="spellStart"/>
      <w:r>
        <w:t>Faak</w:t>
      </w:r>
      <w:proofErr w:type="spellEnd"/>
      <w:r>
        <w:t xml:space="preserve"> and Gillis, 2016. The recalculated Ca-in-olivine rates are </w:t>
      </w:r>
      <w:proofErr w:type="gramStart"/>
      <w:r>
        <w:lastRenderedPageBreak/>
        <w:t>similar to</w:t>
      </w:r>
      <w:proofErr w:type="gramEnd"/>
      <w:r>
        <w:t xml:space="preserve">, but in some cases, faster than the rates determined in the data sources (Figure </w:t>
      </w:r>
      <w:r w:rsidR="009B3070">
        <w:t>1.1</w:t>
      </w:r>
      <w:r>
        <w:t>3</w:t>
      </w:r>
      <w:r w:rsidR="009B3070">
        <w:t xml:space="preserve"> in Appendix 1</w:t>
      </w:r>
      <w:r>
        <w:t xml:space="preserve">), on average, 1.4 and 1.6 log units faster than the published rates (for the data of Coogan et al., 2002, and </w:t>
      </w:r>
      <w:proofErr w:type="spellStart"/>
      <w:r>
        <w:t>Faak</w:t>
      </w:r>
      <w:proofErr w:type="spellEnd"/>
      <w:r>
        <w:t xml:space="preserve"> &amp; Gillis, 2016, respectively). </w:t>
      </w:r>
    </w:p>
    <w:p w14:paraId="5E5F4E9A" w14:textId="62ECBDB3" w:rsidR="0009520B" w:rsidRDefault="00C343DA" w:rsidP="00EB54E6">
      <w:pPr>
        <w:spacing w:line="360" w:lineRule="auto"/>
        <w:ind w:firstLine="360"/>
      </w:pPr>
      <w:r>
        <w:t xml:space="preserve">The recalculated Ca-in-olivine rates, our new results, and previously published cooling rates from mid-ocean ridge type spreading centers (Dygert et al., 2017; Sun and </w:t>
      </w:r>
      <w:proofErr w:type="spellStart"/>
      <w:r>
        <w:t>Lissenberg</w:t>
      </w:r>
      <w:proofErr w:type="spellEnd"/>
      <w:r>
        <w:t xml:space="preserve">, 2018a; </w:t>
      </w:r>
      <w:proofErr w:type="spellStart"/>
      <w:r>
        <w:t>VanTongeren</w:t>
      </w:r>
      <w:proofErr w:type="spellEnd"/>
      <w:r>
        <w:t xml:space="preserve"> et al., 2008) are compared in Figure </w:t>
      </w:r>
      <w:r w:rsidR="009B3070">
        <w:t>1.</w:t>
      </w:r>
      <w:r>
        <w:t>10 (data from mid-ocean ridge spreading centers, or ophiolites with mid-ocean ridge tectonic affinity only). Samples from spreading centers with typical 6 km thick crust are shown in (a) (</w:t>
      </w:r>
      <w:proofErr w:type="spellStart"/>
      <w:r>
        <w:t>OmanDP</w:t>
      </w:r>
      <w:proofErr w:type="spellEnd"/>
      <w:r>
        <w:t xml:space="preserve"> crust and mantle, Wadi </w:t>
      </w:r>
      <w:proofErr w:type="spellStart"/>
      <w:r>
        <w:t>Tayin</w:t>
      </w:r>
      <w:proofErr w:type="spellEnd"/>
      <w:r>
        <w:t xml:space="preserve">, </w:t>
      </w:r>
      <w:proofErr w:type="spellStart"/>
      <w:r>
        <w:t>Samail</w:t>
      </w:r>
      <w:proofErr w:type="spellEnd"/>
      <w:r>
        <w:t xml:space="preserve"> ophiolite crust and mantle sections,</w:t>
      </w:r>
      <w:r w:rsidRPr="0022708E">
        <w:t xml:space="preserve"> </w:t>
      </w:r>
      <w:r>
        <w:t xml:space="preserve">and Hess Deep crust and mantle, Dygert et al., 2017; </w:t>
      </w:r>
      <w:proofErr w:type="spellStart"/>
      <w:r>
        <w:t>Faak</w:t>
      </w:r>
      <w:proofErr w:type="spellEnd"/>
      <w:r>
        <w:t xml:space="preserve"> and Gillis, 2016; Sun and </w:t>
      </w:r>
      <w:proofErr w:type="spellStart"/>
      <w:r>
        <w:t>Lissenberg</w:t>
      </w:r>
      <w:proofErr w:type="spellEnd"/>
      <w:r>
        <w:t xml:space="preserve">, 2018a; </w:t>
      </w:r>
      <w:proofErr w:type="spellStart"/>
      <w:r>
        <w:t>VanTongeren</w:t>
      </w:r>
      <w:proofErr w:type="spellEnd"/>
      <w:r>
        <w:t xml:space="preserve"> et al., 2008), samples from localities with thinner crustal sections are shown in (b) (Wadi Abyad, </w:t>
      </w:r>
      <w:proofErr w:type="spellStart"/>
      <w:r>
        <w:t>Samail</w:t>
      </w:r>
      <w:proofErr w:type="spellEnd"/>
      <w:r>
        <w:t xml:space="preserve"> ophiolite and the Atlantis Bank of the Southwest Indian Ridge (SWIR), Coogan et al., 2002; Coogan et al., 2007). Also shown are conductive and hydrothermal cooling models described in Section 5.3, in a Sheeted Sills scenario in (a) and a Gabbro Glacier scenario in (b) (the corresponding alternative cooling profiles are shown in gray in both panels).</w:t>
      </w:r>
    </w:p>
    <w:p w14:paraId="09E2BECE" w14:textId="5375A0BB" w:rsidR="0009520B" w:rsidRDefault="0009520B" w:rsidP="001E0B34">
      <w:pPr>
        <w:pStyle w:val="BodyTextFirstIndent"/>
        <w:spacing w:line="360" w:lineRule="auto"/>
      </w:pPr>
      <w:r>
        <w:t xml:space="preserve">Cooling rates from the three localities represented in (a) are fast and uniform with depth in the crustal section and across the transition zone, and at Wadi </w:t>
      </w:r>
      <w:proofErr w:type="spellStart"/>
      <w:r>
        <w:t>Tayin</w:t>
      </w:r>
      <w:proofErr w:type="spellEnd"/>
      <w:r>
        <w:t xml:space="preserve">, systematically decrease with depth moving into the mantle section, consistent with hydrothermal cooling of the crust and conductive cooling of the mantle, as in a Sheeted Sills scenario. A similar systematic decrease in cooling rate with increasing depth beneath the paleo-Moho was also observed by </w:t>
      </w:r>
      <w:proofErr w:type="spellStart"/>
      <w:r>
        <w:t>Canil</w:t>
      </w:r>
      <w:proofErr w:type="spellEnd"/>
      <w:r>
        <w:t xml:space="preserve"> et al., 2019, at an ophiolite with probable supra-subduction zone tectonic affinity. </w:t>
      </w:r>
    </w:p>
    <w:p w14:paraId="50907651" w14:textId="77777777" w:rsidR="003748C4" w:rsidRDefault="0009520B" w:rsidP="001E0B34">
      <w:pPr>
        <w:pStyle w:val="BodyTextFirstIndent"/>
        <w:spacing w:line="360" w:lineRule="auto"/>
      </w:pPr>
      <w:r>
        <w:t xml:space="preserve">We note that a systematic decrease in cooling rate in Hess Deep and </w:t>
      </w:r>
      <w:proofErr w:type="spellStart"/>
      <w:r>
        <w:t>Pito</w:t>
      </w:r>
      <w:proofErr w:type="spellEnd"/>
      <w:r>
        <w:t xml:space="preserve"> Deep </w:t>
      </w:r>
      <w:proofErr w:type="spellStart"/>
      <w:r>
        <w:t>gabbros</w:t>
      </w:r>
      <w:proofErr w:type="spellEnd"/>
      <w:r>
        <w:t xml:space="preserve"> directly beneath the dike-gabbro transition (i.e., in rocks formed in an axial magma lens, Figure </w:t>
      </w:r>
      <w:r w:rsidR="009B3070">
        <w:t>1.</w:t>
      </w:r>
      <w:r>
        <w:t xml:space="preserve">1) was observed by </w:t>
      </w:r>
      <w:proofErr w:type="spellStart"/>
      <w:r>
        <w:t>Faak</w:t>
      </w:r>
      <w:proofErr w:type="spellEnd"/>
      <w:r>
        <w:t xml:space="preserve"> et al. (2015) according to application of Mg-in-plagioclase </w:t>
      </w:r>
      <w:proofErr w:type="spellStart"/>
      <w:r>
        <w:t>speedometry</w:t>
      </w:r>
      <w:proofErr w:type="spellEnd"/>
      <w:r>
        <w:t xml:space="preserve"> (</w:t>
      </w:r>
      <w:proofErr w:type="spellStart"/>
      <w:r>
        <w:t>Faak</w:t>
      </w:r>
      <w:proofErr w:type="spellEnd"/>
      <w:r>
        <w:t xml:space="preserve"> et al., 2014). For reasons mentioned previously we could not recalculate the cooling rates using the Sun and </w:t>
      </w:r>
      <w:proofErr w:type="spellStart"/>
      <w:r>
        <w:t>Lissenberg</w:t>
      </w:r>
      <w:proofErr w:type="spellEnd"/>
      <w:r>
        <w:t xml:space="preserve"> (2018a) speedometer. The gradient in cooling rate observed by </w:t>
      </w:r>
      <w:proofErr w:type="spellStart"/>
      <w:r>
        <w:t>Faak</w:t>
      </w:r>
      <w:proofErr w:type="spellEnd"/>
      <w:r>
        <w:t xml:space="preserve"> et al. (2015) may reflect conductive cooling of the axial magma lens immediately beneath the dikes, while the </w:t>
      </w:r>
    </w:p>
    <w:p w14:paraId="572F8A97" w14:textId="66C9D8D9" w:rsidR="003748C4" w:rsidRDefault="003748C4" w:rsidP="003748C4">
      <w:pPr>
        <w:keepNext/>
        <w:jc w:val="center"/>
      </w:pPr>
    </w:p>
    <w:p w14:paraId="55E4B7AB" w14:textId="1B1A1C12" w:rsidR="003748C4" w:rsidRPr="0009520B" w:rsidRDefault="003748C4" w:rsidP="003748C4">
      <w:pPr>
        <w:pStyle w:val="Caption"/>
        <w:rPr>
          <w:b w:val="0"/>
          <w:bCs w:val="0"/>
          <w:sz w:val="20"/>
          <w:szCs w:val="20"/>
        </w:rPr>
      </w:pPr>
      <w:bookmarkStart w:id="51" w:name="_Toc109738672"/>
      <w:r>
        <w:rPr>
          <w:noProof/>
        </w:rPr>
        <w:drawing>
          <wp:anchor distT="0" distB="0" distL="114300" distR="114300" simplePos="0" relativeHeight="251663360" behindDoc="0" locked="0" layoutInCell="1" allowOverlap="1" wp14:anchorId="4266FBC7" wp14:editId="01F44408">
            <wp:simplePos x="0" y="0"/>
            <wp:positionH relativeFrom="column">
              <wp:posOffset>0</wp:posOffset>
            </wp:positionH>
            <wp:positionV relativeFrom="paragraph">
              <wp:posOffset>-175260</wp:posOffset>
            </wp:positionV>
            <wp:extent cx="5942965" cy="3093085"/>
            <wp:effectExtent l="0" t="0" r="0" b="0"/>
            <wp:wrapTopAndBottom/>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2965" cy="3093085"/>
                    </a:xfrm>
                    <a:prstGeom prst="rect">
                      <a:avLst/>
                    </a:prstGeom>
                  </pic:spPr>
                </pic:pic>
              </a:graphicData>
            </a:graphic>
          </wp:anchor>
        </w:drawing>
      </w:r>
      <w:r w:rsidRPr="0009520B">
        <w:rPr>
          <w:b w:val="0"/>
          <w:bCs w:val="0"/>
          <w:sz w:val="20"/>
          <w:szCs w:val="20"/>
        </w:rPr>
        <w:t xml:space="preserve">Figure </w:t>
      </w:r>
      <w:r>
        <w:rPr>
          <w:b w:val="0"/>
          <w:bCs w:val="0"/>
          <w:sz w:val="20"/>
          <w:szCs w:val="20"/>
        </w:rPr>
        <w:t>1.</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10</w:t>
      </w:r>
      <w:r>
        <w:rPr>
          <w:b w:val="0"/>
          <w:bCs w:val="0"/>
          <w:sz w:val="20"/>
          <w:szCs w:val="20"/>
        </w:rPr>
        <w:fldChar w:fldCharType="end"/>
      </w:r>
      <w:r w:rsidRPr="0009520B">
        <w:rPr>
          <w:b w:val="0"/>
          <w:bCs w:val="0"/>
          <w:sz w:val="20"/>
          <w:szCs w:val="20"/>
        </w:rPr>
        <w:t xml:space="preserve">.  Cooling rates from this study (Hess Deep, diamonds, </w:t>
      </w:r>
      <w:proofErr w:type="spellStart"/>
      <w:r w:rsidRPr="0009520B">
        <w:rPr>
          <w:b w:val="0"/>
          <w:bCs w:val="0"/>
          <w:sz w:val="20"/>
          <w:szCs w:val="20"/>
        </w:rPr>
        <w:t>OmanDP</w:t>
      </w:r>
      <w:proofErr w:type="spellEnd"/>
      <w:r w:rsidRPr="0009520B">
        <w:rPr>
          <w:b w:val="0"/>
          <w:bCs w:val="0"/>
          <w:sz w:val="20"/>
          <w:szCs w:val="20"/>
        </w:rPr>
        <w:t xml:space="preserve">, squares) compared to rates gathered from the literature that were calculated using the methods we employed (Dygert et al., 2017; Sun and </w:t>
      </w:r>
      <w:proofErr w:type="spellStart"/>
      <w:r w:rsidRPr="0009520B">
        <w:rPr>
          <w:b w:val="0"/>
          <w:bCs w:val="0"/>
          <w:sz w:val="20"/>
          <w:szCs w:val="20"/>
        </w:rPr>
        <w:t>Lissenberg</w:t>
      </w:r>
      <w:proofErr w:type="spellEnd"/>
      <w:r w:rsidRPr="0009520B">
        <w:rPr>
          <w:b w:val="0"/>
          <w:bCs w:val="0"/>
          <w:sz w:val="20"/>
          <w:szCs w:val="20"/>
        </w:rPr>
        <w:t xml:space="preserve">, 2018a, </w:t>
      </w:r>
      <w:proofErr w:type="spellStart"/>
      <w:r w:rsidRPr="0009520B">
        <w:rPr>
          <w:b w:val="0"/>
          <w:bCs w:val="0"/>
          <w:sz w:val="20"/>
          <w:szCs w:val="20"/>
        </w:rPr>
        <w:t>VanTongeren</w:t>
      </w:r>
      <w:proofErr w:type="spellEnd"/>
      <w:r w:rsidRPr="0009520B">
        <w:rPr>
          <w:b w:val="0"/>
          <w:bCs w:val="0"/>
          <w:sz w:val="20"/>
          <w:szCs w:val="20"/>
        </w:rPr>
        <w:t xml:space="preserve"> et al., 2008), or recalculated using those methods (Coogan et al., 2002; Coogan et al., 2007; </w:t>
      </w:r>
      <w:proofErr w:type="spellStart"/>
      <w:r w:rsidRPr="0009520B">
        <w:rPr>
          <w:b w:val="0"/>
          <w:bCs w:val="0"/>
          <w:sz w:val="20"/>
          <w:szCs w:val="20"/>
        </w:rPr>
        <w:t>Faak</w:t>
      </w:r>
      <w:proofErr w:type="spellEnd"/>
      <w:r w:rsidRPr="0009520B">
        <w:rPr>
          <w:b w:val="0"/>
          <w:bCs w:val="0"/>
          <w:sz w:val="20"/>
          <w:szCs w:val="20"/>
        </w:rPr>
        <w:t xml:space="preserve"> and Gillis, 2016) (smaller symbols), plotted against structural depth. Symbol color corresponds to </w:t>
      </w:r>
      <w:proofErr w:type="spellStart"/>
      <w:r w:rsidRPr="0009520B">
        <w:rPr>
          <w:b w:val="0"/>
          <w:bCs w:val="0"/>
          <w:sz w:val="20"/>
          <w:szCs w:val="20"/>
        </w:rPr>
        <w:t>speedometric</w:t>
      </w:r>
      <w:proofErr w:type="spellEnd"/>
      <w:r w:rsidRPr="0009520B">
        <w:rPr>
          <w:b w:val="0"/>
          <w:bCs w:val="0"/>
          <w:sz w:val="20"/>
          <w:szCs w:val="20"/>
        </w:rPr>
        <w:t xml:space="preserve"> method (see legend). Conductive cooling models are also shown (see Section 5.3 and caption to Figure </w:t>
      </w:r>
      <w:r>
        <w:rPr>
          <w:b w:val="0"/>
          <w:bCs w:val="0"/>
          <w:sz w:val="20"/>
          <w:szCs w:val="20"/>
        </w:rPr>
        <w:t>1.</w:t>
      </w:r>
      <w:r w:rsidRPr="0009520B">
        <w:rPr>
          <w:b w:val="0"/>
          <w:bCs w:val="0"/>
          <w:sz w:val="20"/>
          <w:szCs w:val="20"/>
        </w:rPr>
        <w:t xml:space="preserve">9 for details). All samples originate from oceanic spreading centers or ophiolites with mid-ocean ridge tectonic affinity. Samples from localities with “normal” 6km thick crust are shown in (a), samples with thinner crust are shown in (b). Data from </w:t>
      </w:r>
      <w:proofErr w:type="spellStart"/>
      <w:r w:rsidRPr="0009520B">
        <w:rPr>
          <w:b w:val="0"/>
          <w:bCs w:val="0"/>
          <w:sz w:val="20"/>
          <w:szCs w:val="20"/>
        </w:rPr>
        <w:t>Faak</w:t>
      </w:r>
      <w:proofErr w:type="spellEnd"/>
      <w:r w:rsidRPr="0009520B">
        <w:rPr>
          <w:b w:val="0"/>
          <w:bCs w:val="0"/>
          <w:sz w:val="20"/>
          <w:szCs w:val="20"/>
        </w:rPr>
        <w:t xml:space="preserve"> and Gillis (2016) and the Atlantis Bank (Coogan et al., 2007) are placed at an arbitrary depth in the lower crustal section. The observations support hydrothermal cooling of oceanic lower crust at Hess Deep, Wadi </w:t>
      </w:r>
      <w:proofErr w:type="spellStart"/>
      <w:r w:rsidRPr="0009520B">
        <w:rPr>
          <w:b w:val="0"/>
          <w:bCs w:val="0"/>
          <w:sz w:val="20"/>
          <w:szCs w:val="20"/>
        </w:rPr>
        <w:t>Zeeb</w:t>
      </w:r>
      <w:proofErr w:type="spellEnd"/>
      <w:r w:rsidRPr="0009520B">
        <w:rPr>
          <w:b w:val="0"/>
          <w:bCs w:val="0"/>
          <w:sz w:val="20"/>
          <w:szCs w:val="20"/>
        </w:rPr>
        <w:t xml:space="preserve"> (</w:t>
      </w:r>
      <w:proofErr w:type="spellStart"/>
      <w:r w:rsidRPr="0009520B">
        <w:rPr>
          <w:b w:val="0"/>
          <w:bCs w:val="0"/>
          <w:sz w:val="20"/>
          <w:szCs w:val="20"/>
        </w:rPr>
        <w:t>OmanDP</w:t>
      </w:r>
      <w:proofErr w:type="spellEnd"/>
      <w:r w:rsidRPr="0009520B">
        <w:rPr>
          <w:b w:val="0"/>
          <w:bCs w:val="0"/>
          <w:sz w:val="20"/>
          <w:szCs w:val="20"/>
        </w:rPr>
        <w:t xml:space="preserve">), Wadi </w:t>
      </w:r>
      <w:proofErr w:type="spellStart"/>
      <w:r w:rsidRPr="0009520B">
        <w:rPr>
          <w:b w:val="0"/>
          <w:bCs w:val="0"/>
          <w:sz w:val="20"/>
          <w:szCs w:val="20"/>
        </w:rPr>
        <w:t>Tayin</w:t>
      </w:r>
      <w:proofErr w:type="spellEnd"/>
      <w:r w:rsidRPr="0009520B">
        <w:rPr>
          <w:b w:val="0"/>
          <w:bCs w:val="0"/>
          <w:sz w:val="20"/>
          <w:szCs w:val="20"/>
        </w:rPr>
        <w:t>, and the SWIR (Atlantis Bank). Samples from Wadi Abyad (Coogan et al., 2002) support conductive cooling of the lower oceanic crust. The gray lines in the background correspond to thermal scenarios lacking convective cooling beneath the extrusive section in (a) and with convective cooling extending to the crust-mantle boundary in (b).</w:t>
      </w:r>
      <w:bookmarkEnd w:id="51"/>
    </w:p>
    <w:p w14:paraId="1F0F25AA" w14:textId="77777777" w:rsidR="003748C4" w:rsidRDefault="003748C4">
      <w:r>
        <w:br w:type="page"/>
      </w:r>
    </w:p>
    <w:p w14:paraId="5F3BEBD5" w14:textId="5117F497" w:rsidR="0009520B" w:rsidRDefault="0009520B" w:rsidP="003748C4">
      <w:pPr>
        <w:pStyle w:val="BodyTextFirstIndent"/>
        <w:spacing w:line="360" w:lineRule="auto"/>
        <w:ind w:firstLine="0"/>
      </w:pPr>
      <w:r>
        <w:lastRenderedPageBreak/>
        <w:t xml:space="preserve">underlying gabbros were cooled hydrothermally by a fracture network that drew in cold seawater from off axis (Figure </w:t>
      </w:r>
      <w:r w:rsidR="009B3070">
        <w:t>1.</w:t>
      </w:r>
      <w:r>
        <w:t xml:space="preserve">1b, also see cartoons in Garrido et al., 2001 and Sun and </w:t>
      </w:r>
      <w:proofErr w:type="spellStart"/>
      <w:r>
        <w:t>Lissenberg</w:t>
      </w:r>
      <w:proofErr w:type="spellEnd"/>
      <w:r>
        <w:t>, 2018a).</w:t>
      </w:r>
    </w:p>
    <w:p w14:paraId="7AD5DF56" w14:textId="2158B14F" w:rsidR="0009520B" w:rsidRDefault="0009520B" w:rsidP="001E0B34">
      <w:pPr>
        <w:pStyle w:val="BodyTextFirstIndent"/>
        <w:spacing w:line="360" w:lineRule="auto"/>
      </w:pPr>
      <w:r>
        <w:t xml:space="preserve">In Figure </w:t>
      </w:r>
      <w:r w:rsidR="009B3070">
        <w:t>1.</w:t>
      </w:r>
      <w:r>
        <w:t xml:space="preserve">10b, data from Wadi Abyad data are shown, which exhibit a continuous and systematic decrease in cooling rate with depth. These data are well matched by models that assume conductive cooling of the entire lower oceanic crust, as in a Gabbro Glacier scenario. The two data points from the SWIR (placed at an arbitrary depth within the lower crust) are in better agreement with hydrothermal cooling throughout the SWIR lower crustal section. </w:t>
      </w:r>
    </w:p>
    <w:p w14:paraId="7F9925BC" w14:textId="68CA4035" w:rsidR="0009520B" w:rsidRDefault="0009520B" w:rsidP="00056273">
      <w:pPr>
        <w:spacing w:line="360" w:lineRule="auto"/>
        <w:ind w:firstLine="360"/>
      </w:pPr>
      <w:r>
        <w:t xml:space="preserve">Cooling rates from four of the five localities (including our new Hess Deep and </w:t>
      </w:r>
      <w:proofErr w:type="spellStart"/>
      <w:r>
        <w:t>OmanDP</w:t>
      </w:r>
      <w:proofErr w:type="spellEnd"/>
      <w:r>
        <w:t xml:space="preserve"> data) are consistent with hydrothermal cooling of the oceanic lower crust. In contrast, the results from Wadi Abyad demonstrate that at least in some places, oceanic lower crust is cooled conductively. This observation implies that controls on hydrothermal vs. conductive cooling (and by implication, crustal accretion mechanisms) could be related to crustal thickness, melt productivity, spreading rate,</w:t>
      </w:r>
      <w:r w:rsidRPr="003C721D">
        <w:t xml:space="preserve"> </w:t>
      </w:r>
      <w:r>
        <w:t>and/or location along a ridge segment. Cooling rate constraints from other spreading centers are needed to further characterize global variability in lithospheric cooling rates, and to elucidate geologic controls on cooling mechanisms. These constraints would promote a deeper understanding of the conditions under which interactions between the oceans and Solid Earth occur, and the implications for global geochemical cycling across a major interface between the oceans and Earth’s interior.</w:t>
      </w:r>
    </w:p>
    <w:p w14:paraId="658E9518" w14:textId="7CBDD420" w:rsidR="0009520B" w:rsidRDefault="00F55061" w:rsidP="00056273">
      <w:pPr>
        <w:pStyle w:val="Heading2"/>
        <w:spacing w:line="360" w:lineRule="auto"/>
      </w:pPr>
      <w:bookmarkStart w:id="52" w:name="_Toc109036135"/>
      <w:r>
        <w:t xml:space="preserve">6. </w:t>
      </w:r>
      <w:r w:rsidR="0009520B">
        <w:t>Summary and Conclusions</w:t>
      </w:r>
      <w:bookmarkEnd w:id="52"/>
    </w:p>
    <w:p w14:paraId="4B9AE34A" w14:textId="579C46E5" w:rsidR="0009520B" w:rsidRDefault="0009520B" w:rsidP="001E0B34">
      <w:pPr>
        <w:spacing w:line="360" w:lineRule="auto"/>
        <w:ind w:firstLine="360"/>
      </w:pPr>
      <w:r w:rsidRPr="00FB2B82">
        <w:t>We analyzed three gabbros and four harzburgites from IODP Expedition 345 and ODP Leg 147 to Hess Deep, and three gabbros, one troctolite and four harzburgites from ICDP Expedition 5057, the Oman Drilling Project (</w:t>
      </w:r>
      <w:proofErr w:type="spellStart"/>
      <w:r w:rsidRPr="00FB2B82">
        <w:t>OmanDP</w:t>
      </w:r>
      <w:proofErr w:type="spellEnd"/>
      <w:r w:rsidRPr="00FB2B82">
        <w:t xml:space="preserve">), from Wadi </w:t>
      </w:r>
      <w:proofErr w:type="spellStart"/>
      <w:r w:rsidRPr="00FB2B82">
        <w:t>Zeeb</w:t>
      </w:r>
      <w:proofErr w:type="spellEnd"/>
      <w:r w:rsidRPr="00FB2B82">
        <w:t xml:space="preserve"> in the southern </w:t>
      </w:r>
      <w:proofErr w:type="spellStart"/>
      <w:r w:rsidRPr="00FB2B82">
        <w:t>Samail</w:t>
      </w:r>
      <w:proofErr w:type="spellEnd"/>
      <w:r w:rsidRPr="00FB2B82">
        <w:t xml:space="preserve"> ophiolite. After consideration of textural information and grain-scale elemental variations (which are prevalent in Hess Deep gabbros but minor or absent in other samples), we applied thermometers to the gabbros and peridotites using sample averaged compositions. Gabbros were investigated using thermometers based on exchange of REEs (</w:t>
      </w:r>
      <w:r w:rsidRPr="00FB2B82">
        <w:rPr>
          <w:i/>
        </w:rPr>
        <w:t>T</w:t>
      </w:r>
      <w:r w:rsidRPr="00FB2B82">
        <w:rPr>
          <w:i/>
          <w:vertAlign w:val="subscript"/>
        </w:rPr>
        <w:t>REE-in-</w:t>
      </w:r>
      <w:proofErr w:type="spellStart"/>
      <w:r w:rsidRPr="00FB2B82">
        <w:rPr>
          <w:i/>
          <w:vertAlign w:val="subscript"/>
        </w:rPr>
        <w:t>Cpx</w:t>
      </w:r>
      <w:proofErr w:type="spellEnd"/>
      <w:r w:rsidRPr="00FB2B82">
        <w:rPr>
          <w:i/>
          <w:vertAlign w:val="subscript"/>
        </w:rPr>
        <w:t>-</w:t>
      </w:r>
      <w:proofErr w:type="spellStart"/>
      <w:r w:rsidRPr="00FB2B82">
        <w:rPr>
          <w:i/>
          <w:vertAlign w:val="subscript"/>
        </w:rPr>
        <w:t>Plag</w:t>
      </w:r>
      <w:proofErr w:type="spellEnd"/>
      <w:r w:rsidRPr="00FB2B82">
        <w:t xml:space="preserve">, </w:t>
      </w:r>
      <w:r>
        <w:rPr>
          <w:iCs/>
        </w:rPr>
        <w:fldChar w:fldCharType="begin" w:fldLock="1"/>
      </w:r>
      <w:r>
        <w:rPr>
          <w:iCs/>
        </w:rPr>
        <w:instrText>ADDIN CSL_CITATION {"citationItems":[{"id":"ITEM-1","itemData":{"DOI":"10.1007/s00410-016-1326-9","ISBN":"0041001613","ISSN":"00107999","abstract":"differences appear between the REE-and Mg-exchange thermometers for the volcanic and cumulate rocks. Through numerical simulations of diffusion in plagioclase-clinopy-roxene systems, we demonstrate that (1) due to their slower diffusion rates, REE in minerals preferentially records crys-tallization or near-crystallization temperatures of the rock, and that (2) Mg is readily rest to lower temperatures for rocks from intermediately or slowly cooled magma bodies but records the initial crystallization temperatures of rocks from rapidly cooled magmas. Given their distinct diffusive responses to temperature changes, REE and Mg closure temperatures recorded by the two thermometers can be used in concert to study thermal and magmatic histories of plagioclase-and clinopyroxene-bearing rocks.","author":[{"dropping-particle":"","family":"Sun","given":"Chenguang","non-dropping-particle":"","parse-names":false,"suffix":""},{"dropping-particle":"","family":"Liang","given":"Yan","non-dropping-particle":"","parse-names":false,"suffix":""}],"container-title":"Contributions to Mineralogy and Petrology","id":"ITEM-1","issue":"4","issued":{"date-parts":[["2017"]]},"page":"1-20","publisher":"Springer Berlin Heidelberg","title":"A REE-in-plagioclase–clinopyroxene thermometer for crustal rocks","type":"article-journal","volume":"172"},"uris":["http://www.mendeley.com/documents/?uuid=3aed1e81-ac55-444c-aa5b-566f814d31e5"]}],"mendeley":{"formattedCitation":"(Sun &amp; Liang, 2017)","manualFormatting":"Sun &amp; Liang, 2017","plainTextFormattedCitation":"(Sun &amp; Liang, 2017)","previouslyFormattedCitation":"(Sun &amp; Liang, 2017)"},"properties":{"noteIndex":0},"schema":"https://github.com/citation-style-language/schema/raw/master/csl-citation.json"}</w:instrText>
      </w:r>
      <w:r>
        <w:rPr>
          <w:iCs/>
        </w:rPr>
        <w:fldChar w:fldCharType="separate"/>
      </w:r>
      <w:r w:rsidRPr="00653D1E">
        <w:rPr>
          <w:iCs/>
          <w:noProof/>
        </w:rPr>
        <w:t>Sun &amp; Liang, 2017</w:t>
      </w:r>
      <w:r>
        <w:rPr>
          <w:iCs/>
        </w:rPr>
        <w:fldChar w:fldCharType="end"/>
      </w:r>
      <w:r w:rsidRPr="00FB2B82">
        <w:t>) and Mg (</w:t>
      </w:r>
      <w:proofErr w:type="spellStart"/>
      <w:r w:rsidRPr="00FB2B82">
        <w:rPr>
          <w:i/>
        </w:rPr>
        <w:t>T</w:t>
      </w:r>
      <w:r w:rsidRPr="00FB2B82">
        <w:rPr>
          <w:i/>
          <w:vertAlign w:val="subscript"/>
        </w:rPr>
        <w:t>Mg</w:t>
      </w:r>
      <w:proofErr w:type="spellEnd"/>
      <w:r w:rsidRPr="00FB2B82">
        <w:rPr>
          <w:i/>
          <w:vertAlign w:val="subscript"/>
        </w:rPr>
        <w:t>-in-</w:t>
      </w:r>
      <w:proofErr w:type="spellStart"/>
      <w:r w:rsidRPr="00FB2B82">
        <w:rPr>
          <w:i/>
          <w:vertAlign w:val="subscript"/>
        </w:rPr>
        <w:t>Plag</w:t>
      </w:r>
      <w:proofErr w:type="spellEnd"/>
      <w:r w:rsidRPr="00FB2B82">
        <w:t xml:space="preserve">, </w:t>
      </w:r>
      <w:r w:rsidRPr="00AD0AFF">
        <w:fldChar w:fldCharType="begin" w:fldLock="1"/>
      </w:r>
      <w:r w:rsidRPr="00AD0AFF">
        <w:instrText>ADDIN CSL_CITATION {"citationItems":[{"id":"ITEM-1","itemData":{"DOI":"10.1016/j.epsl.2018.01.032","ISSN":"0012821X","abstract":"A new geospeedometer is developed based on the differential closures of Mg and rare earth element (REE) bulk-diffusion between coexisting plagioclase and clinopyroxene. By coupling the two elements with distinct bulk closure temperatures, this speedometer can numerically solve the initial temperatures and cooling rates for individual rock samples. As the existing Mg-exchange thermometer was calibrated for a narrow temperature range and strongly relies on model-dependent silica activities, a new thermometer is developed using literature experimental data. When the bulk closure temperatures of Mg and REE are determined, respectively, using this new Mg-exchange thermometer and the existing REE-exchange thermometer, this speedometer can be implemented for a wide range of compositions, mineral modes, and grain sizes. Applications of this new geospeedometer to oceanic gabbros from the fast-spreading East Pacific Rise at Hess Deep reveal that the lower oceanic crust crystallized at temperatures of 998–1353 °C with cooling rates of 0.003–10.2 °C/yr. Stratigraphic variations of the cooling rates and crystallization temperatures support deep hydrothermal circulations and in situ solidification of various replenished magma bodies. Together with existing petrological, geochemical and geophysical evidence, results from this new speedometry suggest that the lower crust formation at fast-spreading mid-ocean ridges involves emplacement of primary mantle melts in the deep section of the crystal mush zone coupled with efficient heat removal by crustal-scale hydrothermal circulations. The replenished melts become chemically and thermally evolved, accumulate as small magma bodies at various depths, feed the shallow axial magma chamber, and may also escape from the mush zone to generate off-axial magma lenses.","author":[{"dropping-particle":"","family":"Sun","given":"Chenguang","non-dropping-particle":"","parse-names":false,"suffix":""},{"dropping-particle":"","family":"Lissenberg","given":"C. Johan","non-dropping-particle":"","parse-names":false,"suffix":""}],"container-title":"Earth and Planetary Science Letters","id":"ITEM-1","issued":{"date-parts":[["2018","2","12"]]},"page":"165-178","publisher":"Elsevier B.V.","title":"aFormation of fast-spreading lower oceanic crust as revealed by a new Mg–REE coupled geospeedometer","type":"article-journal","volume":"487"},"uris":["http://www.mendeley.com/documents/?uuid=f486dd42-88a6-4fd7-8dea-0a2ba656c4dd"]}],"mendeley":{"formattedCitation":"(Sun &amp; Lissenberg, 2018a)","manualFormatting":"Sun &amp; Lissenberg, 2018a)","plainTextFormattedCitation":"(Sun &amp; Lissenberg, 2018a)","previouslyFormattedCitation":"(Sun &amp; Lissenberg, 2018a)"},"properties":{"noteIndex":0},"schema":"https://github.com/citation-style-language/schema/raw/master/csl-citation.json"}</w:instrText>
      </w:r>
      <w:r w:rsidRPr="00AD0AFF">
        <w:fldChar w:fldCharType="separate"/>
      </w:r>
      <w:r w:rsidRPr="00AD0AFF">
        <w:rPr>
          <w:noProof/>
        </w:rPr>
        <w:t xml:space="preserve">Sun &amp; </w:t>
      </w:r>
      <w:r w:rsidRPr="00AD0AFF">
        <w:rPr>
          <w:noProof/>
        </w:rPr>
        <w:lastRenderedPageBreak/>
        <w:t>Lissenberg, 2018a)</w:t>
      </w:r>
      <w:r w:rsidRPr="00AD0AFF">
        <w:fldChar w:fldCharType="end"/>
      </w:r>
      <w:r w:rsidRPr="00FB2B82">
        <w:t xml:space="preserve"> between coexisting clinopyroxene and plagioclase, and Ca between olivine and clinopyroxene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For individual thermometers temperatures were similar between the two localities, and in all cases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rPr>
          <w:i/>
        </w:rPr>
        <w:t xml:space="preserve"> &lt;</w:t>
      </w:r>
      <w:r w:rsidRPr="00FB2B82">
        <w:t xml:space="preserve"> </w:t>
      </w:r>
      <w:proofErr w:type="spellStart"/>
      <w:r w:rsidRPr="00FB2B82">
        <w:rPr>
          <w:i/>
        </w:rPr>
        <w:t>T</w:t>
      </w:r>
      <w:r w:rsidRPr="00FB2B82">
        <w:rPr>
          <w:i/>
          <w:vertAlign w:val="subscript"/>
        </w:rPr>
        <w:t>Mg</w:t>
      </w:r>
      <w:proofErr w:type="spellEnd"/>
      <w:r w:rsidRPr="00FB2B82">
        <w:rPr>
          <w:i/>
          <w:vertAlign w:val="subscript"/>
        </w:rPr>
        <w:t>-in-</w:t>
      </w:r>
      <w:proofErr w:type="spellStart"/>
      <w:r w:rsidRPr="00FB2B82">
        <w:rPr>
          <w:i/>
          <w:vertAlign w:val="subscript"/>
        </w:rPr>
        <w:t>Plag</w:t>
      </w:r>
      <w:proofErr w:type="spellEnd"/>
      <w:r w:rsidRPr="00FB2B82">
        <w:t xml:space="preserve"> &lt; </w:t>
      </w:r>
      <w:r w:rsidRPr="00FB2B82">
        <w:rPr>
          <w:i/>
        </w:rPr>
        <w:t>T</w:t>
      </w:r>
      <w:r w:rsidRPr="00FB2B82">
        <w:rPr>
          <w:i/>
          <w:vertAlign w:val="subscript"/>
        </w:rPr>
        <w:t>REE-in-</w:t>
      </w:r>
      <w:proofErr w:type="spellStart"/>
      <w:r w:rsidRPr="00FB2B82">
        <w:rPr>
          <w:i/>
          <w:vertAlign w:val="subscript"/>
        </w:rPr>
        <w:t>Cpx</w:t>
      </w:r>
      <w:proofErr w:type="spellEnd"/>
      <w:r w:rsidRPr="00FB2B82">
        <w:rPr>
          <w:i/>
          <w:vertAlign w:val="subscript"/>
        </w:rPr>
        <w:t>-</w:t>
      </w:r>
      <w:proofErr w:type="spellStart"/>
      <w:r w:rsidRPr="00FB2B82">
        <w:rPr>
          <w:i/>
          <w:vertAlign w:val="subscript"/>
        </w:rPr>
        <w:t>Plag</w:t>
      </w:r>
      <w:proofErr w:type="spellEnd"/>
      <w:r w:rsidRPr="00FB2B82">
        <w:t xml:space="preserve">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are 885-893°C, </w:t>
      </w:r>
      <w:proofErr w:type="spellStart"/>
      <w:r w:rsidRPr="00FB2B82">
        <w:rPr>
          <w:i/>
        </w:rPr>
        <w:t>T</w:t>
      </w:r>
      <w:r w:rsidRPr="00FB2B82">
        <w:rPr>
          <w:i/>
          <w:vertAlign w:val="subscript"/>
        </w:rPr>
        <w:t>Mg</w:t>
      </w:r>
      <w:proofErr w:type="spellEnd"/>
      <w:r w:rsidRPr="00FB2B82">
        <w:rPr>
          <w:i/>
          <w:vertAlign w:val="subscript"/>
        </w:rPr>
        <w:t>-in-</w:t>
      </w:r>
      <w:proofErr w:type="spellStart"/>
      <w:r w:rsidRPr="00FB2B82">
        <w:rPr>
          <w:i/>
          <w:vertAlign w:val="subscript"/>
        </w:rPr>
        <w:t>Plag</w:t>
      </w:r>
      <w:proofErr w:type="spellEnd"/>
      <w:r w:rsidRPr="00FB2B82">
        <w:t xml:space="preserve"> are 963-1071°C; </w:t>
      </w:r>
      <w:r w:rsidRPr="00FB2B82">
        <w:rPr>
          <w:i/>
        </w:rPr>
        <w:t>T</w:t>
      </w:r>
      <w:r w:rsidRPr="00FB2B82">
        <w:rPr>
          <w:i/>
          <w:vertAlign w:val="subscript"/>
        </w:rPr>
        <w:t>REE-in-</w:t>
      </w:r>
      <w:proofErr w:type="spellStart"/>
      <w:r w:rsidRPr="00FB2B82">
        <w:rPr>
          <w:i/>
          <w:vertAlign w:val="subscript"/>
        </w:rPr>
        <w:t>Cpx</w:t>
      </w:r>
      <w:proofErr w:type="spellEnd"/>
      <w:r w:rsidRPr="00FB2B82">
        <w:rPr>
          <w:i/>
          <w:vertAlign w:val="subscript"/>
        </w:rPr>
        <w:t>-</w:t>
      </w:r>
      <w:proofErr w:type="spellStart"/>
      <w:r w:rsidRPr="00FB2B82">
        <w:rPr>
          <w:i/>
          <w:vertAlign w:val="subscript"/>
        </w:rPr>
        <w:t>Plag</w:t>
      </w:r>
      <w:proofErr w:type="spellEnd"/>
      <w:r w:rsidRPr="00FB2B82">
        <w:t xml:space="preserve"> are 1185-1269°C). Peridotites were investigated using thermometers based on exchange of REEs between two pyroxenes (</w:t>
      </w:r>
      <w:r w:rsidRPr="00FB2B82">
        <w:rPr>
          <w:i/>
        </w:rPr>
        <w:t>T</w:t>
      </w:r>
      <w:r w:rsidRPr="00FB2B82">
        <w:rPr>
          <w:i/>
          <w:vertAlign w:val="subscript"/>
        </w:rPr>
        <w:t>REE-in-two-Pyroxene</w:t>
      </w:r>
      <w:r w:rsidRPr="00FB2B82">
        <w:t xml:space="preserve">; </w:t>
      </w:r>
      <w:r w:rsidRPr="00AD0AFF">
        <w:fldChar w:fldCharType="begin" w:fldLock="1"/>
      </w:r>
      <w:r w:rsidRPr="00AD0AFF">
        <w:instrText>ADDIN CSL_CITATION {"citationItems":[{"id":"ITEM-1","itemData":{"DOI":"10.1016/j.gca.2012.10.035","ISBN":"0016-7037","ISSN":"00167037","abstract":"A REE-in-two-pyroxene thermometer for mafic and ultramafic rocks has been developed on the basis of the temperature and pyroxene composition dependent rare earth element (REE) partitioning between coexisting orthopyroxene and clinopyroxene. This trace element based two-pyroxene thermometer is built on two parameterized lattice strain models for REE partitioning between pyroxene and basaltic melt that were independently calibrated using data from pyroxene-melt partitioning experiments (Sun and Liang, 2012; Yao et al., 2012). By treating REE and Y as a group in temperature calculations, one can reduce analytical uncertainties in trace element analysis through least squares inversion of orthopyroxene-clinopyroxene partitioning data, and identify and exclude variations induced by secondary or metasomatic processes. For convenience, a simple robust regression program is provided for temperature inversion. Application of the REE-in-two-pyroxene thermometer to well-equilibrated spinel lherzolite and harzburgite xenoliths from the continental lithosphere demonstrates the internal consistency of the two pyroxene-melt REE partitioning models and the trace and major element based pyroxene thermometers: temperatures derived from the REE-in-two-pyroxene thermometer agree very well with temperatures calculated using major element based pyroxene thermometers. Applications of the REE-in-two-pyroxene thermometer to abyssal peridotites and mafic cumulates reveal a significant difference in the calculated temperatures between the REE and major element based pyroxene thermometers: temperatures derived from the REE-in-two-pyroxene thermometer are consistently higher than those derived from the major element based pyroxene thermometers. This discrepancy in temperature likely results from a difference in diffusion rate and hence closure temperature between the 2+ and 3+ cations in the pyroxenes. An independently calibrated REE-in-two-pyroxene thermometer may offer new insight into the thermal history of mafic and ultramafic rocks from the upper mantle and lower crust. ?? 2012 Elsevier Ltd.","author":[{"dropping-particle":"","family":"Liang","given":"Yan","non-dropping-particle":"","parse-names":false,"suffix":""},{"dropping-particle":"","family":"Sun","given":"Chenguang","non-dropping-particle":"","parse-names":false,"suffix":""},{"dropping-particle":"","family":"Yao","given":"Lijing","non-dropping-particle":"","parse-names":false,"suffix":""}],"container-title":"Geochimica et Cosmochimica Acta","id":"ITEM-1","issued":{"date-parts":[["2013"]]},"page":"246-260","publisher":"Elsevier Ltd","title":"A REE-in-two-pyroxene thermometer for mafic and ultramafic rocks","type":"article-journal","volume":"102"},"uris":["http://www.mendeley.com/documents/?uuid=b26fbd8f-ada8-4bbd-b9f4-769e52f10d9a"]}],"mendeley":{"formattedCitation":"(Liang et al., 2013)","manualFormatting":"Liang et al., 2013","plainTextFormattedCitation":"(Liang et al., 2013)","previouslyFormattedCitation":"(Liang et al., 2013)"},"properties":{"noteIndex":0},"schema":"https://github.com/citation-style-language/schema/raw/master/csl-citation.json"}</w:instrText>
      </w:r>
      <w:r w:rsidRPr="00AD0AFF">
        <w:fldChar w:fldCharType="separate"/>
      </w:r>
      <w:r w:rsidRPr="00AD0AFF">
        <w:rPr>
          <w:noProof/>
        </w:rPr>
        <w:t>Liang et al., 2013</w:t>
      </w:r>
      <w:r w:rsidRPr="00AD0AFF">
        <w:fldChar w:fldCharType="end"/>
      </w:r>
      <w:r w:rsidRPr="00FB2B82">
        <w:t>), exchange of the diopside component around the two-pyroxene solvus (</w:t>
      </w:r>
      <w:r w:rsidRPr="00FB2B82">
        <w:rPr>
          <w:i/>
        </w:rPr>
        <w:t>T</w:t>
      </w:r>
      <w:r w:rsidRPr="00FB2B82">
        <w:rPr>
          <w:i/>
          <w:vertAlign w:val="subscript"/>
        </w:rPr>
        <w:t>BKN</w:t>
      </w:r>
      <w:r w:rsidRPr="00FB2B82">
        <w:t xml:space="preserve">; </w:t>
      </w:r>
      <w:r w:rsidRPr="00AD0AFF">
        <w:fldChar w:fldCharType="begin" w:fldLock="1"/>
      </w:r>
      <w:r w:rsidRPr="00AD0AFF">
        <w:instrText>ADDIN CSL_CITATION {"citationItems":[{"id":"ITEM-1","itemData":{"DOI":"https://doi.org/10.1093/petrology/31.6.1353","author":[{"dropping-particle":"","family":"Brey","given":"G. P.","non-dropping-particle":"","parse-names":false,"suffix":""},{"dropping-particle":"","family":"Köhler","given":"T. P.","non-dropping-particle":"","parse-names":false,"suffix":""}],"container-title":"Journal of Petrology","id":"ITEM-1","issue":"6","issued":{"date-parts":[["1990"]]},"page":"1353-1378","title":"Geothermobarometry in Four-phase Lherzolites II . New Thermobarometers , and Practical Assessment of Existing Thermobarometers","type":"article-journal","volume":"31"},"uris":["http://www.mendeley.com/documents/?uuid=a74c01ed-42e1-4e11-8756-60a802850c71"]}],"mendeley":{"formattedCitation":"(Brey &amp; Köhler, 1990)","manualFormatting":"Brey &amp; Köhler, 1990","plainTextFormattedCitation":"(Brey &amp; Köhler, 1990)","previouslyFormattedCitation":"(Brey &amp; Köhler, 1990)"},"properties":{"noteIndex":0},"schema":"https://github.com/citation-style-language/schema/raw/master/csl-citation.json"}</w:instrText>
      </w:r>
      <w:r w:rsidRPr="00AD0AFF">
        <w:fldChar w:fldCharType="separate"/>
      </w:r>
      <w:r w:rsidRPr="00AD0AFF">
        <w:rPr>
          <w:noProof/>
        </w:rPr>
        <w:t>Brey &amp; Köhler, 1990</w:t>
      </w:r>
      <w:r w:rsidRPr="00AD0AFF">
        <w:fldChar w:fldCharType="end"/>
      </w:r>
      <w:r w:rsidRPr="00FB2B82">
        <w:t>), and exchange of Ca for Fe and Mg between olivine and coexisting clinopyroxene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w:t>
      </w:r>
      <w:r>
        <w:fldChar w:fldCharType="begin" w:fldLock="1"/>
      </w:r>
      <w:r>
        <w:instrText>ADDIN CSL_CITATION {"citationItems":[{"id":"ITEM-1","itemData":{"DOI":"10.1016/0016-7037(90)90226-B","ISBN":"0016-7037","ISSN":"00167037","abstract":"The equilibrium Ca content of olivine coexisting with clinopyroxene was experimentally determined in natural lherzolitic compositions (Mg/(Mg + Fe)ol ≈ 0.9). The experiments from 2-60 kb and 900-1400°C cover most of the crystallization conditions of upper mantle peridotites. The Ca content of olivines in the experimental products was determined by electron microprobe in the WDS mode with a precision of ±5 rel% (1σ). In a few instances an ion microprobe was used (±2 rel%). Accuracy was tested with olivine standards analyzed for calcium by isotope dilution analysis. The solubility of Ca in olivine showed a non-linear change at around 1100°C. Therefore, we have fitted our experimental data to two equations, given here in the form of barometers: P[kb] = (-T*ln DCa - 11982 + 3.61*T)/56.2 for T ≥ (1275.25 + 2.827*P)[K]P[kb] = (-T ln DCa - 5792 - 1.25*T)/42.5 for T ≤ (1275.25 + 2.827*P)[K] where Dca = Caol/Cacpx(Caol and Cacpx = atomic proportions of Ca in structural formulae of ol and cpx based on 4 and 6 oxygens, respectively). These equations reproduce experimental conditions to ±1.7 kb(1σ).*. This is the first barometer which can be applied successfully to spinel peridotites. Calculated P, T conditions for spinel peridotite nodules from southwestern USA plot within the spinel stability field and along predicted geotherms for this region. Application to garnet peridotites from southern Africa generally shows good agreement with the Al-opx/gt barometer, but some significant deviations also exist. They are most likely caused by short-lived thermal events immediately before eruption to the surface. These are recorded by the Ca contents of olivines but not in the associated clinopyroxenes, since the diffusion coefficient for Ca in olivine is 3 to 4 orders of magnitude higher than in clinopyroxene. The tendency is that olivines from \"high-temperature\" peridotites record heating events while olivines from peridotites plotting along a shield geotherm record cooling events. High Cr spinel peridotites from southern Africa plot in the P, T field of \"low-temperature\" peridotites from the same occurrences. Pressures calculated for spinel-bearing \"fertile\" harzburgites (with exsolved cpx) from southern Africa are excessively high, indicating intense cooling with reequilibration of olivines to lower temperatures. Careful investigation of zoning patterns of minerals, especially of Ca in olivine will help to constrain the magnitude of cooling or heating these rocks have ex…","author":[{"dropping-particle":"","family":"Köhler","given":"T. P.","non-dropping-particle":"","parse-names":false,"suffix":""},{"dropping-particle":"","family":"Brey","given":"G. P.","non-dropping-particle":"","parse-names":false,"suffix":""}],"container-title":"Geochimica et Cosmochimica Acta","id":"ITEM-1","issue":"9","issued":{"date-parts":[["1990"]]},"page":"2375-2388","title":"Calcium exchange between olivine and clinopyroxene calibrated as a geothermobarometer for natural peridotites from 2 to 60 kb with applications","type":"article-journal","volume":"54"},"uris":["http://www.mendeley.com/documents/?uuid=91096bb6-4f27-4518-9a4e-e0c9afe14114"]}],"mendeley":{"formattedCitation":"(Köhler &amp; Brey, 1990)","manualFormatting":"Köhler &amp; Brey, 1990","plainTextFormattedCitation":"(Köhler &amp; Brey, 1990)","previouslyFormattedCitation":"(Köhler &amp; Brey, 1990)"},"properties":{"noteIndex":0},"schema":"https://github.com/citation-style-language/schema/raw/master/csl-citation.json"}</w:instrText>
      </w:r>
      <w:r>
        <w:fldChar w:fldCharType="separate"/>
      </w:r>
      <w:r w:rsidRPr="00AD0AFF">
        <w:rPr>
          <w:noProof/>
        </w:rPr>
        <w:t>Köhler &amp; Brey, 1990</w:t>
      </w:r>
      <w:r>
        <w:fldChar w:fldCharType="end"/>
      </w:r>
      <w:r w:rsidRPr="00FB2B82">
        <w:t xml:space="preserve">). Again, for each thermometer, the temperatures are comparable between the two localities, and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w:t>
      </w:r>
      <w:r w:rsidRPr="000B7F93">
        <w:rPr>
          <w:rFonts w:ascii="Cambria Math" w:hAnsi="Cambria Math" w:cs="Cambria Math"/>
          <w:color w:val="242729"/>
          <w:shd w:val="clear" w:color="auto" w:fill="FFFFFF"/>
        </w:rPr>
        <w:t>≲</w:t>
      </w:r>
      <w:r w:rsidRPr="00FB2B82">
        <w:rPr>
          <w:i/>
        </w:rPr>
        <w:t xml:space="preserve"> T</w:t>
      </w:r>
      <w:r w:rsidRPr="00FB2B82">
        <w:rPr>
          <w:i/>
          <w:vertAlign w:val="subscript"/>
        </w:rPr>
        <w:t>BKN</w:t>
      </w:r>
      <w:r w:rsidRPr="00FB2B82">
        <w:t xml:space="preserve"> &lt; </w:t>
      </w:r>
      <w:r w:rsidRPr="00FB2B82">
        <w:rPr>
          <w:i/>
        </w:rPr>
        <w:t>T</w:t>
      </w:r>
      <w:r w:rsidRPr="00FB2B82">
        <w:rPr>
          <w:i/>
          <w:vertAlign w:val="subscript"/>
        </w:rPr>
        <w:t>REE-in-two-Pyroxene</w:t>
      </w:r>
      <w:r w:rsidRPr="00FB2B82">
        <w:t xml:space="preserve">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are 957-1038°C;</w:t>
      </w:r>
      <w:r w:rsidRPr="00FB2B82">
        <w:rPr>
          <w:i/>
        </w:rPr>
        <w:t xml:space="preserve"> T</w:t>
      </w:r>
      <w:r w:rsidRPr="00FB2B82">
        <w:rPr>
          <w:i/>
          <w:vertAlign w:val="subscript"/>
        </w:rPr>
        <w:t>BKN</w:t>
      </w:r>
      <w:r w:rsidRPr="00FB2B82">
        <w:t xml:space="preserve"> are 1001-1141°C;</w:t>
      </w:r>
      <w:r w:rsidRPr="00FB2B82">
        <w:rPr>
          <w:i/>
        </w:rPr>
        <w:t xml:space="preserve"> T</w:t>
      </w:r>
      <w:r w:rsidRPr="00FB2B82">
        <w:rPr>
          <w:i/>
          <w:vertAlign w:val="subscript"/>
        </w:rPr>
        <w:t>REE-in-two-Pyroxene</w:t>
      </w:r>
      <w:r w:rsidRPr="00FB2B82">
        <w:t xml:space="preserve"> are 1140-1403°C). The magmatic or near-magmatic REE-based thermometer temperatures are interpreted to reflect near-peak temperatures owing to the slow diffusive exchange of trivalent REEs between coexisting phases during cooling, while the lower temperatures recorded by thermometers based on divalent major elements reflect the relatively fast exchange of those elements under </w:t>
      </w:r>
      <w:proofErr w:type="spellStart"/>
      <w:r w:rsidRPr="00FB2B82">
        <w:t>subsolidus</w:t>
      </w:r>
      <w:proofErr w:type="spellEnd"/>
      <w:r w:rsidRPr="00FB2B82">
        <w:t xml:space="preserve"> conditions. </w:t>
      </w:r>
    </w:p>
    <w:p w14:paraId="156E61B5" w14:textId="23A6F89C" w:rsidR="0009520B" w:rsidRDefault="0009520B" w:rsidP="001E0B34">
      <w:pPr>
        <w:spacing w:line="360" w:lineRule="auto"/>
        <w:ind w:firstLine="360"/>
      </w:pPr>
      <w:r w:rsidRPr="00FB2B82">
        <w:t xml:space="preserve">We applied three independent speedometers to the new temperature data. Cooling rates are fast (~0.01 to several °C/y) and consistent among all the Hess Deep and </w:t>
      </w:r>
      <w:proofErr w:type="spellStart"/>
      <w:r w:rsidRPr="00FB2B82">
        <w:t>OmanDP</w:t>
      </w:r>
      <w:proofErr w:type="spellEnd"/>
      <w:r w:rsidRPr="00FB2B82">
        <w:t xml:space="preserve"> samples. A coupled two-pyroxene solvus – REE-in-two-pyroxene speedometer </w:t>
      </w:r>
      <w:r>
        <w:fldChar w:fldCharType="begin" w:fldLock="1"/>
      </w:r>
      <w:r>
        <w:instrText>ADDIN CSL_CITATION {"citationItems":[{"id":"ITEM-1","itemData":{"DOI":"10.1016/j.epsl.2015.02.042","ISBN":"0012-821X","ISSN":"0012821X","abstract":"Mantle peridotites from ophiolites are commonly interpreted as having mid-ocean ridge (MOR) or supra-subduction zone (SSZ) affinity. Recently, an REE-in-two-pyroxene thermometer was developed (Liang et al., 2013) that has higher closure temperatures (designated as T&lt;inf&gt;REE&lt;/inf&gt;) than major element based two-pyroxene thermometers for mafic and ultramafic rocks that experienced cooling. The REE-in-two-pyroxene thermometer has the potential to extract meaningful cooling rates from ophiolitic peridotites and thus shed new light on the thermal history of the different tectonic regimes. We calculated T&lt;inf&gt;REE&lt;/inf&gt; for available literature data from abyssal peridotites, subcontinental (SC) peridotites, and ophiolites around the world (Alps, Coast Range, Corsica, New Caledonia, Oman, Othris, Puerto Rico, Russia, and Turkey), and augmented the data with new measurements for peridotites from the Trinity and Josephine ophiolites and the Mariana trench. T&lt;inf&gt;REE&lt;/inf&gt; are compared to major element based thermometers, including the two-pyroxene thermometer of Brey and K??hler (1990) (T&lt;inf&gt;BKN&lt;/inf&gt;). Samples with SC affinity have T&lt;inf&gt;REE&lt;/inf&gt; and T&lt;inf&gt;BKN&lt;/inf&gt; in good agreement. Samples with MOR and SSZ affinity have near-solidus T&lt;inf&gt;REE&lt;/inf&gt; but T&lt;inf&gt;BKN&lt;/inf&gt; hundreds of degrees lower. Closure temperatures for REE and Fe-Mg in pyroxenes were calculated to compare cooling rates among abyssal peridotites, MOR ophiolites, and SSZ ophiolites. Abyssal peridotites appear to cool more rapidly than peridotites from most ophiolites. On average, SSZ ophiolites have lower closure temperatures than abyssal peridotites and many ophiolites with MOR affinity. We propose that these lower temperatures can be attributed to the residence time in the cooling oceanic lithosphere prior to obduction. MOR ophiolites define a continuum spanning cooling rates from SSZ ophiolites to abyssal peridotites. Consistent high closure temperatures for abyssal peridotites and the Oman and Corsica ophiolites suggests hydrothermal circulation and/or rapid cooling events (e.g., normal faulting, unroofing) control the late thermal histories of peridotites from transform faults and slow and fast spreading centers with or without a crustal section.","author":[{"dropping-particle":"","family":"Dygert","given":"Nick","non-dropping-particle":"","parse-names":false,"suffix":""},{"dropping-particle":"","family":"Liang","given":"Yan","non-dropping-particle":"","parse-names":false,"suffix":""}],"container-title":"Earth and Planetary Science Letters","id":"ITEM-1","issued":{"date-parts":[["2015"]]},"page":"151-161","title":"Temperatures and cooling rates recorded in REE in coexisting pyroxenes in ophiolitic and abyssal peridotites","type":"article-journal","volume":"420"},"uris":["http://www.mendeley.com/documents/?uuid=e48d5f74-9cf4-4c45-adcc-fe92d8ea473f"]}],"mendeley":{"formattedCitation":"(Dygert &amp; Liang, 2015)","plainTextFormattedCitation":"(Dygert &amp; Liang, 2015)","previouslyFormattedCitation":"(Dygert &amp; Liang, 2015)"},"properties":{"noteIndex":0},"schema":"https://github.com/citation-style-language/schema/raw/master/csl-citation.json"}</w:instrText>
      </w:r>
      <w:r>
        <w:fldChar w:fldCharType="separate"/>
      </w:r>
      <w:r w:rsidRPr="00AD0AFF">
        <w:rPr>
          <w:noProof/>
        </w:rPr>
        <w:t>(Dygert &amp; Liang, 2015)</w:t>
      </w:r>
      <w:r>
        <w:fldChar w:fldCharType="end"/>
      </w:r>
      <w:r w:rsidRPr="00FB2B82">
        <w:t xml:space="preserve"> recovers rates of 0.1-2.6 °C/y from peak or near-peak temperatures in mantle harzburgites. Application of the </w:t>
      </w:r>
      <w:r>
        <w:fldChar w:fldCharType="begin" w:fldLock="1"/>
      </w:r>
      <w:r>
        <w:instrText>ADDIN CSL_CITATION {"citationItems":[{"id":"ITEM-1","itemData":{"ISSN":"0010-7999","author":[{"dropping-particle":"","family":"Dodson","given":"Martin H","non-dropping-particle":"","parse-names":false,"suffix":""}],"container-title":"Contributions to Mineralogy and Petrology","id":"ITEM-1","issue":"3","issued":{"date-parts":[["1973"]]},"page":"259-274","publisher":"Springer","title":"Closure temperature in cooling geochronological and petrological systems","type":"article-journal","volume":"40"},"uris":["http://www.mendeley.com/documents/?uuid=d01358b9-da0d-494f-a6d5-652fcbd100f2"]}],"mendeley":{"formattedCitation":"(Dodson, 1973)","manualFormatting":"Dodson (1973)","plainTextFormattedCitation":"(Dodson, 1973)","previouslyFormattedCitation":"(Dodson, 1973)"},"properties":{"noteIndex":0},"schema":"https://github.com/citation-style-language/schema/raw/master/csl-citation.json"}</w:instrText>
      </w:r>
      <w:r>
        <w:fldChar w:fldCharType="separate"/>
      </w:r>
      <w:r w:rsidRPr="00AD0AFF">
        <w:rPr>
          <w:noProof/>
        </w:rPr>
        <w:t xml:space="preserve">Dodson </w:t>
      </w:r>
      <w:r>
        <w:rPr>
          <w:noProof/>
        </w:rPr>
        <w:t>(</w:t>
      </w:r>
      <w:r w:rsidRPr="00AD0AFF">
        <w:rPr>
          <w:noProof/>
        </w:rPr>
        <w:t>1973)</w:t>
      </w:r>
      <w:r>
        <w:fldChar w:fldCharType="end"/>
      </w:r>
      <w:r w:rsidRPr="00FB2B82">
        <w:t xml:space="preserve"> closure temperature model to </w:t>
      </w:r>
      <w:proofErr w:type="spellStart"/>
      <w:r w:rsidRPr="00FB2B82">
        <w:rPr>
          <w:i/>
        </w:rPr>
        <w:t>T</w:t>
      </w:r>
      <w:r w:rsidRPr="00FB2B82">
        <w:rPr>
          <w:i/>
          <w:vertAlign w:val="subscript"/>
        </w:rPr>
        <w:t>Ca</w:t>
      </w:r>
      <w:proofErr w:type="spellEnd"/>
      <w:r w:rsidRPr="00FB2B82">
        <w:rPr>
          <w:i/>
          <w:vertAlign w:val="subscript"/>
        </w:rPr>
        <w:t>-in-</w:t>
      </w:r>
      <w:proofErr w:type="spellStart"/>
      <w:r w:rsidRPr="00FB2B82">
        <w:rPr>
          <w:i/>
          <w:vertAlign w:val="subscript"/>
        </w:rPr>
        <w:t>Ol</w:t>
      </w:r>
      <w:proofErr w:type="spellEnd"/>
      <w:r w:rsidRPr="00FB2B82">
        <w:t xml:space="preserve"> from the peridotites recovers cooling rates of 0.03-0.81 °C/y, and 0.06-0.12 °C/y from </w:t>
      </w:r>
      <w:proofErr w:type="spellStart"/>
      <w:r w:rsidRPr="00FB2B82">
        <w:t>OmanDP</w:t>
      </w:r>
      <w:proofErr w:type="spellEnd"/>
      <w:r w:rsidRPr="00FB2B82">
        <w:t xml:space="preserve"> </w:t>
      </w:r>
      <w:proofErr w:type="spellStart"/>
      <w:r w:rsidRPr="00FB2B82">
        <w:t>gabbros</w:t>
      </w:r>
      <w:proofErr w:type="spellEnd"/>
      <w:r w:rsidRPr="00FB2B82">
        <w:t xml:space="preserve"> in the crustal section. A coupled Mg-in plagioclase – REE-in-clinopyroxene-plagioclase speedometer </w:t>
      </w:r>
      <w:r>
        <w:fldChar w:fldCharType="begin" w:fldLock="1"/>
      </w:r>
      <w:r>
        <w:instrText>ADDIN CSL_CITATION {"citationItems":[{"id":"ITEM-1","itemData":{"DOI":"10.1007/s00410-016-1326-9","ISBN":"0041001613","ISSN":"00107999","abstract":"differences appear between the REE-and Mg-exchange thermometers for the volcanic and cumulate rocks. Through numerical simulations of diffusion in plagioclase-clinopy-roxene systems, we demonstrate that (1) due to their slower diffusion rates, REE in minerals preferentially records crys-tallization or near-crystallization temperatures of the rock, and that (2) Mg is readily rest to lower temperatures for rocks from intermediately or slowly cooled magma bodies but records the initial crystallization temperatures of rocks from rapidly cooled magmas. Given their distinct diffusive responses to temperature changes, REE and Mg closure temperatures recorded by the two thermometers can be used in concert to study thermal and magmatic histories of plagioclase-and clinopyroxene-bearing rocks.","author":[{"dropping-particle":"","family":"Sun","given":"Chenguang","non-dropping-particle":"","parse-names":false,"suffix":""},{"dropping-particle":"","family":"Liang","given":"Yan","non-dropping-particle":"","parse-names":false,"suffix":""}],"container-title":"Contributions to Mineralogy and Petrology","id":"ITEM-1","issue":"4","issued":{"date-parts":[["2017"]]},"page":"1-20","publisher":"Springer Berlin Heidelberg","title":"A REE-in-plagioclase–clinopyroxene thermometer for crustal rocks","type":"article-journal","volume":"172"},"uris":["http://www.mendeley.com/documents/?uuid=3aed1e81-ac55-444c-aa5b-566f814d31e5"]}],"mendeley":{"formattedCitation":"(Sun &amp; Liang, 2017)","plainTextFormattedCitation":"(Sun &amp; Liang, 2017)","previouslyFormattedCitation":"(Sun &amp; Liang, 2017)"},"properties":{"noteIndex":0},"schema":"https://github.com/citation-style-language/schema/raw/master/csl-citation.json"}</w:instrText>
      </w:r>
      <w:r>
        <w:fldChar w:fldCharType="separate"/>
      </w:r>
      <w:r w:rsidRPr="00AD0AFF">
        <w:rPr>
          <w:noProof/>
        </w:rPr>
        <w:t>(</w:t>
      </w:r>
      <w:r>
        <w:rPr>
          <w:noProof/>
        </w:rPr>
        <w:t>Sun &amp; Lissenberg, 2018a</w:t>
      </w:r>
      <w:r w:rsidRPr="00AD0AFF">
        <w:rPr>
          <w:noProof/>
        </w:rPr>
        <w:t>)</w:t>
      </w:r>
      <w:r>
        <w:fldChar w:fldCharType="end"/>
      </w:r>
      <w:r w:rsidRPr="00FB2B82">
        <w:t xml:space="preserve"> recovers rates of 0.07 and 0.1 °C/y from </w:t>
      </w:r>
      <w:proofErr w:type="spellStart"/>
      <w:r w:rsidRPr="00FB2B82">
        <w:t>gabbros</w:t>
      </w:r>
      <w:proofErr w:type="spellEnd"/>
      <w:r w:rsidRPr="00FB2B82">
        <w:t xml:space="preserve"> in the </w:t>
      </w:r>
      <w:proofErr w:type="spellStart"/>
      <w:r w:rsidRPr="00FB2B82">
        <w:t>OmanDP</w:t>
      </w:r>
      <w:proofErr w:type="spellEnd"/>
      <w:r w:rsidRPr="00FB2B82">
        <w:t xml:space="preserve"> crustal section. The similar, fast cooling rates recorded by samples from across the crust-mantle transition zone at the two localities provide insights into the mode of lower crustal accretion beneath fast-spreading mid-ocean ridges, and a window into the thermal histories of an ophiolitic paleo-ridge environment (the </w:t>
      </w:r>
      <w:proofErr w:type="spellStart"/>
      <w:r w:rsidRPr="00FB2B82">
        <w:t>Samail</w:t>
      </w:r>
      <w:proofErr w:type="spellEnd"/>
      <w:r w:rsidRPr="00FB2B82">
        <w:t xml:space="preserve"> ophiolite) and modern mid-ocean ridge environments (Hess Deep). The consistent thermal histories </w:t>
      </w:r>
      <w:r w:rsidRPr="00FB2B82">
        <w:lastRenderedPageBreak/>
        <w:t xml:space="preserve">suggest shared processes of lithosphere formation. The cooling rates were compared to convective and conductive cooling models expected in Gabbro Glacier and Sheeted Sills scenarios for crustal accretion, which invoke shallower and deeper convective (hydrothermal) cooling regimes, respectively. Fast cooling (~0.01 to several °C/y) from magmatic or near-magmatic temperatures at the crust-mantle boundary suggests a network of deeply circulating ocean water extended from the seafloor to the crust-mantle boundary beneath the spreading centers, as expected in a Sheeted Sills-type scenario. </w:t>
      </w:r>
    </w:p>
    <w:p w14:paraId="28E9BE99" w14:textId="77777777" w:rsidR="0009520B" w:rsidRDefault="0009520B" w:rsidP="00056273">
      <w:pPr>
        <w:spacing w:line="360" w:lineRule="auto"/>
        <w:ind w:firstLine="360"/>
      </w:pPr>
      <w:r w:rsidRPr="00FB2B82">
        <w:t xml:space="preserve">We compared the new cooling rates to those recalculated from previously published data using self-consistent methods, which enables direct comparison among studies. Oceanic lithosphere from four of five localities exhibits cooling rates consistent with hydrothermal cooling of the oceanic lower crust from peak or near-peak temperatures, while one locality is consistent with conductive cooling of the lower crust. We conclude that cooling and crustal accretion mechanisms differ among ridges or </w:t>
      </w:r>
      <w:r>
        <w:t xml:space="preserve">locations along </w:t>
      </w:r>
      <w:r w:rsidRPr="00FB2B82">
        <w:t>ridge segments. New constraints from other spreading centers are needed to further characterize the variability in lithospheric cooling rates, to elucidate geologic controls on cooling mechanisms, and to realize the implications for geochemical cycling between the oceans and Solid Earth.</w:t>
      </w:r>
    </w:p>
    <w:p w14:paraId="2A41BB84" w14:textId="6E2FE309" w:rsidR="0009520B" w:rsidRPr="00AC3D41" w:rsidRDefault="00F55061" w:rsidP="00056273">
      <w:pPr>
        <w:pStyle w:val="Heading2"/>
        <w:spacing w:line="360" w:lineRule="auto"/>
      </w:pPr>
      <w:bookmarkStart w:id="53" w:name="_Toc109036136"/>
      <w:r>
        <w:t xml:space="preserve">7. </w:t>
      </w:r>
      <w:r w:rsidR="0009520B" w:rsidRPr="00AC3D41">
        <w:t>Acknowledgments, Samples, and Data</w:t>
      </w:r>
      <w:bookmarkEnd w:id="53"/>
    </w:p>
    <w:p w14:paraId="4173F0CA" w14:textId="36C378D1" w:rsidR="00E90C9E" w:rsidRDefault="0009520B" w:rsidP="00056273">
      <w:pPr>
        <w:spacing w:line="360" w:lineRule="auto"/>
        <w:ind w:firstLine="360"/>
      </w:pPr>
      <w:r>
        <w:t xml:space="preserve">This work was partly supported by awards to BB from the University of Tennessee NASA Space Grant Consortium, an Alexander Von Humboldt Stiftung to MMJ, and a Postdoctoral Fellowship to ND by the University of Texas at Austin. The authors acknowledge the assistance of Allan </w:t>
      </w:r>
      <w:proofErr w:type="spellStart"/>
      <w:r>
        <w:t>Patchen</w:t>
      </w:r>
      <w:proofErr w:type="spellEnd"/>
      <w:r>
        <w:t xml:space="preserve"> and Nathaniel Miller in collecting major and trace element data. This work would not have been possible without the support and encouragement of the Oman Drilling Project Phase 2 core description party. Measured compositions used to calculate temperatures and replicate analyses of reference material BCR-2G are archived in a Mendeley Data repository at https://dx.doi.org/</w:t>
      </w:r>
      <w:r w:rsidRPr="70EE836C">
        <w:rPr>
          <w:color w:val="1A1A1A"/>
        </w:rPr>
        <w:t>10.17632/7rbj8x89th.1</w:t>
      </w:r>
      <w:r>
        <w:t>.</w:t>
      </w:r>
      <w:r w:rsidR="006D3C35">
        <w:br w:type="page"/>
      </w:r>
    </w:p>
    <w:p w14:paraId="0F8912A1" w14:textId="16157A6C" w:rsidR="00975E37" w:rsidRDefault="00FF1665" w:rsidP="006D3C35">
      <w:pPr>
        <w:pStyle w:val="Heading2"/>
      </w:pPr>
      <w:bookmarkStart w:id="54" w:name="_Toc109036137"/>
      <w:r>
        <w:lastRenderedPageBreak/>
        <w:t>References</w:t>
      </w:r>
      <w:bookmarkEnd w:id="9"/>
      <w:bookmarkEnd w:id="54"/>
    </w:p>
    <w:p w14:paraId="119CF1CE"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Akizawa, N., Arai, S., &amp; Tamura, A. (2012). Behavior of MORB magmas at uppermost mantle beneath a fast-spreading axis: An example from Wadi Fizh of the northern Oman ophiolite. </w:t>
      </w:r>
      <w:r w:rsidRPr="00DC5220">
        <w:rPr>
          <w:i/>
          <w:iCs/>
          <w:noProof/>
        </w:rPr>
        <w:t>Contributions to Mineralogy and Petrology</w:t>
      </w:r>
      <w:r w:rsidRPr="00DC5220">
        <w:rPr>
          <w:noProof/>
        </w:rPr>
        <w:t xml:space="preserve">, </w:t>
      </w:r>
      <w:r w:rsidRPr="00DC5220">
        <w:rPr>
          <w:i/>
          <w:iCs/>
          <w:noProof/>
        </w:rPr>
        <w:t>164</w:t>
      </w:r>
      <w:r w:rsidRPr="00DC5220">
        <w:rPr>
          <w:noProof/>
        </w:rPr>
        <w:t>(4), 601–625. https://doi.org/10.1007/s00410-012-0762-4</w:t>
      </w:r>
    </w:p>
    <w:p w14:paraId="4CF51F03"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Akizawa, N., Tamura, A., Fukushi, K., Yamamoto, J., Mizukami, T., Python, M., &amp; Arai, S. (2016). High-temperature hydrothermal activities around suboceanic Moho: An example from diopsidite and anorthosite in Wadi Fizh, Oman ophiolite. </w:t>
      </w:r>
      <w:r w:rsidRPr="00DC5220">
        <w:rPr>
          <w:i/>
          <w:iCs/>
          <w:noProof/>
        </w:rPr>
        <w:t>Lithos</w:t>
      </w:r>
      <w:r w:rsidRPr="00DC5220">
        <w:rPr>
          <w:noProof/>
        </w:rPr>
        <w:t xml:space="preserve">, </w:t>
      </w:r>
      <w:r w:rsidRPr="00DC5220">
        <w:rPr>
          <w:i/>
          <w:iCs/>
          <w:noProof/>
        </w:rPr>
        <w:t>263</w:t>
      </w:r>
      <w:r w:rsidRPr="00DC5220">
        <w:rPr>
          <w:noProof/>
        </w:rPr>
        <w:t>, 66–87. https://doi.org/10.1016/j.lithos.2016.07.012</w:t>
      </w:r>
    </w:p>
    <w:p w14:paraId="72B3924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Arai, S. (1987). An estimation of the least depleted spinel peridotite on the basis of olivine-spinel mantle array. </w:t>
      </w:r>
      <w:r w:rsidRPr="00DC5220">
        <w:rPr>
          <w:i/>
          <w:iCs/>
          <w:noProof/>
        </w:rPr>
        <w:t>Neues Jahrbuch Fur Mineralogie, Monatshefte</w:t>
      </w:r>
      <w:r w:rsidRPr="00DC5220">
        <w:rPr>
          <w:noProof/>
        </w:rPr>
        <w:t>, (January 1987), 347–354.</w:t>
      </w:r>
    </w:p>
    <w:p w14:paraId="6DFE8B1F"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Boudier, F., &amp; Coleman, R. G. (1981). Cross section through the peridotite in the Samail Ophiolite, southeastern Oman Mountains. </w:t>
      </w:r>
      <w:r w:rsidRPr="00DC5220">
        <w:rPr>
          <w:i/>
          <w:iCs/>
          <w:noProof/>
        </w:rPr>
        <w:t>Journal of Geophysical Research: Solid Earth</w:t>
      </w:r>
      <w:r w:rsidRPr="00DC5220">
        <w:rPr>
          <w:noProof/>
        </w:rPr>
        <w:t xml:space="preserve">, </w:t>
      </w:r>
      <w:r w:rsidRPr="00DC5220">
        <w:rPr>
          <w:i/>
          <w:iCs/>
          <w:noProof/>
        </w:rPr>
        <w:t>86</w:t>
      </w:r>
      <w:r w:rsidRPr="00DC5220">
        <w:rPr>
          <w:noProof/>
        </w:rPr>
        <w:t>(B4), 2573–2592. https://doi.org/10.1029/JB086iB04p02573</w:t>
      </w:r>
    </w:p>
    <w:p w14:paraId="592C176D"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Braun, M. G. (2004). </w:t>
      </w:r>
      <w:r w:rsidRPr="00DC5220">
        <w:rPr>
          <w:i/>
          <w:iCs/>
          <w:noProof/>
        </w:rPr>
        <w:t>Petrologic and microstructural constraints on focused melt transport in dunites and the rheology of the shallow mantle</w:t>
      </w:r>
      <w:r w:rsidRPr="00DC5220">
        <w:rPr>
          <w:noProof/>
        </w:rPr>
        <w:t>. Massachusetts Institute of Technology and the Woods Hole Oceanographic Institution. Retrieved from http://hdl.handle.net/1721.1/29538</w:t>
      </w:r>
    </w:p>
    <w:p w14:paraId="0B8B917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Brey, G. P., &amp; Köhler, T. P. (1990). Geothermobarometry in Four-phase Lherzolites II . New Thermobarometers , and Practical Assessment of Existing Thermobarometers. </w:t>
      </w:r>
      <w:r w:rsidRPr="00DC5220">
        <w:rPr>
          <w:i/>
          <w:iCs/>
          <w:noProof/>
        </w:rPr>
        <w:t>Journal of Petrology</w:t>
      </w:r>
      <w:r w:rsidRPr="00DC5220">
        <w:rPr>
          <w:noProof/>
        </w:rPr>
        <w:t xml:space="preserve">, </w:t>
      </w:r>
      <w:r w:rsidRPr="00DC5220">
        <w:rPr>
          <w:i/>
          <w:iCs/>
          <w:noProof/>
        </w:rPr>
        <w:t>31</w:t>
      </w:r>
      <w:r w:rsidRPr="00DC5220">
        <w:rPr>
          <w:noProof/>
        </w:rPr>
        <w:t>(6), 1353–1378. https://doi.org/https://doi.org/10.1093/petrology/31.6.1353</w:t>
      </w:r>
    </w:p>
    <w:p w14:paraId="0458F035"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Canil, D., Grundy, R., &amp; Johnston, S. T. (2019). Thermal history of the Donjek harzburgite massif in ophiolite from Yukon, Canada with implications for the cooling of oceanic mantle lithosphere. </w:t>
      </w:r>
      <w:r w:rsidRPr="00DC5220">
        <w:rPr>
          <w:i/>
          <w:iCs/>
          <w:noProof/>
        </w:rPr>
        <w:t>Lithos</w:t>
      </w:r>
      <w:r w:rsidRPr="00DC5220">
        <w:rPr>
          <w:noProof/>
        </w:rPr>
        <w:t xml:space="preserve">, </w:t>
      </w:r>
      <w:r w:rsidRPr="00DC5220">
        <w:rPr>
          <w:i/>
          <w:iCs/>
          <w:noProof/>
        </w:rPr>
        <w:t>328</w:t>
      </w:r>
      <w:r w:rsidRPr="00DC5220">
        <w:rPr>
          <w:noProof/>
        </w:rPr>
        <w:t>–</w:t>
      </w:r>
      <w:r w:rsidRPr="00DC5220">
        <w:rPr>
          <w:i/>
          <w:iCs/>
          <w:noProof/>
        </w:rPr>
        <w:t>329</w:t>
      </w:r>
      <w:r w:rsidRPr="00DC5220">
        <w:rPr>
          <w:noProof/>
        </w:rPr>
        <w:t>, 33–42. https://doi.org/10.1016/j.lithos.2019.01.001</w:t>
      </w:r>
    </w:p>
    <w:p w14:paraId="6303D08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Cannat, M., Cann, J., &amp; Maclennan, J. (2004). Some hard rock constraints on the </w:t>
      </w:r>
      <w:r w:rsidRPr="00DC5220">
        <w:rPr>
          <w:noProof/>
        </w:rPr>
        <w:lastRenderedPageBreak/>
        <w:t xml:space="preserve">supply of heat to mid-ocean ridges. </w:t>
      </w:r>
      <w:r w:rsidRPr="00DC5220">
        <w:rPr>
          <w:i/>
          <w:iCs/>
          <w:noProof/>
        </w:rPr>
        <w:t>Geophysical Monograph Series</w:t>
      </w:r>
      <w:r w:rsidRPr="00DC5220">
        <w:rPr>
          <w:noProof/>
        </w:rPr>
        <w:t xml:space="preserve">, </w:t>
      </w:r>
      <w:r w:rsidRPr="00DC5220">
        <w:rPr>
          <w:i/>
          <w:iCs/>
          <w:noProof/>
        </w:rPr>
        <w:t>148</w:t>
      </w:r>
      <w:r w:rsidRPr="00DC5220">
        <w:rPr>
          <w:noProof/>
        </w:rPr>
        <w:t>, 111–149. https://doi.org/10.1029/148GM05</w:t>
      </w:r>
    </w:p>
    <w:p w14:paraId="2463E2DA"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Chen, Y. J. (1992). Oceanic crustal thickness versus spreading rate. </w:t>
      </w:r>
      <w:r w:rsidRPr="00DC5220">
        <w:rPr>
          <w:i/>
          <w:iCs/>
          <w:noProof/>
        </w:rPr>
        <w:t>Geophysical Research Letters</w:t>
      </w:r>
      <w:r w:rsidRPr="00DC5220">
        <w:rPr>
          <w:noProof/>
        </w:rPr>
        <w:t xml:space="preserve">, </w:t>
      </w:r>
      <w:r w:rsidRPr="00DC5220">
        <w:rPr>
          <w:i/>
          <w:iCs/>
          <w:noProof/>
        </w:rPr>
        <w:t>19</w:t>
      </w:r>
      <w:r w:rsidRPr="00DC5220">
        <w:rPr>
          <w:noProof/>
        </w:rPr>
        <w:t>(8), 753–756. https://doi.org/10.1029/92GL00161</w:t>
      </w:r>
    </w:p>
    <w:p w14:paraId="270278D3"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Cherkaoui, A. S. M., Wilcock, W. S. D., Dunn, R. A., &amp; Toomey, D. R. (2003). A numerical model of hydrothermal cooling and crustal accretion at a fast spreading mid-ocean ridge. </w:t>
      </w:r>
      <w:r w:rsidRPr="00DC5220">
        <w:rPr>
          <w:i/>
          <w:iCs/>
          <w:noProof/>
        </w:rPr>
        <w:t>Geochemistry, Geophysics, Geosystems</w:t>
      </w:r>
      <w:r w:rsidRPr="00DC5220">
        <w:rPr>
          <w:noProof/>
        </w:rPr>
        <w:t xml:space="preserve">, </w:t>
      </w:r>
      <w:r w:rsidRPr="00DC5220">
        <w:rPr>
          <w:i/>
          <w:iCs/>
          <w:noProof/>
        </w:rPr>
        <w:t>4</w:t>
      </w:r>
      <w:r w:rsidRPr="00DC5220">
        <w:rPr>
          <w:noProof/>
        </w:rPr>
        <w:t>(9). https://doi.org/10.1029/2001GC000215</w:t>
      </w:r>
    </w:p>
    <w:p w14:paraId="24E1EFE6"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Cherniak, D. J., &amp; Liang, Y. (2007). Rare earth element diffusion in natural enstatite. </w:t>
      </w:r>
      <w:r w:rsidRPr="00DC5220">
        <w:rPr>
          <w:i/>
          <w:iCs/>
          <w:noProof/>
        </w:rPr>
        <w:t>Geochimica et Cosmochimica Acta</w:t>
      </w:r>
      <w:r w:rsidRPr="00DC5220">
        <w:rPr>
          <w:noProof/>
        </w:rPr>
        <w:t xml:space="preserve">, </w:t>
      </w:r>
      <w:r w:rsidRPr="00DC5220">
        <w:rPr>
          <w:i/>
          <w:iCs/>
          <w:noProof/>
        </w:rPr>
        <w:t>71</w:t>
      </w:r>
      <w:r w:rsidRPr="00DC5220">
        <w:rPr>
          <w:noProof/>
        </w:rPr>
        <w:t>(5), 1324–1340. https://doi.org/10.1016/j.gca.2006.12.001</w:t>
      </w:r>
    </w:p>
    <w:p w14:paraId="0ABD1BB5"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Coogan, L. A., Jenkin, G. R. T., &amp; Wilson, R. N. (2002). Constraining the cooling rate of the lower oceanic crust: A new approach applied to the Oman ophiolite. </w:t>
      </w:r>
      <w:r w:rsidRPr="00DC5220">
        <w:rPr>
          <w:i/>
          <w:iCs/>
          <w:noProof/>
        </w:rPr>
        <w:t>Earth and Planetary Science Letters</w:t>
      </w:r>
      <w:r w:rsidRPr="00DC5220">
        <w:rPr>
          <w:noProof/>
        </w:rPr>
        <w:t xml:space="preserve">, </w:t>
      </w:r>
      <w:r w:rsidRPr="00DC5220">
        <w:rPr>
          <w:i/>
          <w:iCs/>
          <w:noProof/>
        </w:rPr>
        <w:t>199</w:t>
      </w:r>
      <w:r w:rsidRPr="00DC5220">
        <w:rPr>
          <w:noProof/>
        </w:rPr>
        <w:t>(1–2), 127–146. https://doi.org/10.1016/S0012-821X(02)00554-X</w:t>
      </w:r>
    </w:p>
    <w:p w14:paraId="13DC975E"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Coogan, L. A., Hain, A., Stahl, S., &amp; Chakraborty, S. (2005). Experimental determination of the diffusion coefficient for calcium in olivine between 900°C and 1500°C. </w:t>
      </w:r>
      <w:r w:rsidRPr="00DC5220">
        <w:rPr>
          <w:i/>
          <w:iCs/>
          <w:noProof/>
        </w:rPr>
        <w:t>Geochimica et Cosmochimica Acta</w:t>
      </w:r>
      <w:r w:rsidRPr="00DC5220">
        <w:rPr>
          <w:noProof/>
        </w:rPr>
        <w:t xml:space="preserve">, </w:t>
      </w:r>
      <w:r w:rsidRPr="00DC5220">
        <w:rPr>
          <w:i/>
          <w:iCs/>
          <w:noProof/>
        </w:rPr>
        <w:t>69</w:t>
      </w:r>
      <w:r w:rsidRPr="00DC5220">
        <w:rPr>
          <w:noProof/>
        </w:rPr>
        <w:t>(14), 3683–3694. https://doi.org/10.1016/j.gca.2005.03.002</w:t>
      </w:r>
    </w:p>
    <w:p w14:paraId="10A7B5D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Coogan, L. A., Jenkin, G. R. T., &amp; Wilson, R. N. (2007). Contrasting cooling rates in the lower oceanic crust at fast- and slow-spreading ridges revealed by geospeedometry. </w:t>
      </w:r>
      <w:r w:rsidRPr="00DC5220">
        <w:rPr>
          <w:i/>
          <w:iCs/>
          <w:noProof/>
        </w:rPr>
        <w:t>Journal of Petrology</w:t>
      </w:r>
      <w:r w:rsidRPr="00DC5220">
        <w:rPr>
          <w:noProof/>
        </w:rPr>
        <w:t xml:space="preserve">, </w:t>
      </w:r>
      <w:r w:rsidRPr="00DC5220">
        <w:rPr>
          <w:i/>
          <w:iCs/>
          <w:noProof/>
        </w:rPr>
        <w:t>48</w:t>
      </w:r>
      <w:r w:rsidRPr="00DC5220">
        <w:rPr>
          <w:noProof/>
        </w:rPr>
        <w:t>(11), 2211–2231. https://doi.org/10.1093/petrology/egm057</w:t>
      </w:r>
    </w:p>
    <w:p w14:paraId="0CF8820E"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Detrick, R. S., Buhl P, Vera E, Mutter J, Orcutt J, Madsen J, &amp; Brocher T. (1987). Multi-channel seismic imaging of a crustal magma chamber along the East Pacific Rise. </w:t>
      </w:r>
      <w:r w:rsidRPr="00DC5220">
        <w:rPr>
          <w:i/>
          <w:iCs/>
          <w:noProof/>
        </w:rPr>
        <w:t>Nature</w:t>
      </w:r>
      <w:r w:rsidRPr="00DC5220">
        <w:rPr>
          <w:noProof/>
        </w:rPr>
        <w:t xml:space="preserve">, </w:t>
      </w:r>
      <w:r w:rsidRPr="00DC5220">
        <w:rPr>
          <w:i/>
          <w:iCs/>
          <w:noProof/>
        </w:rPr>
        <w:t>326</w:t>
      </w:r>
      <w:r w:rsidRPr="00DC5220">
        <w:rPr>
          <w:noProof/>
        </w:rPr>
        <w:t>(5), 35–41.</w:t>
      </w:r>
    </w:p>
    <w:p w14:paraId="34A2115A"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Detrick, R. S., Harding, A. J., Kent, G. M., Orcutt, J. A., Mutter, J. C., &amp; Buhl, P. (1993). Seismic Structure of the Southern East Pacific Rise, </w:t>
      </w:r>
      <w:r w:rsidRPr="00DC5220">
        <w:rPr>
          <w:i/>
          <w:iCs/>
          <w:noProof/>
        </w:rPr>
        <w:t>259</w:t>
      </w:r>
      <w:r w:rsidRPr="00DC5220">
        <w:rPr>
          <w:noProof/>
        </w:rPr>
        <w:t>(5094), 499–503.</w:t>
      </w:r>
    </w:p>
    <w:p w14:paraId="4880815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lastRenderedPageBreak/>
        <w:t xml:space="preserve">Dewey, J. F., &amp; Kidd, W. S. F. (1977). Geometry of plate accretion. </w:t>
      </w:r>
      <w:r w:rsidRPr="00DC5220">
        <w:rPr>
          <w:i/>
          <w:iCs/>
          <w:noProof/>
        </w:rPr>
        <w:t>Bulletin of the Geological Society of America</w:t>
      </w:r>
      <w:r w:rsidRPr="00DC5220">
        <w:rPr>
          <w:noProof/>
        </w:rPr>
        <w:t xml:space="preserve">, </w:t>
      </w:r>
      <w:r w:rsidRPr="00DC5220">
        <w:rPr>
          <w:i/>
          <w:iCs/>
          <w:noProof/>
        </w:rPr>
        <w:t>88</w:t>
      </w:r>
      <w:r w:rsidRPr="00DC5220">
        <w:rPr>
          <w:noProof/>
        </w:rPr>
        <w:t>(7), 960–968. https://doi.org/10.1130/0016-7606(1977)88&lt;960:GOPA&gt;2.0.CO;2</w:t>
      </w:r>
    </w:p>
    <w:p w14:paraId="04EF9432"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Dick, H. J. B., &amp; Bullen, T. (1984). Chromian spinel as a petrogenetic indicator in abyssal and alpine-type peridotites and spatially associated lavas. </w:t>
      </w:r>
      <w:r w:rsidRPr="00DC5220">
        <w:rPr>
          <w:i/>
          <w:iCs/>
          <w:noProof/>
        </w:rPr>
        <w:t>Contributions to Mineralogy and Petrology</w:t>
      </w:r>
      <w:r w:rsidRPr="00DC5220">
        <w:rPr>
          <w:noProof/>
        </w:rPr>
        <w:t xml:space="preserve">, </w:t>
      </w:r>
      <w:r w:rsidRPr="00DC5220">
        <w:rPr>
          <w:i/>
          <w:iCs/>
          <w:noProof/>
        </w:rPr>
        <w:t>86</w:t>
      </w:r>
      <w:r w:rsidRPr="00DC5220">
        <w:rPr>
          <w:noProof/>
        </w:rPr>
        <w:t>(1), 54–76. https://doi.org/10.1007/BF00373711</w:t>
      </w:r>
    </w:p>
    <w:p w14:paraId="7614F99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Dick, H. J. B., Lin, J., &amp; Schouten, H. (2003). An ultraslow-spreading class of ocean ridge. </w:t>
      </w:r>
      <w:r w:rsidRPr="00DC5220">
        <w:rPr>
          <w:i/>
          <w:iCs/>
          <w:noProof/>
        </w:rPr>
        <w:t>Nature</w:t>
      </w:r>
      <w:r w:rsidRPr="00DC5220">
        <w:rPr>
          <w:noProof/>
        </w:rPr>
        <w:t xml:space="preserve">, </w:t>
      </w:r>
      <w:r w:rsidRPr="00DC5220">
        <w:rPr>
          <w:i/>
          <w:iCs/>
          <w:noProof/>
        </w:rPr>
        <w:t>426</w:t>
      </w:r>
      <w:r w:rsidRPr="00DC5220">
        <w:rPr>
          <w:noProof/>
        </w:rPr>
        <w:t>, 405–412.</w:t>
      </w:r>
    </w:p>
    <w:p w14:paraId="1DB8BF66"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Dimanov, A., &amp; Wiedenbeck, M. (2006). (Fe,Mn)-Mg interdiffusion in natural diopside: effect of pO2. </w:t>
      </w:r>
      <w:r w:rsidRPr="00DC5220">
        <w:rPr>
          <w:i/>
          <w:iCs/>
          <w:noProof/>
        </w:rPr>
        <w:t>European Journal of Mineralogy</w:t>
      </w:r>
      <w:r w:rsidRPr="00DC5220">
        <w:rPr>
          <w:noProof/>
        </w:rPr>
        <w:t xml:space="preserve">, </w:t>
      </w:r>
      <w:r w:rsidRPr="00DC5220">
        <w:rPr>
          <w:i/>
          <w:iCs/>
          <w:noProof/>
        </w:rPr>
        <w:t>18</w:t>
      </w:r>
      <w:r w:rsidRPr="00DC5220">
        <w:rPr>
          <w:noProof/>
        </w:rPr>
        <w:t>(6), 705–718. https://doi.org/10.1127/0935-1221/2006/0018-0705</w:t>
      </w:r>
    </w:p>
    <w:p w14:paraId="53936AEB"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Dodson, M. H. (1973). Closure temperature in cooling geochronological and petrological systems. </w:t>
      </w:r>
      <w:r w:rsidRPr="00DC5220">
        <w:rPr>
          <w:i/>
          <w:iCs/>
          <w:noProof/>
        </w:rPr>
        <w:t>Contributions to Mineralogy and Petrology</w:t>
      </w:r>
      <w:r w:rsidRPr="00DC5220">
        <w:rPr>
          <w:noProof/>
        </w:rPr>
        <w:t xml:space="preserve">, </w:t>
      </w:r>
      <w:r w:rsidRPr="00DC5220">
        <w:rPr>
          <w:i/>
          <w:iCs/>
          <w:noProof/>
        </w:rPr>
        <w:t>40</w:t>
      </w:r>
      <w:r w:rsidRPr="00DC5220">
        <w:rPr>
          <w:noProof/>
        </w:rPr>
        <w:t>(3), 259–274.</w:t>
      </w:r>
    </w:p>
    <w:p w14:paraId="5979A26B"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Donovan, J. J., Kremser, D., Fournelle, J., &amp; Karsten, G. (2016). Probe for EPMA User’s Guide and Reference. </w:t>
      </w:r>
      <w:r w:rsidRPr="00DC5220">
        <w:rPr>
          <w:i/>
          <w:iCs/>
          <w:noProof/>
        </w:rPr>
        <w:t>Probe Software, Inc.</w:t>
      </w:r>
    </w:p>
    <w:p w14:paraId="2A58D60A"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Dunn, R. A., &amp; Toomey, D. R. (2000). Three-dimensional seismic structure and physical properties of the crust and shallow mantle beneath the East Pacific Rise at 9°30’N. </w:t>
      </w:r>
      <w:r w:rsidRPr="00DC5220">
        <w:rPr>
          <w:i/>
          <w:iCs/>
          <w:noProof/>
        </w:rPr>
        <w:t>Journal of Geophysical Research</w:t>
      </w:r>
      <w:r w:rsidRPr="00DC5220">
        <w:rPr>
          <w:noProof/>
        </w:rPr>
        <w:t xml:space="preserve">, </w:t>
      </w:r>
      <w:r w:rsidRPr="00DC5220">
        <w:rPr>
          <w:i/>
          <w:iCs/>
          <w:noProof/>
        </w:rPr>
        <w:t>105</w:t>
      </w:r>
      <w:r w:rsidRPr="00DC5220">
        <w:rPr>
          <w:noProof/>
        </w:rPr>
        <w:t>, 23537–23555. https://doi.org/10.1029/2000JB900210</w:t>
      </w:r>
    </w:p>
    <w:p w14:paraId="2D17F814"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Dygert, N., &amp; Liang, Y. (2015). Temperatures and cooling rates recorded in REE in coexisting pyroxenes in ophiolitic and abyssal peridotites. </w:t>
      </w:r>
      <w:r w:rsidRPr="00DC5220">
        <w:rPr>
          <w:i/>
          <w:iCs/>
          <w:noProof/>
        </w:rPr>
        <w:t>Earth and Planetary Science Letters</w:t>
      </w:r>
      <w:r w:rsidRPr="00DC5220">
        <w:rPr>
          <w:noProof/>
        </w:rPr>
        <w:t xml:space="preserve">, </w:t>
      </w:r>
      <w:r w:rsidRPr="00DC5220">
        <w:rPr>
          <w:i/>
          <w:iCs/>
          <w:noProof/>
        </w:rPr>
        <w:t>420</w:t>
      </w:r>
      <w:r w:rsidRPr="00DC5220">
        <w:rPr>
          <w:noProof/>
        </w:rPr>
        <w:t>, 151–161. https://doi.org/10.1016/j.epsl.2015.02.042</w:t>
      </w:r>
    </w:p>
    <w:p w14:paraId="0B94E4D2"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Dygert, N., Liang, Y., &amp; Kelemen, P. B. (2016). Formation of plagioclase lherzolite and associated dunite-harzburgite-lherzolite sequences by multiple episodes of melt percolation and melt-rock reaction: An example from the trinity ophiolite, California, USA. </w:t>
      </w:r>
      <w:r w:rsidRPr="00DC5220">
        <w:rPr>
          <w:i/>
          <w:iCs/>
          <w:noProof/>
        </w:rPr>
        <w:t>Journal of Petrology</w:t>
      </w:r>
      <w:r w:rsidRPr="00DC5220">
        <w:rPr>
          <w:noProof/>
        </w:rPr>
        <w:t xml:space="preserve">, </w:t>
      </w:r>
      <w:r w:rsidRPr="00DC5220">
        <w:rPr>
          <w:i/>
          <w:iCs/>
          <w:noProof/>
        </w:rPr>
        <w:t>57</w:t>
      </w:r>
      <w:r w:rsidRPr="00DC5220">
        <w:rPr>
          <w:noProof/>
        </w:rPr>
        <w:t>(4), 815–838. https://doi.org/10.1093/petrology/egw018</w:t>
      </w:r>
    </w:p>
    <w:p w14:paraId="6A1AFFB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Dygert, N., Kelemen, P. B., &amp; Liang, Y. (2017). Spatial variations in cooling rate in the </w:t>
      </w:r>
      <w:r w:rsidRPr="00DC5220">
        <w:rPr>
          <w:noProof/>
        </w:rPr>
        <w:lastRenderedPageBreak/>
        <w:t xml:space="preserve">mantle section of the Samail ophiolite in Oman: Implications for formation of lithosphere at mid-ocean ridges. </w:t>
      </w:r>
      <w:r w:rsidRPr="00DC5220">
        <w:rPr>
          <w:i/>
          <w:iCs/>
          <w:noProof/>
        </w:rPr>
        <w:t>Earth and Planetary Science Letters</w:t>
      </w:r>
      <w:r w:rsidRPr="00DC5220">
        <w:rPr>
          <w:noProof/>
        </w:rPr>
        <w:t xml:space="preserve">, </w:t>
      </w:r>
      <w:r w:rsidRPr="00DC5220">
        <w:rPr>
          <w:i/>
          <w:iCs/>
          <w:noProof/>
        </w:rPr>
        <w:t>465</w:t>
      </w:r>
      <w:r w:rsidRPr="00DC5220">
        <w:rPr>
          <w:noProof/>
        </w:rPr>
        <w:t>, 134–144. https://doi.org/10.1016/j.epsl.2017.02.038</w:t>
      </w:r>
    </w:p>
    <w:p w14:paraId="28CFF402"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Faak, K., &amp; Gillis, K. M. (2016). Slow cooling of the lowermost oceanic crust at the fast-spreading East Pacific Rise. </w:t>
      </w:r>
      <w:r w:rsidRPr="00DC5220">
        <w:rPr>
          <w:i/>
          <w:iCs/>
          <w:noProof/>
        </w:rPr>
        <w:t>Geology</w:t>
      </w:r>
      <w:r w:rsidRPr="00DC5220">
        <w:rPr>
          <w:noProof/>
        </w:rPr>
        <w:t xml:space="preserve">, </w:t>
      </w:r>
      <w:r w:rsidRPr="00DC5220">
        <w:rPr>
          <w:i/>
          <w:iCs/>
          <w:noProof/>
        </w:rPr>
        <w:t>44</w:t>
      </w:r>
      <w:r w:rsidRPr="00DC5220">
        <w:rPr>
          <w:noProof/>
        </w:rPr>
        <w:t>(2), 115–118. https://doi.org/10.1130/G37353.1</w:t>
      </w:r>
    </w:p>
    <w:p w14:paraId="4CD0A7E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Faak, K., Chakraborty, S., &amp; Coogan, L. A. (2013). Mg in plagioclase: Experimental calibration of a new geothermometer and diffusion coefficients. </w:t>
      </w:r>
      <w:r w:rsidRPr="00DC5220">
        <w:rPr>
          <w:i/>
          <w:iCs/>
          <w:noProof/>
        </w:rPr>
        <w:t>Geochimica et Cosmochimica Acta</w:t>
      </w:r>
      <w:r w:rsidRPr="00DC5220">
        <w:rPr>
          <w:noProof/>
        </w:rPr>
        <w:t xml:space="preserve">, </w:t>
      </w:r>
      <w:r w:rsidRPr="00DC5220">
        <w:rPr>
          <w:i/>
          <w:iCs/>
          <w:noProof/>
        </w:rPr>
        <w:t>123</w:t>
      </w:r>
      <w:r w:rsidRPr="00DC5220">
        <w:rPr>
          <w:noProof/>
        </w:rPr>
        <w:t>, 195–217. https://doi.org/10.1016/j.gca.2013.05.009</w:t>
      </w:r>
    </w:p>
    <w:p w14:paraId="7BC50A39"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Faak, K., Coogan, L. A., &amp; Chakraborty, S. (2014). A new Mg-in-plagioclase geospeedometer for the determination of cooling rates of mafic rocks. </w:t>
      </w:r>
      <w:r w:rsidRPr="00DC5220">
        <w:rPr>
          <w:i/>
          <w:iCs/>
          <w:noProof/>
        </w:rPr>
        <w:t>Geochimica et Cosmochimica Acta</w:t>
      </w:r>
      <w:r w:rsidRPr="00DC5220">
        <w:rPr>
          <w:noProof/>
        </w:rPr>
        <w:t xml:space="preserve">, </w:t>
      </w:r>
      <w:r w:rsidRPr="00DC5220">
        <w:rPr>
          <w:i/>
          <w:iCs/>
          <w:noProof/>
        </w:rPr>
        <w:t>140</w:t>
      </w:r>
      <w:r w:rsidRPr="00DC5220">
        <w:rPr>
          <w:noProof/>
        </w:rPr>
        <w:t>, 691–707. https://doi.org/10.1016/j.gca.2014.06.005</w:t>
      </w:r>
    </w:p>
    <w:p w14:paraId="5126225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Faak, K., Coogan, L. A., &amp; Chakraborty, S. (2015). Near conductive cooling rates in the upper-plutonic section of crust formed at the East Pacific Rise. </w:t>
      </w:r>
      <w:r w:rsidRPr="00DC5220">
        <w:rPr>
          <w:i/>
          <w:iCs/>
          <w:noProof/>
        </w:rPr>
        <w:t>Earth and Planetary Science Letters</w:t>
      </w:r>
      <w:r w:rsidRPr="00DC5220">
        <w:rPr>
          <w:noProof/>
        </w:rPr>
        <w:t xml:space="preserve">, </w:t>
      </w:r>
      <w:r w:rsidRPr="00DC5220">
        <w:rPr>
          <w:i/>
          <w:iCs/>
          <w:noProof/>
        </w:rPr>
        <w:t>423</w:t>
      </w:r>
      <w:r w:rsidRPr="00DC5220">
        <w:rPr>
          <w:noProof/>
        </w:rPr>
        <w:t>, 36–47. https://doi.org/10.1016/j.epsl.2015.04.025</w:t>
      </w:r>
    </w:p>
    <w:p w14:paraId="3F006AB4"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Faak, K., Chakraborty, S., Coogan, L. A., &amp; Dohmen, R. (2018). Comment on ‘Formation of fast-spreading lower oceanic crust as revealed by a new Mg–REE coupled geospeedometer’ by Sun and Lissenberg. </w:t>
      </w:r>
      <w:r w:rsidRPr="00DC5220">
        <w:rPr>
          <w:i/>
          <w:iCs/>
          <w:noProof/>
        </w:rPr>
        <w:t>Earth and Planetary Science Letters</w:t>
      </w:r>
      <w:r w:rsidRPr="00DC5220">
        <w:rPr>
          <w:noProof/>
        </w:rPr>
        <w:t xml:space="preserve">, </w:t>
      </w:r>
      <w:r w:rsidRPr="00DC5220">
        <w:rPr>
          <w:i/>
          <w:iCs/>
          <w:noProof/>
        </w:rPr>
        <w:t>502</w:t>
      </w:r>
      <w:r w:rsidRPr="00DC5220">
        <w:rPr>
          <w:noProof/>
        </w:rPr>
        <w:t>, 284–286. https://doi.org/10.1016/j.epsl.2018.08.036</w:t>
      </w:r>
    </w:p>
    <w:p w14:paraId="0E0A41FA"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Fabriès, J. (1979). Spinel-olivine geothermometry in peridotites from ultramafic complexes. </w:t>
      </w:r>
      <w:r w:rsidRPr="00DC5220">
        <w:rPr>
          <w:i/>
          <w:iCs/>
          <w:noProof/>
        </w:rPr>
        <w:t>Contributions to Mineralogy and Petrology</w:t>
      </w:r>
      <w:r w:rsidRPr="00DC5220">
        <w:rPr>
          <w:noProof/>
        </w:rPr>
        <w:t xml:space="preserve">, </w:t>
      </w:r>
      <w:r w:rsidRPr="00DC5220">
        <w:rPr>
          <w:i/>
          <w:iCs/>
          <w:noProof/>
        </w:rPr>
        <w:t>69</w:t>
      </w:r>
      <w:r w:rsidRPr="00DC5220">
        <w:rPr>
          <w:noProof/>
        </w:rPr>
        <w:t>(4), 329–336. https://doi.org/10.1007/BF00372258</w:t>
      </w:r>
    </w:p>
    <w:p w14:paraId="3A91CB5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Ganguly, J., &amp; Tirone, M. (1999). Diffusion closure temperature and age of a mineral with arbitrary extent of diffusion: Theoretical formulation and applications. </w:t>
      </w:r>
      <w:r w:rsidRPr="00DC5220">
        <w:rPr>
          <w:i/>
          <w:iCs/>
          <w:noProof/>
        </w:rPr>
        <w:t>Earth and Planetary Science Letters</w:t>
      </w:r>
      <w:r w:rsidRPr="00DC5220">
        <w:rPr>
          <w:noProof/>
        </w:rPr>
        <w:t xml:space="preserve">, </w:t>
      </w:r>
      <w:r w:rsidRPr="00DC5220">
        <w:rPr>
          <w:i/>
          <w:iCs/>
          <w:noProof/>
        </w:rPr>
        <w:t>170</w:t>
      </w:r>
      <w:r w:rsidRPr="00DC5220">
        <w:rPr>
          <w:noProof/>
        </w:rPr>
        <w:t>(1–2), 131–140. https://doi.org/10.1016/S0012-821X(99)00089-8</w:t>
      </w:r>
    </w:p>
    <w:p w14:paraId="0632B94D"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Garrido, C. J., Kelemen, P. B., &amp; Hirth, G. (2001). Variation of cooling rate with depth in lower crust formed at an oceanic spreading ridge: Plagioclase crystal size </w:t>
      </w:r>
      <w:r w:rsidRPr="00DC5220">
        <w:rPr>
          <w:noProof/>
        </w:rPr>
        <w:lastRenderedPageBreak/>
        <w:t xml:space="preserve">distributions in gabbros from the Oman ophiolite. </w:t>
      </w:r>
      <w:r w:rsidRPr="00DC5220">
        <w:rPr>
          <w:i/>
          <w:iCs/>
          <w:noProof/>
        </w:rPr>
        <w:t>Geochemistry, Geophysics, Geosystems</w:t>
      </w:r>
      <w:r w:rsidRPr="00DC5220">
        <w:rPr>
          <w:noProof/>
        </w:rPr>
        <w:t xml:space="preserve">, </w:t>
      </w:r>
      <w:r w:rsidRPr="00DC5220">
        <w:rPr>
          <w:i/>
          <w:iCs/>
          <w:noProof/>
        </w:rPr>
        <w:t>2</w:t>
      </w:r>
      <w:r w:rsidRPr="00DC5220">
        <w:rPr>
          <w:noProof/>
        </w:rPr>
        <w:t>(10). https://doi.org/10.1029/2000GC000136</w:t>
      </w:r>
    </w:p>
    <w:p w14:paraId="62FB79A4"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Gillis, K. M., Snow, J. E., Klaus, A., Guerin, G., Abe, N., Akizawa, N., et al. (2014). Expedition 345 summary, </w:t>
      </w:r>
      <w:r w:rsidRPr="00DC5220">
        <w:rPr>
          <w:i/>
          <w:iCs/>
          <w:noProof/>
        </w:rPr>
        <w:t>345</w:t>
      </w:r>
      <w:r w:rsidRPr="00DC5220">
        <w:rPr>
          <w:noProof/>
        </w:rPr>
        <w:t>. https://doi.org/10.2204/iodp.proc.345.101.2014</w:t>
      </w:r>
    </w:p>
    <w:p w14:paraId="64766B0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Gillis, K. M., Snow, J. E., Klaus, A., Abe, N., Adrião, Á. B., Akizawa, N., et al. (2014). Primitive layered gabbros from fast-spreading lower oceanic crust. </w:t>
      </w:r>
      <w:r w:rsidRPr="00DC5220">
        <w:rPr>
          <w:i/>
          <w:iCs/>
          <w:noProof/>
        </w:rPr>
        <w:t>Nature</w:t>
      </w:r>
      <w:r w:rsidRPr="00DC5220">
        <w:rPr>
          <w:noProof/>
        </w:rPr>
        <w:t xml:space="preserve">, </w:t>
      </w:r>
      <w:r w:rsidRPr="00DC5220">
        <w:rPr>
          <w:i/>
          <w:iCs/>
          <w:noProof/>
        </w:rPr>
        <w:t>505</w:t>
      </w:r>
      <w:r w:rsidRPr="00DC5220">
        <w:rPr>
          <w:noProof/>
        </w:rPr>
        <w:t>(7482), 204–207. https://doi.org/10.1038/nature12778</w:t>
      </w:r>
    </w:p>
    <w:p w14:paraId="2DF505A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Girardeau, J., &amp; Francheteau, J. (1993). Plagioclase-wehrlites and peridotites on the East Pacific Rise (Hess Deep) and the Mid-Atlantic Ridge (DSDP Site 334): evidence for magma percolation in the oceanic upper mantle. </w:t>
      </w:r>
      <w:r w:rsidRPr="00DC5220">
        <w:rPr>
          <w:i/>
          <w:iCs/>
          <w:noProof/>
        </w:rPr>
        <w:t>Earth and Planetary Science Letters</w:t>
      </w:r>
      <w:r w:rsidRPr="00DC5220">
        <w:rPr>
          <w:noProof/>
        </w:rPr>
        <w:t xml:space="preserve">, </w:t>
      </w:r>
      <w:r w:rsidRPr="00DC5220">
        <w:rPr>
          <w:i/>
          <w:iCs/>
          <w:noProof/>
        </w:rPr>
        <w:t>115</w:t>
      </w:r>
      <w:r w:rsidRPr="00DC5220">
        <w:rPr>
          <w:noProof/>
        </w:rPr>
        <w:t>(1–4), 137–149. https://doi.org/10.1016/0012-821X(93)90218-X</w:t>
      </w:r>
    </w:p>
    <w:p w14:paraId="2BE7635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Godard, M., Jousselin, D., &amp; Bodinier, J. L. (2000). Relationships between geochemistry and structure beneath a palaeo-spreading centre: A study of the mantle section in the Oman ophiolite. </w:t>
      </w:r>
      <w:r w:rsidRPr="00DC5220">
        <w:rPr>
          <w:i/>
          <w:iCs/>
          <w:noProof/>
        </w:rPr>
        <w:t>Earth and Planetary Science Letters</w:t>
      </w:r>
      <w:r w:rsidRPr="00DC5220">
        <w:rPr>
          <w:noProof/>
        </w:rPr>
        <w:t xml:space="preserve">, </w:t>
      </w:r>
      <w:r w:rsidRPr="00DC5220">
        <w:rPr>
          <w:i/>
          <w:iCs/>
          <w:noProof/>
        </w:rPr>
        <w:t>180</w:t>
      </w:r>
      <w:r w:rsidRPr="00DC5220">
        <w:rPr>
          <w:noProof/>
        </w:rPr>
        <w:t>(1–2), 133–148. https://doi.org/10.1016/S0012-821X(00)00149-7</w:t>
      </w:r>
    </w:p>
    <w:p w14:paraId="66D9C702"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Gregory, R. T., &amp; Taylor, H. P. (1981). An oxygen isotope profile in a section of Cretaceous oceanic crust, Samail Ophiolite, Oman: Evidence for δ </w:t>
      </w:r>
      <w:r w:rsidRPr="00DC5220">
        <w:rPr>
          <w:noProof/>
          <w:vertAlign w:val="superscript"/>
        </w:rPr>
        <w:t>18</w:t>
      </w:r>
      <w:r w:rsidRPr="00DC5220">
        <w:rPr>
          <w:noProof/>
        </w:rPr>
        <w:t xml:space="preserve"> O buffering of the oceans by deep (&amp;gt;5 km) seawater-hydrothermal circulation at mid-ocean ridges. </w:t>
      </w:r>
      <w:r w:rsidRPr="00DC5220">
        <w:rPr>
          <w:i/>
          <w:iCs/>
          <w:noProof/>
        </w:rPr>
        <w:t>Journal of Geophysical Research: Solid Earth</w:t>
      </w:r>
      <w:r w:rsidRPr="00DC5220">
        <w:rPr>
          <w:noProof/>
        </w:rPr>
        <w:t xml:space="preserve">, </w:t>
      </w:r>
      <w:r w:rsidRPr="00DC5220">
        <w:rPr>
          <w:i/>
          <w:iCs/>
          <w:noProof/>
        </w:rPr>
        <w:t>86</w:t>
      </w:r>
      <w:r w:rsidRPr="00DC5220">
        <w:rPr>
          <w:noProof/>
        </w:rPr>
        <w:t>(B4), 2737–2755. https://doi.org/10.1029/JB086iB04p02737</w:t>
      </w:r>
    </w:p>
    <w:p w14:paraId="4BB4747D"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Grove, T. L., &amp; Bryan, W. B. (1983). Fractionation of pyroxene-phyric MORB at low pressure: An experimental study. </w:t>
      </w:r>
      <w:r w:rsidRPr="00DC5220">
        <w:rPr>
          <w:i/>
          <w:iCs/>
          <w:noProof/>
        </w:rPr>
        <w:t>Contributions to Mineralogy and Petrology</w:t>
      </w:r>
      <w:r w:rsidRPr="00DC5220">
        <w:rPr>
          <w:noProof/>
        </w:rPr>
        <w:t xml:space="preserve">, </w:t>
      </w:r>
      <w:r w:rsidRPr="00DC5220">
        <w:rPr>
          <w:i/>
          <w:iCs/>
          <w:noProof/>
        </w:rPr>
        <w:t>84</w:t>
      </w:r>
      <w:r w:rsidRPr="00DC5220">
        <w:rPr>
          <w:noProof/>
        </w:rPr>
        <w:t>(4), 293–309. https://doi.org/10.1007/BF01160283</w:t>
      </w:r>
    </w:p>
    <w:p w14:paraId="64E5B44D"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Hanghøj, K., Kelemen, P. B., Hassler, D., &amp; Godard, M. (2010). Composition and genesis of depleted mantle peridotites from the Wadi Tayin massif, Oman ophiolite; Major and trace element geochemistry, and Os isotope and PGE systematics. </w:t>
      </w:r>
      <w:r w:rsidRPr="00DC5220">
        <w:rPr>
          <w:i/>
          <w:iCs/>
          <w:noProof/>
        </w:rPr>
        <w:t>Journal of Petrology</w:t>
      </w:r>
      <w:r w:rsidRPr="00DC5220">
        <w:rPr>
          <w:noProof/>
        </w:rPr>
        <w:t xml:space="preserve">, </w:t>
      </w:r>
      <w:r w:rsidRPr="00DC5220">
        <w:rPr>
          <w:i/>
          <w:iCs/>
          <w:noProof/>
        </w:rPr>
        <w:t>51</w:t>
      </w:r>
      <w:r w:rsidRPr="00DC5220">
        <w:rPr>
          <w:noProof/>
        </w:rPr>
        <w:t>(1–2), 201–227. https://doi.org/10.1093/petrology/egp077</w:t>
      </w:r>
    </w:p>
    <w:p w14:paraId="5B42E675"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lastRenderedPageBreak/>
        <w:t xml:space="preserve">Hekinian, R., Bideau, D., Francheteau, J., Cheminee, J. L., Armijo, R., Lonsdale, P., &amp; Blum, N. (1993). Petrology of the East Pacific Rise Crust and Upper Mantle Exposed in Hess Deep ( Eastern Equatorial Pacific ) were zone 85øW a volcanically starved segment of the Cocos-Nazca ridge in the Hess Deep Upper levels and Kashintsev , Fe-oxyhydroxide, </w:t>
      </w:r>
      <w:r w:rsidRPr="00DC5220">
        <w:rPr>
          <w:i/>
          <w:iCs/>
          <w:noProof/>
        </w:rPr>
        <w:t>98</w:t>
      </w:r>
      <w:r w:rsidRPr="00DC5220">
        <w:rPr>
          <w:noProof/>
        </w:rPr>
        <w:t>(92), 8069–8094.</w:t>
      </w:r>
    </w:p>
    <w:p w14:paraId="308FF357"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Henstock, T. J., Woods, A. W., &amp; White, R. S. (1993). The accretion of oceanic crust by episodic sill intrusion. </w:t>
      </w:r>
      <w:r w:rsidRPr="00DC5220">
        <w:rPr>
          <w:i/>
          <w:iCs/>
          <w:noProof/>
        </w:rPr>
        <w:t>Journal of Geophysical Research</w:t>
      </w:r>
      <w:r w:rsidRPr="00DC5220">
        <w:rPr>
          <w:noProof/>
        </w:rPr>
        <w:t xml:space="preserve">, </w:t>
      </w:r>
      <w:r w:rsidRPr="00DC5220">
        <w:rPr>
          <w:i/>
          <w:iCs/>
          <w:noProof/>
        </w:rPr>
        <w:t>98</w:t>
      </w:r>
      <w:r w:rsidRPr="00DC5220">
        <w:rPr>
          <w:noProof/>
        </w:rPr>
        <w:t>(B3), 4143–4161. https://doi.org/10.1029/92JB02661</w:t>
      </w:r>
    </w:p>
    <w:p w14:paraId="1D772C7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Hesse, K. T., Gose, J., Stalder, R., &amp; Schmädicke, E. (2015). Water in orthopyroxene from abyssal spinel peridotites of the East Pacific Rise (ODP Leg 147: Hess Deep). </w:t>
      </w:r>
      <w:r w:rsidRPr="00DC5220">
        <w:rPr>
          <w:i/>
          <w:iCs/>
          <w:noProof/>
        </w:rPr>
        <w:t>Lithos</w:t>
      </w:r>
      <w:r w:rsidRPr="00DC5220">
        <w:rPr>
          <w:noProof/>
        </w:rPr>
        <w:t xml:space="preserve">, </w:t>
      </w:r>
      <w:r w:rsidRPr="00DC5220">
        <w:rPr>
          <w:i/>
          <w:iCs/>
          <w:noProof/>
        </w:rPr>
        <w:t>232</w:t>
      </w:r>
      <w:r w:rsidRPr="00DC5220">
        <w:rPr>
          <w:noProof/>
        </w:rPr>
        <w:t>, 23–34. https://doi.org/10.1016/j.lithos.2015.06.011</w:t>
      </w:r>
    </w:p>
    <w:p w14:paraId="7FF1C597"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Jochum, K. P., Nohl, U., Herwig, K., Lammel, E., Stoll, B., &amp; Hofmann, A. W. (2005). GeoReM: A new geochemical database for reference materials and isotopic standards. </w:t>
      </w:r>
      <w:r w:rsidRPr="00DC5220">
        <w:rPr>
          <w:i/>
          <w:iCs/>
          <w:noProof/>
        </w:rPr>
        <w:t>Geostandards and Geoanalytical Research</w:t>
      </w:r>
      <w:r w:rsidRPr="00DC5220">
        <w:rPr>
          <w:noProof/>
        </w:rPr>
        <w:t xml:space="preserve">, </w:t>
      </w:r>
      <w:r w:rsidRPr="00DC5220">
        <w:rPr>
          <w:i/>
          <w:iCs/>
          <w:noProof/>
        </w:rPr>
        <w:t>29</w:t>
      </w:r>
      <w:r w:rsidRPr="00DC5220">
        <w:rPr>
          <w:noProof/>
        </w:rPr>
        <w:t>(3), 333–338. https://doi.org/10.1111/j.1751-908x.2005.tb00904.x</w:t>
      </w:r>
    </w:p>
    <w:p w14:paraId="7936356D"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Johnson, K. T. M., Dick, H. J. B., &amp; Shimizu, N. (1990). Melting in the Oceanic Upper Mantle’ An Ion Microprobe Study of Diopsides in Abyssal Peridotites. </w:t>
      </w:r>
      <w:r w:rsidRPr="00DC5220">
        <w:rPr>
          <w:i/>
          <w:iCs/>
          <w:noProof/>
        </w:rPr>
        <w:t>Journal of Geophysical Research</w:t>
      </w:r>
      <w:r w:rsidRPr="00DC5220">
        <w:rPr>
          <w:noProof/>
        </w:rPr>
        <w:t xml:space="preserve">, </w:t>
      </w:r>
      <w:r w:rsidRPr="00DC5220">
        <w:rPr>
          <w:i/>
          <w:iCs/>
          <w:noProof/>
        </w:rPr>
        <w:t>95</w:t>
      </w:r>
      <w:r w:rsidRPr="00DC5220">
        <w:rPr>
          <w:noProof/>
        </w:rPr>
        <w:t>(10), 2661–2678. https://doi.org/10.1029/JB095iB03p02661</w:t>
      </w:r>
    </w:p>
    <w:p w14:paraId="2FAC954D"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Jurewicz, A. J. G., &amp; Watson, E. B. (1988). Cations in olivine, Part 2: Diffusion in olivine xenocrysts, with applications to petrology and mineral physics. </w:t>
      </w:r>
      <w:r w:rsidRPr="00DC5220">
        <w:rPr>
          <w:i/>
          <w:iCs/>
          <w:noProof/>
        </w:rPr>
        <w:t>Contributions to Mineralogy and Petrology</w:t>
      </w:r>
      <w:r w:rsidRPr="00DC5220">
        <w:rPr>
          <w:noProof/>
        </w:rPr>
        <w:t xml:space="preserve">, </w:t>
      </w:r>
      <w:r w:rsidRPr="00DC5220">
        <w:rPr>
          <w:i/>
          <w:iCs/>
          <w:noProof/>
        </w:rPr>
        <w:t>99</w:t>
      </w:r>
      <w:r w:rsidRPr="00DC5220">
        <w:rPr>
          <w:noProof/>
        </w:rPr>
        <w:t>(2), 186–201. https://doi.org/10.1007/BF00371460</w:t>
      </w:r>
    </w:p>
    <w:p w14:paraId="0AE88ACF"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Karson, J. A., Klein, E. M., Hurst, S. D., Lee, C. E., Rivizzigno, P. A., Curewitz, D., et al. (2002). Structure of uppermost fast-spread oceanic crust exposed at the Hess Deep Rift: Implications for subaxial processes at the East Pacific Rise. </w:t>
      </w:r>
      <w:r w:rsidRPr="00DC5220">
        <w:rPr>
          <w:i/>
          <w:iCs/>
          <w:noProof/>
        </w:rPr>
        <w:t>Geochemistry, Geophysics, Geosystems</w:t>
      </w:r>
      <w:r w:rsidRPr="00DC5220">
        <w:rPr>
          <w:noProof/>
        </w:rPr>
        <w:t xml:space="preserve">, </w:t>
      </w:r>
      <w:r w:rsidRPr="00DC5220">
        <w:rPr>
          <w:i/>
          <w:iCs/>
          <w:noProof/>
        </w:rPr>
        <w:t>3</w:t>
      </w:r>
      <w:r w:rsidRPr="00DC5220">
        <w:rPr>
          <w:noProof/>
        </w:rPr>
        <w:t>(1), n/a-n/a. https://doi.org/10.1029/2001GC000155</w:t>
      </w:r>
    </w:p>
    <w:p w14:paraId="1621E6E4"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Kelemen, Peter B., Shimizu, N., &amp; Salters, V. J. M. (1995). Extraction of mid-ocean-</w:t>
      </w:r>
      <w:r w:rsidRPr="00DC5220">
        <w:rPr>
          <w:noProof/>
        </w:rPr>
        <w:lastRenderedPageBreak/>
        <w:t xml:space="preserve">ridge basalt from the upwelling mantle by focused flow of melt in dunite channels. </w:t>
      </w:r>
      <w:r w:rsidRPr="00DC5220">
        <w:rPr>
          <w:i/>
          <w:iCs/>
          <w:noProof/>
        </w:rPr>
        <w:t>Nature</w:t>
      </w:r>
      <w:r w:rsidRPr="00DC5220">
        <w:rPr>
          <w:noProof/>
        </w:rPr>
        <w:t>. https://doi.org/10.1038/375747a0</w:t>
      </w:r>
    </w:p>
    <w:p w14:paraId="2DA37B71"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Kelemen, Peter B., Hirth, G., Shimizu, N., Spiegelman, M., &amp; Dick, H. J. B. (1997</w:t>
      </w:r>
      <w:r>
        <w:rPr>
          <w:noProof/>
        </w:rPr>
        <w:t>a</w:t>
      </w:r>
      <w:r w:rsidRPr="00DC5220">
        <w:rPr>
          <w:noProof/>
        </w:rPr>
        <w:t xml:space="preserve">). A review of melt migration processes in the adiabatically upwelling mantle beneath oceanic spreading ridges. </w:t>
      </w:r>
      <w:r w:rsidRPr="00DC5220">
        <w:rPr>
          <w:i/>
          <w:iCs/>
          <w:noProof/>
        </w:rPr>
        <w:t>Philosophical Transactions of the Royal Society of London. Series A: Mathematical, Physical and Engineering Sciences</w:t>
      </w:r>
      <w:r w:rsidRPr="00DC5220">
        <w:rPr>
          <w:noProof/>
        </w:rPr>
        <w:t xml:space="preserve">, </w:t>
      </w:r>
      <w:r w:rsidRPr="00DC5220">
        <w:rPr>
          <w:i/>
          <w:iCs/>
          <w:noProof/>
        </w:rPr>
        <w:t>355</w:t>
      </w:r>
      <w:r w:rsidRPr="00DC5220">
        <w:rPr>
          <w:noProof/>
        </w:rPr>
        <w:t>(1723), 283–318. https://doi.org/10.1098/rsta.1997.0010</w:t>
      </w:r>
    </w:p>
    <w:p w14:paraId="73C363E2"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Kelemen, Peter B., Koga, K., &amp; Shimizu, N. (1997</w:t>
      </w:r>
      <w:r>
        <w:rPr>
          <w:noProof/>
        </w:rPr>
        <w:t>b</w:t>
      </w:r>
      <w:r w:rsidRPr="00DC5220">
        <w:rPr>
          <w:noProof/>
        </w:rPr>
        <w:t xml:space="preserve">). Geochemistry of gabbro sills in the crust-mantle transition zone of the Oman ophiolite: implications for the origin of the oceanic lower crust. </w:t>
      </w:r>
      <w:r w:rsidRPr="00DC5220">
        <w:rPr>
          <w:i/>
          <w:iCs/>
          <w:noProof/>
        </w:rPr>
        <w:t>Earth and Planetary Science Letters</w:t>
      </w:r>
      <w:r w:rsidRPr="00DC5220">
        <w:rPr>
          <w:noProof/>
        </w:rPr>
        <w:t xml:space="preserve">, </w:t>
      </w:r>
      <w:r w:rsidRPr="00DC5220">
        <w:rPr>
          <w:i/>
          <w:iCs/>
          <w:noProof/>
        </w:rPr>
        <w:t>146</w:t>
      </w:r>
      <w:r w:rsidRPr="00DC5220">
        <w:rPr>
          <w:noProof/>
        </w:rPr>
        <w:t>(3–4), 475–488. https://doi.org/10.1016/S0012-821X(96)00235-X</w:t>
      </w:r>
    </w:p>
    <w:p w14:paraId="29DBBA0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Kelemen, Peter B., Matter, J. M., Teagle, D. A. H., Coggon, J. A., &amp; Team, T. O. D. P. S. (2021a). Site CM1: layered gabbros, crustal ultramafic rocks, and mantle harzburgite. In P.B. Kelemen, J. M. Matter, D. A. H. Teagle, &amp; J. A. Coggon (Eds.). College Station, TX: International Ocean Discovery Program. https://doi.org/10.14379/OmanDP.proc.2020</w:t>
      </w:r>
    </w:p>
    <w:p w14:paraId="6D7C922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Kelemen, Peter B., Matter, J. M., Teagle, D. A. H., Coggon, J. A., &amp; Team, T. O. D. P. S. (2021b). Site CM2: Crust–Mantle Transition Zone and into upper mantle. In P.B. Kelemen, J. M. Matter, D. A. H. Teagle, &amp; J. A. Coggon (Eds.). College Station, TX: International Ocean Discovery Program. https://doi.org/10.14379/OmanDP.proc.2020</w:t>
      </w:r>
    </w:p>
    <w:p w14:paraId="5EFFECC9"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Klein, E. M., Smith, D. K., Williams, C. M., &amp; Schouten, H. (2005). Counter-rotating microplates at the Galpagos triple junction. </w:t>
      </w:r>
      <w:r w:rsidRPr="00DC5220">
        <w:rPr>
          <w:i/>
          <w:iCs/>
          <w:noProof/>
        </w:rPr>
        <w:t>Nature</w:t>
      </w:r>
      <w:r w:rsidRPr="00DC5220">
        <w:rPr>
          <w:noProof/>
        </w:rPr>
        <w:t xml:space="preserve">, </w:t>
      </w:r>
      <w:r w:rsidRPr="00DC5220">
        <w:rPr>
          <w:i/>
          <w:iCs/>
          <w:noProof/>
        </w:rPr>
        <w:t>433</w:t>
      </w:r>
      <w:r w:rsidRPr="00DC5220">
        <w:rPr>
          <w:noProof/>
        </w:rPr>
        <w:t>(1986), 855–858.</w:t>
      </w:r>
    </w:p>
    <w:p w14:paraId="1B2BB65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Köhler, T. P., &amp; Brey, G. P. (1990). Calcium exchange between olivine and clinopyroxene calibrated as a geothermobarometer for natural peridotites from 2 to 60 kb with applications. </w:t>
      </w:r>
      <w:r w:rsidRPr="00DC5220">
        <w:rPr>
          <w:i/>
          <w:iCs/>
          <w:noProof/>
        </w:rPr>
        <w:t>Geochimica et Cosmochimica Acta</w:t>
      </w:r>
      <w:r w:rsidRPr="00DC5220">
        <w:rPr>
          <w:noProof/>
        </w:rPr>
        <w:t xml:space="preserve">, </w:t>
      </w:r>
      <w:r w:rsidRPr="00DC5220">
        <w:rPr>
          <w:i/>
          <w:iCs/>
          <w:noProof/>
        </w:rPr>
        <w:t>54</w:t>
      </w:r>
      <w:r w:rsidRPr="00DC5220">
        <w:rPr>
          <w:noProof/>
        </w:rPr>
        <w:t>(9), 2375–2388. https://doi.org/10.1016/0016-7037(90)90226-B</w:t>
      </w:r>
    </w:p>
    <w:p w14:paraId="76FFAB01"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Korenaga, J., &amp; Kelemen, P. B. (1997). Origin of gabbro sills in the Moho transition zone </w:t>
      </w:r>
      <w:r w:rsidRPr="00DC5220">
        <w:rPr>
          <w:noProof/>
        </w:rPr>
        <w:lastRenderedPageBreak/>
        <w:t xml:space="preserve">of the Oman ophiolite: Implications for magma transport in the oceanic lower crust. </w:t>
      </w:r>
      <w:r w:rsidRPr="00DC5220">
        <w:rPr>
          <w:i/>
          <w:iCs/>
          <w:noProof/>
        </w:rPr>
        <w:t>Journal of Geophysical Research: Solid Earth</w:t>
      </w:r>
      <w:r w:rsidRPr="00DC5220">
        <w:rPr>
          <w:noProof/>
        </w:rPr>
        <w:t xml:space="preserve">, </w:t>
      </w:r>
      <w:r w:rsidRPr="00DC5220">
        <w:rPr>
          <w:i/>
          <w:iCs/>
          <w:noProof/>
        </w:rPr>
        <w:t>102</w:t>
      </w:r>
      <w:r w:rsidRPr="00DC5220">
        <w:rPr>
          <w:noProof/>
        </w:rPr>
        <w:t>(B12), 27729–27749. https://doi.org/10.1029/97jb02604</w:t>
      </w:r>
    </w:p>
    <w:p w14:paraId="49503F6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Liang, Y. (2015). A simple model for closure temperature of a trace element in cooling bi-mineralic systems. </w:t>
      </w:r>
      <w:r w:rsidRPr="00DC5220">
        <w:rPr>
          <w:i/>
          <w:iCs/>
          <w:noProof/>
        </w:rPr>
        <w:t>Geochimica et Cosmochimica Acta</w:t>
      </w:r>
      <w:r w:rsidRPr="00DC5220">
        <w:rPr>
          <w:noProof/>
        </w:rPr>
        <w:t xml:space="preserve">, </w:t>
      </w:r>
      <w:r w:rsidRPr="00DC5220">
        <w:rPr>
          <w:i/>
          <w:iCs/>
          <w:noProof/>
        </w:rPr>
        <w:t>165</w:t>
      </w:r>
      <w:r w:rsidRPr="00DC5220">
        <w:rPr>
          <w:noProof/>
        </w:rPr>
        <w:t>, 35–43. https://doi.org/10.1016/j.gca.2015.05.028</w:t>
      </w:r>
    </w:p>
    <w:p w14:paraId="269DE807"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Liang, Y., Sun, C., &amp; Yao, L. (2013). A REE-in-two-pyroxene thermometer for mafic and ultramafic rocks. </w:t>
      </w:r>
      <w:r w:rsidRPr="00DC5220">
        <w:rPr>
          <w:i/>
          <w:iCs/>
          <w:noProof/>
        </w:rPr>
        <w:t>Geochimica et Cosmochimica Acta</w:t>
      </w:r>
      <w:r w:rsidRPr="00DC5220">
        <w:rPr>
          <w:noProof/>
        </w:rPr>
        <w:t xml:space="preserve">, </w:t>
      </w:r>
      <w:r w:rsidRPr="00DC5220">
        <w:rPr>
          <w:i/>
          <w:iCs/>
          <w:noProof/>
        </w:rPr>
        <w:t>102</w:t>
      </w:r>
      <w:r w:rsidRPr="00DC5220">
        <w:rPr>
          <w:noProof/>
        </w:rPr>
        <w:t>, 246–260. https://doi.org/10.1016/j.gca.2012.10.035</w:t>
      </w:r>
    </w:p>
    <w:p w14:paraId="12DB2D9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Lissenberg, C. J., &amp; MacLeod, C. J. (2016). A reactive porous flow control on mid-ocean ridge magmatic evolution. </w:t>
      </w:r>
      <w:r w:rsidRPr="00DC5220">
        <w:rPr>
          <w:i/>
          <w:iCs/>
          <w:noProof/>
        </w:rPr>
        <w:t>Journal of Petrology</w:t>
      </w:r>
      <w:r w:rsidRPr="00DC5220">
        <w:rPr>
          <w:noProof/>
        </w:rPr>
        <w:t xml:space="preserve">, </w:t>
      </w:r>
      <w:r w:rsidRPr="00DC5220">
        <w:rPr>
          <w:i/>
          <w:iCs/>
          <w:noProof/>
        </w:rPr>
        <w:t>57</w:t>
      </w:r>
      <w:r w:rsidRPr="00DC5220">
        <w:rPr>
          <w:noProof/>
        </w:rPr>
        <w:t>(11–12), 2195–2220. https://doi.org/10.1093/petrology/egw074</w:t>
      </w:r>
    </w:p>
    <w:p w14:paraId="7D6F98B1"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Lissenberg, C. J., MacLeod, C. J., Howard, K. A., &amp; Godard, M. (2013). Pervasive reactive melt migration through fast-spreading lower oceanic crust (Hess Deep, equatorial Pacific Ocean). </w:t>
      </w:r>
      <w:r w:rsidRPr="00DC5220">
        <w:rPr>
          <w:i/>
          <w:iCs/>
          <w:noProof/>
        </w:rPr>
        <w:t>Earth and Planetary Science Letters</w:t>
      </w:r>
      <w:r w:rsidRPr="00DC5220">
        <w:rPr>
          <w:noProof/>
        </w:rPr>
        <w:t xml:space="preserve">, </w:t>
      </w:r>
      <w:r w:rsidRPr="00DC5220">
        <w:rPr>
          <w:i/>
          <w:iCs/>
          <w:noProof/>
        </w:rPr>
        <w:t>361</w:t>
      </w:r>
      <w:r w:rsidRPr="00DC5220">
        <w:rPr>
          <w:noProof/>
        </w:rPr>
        <w:t>, 436–447. https://doi.org/10.1016/j.epsl.2012.11.012</w:t>
      </w:r>
    </w:p>
    <w:p w14:paraId="3D41C506"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Lonsdale, P. (1988). Structural Pattern of the Galapagos Microplate and Evolution of the galapagos Triple Junction. </w:t>
      </w:r>
      <w:r w:rsidRPr="00DC5220">
        <w:rPr>
          <w:i/>
          <w:iCs/>
          <w:noProof/>
        </w:rPr>
        <w:t>Journal of Geophysical Research</w:t>
      </w:r>
      <w:r w:rsidRPr="00DC5220">
        <w:rPr>
          <w:noProof/>
        </w:rPr>
        <w:t xml:space="preserve">, </w:t>
      </w:r>
      <w:r w:rsidRPr="00DC5220">
        <w:rPr>
          <w:i/>
          <w:iCs/>
          <w:noProof/>
        </w:rPr>
        <w:t>93</w:t>
      </w:r>
      <w:r w:rsidRPr="00DC5220">
        <w:rPr>
          <w:noProof/>
        </w:rPr>
        <w:t>(B11), 13551–13574. https://doi.org/10.1029/JB093iB11p13551</w:t>
      </w:r>
    </w:p>
    <w:p w14:paraId="1F30417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Lonsdale, P., Blum, N., &amp; Puchelt, H. (1992). The RRR triple junction at the southern end of the Pacific-Cocos East Pacific Rise, </w:t>
      </w:r>
      <w:r w:rsidRPr="00DC5220">
        <w:rPr>
          <w:i/>
          <w:iCs/>
          <w:noProof/>
        </w:rPr>
        <w:t>109</w:t>
      </w:r>
      <w:r w:rsidRPr="00DC5220">
        <w:rPr>
          <w:noProof/>
        </w:rPr>
        <w:t>, 73–85.</w:t>
      </w:r>
    </w:p>
    <w:p w14:paraId="194B1964"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Maclennan, J., Hulme, T., &amp; Singh, S. C. (2004). Thermal models of oceanic crustal accretion: Linking geophysical, geological and petrological observations. </w:t>
      </w:r>
      <w:r w:rsidRPr="00DC5220">
        <w:rPr>
          <w:i/>
          <w:iCs/>
          <w:noProof/>
        </w:rPr>
        <w:t>Geochemistry, Geophysics, Geosystems</w:t>
      </w:r>
      <w:r w:rsidRPr="00DC5220">
        <w:rPr>
          <w:noProof/>
        </w:rPr>
        <w:t xml:space="preserve">, </w:t>
      </w:r>
      <w:r w:rsidRPr="00DC5220">
        <w:rPr>
          <w:i/>
          <w:iCs/>
          <w:noProof/>
        </w:rPr>
        <w:t>5</w:t>
      </w:r>
      <w:r w:rsidRPr="00DC5220">
        <w:rPr>
          <w:noProof/>
        </w:rPr>
        <w:t>(2). https://doi.org/10.1029/2003GC000605</w:t>
      </w:r>
    </w:p>
    <w:p w14:paraId="7119D18A"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Maclennan, John, Hulme, T., &amp; Singh, S. C. (2005). Cooling of the lower oceanic crust. </w:t>
      </w:r>
      <w:r w:rsidRPr="00DC5220">
        <w:rPr>
          <w:i/>
          <w:iCs/>
          <w:noProof/>
        </w:rPr>
        <w:t>Geology</w:t>
      </w:r>
      <w:r w:rsidRPr="00DC5220">
        <w:rPr>
          <w:noProof/>
        </w:rPr>
        <w:t xml:space="preserve">, </w:t>
      </w:r>
      <w:r w:rsidRPr="00DC5220">
        <w:rPr>
          <w:i/>
          <w:iCs/>
          <w:noProof/>
        </w:rPr>
        <w:t>33</w:t>
      </w:r>
      <w:r w:rsidRPr="00DC5220">
        <w:rPr>
          <w:noProof/>
        </w:rPr>
        <w:t>(5), 357–360. https://doi.org/10.1130/G21207.1</w:t>
      </w:r>
    </w:p>
    <w:p w14:paraId="06888E87"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MacLeod, C. J., Johan Lissenberg, C., &amp; Bibby, L. E. (2013). “Moist MORB” axial </w:t>
      </w:r>
      <w:r w:rsidRPr="00DC5220">
        <w:rPr>
          <w:noProof/>
        </w:rPr>
        <w:lastRenderedPageBreak/>
        <w:t xml:space="preserve">magmatism in the Oman ophiolite: The evidence against a mid-ocean ridge origin. </w:t>
      </w:r>
      <w:r w:rsidRPr="00DC5220">
        <w:rPr>
          <w:i/>
          <w:iCs/>
          <w:noProof/>
        </w:rPr>
        <w:t>Geology</w:t>
      </w:r>
      <w:r w:rsidRPr="00DC5220">
        <w:rPr>
          <w:noProof/>
        </w:rPr>
        <w:t xml:space="preserve">, </w:t>
      </w:r>
      <w:r w:rsidRPr="00DC5220">
        <w:rPr>
          <w:i/>
          <w:iCs/>
          <w:noProof/>
        </w:rPr>
        <w:t>41</w:t>
      </w:r>
      <w:r w:rsidRPr="00DC5220">
        <w:rPr>
          <w:noProof/>
        </w:rPr>
        <w:t>(4), 459–462. https://doi.org/10.1130/G33904.1</w:t>
      </w:r>
    </w:p>
    <w:p w14:paraId="3FD07A07"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Mevel, C., Gillis, K. M., Allan, J. F., &amp; Meyer, P. S. (Eds.). (1996). Proceedings of the Ocean Drilling Program, 147 Scientific Results, </w:t>
      </w:r>
      <w:r w:rsidRPr="00DC5220">
        <w:rPr>
          <w:i/>
          <w:iCs/>
          <w:noProof/>
        </w:rPr>
        <w:t>147</w:t>
      </w:r>
      <w:r w:rsidRPr="00DC5220">
        <w:rPr>
          <w:noProof/>
        </w:rPr>
        <w:t>. https://doi.org/10.2973/odp.proc.sr.147.1996</w:t>
      </w:r>
    </w:p>
    <w:p w14:paraId="3BE6461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Mock, D., Neave, D. A., Müller, S., Garbe-Schönberg, D., Namur, O., Ildefonse, B., &amp; Koepke, J. (2021). Formation of Igneous Layering in the Lower Oceanic Crust From the Samail Ophiolite, Sultanate of Oman. </w:t>
      </w:r>
      <w:r w:rsidRPr="00DC5220">
        <w:rPr>
          <w:i/>
          <w:iCs/>
          <w:noProof/>
        </w:rPr>
        <w:t>Journal of Geophysical Research: Solid Earth</w:t>
      </w:r>
      <w:r w:rsidRPr="00DC5220">
        <w:rPr>
          <w:noProof/>
        </w:rPr>
        <w:t xml:space="preserve">, </w:t>
      </w:r>
      <w:r w:rsidRPr="00DC5220">
        <w:rPr>
          <w:i/>
          <w:iCs/>
          <w:noProof/>
        </w:rPr>
        <w:t>126</w:t>
      </w:r>
      <w:r w:rsidRPr="00DC5220">
        <w:rPr>
          <w:noProof/>
        </w:rPr>
        <w:t>(1). https://doi.org/10.1029/2020JB019573</w:t>
      </w:r>
    </w:p>
    <w:p w14:paraId="0C1BE19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Natland, J. H., &amp; Dick, H. J. B. (2009). Paired melt lenses at the East Pacific Rise and the pattern of melt flow through the gabbroic layer at a fast-spreading ridge. </w:t>
      </w:r>
      <w:r w:rsidRPr="00DC5220">
        <w:rPr>
          <w:i/>
          <w:iCs/>
          <w:noProof/>
        </w:rPr>
        <w:t>Lithos</w:t>
      </w:r>
      <w:r w:rsidRPr="00DC5220">
        <w:rPr>
          <w:noProof/>
        </w:rPr>
        <w:t xml:space="preserve">, </w:t>
      </w:r>
      <w:r w:rsidRPr="00DC5220">
        <w:rPr>
          <w:i/>
          <w:iCs/>
          <w:noProof/>
        </w:rPr>
        <w:t>112</w:t>
      </w:r>
      <w:r w:rsidRPr="00DC5220">
        <w:rPr>
          <w:noProof/>
        </w:rPr>
        <w:t>(1–2), 73–86. https://doi.org/10.1016/j.lithos.2009.06.017</w:t>
      </w:r>
    </w:p>
    <w:p w14:paraId="24AADDD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Navon, O., &amp; Stolper, E. (1987). Geochemical Consequences of Melt Percolation: The Upper Mantle as a Chromatographic Column. </w:t>
      </w:r>
      <w:r w:rsidRPr="00DC5220">
        <w:rPr>
          <w:i/>
          <w:iCs/>
          <w:noProof/>
        </w:rPr>
        <w:t>The Journal of Geology</w:t>
      </w:r>
      <w:r w:rsidRPr="00DC5220">
        <w:rPr>
          <w:noProof/>
        </w:rPr>
        <w:t xml:space="preserve">, </w:t>
      </w:r>
      <w:r w:rsidRPr="00DC5220">
        <w:rPr>
          <w:i/>
          <w:iCs/>
          <w:noProof/>
        </w:rPr>
        <w:t>95</w:t>
      </w:r>
      <w:r w:rsidRPr="00DC5220">
        <w:rPr>
          <w:noProof/>
        </w:rPr>
        <w:t>(3), 285–307. https://doi.org/10.1086/629131</w:t>
      </w:r>
    </w:p>
    <w:p w14:paraId="4A0C3A9F"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Nicolas, A. (1989). </w:t>
      </w:r>
      <w:r w:rsidRPr="00DC5220">
        <w:rPr>
          <w:i/>
          <w:iCs/>
          <w:noProof/>
        </w:rPr>
        <w:t>Structures of Ophiolites and Dynamics of Oceanic Lithosphere</w:t>
      </w:r>
      <w:r w:rsidRPr="00DC5220">
        <w:rPr>
          <w:noProof/>
        </w:rPr>
        <w:t xml:space="preserve"> (Vol. 4). Dordrecht: Springer Netherlands. https://doi.org/10.1007/978-94-009-2374-4</w:t>
      </w:r>
    </w:p>
    <w:p w14:paraId="5231B93B"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Nicolas, A., &amp; Boudier, F. (2015). Structural contribution from the Oman ophiolite to processes of crustal accretion at the East Pacific Rise. </w:t>
      </w:r>
      <w:r w:rsidRPr="00DC5220">
        <w:rPr>
          <w:i/>
          <w:iCs/>
          <w:noProof/>
        </w:rPr>
        <w:t>Terra Nova</w:t>
      </w:r>
      <w:r w:rsidRPr="00DC5220">
        <w:rPr>
          <w:noProof/>
        </w:rPr>
        <w:t xml:space="preserve">, </w:t>
      </w:r>
      <w:r w:rsidRPr="00DC5220">
        <w:rPr>
          <w:i/>
          <w:iCs/>
          <w:noProof/>
        </w:rPr>
        <w:t>27</w:t>
      </w:r>
      <w:r w:rsidRPr="00DC5220">
        <w:rPr>
          <w:noProof/>
        </w:rPr>
        <w:t>(2), 77–96. https://doi.org/10.1111/ter.12137</w:t>
      </w:r>
    </w:p>
    <w:p w14:paraId="589BF39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Nicolas, A., Reuber, I., &amp; Benn, K. (1988). A new magma chamber model based on structural studies in the Oman ophiolite. </w:t>
      </w:r>
      <w:r w:rsidRPr="00DC5220">
        <w:rPr>
          <w:i/>
          <w:iCs/>
          <w:noProof/>
        </w:rPr>
        <w:t>Tectonophysics</w:t>
      </w:r>
      <w:r w:rsidRPr="00DC5220">
        <w:rPr>
          <w:noProof/>
        </w:rPr>
        <w:t xml:space="preserve">, </w:t>
      </w:r>
      <w:r w:rsidRPr="00DC5220">
        <w:rPr>
          <w:i/>
          <w:iCs/>
          <w:noProof/>
        </w:rPr>
        <w:t>151</w:t>
      </w:r>
      <w:r w:rsidRPr="00DC5220">
        <w:rPr>
          <w:noProof/>
        </w:rPr>
        <w:t>(1–4), 87–105. https://doi.org/10.1016/0040-1951(88)90242-9</w:t>
      </w:r>
    </w:p>
    <w:p w14:paraId="71DD8614"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Nielsen, R. L., Sours-Page, R. E., &amp; Harpp, K. S. (2000). Role of a Cl-bearing flux in the origin of depleted ocean floor magmas. </w:t>
      </w:r>
      <w:r w:rsidRPr="00DC5220">
        <w:rPr>
          <w:i/>
          <w:iCs/>
          <w:noProof/>
        </w:rPr>
        <w:t>Geochemistry, Geophysics, Geosystems</w:t>
      </w:r>
      <w:r w:rsidRPr="00DC5220">
        <w:rPr>
          <w:noProof/>
        </w:rPr>
        <w:t xml:space="preserve">, </w:t>
      </w:r>
      <w:r w:rsidRPr="00DC5220">
        <w:rPr>
          <w:i/>
          <w:iCs/>
          <w:noProof/>
        </w:rPr>
        <w:t>1</w:t>
      </w:r>
      <w:r w:rsidRPr="00DC5220">
        <w:rPr>
          <w:noProof/>
        </w:rPr>
        <w:t>(5). https://doi.org/10.1029/1999gc000017</w:t>
      </w:r>
    </w:p>
    <w:p w14:paraId="5A6DA85F"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Pallister, J. S., &amp; Hopson, C. A. (1981). Samail ophiolite plutonic suite: field relations, phase variation, cryptic variation and layering, and a model of a spreading ridge </w:t>
      </w:r>
      <w:r w:rsidRPr="00DC5220">
        <w:rPr>
          <w:noProof/>
        </w:rPr>
        <w:lastRenderedPageBreak/>
        <w:t xml:space="preserve">magma chamber. </w:t>
      </w:r>
      <w:r w:rsidRPr="00DC5220">
        <w:rPr>
          <w:i/>
          <w:iCs/>
          <w:noProof/>
        </w:rPr>
        <w:t>Journal of Geophysical Research</w:t>
      </w:r>
      <w:r w:rsidRPr="00DC5220">
        <w:rPr>
          <w:noProof/>
        </w:rPr>
        <w:t xml:space="preserve">, </w:t>
      </w:r>
      <w:r w:rsidRPr="00DC5220">
        <w:rPr>
          <w:i/>
          <w:iCs/>
          <w:noProof/>
        </w:rPr>
        <w:t>86</w:t>
      </w:r>
      <w:r w:rsidRPr="00DC5220">
        <w:rPr>
          <w:noProof/>
        </w:rPr>
        <w:t>(B4), 2593–2644. https://doi.org/10.1029/JB086iB04p02593</w:t>
      </w:r>
    </w:p>
    <w:p w14:paraId="3BE12F23"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Pallister, J. S., &amp; Knight, R. J. (1981). Rare-earth element geochemistry of the Samail Ophiolite near Ibra, Oman. </w:t>
      </w:r>
      <w:r w:rsidRPr="00DC5220">
        <w:rPr>
          <w:i/>
          <w:iCs/>
          <w:noProof/>
        </w:rPr>
        <w:t>Journal of Geophysical Research: Solid Earth</w:t>
      </w:r>
      <w:r w:rsidRPr="00DC5220">
        <w:rPr>
          <w:noProof/>
        </w:rPr>
        <w:t xml:space="preserve">, </w:t>
      </w:r>
      <w:r w:rsidRPr="00DC5220">
        <w:rPr>
          <w:i/>
          <w:iCs/>
          <w:noProof/>
        </w:rPr>
        <w:t>86</w:t>
      </w:r>
      <w:r w:rsidRPr="00DC5220">
        <w:rPr>
          <w:noProof/>
        </w:rPr>
        <w:t>(B4), 2673–2697. https://doi.org/10.1029/JB086iB04p02673</w:t>
      </w:r>
    </w:p>
    <w:p w14:paraId="48DA1766"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Pearce, J. A., Alabaster, T., Shelton, A. W., &amp; Searle, M. P. (1981). The Oman ophiolite as a Cretaceous arc-basin complex: evidence and implications. </w:t>
      </w:r>
      <w:r w:rsidRPr="00DC5220">
        <w:rPr>
          <w:i/>
          <w:iCs/>
          <w:noProof/>
        </w:rPr>
        <w:t>Philosophical Transactions of the Royal Society of London. Series A, Mathematical and Physical Sciences</w:t>
      </w:r>
      <w:r w:rsidRPr="00DC5220">
        <w:rPr>
          <w:noProof/>
        </w:rPr>
        <w:t xml:space="preserve">, </w:t>
      </w:r>
      <w:r w:rsidRPr="00DC5220">
        <w:rPr>
          <w:i/>
          <w:iCs/>
          <w:noProof/>
        </w:rPr>
        <w:t>300</w:t>
      </w:r>
      <w:r w:rsidRPr="00DC5220">
        <w:rPr>
          <w:noProof/>
        </w:rPr>
        <w:t>(1454), 299–317. https://doi.org/10.1098/rsta.1981.0066</w:t>
      </w:r>
    </w:p>
    <w:p w14:paraId="71C07B0B"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Phipps Morgan, J., &amp; Chen, Y. J. (1993). The genesis of oceanic crust: Magma injection, hydrothermal circulation, and crustal flow. </w:t>
      </w:r>
      <w:r w:rsidRPr="00DC5220">
        <w:rPr>
          <w:i/>
          <w:iCs/>
          <w:noProof/>
        </w:rPr>
        <w:t>Journal of Geophysical Research: Solid Earth</w:t>
      </w:r>
      <w:r w:rsidRPr="00DC5220">
        <w:rPr>
          <w:noProof/>
        </w:rPr>
        <w:t xml:space="preserve">, </w:t>
      </w:r>
      <w:r w:rsidRPr="00DC5220">
        <w:rPr>
          <w:i/>
          <w:iCs/>
          <w:noProof/>
        </w:rPr>
        <w:t>98</w:t>
      </w:r>
      <w:r w:rsidRPr="00DC5220">
        <w:rPr>
          <w:noProof/>
        </w:rPr>
        <w:t>(B4), 6283–6297. https://doi.org/10.1029/92JB02650</w:t>
      </w:r>
    </w:p>
    <w:p w14:paraId="003D50C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Pirard, C., Hermann, J., &amp; O’neill, H. S. C. (2013). Petrology and geochemistry of the crust-mantle boundary in a Nascent Arc, Massif du Sud Ophiolite, New Caledonia, SW Pacific. </w:t>
      </w:r>
      <w:r w:rsidRPr="00DC5220">
        <w:rPr>
          <w:i/>
          <w:iCs/>
          <w:noProof/>
        </w:rPr>
        <w:t>Journal of Petrology</w:t>
      </w:r>
      <w:r w:rsidRPr="00DC5220">
        <w:rPr>
          <w:noProof/>
        </w:rPr>
        <w:t xml:space="preserve">, </w:t>
      </w:r>
      <w:r w:rsidRPr="00DC5220">
        <w:rPr>
          <w:i/>
          <w:iCs/>
          <w:noProof/>
        </w:rPr>
        <w:t>54</w:t>
      </w:r>
      <w:r w:rsidRPr="00DC5220">
        <w:rPr>
          <w:noProof/>
        </w:rPr>
        <w:t>(9), 1759–1792. https://doi.org/10.1093/petrology/egt030</w:t>
      </w:r>
    </w:p>
    <w:p w14:paraId="4B50BED4"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Purdy, G. M., Kong, L. S. L., Christeson, G. L., &amp; Solomon, S. C. (1992). Relationship between spreading rate and the seismic structure of mid-ocean ridges. </w:t>
      </w:r>
      <w:r w:rsidRPr="00DC5220">
        <w:rPr>
          <w:i/>
          <w:iCs/>
          <w:noProof/>
        </w:rPr>
        <w:t>Nature</w:t>
      </w:r>
      <w:r w:rsidRPr="00DC5220">
        <w:rPr>
          <w:noProof/>
        </w:rPr>
        <w:t xml:space="preserve">, </w:t>
      </w:r>
      <w:r w:rsidRPr="00DC5220">
        <w:rPr>
          <w:i/>
          <w:iCs/>
          <w:noProof/>
        </w:rPr>
        <w:t>355</w:t>
      </w:r>
      <w:r w:rsidRPr="00DC5220">
        <w:rPr>
          <w:noProof/>
        </w:rPr>
        <w:t>(6363), 815–817. https://doi.org/10.1038/355815a0</w:t>
      </w:r>
    </w:p>
    <w:p w14:paraId="73B5B15E"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Putirka, K. (1997). Magma transport at Hawaii: Inferences based on igneous thermobarometry. </w:t>
      </w:r>
      <w:r w:rsidRPr="00DC5220">
        <w:rPr>
          <w:i/>
          <w:iCs/>
          <w:noProof/>
        </w:rPr>
        <w:t>Geology</w:t>
      </w:r>
      <w:r w:rsidRPr="00DC5220">
        <w:rPr>
          <w:noProof/>
        </w:rPr>
        <w:t xml:space="preserve">, </w:t>
      </w:r>
      <w:r w:rsidRPr="00DC5220">
        <w:rPr>
          <w:i/>
          <w:iCs/>
          <w:noProof/>
        </w:rPr>
        <w:t>25</w:t>
      </w:r>
      <w:r w:rsidRPr="00DC5220">
        <w:rPr>
          <w:noProof/>
        </w:rPr>
        <w:t>(1), 69–72. https://doi.org/10.1130/0091-7613(1997)025&lt;0069:MTAHIB&gt;2.3.CO;2</w:t>
      </w:r>
    </w:p>
    <w:p w14:paraId="1C625006"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Python, M., &amp; Ceuleneer, G. (2003). Nature and distribution of dykes and related melt migration structures in the mantle section of the Oman ophiolite. </w:t>
      </w:r>
      <w:r w:rsidRPr="00DC5220">
        <w:rPr>
          <w:i/>
          <w:iCs/>
          <w:noProof/>
        </w:rPr>
        <w:t>Geochemistry, Geophysics, Geosystems</w:t>
      </w:r>
      <w:r w:rsidRPr="00DC5220">
        <w:rPr>
          <w:noProof/>
        </w:rPr>
        <w:t xml:space="preserve">, </w:t>
      </w:r>
      <w:r w:rsidRPr="00DC5220">
        <w:rPr>
          <w:i/>
          <w:iCs/>
          <w:noProof/>
        </w:rPr>
        <w:t>4</w:t>
      </w:r>
      <w:r w:rsidRPr="00DC5220">
        <w:rPr>
          <w:noProof/>
        </w:rPr>
        <w:t>(7), 1–34. https://doi.org/10.1029/2002GC000354</w:t>
      </w:r>
    </w:p>
    <w:p w14:paraId="02A4A6D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Quick, J. E., &amp; Denlinger, R. P. (1993). Ductile deformation and the origin of layered gabbro in ophiolites. </w:t>
      </w:r>
      <w:r w:rsidRPr="00DC5220">
        <w:rPr>
          <w:i/>
          <w:iCs/>
          <w:noProof/>
        </w:rPr>
        <w:t>Journal of Geophysical Research: Solid Earth</w:t>
      </w:r>
      <w:r w:rsidRPr="00DC5220">
        <w:rPr>
          <w:noProof/>
        </w:rPr>
        <w:t xml:space="preserve">, </w:t>
      </w:r>
      <w:r w:rsidRPr="00DC5220">
        <w:rPr>
          <w:i/>
          <w:iCs/>
          <w:noProof/>
        </w:rPr>
        <w:t>98</w:t>
      </w:r>
      <w:r w:rsidRPr="00DC5220">
        <w:rPr>
          <w:noProof/>
        </w:rPr>
        <w:t>(B8), 14015–14027. https://doi.org/10.1029/93jb00698</w:t>
      </w:r>
    </w:p>
    <w:p w14:paraId="01A0289F"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lastRenderedPageBreak/>
        <w:t xml:space="preserve">Rioux, M., Garber, J., Bauer, A., Bowring, S., Searle, M., Kelemen, P. B., &amp; Hacker, B. (2016). Synchronous formation of the metamorphic sole and igneous crust of the Semail ophiolite: New constraints on the tectonic evolution during ophiolite formation from high-precision U–Pb zircon geochronology. </w:t>
      </w:r>
      <w:r w:rsidRPr="00DC5220">
        <w:rPr>
          <w:i/>
          <w:iCs/>
          <w:noProof/>
        </w:rPr>
        <w:t>Earth and Planetary Science Letters</w:t>
      </w:r>
      <w:r w:rsidRPr="00DC5220">
        <w:rPr>
          <w:noProof/>
        </w:rPr>
        <w:t xml:space="preserve">, </w:t>
      </w:r>
      <w:r w:rsidRPr="00DC5220">
        <w:rPr>
          <w:i/>
          <w:iCs/>
          <w:noProof/>
        </w:rPr>
        <w:t>451</w:t>
      </w:r>
      <w:r w:rsidRPr="00DC5220">
        <w:rPr>
          <w:noProof/>
        </w:rPr>
        <w:t>, 185–195. https://doi.org/10.1016/j.epsl.2016.06.051</w:t>
      </w:r>
    </w:p>
    <w:p w14:paraId="784311EF"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Sinton, J. M., &amp; Detrick, R. S. (1992). Mid-ocean ridge magma chambers. </w:t>
      </w:r>
      <w:r w:rsidRPr="00DC5220">
        <w:rPr>
          <w:i/>
          <w:iCs/>
          <w:noProof/>
        </w:rPr>
        <w:t>Journal of Geophysical Research</w:t>
      </w:r>
      <w:r w:rsidRPr="00DC5220">
        <w:rPr>
          <w:noProof/>
        </w:rPr>
        <w:t xml:space="preserve">, </w:t>
      </w:r>
      <w:r w:rsidRPr="00DC5220">
        <w:rPr>
          <w:i/>
          <w:iCs/>
          <w:noProof/>
        </w:rPr>
        <w:t>97</w:t>
      </w:r>
      <w:r w:rsidRPr="00DC5220">
        <w:rPr>
          <w:noProof/>
        </w:rPr>
        <w:t>(B1), 197–216. https://doi.org/10.1029/91JB02508</w:t>
      </w:r>
    </w:p>
    <w:p w14:paraId="4013FB2C"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Sleep, N. H. (1975). Formation of oceanic crust: Some thermal constraints. </w:t>
      </w:r>
      <w:r w:rsidRPr="00DC5220">
        <w:rPr>
          <w:i/>
          <w:iCs/>
          <w:noProof/>
        </w:rPr>
        <w:t>Journal of Geophysical Research</w:t>
      </w:r>
      <w:r w:rsidRPr="00DC5220">
        <w:rPr>
          <w:noProof/>
        </w:rPr>
        <w:t xml:space="preserve">, </w:t>
      </w:r>
      <w:r w:rsidRPr="00DC5220">
        <w:rPr>
          <w:i/>
          <w:iCs/>
          <w:noProof/>
        </w:rPr>
        <w:t>80</w:t>
      </w:r>
      <w:r w:rsidRPr="00DC5220">
        <w:rPr>
          <w:noProof/>
        </w:rPr>
        <w:t>(29), 4037–4042. https://doi.org/10.1029/JB080i029p04037</w:t>
      </w:r>
    </w:p>
    <w:p w14:paraId="5997AFA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Smewing, J. D. (1981). Mixing characteristics and compositional differences in mantle-derived melts beneath spreading axes: Evidence from cyclically layered rocks in the ophiolite of North Oman. </w:t>
      </w:r>
      <w:r w:rsidRPr="00DC5220">
        <w:rPr>
          <w:i/>
          <w:iCs/>
          <w:noProof/>
        </w:rPr>
        <w:t>Journal of Geophysical Research: Solid Earth</w:t>
      </w:r>
      <w:r w:rsidRPr="00DC5220">
        <w:rPr>
          <w:noProof/>
        </w:rPr>
        <w:t xml:space="preserve">, </w:t>
      </w:r>
      <w:r w:rsidRPr="00DC5220">
        <w:rPr>
          <w:i/>
          <w:iCs/>
          <w:noProof/>
        </w:rPr>
        <w:t>86</w:t>
      </w:r>
      <w:r w:rsidRPr="00DC5220">
        <w:rPr>
          <w:noProof/>
        </w:rPr>
        <w:t>(B4), 2645–2659. https://doi.org/10.1029/jb086ib04p02645</w:t>
      </w:r>
    </w:p>
    <w:p w14:paraId="2B3AB6B8"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Sparks, J. (2011). LasyBoy. Boston University, U.S.A.</w:t>
      </w:r>
    </w:p>
    <w:p w14:paraId="06807FE6"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Sun, C., &amp; Liang, Y. (2017). A REE-in-plagioclase–clinopyroxene thermometer for crustal rocks. </w:t>
      </w:r>
      <w:r w:rsidRPr="00DC5220">
        <w:rPr>
          <w:i/>
          <w:iCs/>
          <w:noProof/>
        </w:rPr>
        <w:t>Contributions to Mineralogy and Petrology</w:t>
      </w:r>
      <w:r w:rsidRPr="00DC5220">
        <w:rPr>
          <w:noProof/>
        </w:rPr>
        <w:t xml:space="preserve">, </w:t>
      </w:r>
      <w:r w:rsidRPr="00DC5220">
        <w:rPr>
          <w:i/>
          <w:iCs/>
          <w:noProof/>
        </w:rPr>
        <w:t>172</w:t>
      </w:r>
      <w:r w:rsidRPr="00DC5220">
        <w:rPr>
          <w:noProof/>
        </w:rPr>
        <w:t>(4), 1–20. https://doi.org/10.1007/s00410-016-1326-9</w:t>
      </w:r>
    </w:p>
    <w:p w14:paraId="0AB73FDF"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Sun, C., &amp; Lissenberg, C. J. (2018a). Formation of fast-spreading lower oceanic crust as revealed by a new Mg–REE coupled geospeedometer. </w:t>
      </w:r>
      <w:r w:rsidRPr="00DC5220">
        <w:rPr>
          <w:i/>
          <w:iCs/>
          <w:noProof/>
        </w:rPr>
        <w:t>Earth and Planetary Science Letters</w:t>
      </w:r>
      <w:r w:rsidRPr="00DC5220">
        <w:rPr>
          <w:noProof/>
        </w:rPr>
        <w:t xml:space="preserve">, </w:t>
      </w:r>
      <w:r w:rsidRPr="00DC5220">
        <w:rPr>
          <w:i/>
          <w:iCs/>
          <w:noProof/>
        </w:rPr>
        <w:t>487</w:t>
      </w:r>
      <w:r w:rsidRPr="00DC5220">
        <w:rPr>
          <w:noProof/>
        </w:rPr>
        <w:t>, 165–178. https://doi.org/10.1016/j.epsl.2018.01.032</w:t>
      </w:r>
    </w:p>
    <w:p w14:paraId="331A1306"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Sun, C., &amp; Lissenberg, C. J. (2018b). Caveats and challenges in geospeedometry: A reply to Faak et al.’s critique of the Mg–REE coupled geospeedometry. </w:t>
      </w:r>
      <w:r w:rsidRPr="00DC5220">
        <w:rPr>
          <w:i/>
          <w:iCs/>
          <w:noProof/>
        </w:rPr>
        <w:t>Earth and Planetary Science Letters</w:t>
      </w:r>
      <w:r w:rsidRPr="00DC5220">
        <w:rPr>
          <w:noProof/>
        </w:rPr>
        <w:t xml:space="preserve">, </w:t>
      </w:r>
      <w:r w:rsidRPr="00DC5220">
        <w:rPr>
          <w:i/>
          <w:iCs/>
          <w:noProof/>
        </w:rPr>
        <w:t>502</w:t>
      </w:r>
      <w:r w:rsidRPr="00DC5220">
        <w:rPr>
          <w:noProof/>
        </w:rPr>
        <w:t>, 287–290. https://doi.org/10.1016/j.epsl.2018.08.044</w:t>
      </w:r>
    </w:p>
    <w:p w14:paraId="0A588BD3"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Takazawa, E., Frey, F., Shimizu, N., &amp; Obata, M. (1996). Evolution of the Horoman Peridotite (Hokkaido, Japan): Implications from pyroxene compositions. </w:t>
      </w:r>
      <w:r w:rsidRPr="00DC5220">
        <w:rPr>
          <w:i/>
          <w:iCs/>
          <w:noProof/>
        </w:rPr>
        <w:t>Chemical Geology</w:t>
      </w:r>
      <w:r w:rsidRPr="00DC5220">
        <w:rPr>
          <w:noProof/>
        </w:rPr>
        <w:t xml:space="preserve">, </w:t>
      </w:r>
      <w:r w:rsidRPr="00DC5220">
        <w:rPr>
          <w:i/>
          <w:iCs/>
          <w:noProof/>
        </w:rPr>
        <w:t>134</w:t>
      </w:r>
      <w:r w:rsidRPr="00DC5220">
        <w:rPr>
          <w:noProof/>
        </w:rPr>
        <w:t>(1–3), 3–26. https://doi.org/10.1016/S0009-2541(96)00083-6</w:t>
      </w:r>
    </w:p>
    <w:p w14:paraId="01F8CB70"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lastRenderedPageBreak/>
        <w:t xml:space="preserve">Turcotte, D. L., &amp; Schubert, G. (2002). </w:t>
      </w:r>
      <w:r w:rsidRPr="00DC5220">
        <w:rPr>
          <w:i/>
          <w:iCs/>
          <w:noProof/>
        </w:rPr>
        <w:t>Geodynamics - 2nd edition</w:t>
      </w:r>
      <w:r w:rsidRPr="00DC5220">
        <w:rPr>
          <w:noProof/>
        </w:rPr>
        <w:t>. https://doi.org/10.2277/0521661862</w:t>
      </w:r>
    </w:p>
    <w:p w14:paraId="40A13A7D"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VanTongeren, J. A., Kelemen, P. B., &amp; Hanghøj, K. (2008). Cooling rates in the lower crust of the Oman ophiolite: Ca in olivine, revisited. </w:t>
      </w:r>
      <w:r w:rsidRPr="00DC5220">
        <w:rPr>
          <w:i/>
          <w:iCs/>
          <w:noProof/>
        </w:rPr>
        <w:t>Earth and Planetary Science Letters</w:t>
      </w:r>
      <w:r w:rsidRPr="00DC5220">
        <w:rPr>
          <w:noProof/>
        </w:rPr>
        <w:t xml:space="preserve">, </w:t>
      </w:r>
      <w:r w:rsidRPr="00DC5220">
        <w:rPr>
          <w:i/>
          <w:iCs/>
          <w:noProof/>
        </w:rPr>
        <w:t>267</w:t>
      </w:r>
      <w:r w:rsidRPr="00DC5220">
        <w:rPr>
          <w:noProof/>
        </w:rPr>
        <w:t>(1–2), 69–82. https://doi.org/10.1016/j.epsl.2007.11.034</w:t>
      </w:r>
    </w:p>
    <w:p w14:paraId="044DAD1A"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VanTongeren, J. A., Hirth, G., &amp; Kelemen, P. B. (2015). Constraints on the accretion of the gabbroic lower oceanic crust from plagioclase lattice preferred orientation in the Samail ophiolite. </w:t>
      </w:r>
      <w:r w:rsidRPr="00DC5220">
        <w:rPr>
          <w:i/>
          <w:iCs/>
          <w:noProof/>
        </w:rPr>
        <w:t>Earth and Planetary Science Letters</w:t>
      </w:r>
      <w:r w:rsidRPr="00DC5220">
        <w:rPr>
          <w:noProof/>
        </w:rPr>
        <w:t xml:space="preserve">, </w:t>
      </w:r>
      <w:r w:rsidRPr="00DC5220">
        <w:rPr>
          <w:i/>
          <w:iCs/>
          <w:noProof/>
        </w:rPr>
        <w:t>427</w:t>
      </w:r>
      <w:r w:rsidRPr="00DC5220">
        <w:rPr>
          <w:noProof/>
        </w:rPr>
        <w:t>, 249–261. https://doi.org/10.1016/j.epsl.2015.07.001</w:t>
      </w:r>
    </w:p>
    <w:p w14:paraId="32F660D7"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Villiger, S., Ulmer, P., Müntener, O., &amp; Thompson, A. B. (2004). The liquid line of descent of anhydrous, mantle-derived, tholeiitic liquids by fractional and equilibrium crystallization - An experimental study at 1·0 GPa. </w:t>
      </w:r>
      <w:r w:rsidRPr="00DC5220">
        <w:rPr>
          <w:i/>
          <w:iCs/>
          <w:noProof/>
        </w:rPr>
        <w:t>Journal of Petrology</w:t>
      </w:r>
      <w:r w:rsidRPr="00DC5220">
        <w:rPr>
          <w:noProof/>
        </w:rPr>
        <w:t xml:space="preserve">, </w:t>
      </w:r>
      <w:r w:rsidRPr="00DC5220">
        <w:rPr>
          <w:i/>
          <w:iCs/>
          <w:noProof/>
        </w:rPr>
        <w:t>45</w:t>
      </w:r>
      <w:r w:rsidRPr="00DC5220">
        <w:rPr>
          <w:noProof/>
        </w:rPr>
        <w:t>(12), 2369–2388. https://doi.org/10.1093/petrology/egh042</w:t>
      </w:r>
    </w:p>
    <w:p w14:paraId="30EDD9E5"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Warren, J. M. (2016). Global variations in abyssal peridotite compositions. </w:t>
      </w:r>
      <w:r w:rsidRPr="00DC5220">
        <w:rPr>
          <w:i/>
          <w:iCs/>
          <w:noProof/>
        </w:rPr>
        <w:t>Lithos</w:t>
      </w:r>
      <w:r w:rsidRPr="00DC5220">
        <w:rPr>
          <w:noProof/>
        </w:rPr>
        <w:t xml:space="preserve">, </w:t>
      </w:r>
      <w:r w:rsidRPr="00DC5220">
        <w:rPr>
          <w:i/>
          <w:iCs/>
          <w:noProof/>
        </w:rPr>
        <w:t>248</w:t>
      </w:r>
      <w:r w:rsidRPr="00DC5220">
        <w:rPr>
          <w:noProof/>
        </w:rPr>
        <w:t>–</w:t>
      </w:r>
      <w:r w:rsidRPr="00DC5220">
        <w:rPr>
          <w:i/>
          <w:iCs/>
          <w:noProof/>
        </w:rPr>
        <w:t>251</w:t>
      </w:r>
      <w:r w:rsidRPr="00DC5220">
        <w:rPr>
          <w:noProof/>
        </w:rPr>
        <w:t>, 193–219. https://doi.org/10.1016/j.lithos.2015.12.023</w:t>
      </w:r>
    </w:p>
    <w:p w14:paraId="2FCCEC1A"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Wells, P. R. A. (1977). Pyroxene thermometry in simple and complex systems. </w:t>
      </w:r>
      <w:r w:rsidRPr="00DC5220">
        <w:rPr>
          <w:i/>
          <w:iCs/>
          <w:noProof/>
        </w:rPr>
        <w:t>Contributions to Mineralogy and Petrology</w:t>
      </w:r>
      <w:r w:rsidRPr="00DC5220">
        <w:rPr>
          <w:noProof/>
        </w:rPr>
        <w:t xml:space="preserve">, </w:t>
      </w:r>
      <w:r w:rsidRPr="00DC5220">
        <w:rPr>
          <w:i/>
          <w:iCs/>
          <w:noProof/>
        </w:rPr>
        <w:t>62</w:t>
      </w:r>
      <w:r w:rsidRPr="00DC5220">
        <w:rPr>
          <w:noProof/>
        </w:rPr>
        <w:t>(2), 129–139. https://doi.org/10.1007/BF00372872</w:t>
      </w:r>
    </w:p>
    <w:p w14:paraId="638A66FA" w14:textId="77777777" w:rsidR="0009520B" w:rsidRPr="00DC5220" w:rsidRDefault="0009520B" w:rsidP="00EB54E6">
      <w:pPr>
        <w:widowControl w:val="0"/>
        <w:autoSpaceDE w:val="0"/>
        <w:autoSpaceDN w:val="0"/>
        <w:adjustRightInd w:val="0"/>
        <w:spacing w:before="120" w:line="360" w:lineRule="auto"/>
        <w:ind w:left="480" w:hanging="480"/>
        <w:rPr>
          <w:noProof/>
        </w:rPr>
      </w:pPr>
      <w:r w:rsidRPr="00DC5220">
        <w:rPr>
          <w:noProof/>
        </w:rPr>
        <w:t xml:space="preserve">Witt-Eickschen, G., &amp; Seck, H. A. (1991). Solubility of Ca and Al in orthopyroxene from spinel peridotite: an improved version of an empirical geothermometer. </w:t>
      </w:r>
      <w:r w:rsidRPr="00DC5220">
        <w:rPr>
          <w:i/>
          <w:iCs/>
          <w:noProof/>
        </w:rPr>
        <w:t>Contributions to Mineralogy and Petrology</w:t>
      </w:r>
      <w:r w:rsidRPr="00DC5220">
        <w:rPr>
          <w:noProof/>
        </w:rPr>
        <w:t xml:space="preserve">, </w:t>
      </w:r>
      <w:r w:rsidRPr="00DC5220">
        <w:rPr>
          <w:i/>
          <w:iCs/>
          <w:noProof/>
        </w:rPr>
        <w:t>106</w:t>
      </w:r>
      <w:r w:rsidRPr="00DC5220">
        <w:rPr>
          <w:noProof/>
        </w:rPr>
        <w:t>(4), 431–439. https://doi.org/10.1007/BF00321986</w:t>
      </w:r>
    </w:p>
    <w:p w14:paraId="4C48B0C5" w14:textId="2FB302E8" w:rsidR="0009520B" w:rsidRDefault="0009520B" w:rsidP="00EB54E6">
      <w:pPr>
        <w:spacing w:line="360" w:lineRule="auto"/>
        <w:rPr>
          <w:noProof/>
        </w:rPr>
      </w:pPr>
      <w:r w:rsidRPr="00DC5220">
        <w:rPr>
          <w:noProof/>
        </w:rPr>
        <w:t xml:space="preserve">Yao, L., &amp; Liang, Y. (2015). Closure temperature in cooling bi-mineralic systems: I. Definition and with application to REE-in-two-pyroxene thermometer. </w:t>
      </w:r>
      <w:r w:rsidRPr="00DC5220">
        <w:rPr>
          <w:i/>
          <w:iCs/>
          <w:noProof/>
        </w:rPr>
        <w:t>Geochimica et Cosmochimica Acta</w:t>
      </w:r>
      <w:r w:rsidRPr="00DC5220">
        <w:rPr>
          <w:noProof/>
        </w:rPr>
        <w:t xml:space="preserve">, </w:t>
      </w:r>
      <w:r w:rsidRPr="00DC5220">
        <w:rPr>
          <w:i/>
          <w:iCs/>
          <w:noProof/>
        </w:rPr>
        <w:t>162</w:t>
      </w:r>
      <w:r w:rsidRPr="00DC5220">
        <w:rPr>
          <w:noProof/>
        </w:rPr>
        <w:t xml:space="preserve">, 137–150. </w:t>
      </w:r>
      <w:r w:rsidRPr="0009520B">
        <w:rPr>
          <w:noProof/>
        </w:rPr>
        <w:t>https://doi.org/10.1016/j.gca.2015.03.041</w:t>
      </w:r>
    </w:p>
    <w:p w14:paraId="6616761C" w14:textId="77777777" w:rsidR="0009520B" w:rsidRDefault="0009520B">
      <w:pPr>
        <w:rPr>
          <w:noProof/>
        </w:rPr>
      </w:pPr>
      <w:r>
        <w:rPr>
          <w:noProof/>
        </w:rPr>
        <w:br w:type="page"/>
      </w:r>
    </w:p>
    <w:p w14:paraId="4B64CB8F" w14:textId="17F99A33" w:rsidR="00C62907" w:rsidRPr="00C62907" w:rsidRDefault="00C62907" w:rsidP="0070248D">
      <w:pPr>
        <w:pStyle w:val="Heading2"/>
      </w:pPr>
      <w:bookmarkStart w:id="55" w:name="_Toc109036138"/>
      <w:bookmarkStart w:id="56" w:name="_Toc289175832"/>
      <w:bookmarkEnd w:id="10"/>
      <w:r w:rsidRPr="00C62907">
        <w:lastRenderedPageBreak/>
        <w:t>Appendix</w:t>
      </w:r>
      <w:bookmarkEnd w:id="55"/>
    </w:p>
    <w:p w14:paraId="672A3C91" w14:textId="33576CA6" w:rsidR="004F307D" w:rsidRDefault="00723A23" w:rsidP="00F00EB2">
      <w:pPr>
        <w:pStyle w:val="Heading2"/>
        <w:jc w:val="left"/>
        <w:rPr>
          <w:i/>
          <w:iCs w:val="0"/>
          <w:sz w:val="24"/>
          <w:szCs w:val="26"/>
        </w:rPr>
      </w:pPr>
      <w:bookmarkStart w:id="57" w:name="_Toc109036139"/>
      <w:r w:rsidRPr="00C62907">
        <w:rPr>
          <w:i/>
          <w:iCs w:val="0"/>
          <w:sz w:val="24"/>
          <w:szCs w:val="26"/>
        </w:rPr>
        <w:t xml:space="preserve">Appendix 1. </w:t>
      </w:r>
      <w:r w:rsidR="00EA2F82">
        <w:rPr>
          <w:i/>
          <w:iCs w:val="0"/>
          <w:sz w:val="24"/>
          <w:szCs w:val="26"/>
        </w:rPr>
        <w:t xml:space="preserve">Supplemental </w:t>
      </w:r>
      <w:r w:rsidRPr="00C62907">
        <w:rPr>
          <w:i/>
          <w:iCs w:val="0"/>
          <w:sz w:val="24"/>
          <w:szCs w:val="26"/>
        </w:rPr>
        <w:t>Figures</w:t>
      </w:r>
      <w:bookmarkEnd w:id="57"/>
    </w:p>
    <w:p w14:paraId="7E6A44F5" w14:textId="367D247A" w:rsidR="00EA2F82" w:rsidRDefault="00EA2F82" w:rsidP="00EA2F82">
      <w:pPr>
        <w:keepNext/>
      </w:pPr>
      <w:r>
        <w:rPr>
          <w:rFonts w:ascii="Myriad Pro" w:hAnsi="Myriad Pro"/>
          <w:b/>
          <w:noProof/>
        </w:rPr>
        <w:drawing>
          <wp:inline distT="0" distB="0" distL="0" distR="0" wp14:anchorId="268DF178" wp14:editId="12E28E3F">
            <wp:extent cx="5867400" cy="5029200"/>
            <wp:effectExtent l="0" t="0" r="0" b="0"/>
            <wp:docPr id="57" name="Picture 5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Map&#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7400" cy="5029200"/>
                    </a:xfrm>
                    <a:prstGeom prst="rect">
                      <a:avLst/>
                    </a:prstGeom>
                    <a:noFill/>
                    <a:ln>
                      <a:noFill/>
                    </a:ln>
                  </pic:spPr>
                </pic:pic>
              </a:graphicData>
            </a:graphic>
          </wp:inline>
        </w:drawing>
      </w:r>
    </w:p>
    <w:p w14:paraId="79ED2E83" w14:textId="77777777" w:rsidR="006709E2" w:rsidRDefault="006709E2" w:rsidP="00EA2F82">
      <w:pPr>
        <w:keepNext/>
      </w:pPr>
    </w:p>
    <w:p w14:paraId="69AC18C1" w14:textId="4567999C" w:rsidR="00EA2F82" w:rsidRPr="00EA2F82" w:rsidRDefault="00EA2F82" w:rsidP="00EA2F82">
      <w:r w:rsidRPr="00EA2F82">
        <w:rPr>
          <w:sz w:val="20"/>
          <w:szCs w:val="20"/>
        </w:rPr>
        <w:t xml:space="preserve">Figure </w:t>
      </w:r>
      <w:r>
        <w:rPr>
          <w:sz w:val="20"/>
          <w:szCs w:val="20"/>
        </w:rPr>
        <w:t>1</w:t>
      </w:r>
      <w:r w:rsidRPr="00EA2F82">
        <w:rPr>
          <w:sz w:val="20"/>
          <w:szCs w:val="20"/>
        </w:rPr>
        <w:t>.</w:t>
      </w:r>
      <w:r w:rsidR="004F4776">
        <w:rPr>
          <w:sz w:val="20"/>
          <w:szCs w:val="20"/>
        </w:rPr>
        <w:t>11</w:t>
      </w:r>
      <w:r w:rsidRPr="00EA2F82">
        <w:rPr>
          <w:sz w:val="20"/>
          <w:szCs w:val="20"/>
        </w:rPr>
        <w:t xml:space="preserve">. Sampling locations for new Oman Drilling Project and Hess Deep samples used in this study. (a) Geologic units and ridge-related structures across the Oman and United Arab Emirates ophiolitic suite with the area shown in (b) highlighted with a red box (modified from </w:t>
      </w:r>
      <w:r w:rsidRPr="00EA2F82">
        <w:rPr>
          <w:sz w:val="20"/>
          <w:szCs w:val="20"/>
        </w:rPr>
        <w:fldChar w:fldCharType="begin" w:fldLock="1"/>
      </w:r>
      <w:r w:rsidRPr="00EA2F82">
        <w:rPr>
          <w:sz w:val="20"/>
          <w:szCs w:val="20"/>
        </w:rPr>
        <w:instrText>ADDIN CSL_CITATION {"citationItems":[{"id":"ITEM-1","itemData":{"DOI":"10.1023/A:1026769727917","ISSN":"00253235","abstract":"This study is altogether an extended legend for the folded maps incorporated in this volume, a review of the current knowledge on the Oman-United Arab Emirates ophiolite belt, and a new synthesis at the scale of the entire belt. Following a brief description of the petrological and structural units composing the ophiolite, the content of the three structural maps (planar structures, linear structures and dikes) is presented. Next, we discuss the various constraints introduced by these data in view of a synthesis of the ophiolite belt in terms of an ocean floor spreading system. Because they are the link between the factual results summarised in the maps, and the ridge models, these constraints are critical (and are central to the structural analysis of ophiolites). They introduce severe limits to possible ridge models such as those proposed in the conclusion. After being reassembled in a best geometrical and structural fit, the belt is parted into three domains (Figure 1). The south-eastern and central domains (from Wadi Tayin to Haylayn and possibly Sarami massifs) incorporate a 40-50 km-wide and possibly over 200 km long new ridge segment, oriented NW-SE, which is opening into a 1-2 My older lithosphere oriented NE-SW. The northern domain (from Khawr Fakkan to Hilti massifs) is well explained by a model of propagating (Aswad) and failing (Fizh) ridge segments of nearly parallel NNW-SSE orientation which are separated by a 10-20 km-wide transform zone covering the north of Fizh massif. This new synthesis integrates and updates the local syntheses published so far. It illustrates again the contrast between locally simple ridge segments organised around mantle diapirs and the tectonic complexity of the two larger domains, with, as an example, sheared mantle, vertical Moho and dismembered lower crust with hydrous contamination, near the tip of ridge propagators. The relation between the northern and central-southern domains is obscure because the paleomagnetic results suggest that, with respect to the central-southern domain, the northern domain should have rotated 130° clockwise. Such a large rotation of a 200 km long domain is difficult to explain, inasmuch as the age constraints seem to restrict the possible duration of the rotation to a couple of Myr. The preferred model consists in a progressive clockwise rotation during tectonic accretion of increasingly larger blocks. This is initiated in the northern massifs, progressing over 1-2 Myr, southward to…","author":[{"dropping-particle":"","family":"Nicolas","given":"Adolphe","non-dropping-particle":"","parse-names":false,"suffix":""},{"dropping-particle":"","family":"Bouldier","given":"F.","non-dropping-particle":"","parse-names":false,"suffix":""},{"dropping-particle":"","family":"Ildefonse","given":"Benoît","non-dropping-particle":"","parse-names":false,"suffix":""},{"dropping-particle":"","family":"Ball","given":"E.","non-dropping-particle":"","parse-names":false,"suffix":""}],"container-title":"Marine Geophysical Research","id":"ITEM-1","issue":"3-4","issued":{"date-parts":[["2000"]]},"page":"147-180","title":"Accretion of Oman and United Arab Emirates ophiolite - Discussion of a new structural map","type":"article-journal","volume":"21"},"uris":["http://www.mendeley.com/documents/?uuid=b432a724-f330-4dbf-bfff-0baa00a4ded8"]}],"mendeley":{"formattedCitation":"(Nicolas et al., 2000)","manualFormatting":"Nicolas et al., (2000)","plainTextFormattedCitation":"(Nicolas et al., 2000)","previouslyFormattedCitation":"(Nicolas et al., 2000)"},"properties":{"noteIndex":0},"schema":"https://github.com/citation-style-language/schema/raw/master/csl-citation.json"}</w:instrText>
      </w:r>
      <w:r w:rsidRPr="00EA2F82">
        <w:rPr>
          <w:sz w:val="20"/>
          <w:szCs w:val="20"/>
        </w:rPr>
        <w:fldChar w:fldCharType="separate"/>
      </w:r>
      <w:r w:rsidRPr="00EA2F82">
        <w:rPr>
          <w:noProof/>
          <w:sz w:val="20"/>
          <w:szCs w:val="20"/>
        </w:rPr>
        <w:t>Nicolas et al., (2000)</w:t>
      </w:r>
      <w:r w:rsidRPr="00EA2F82">
        <w:rPr>
          <w:sz w:val="20"/>
          <w:szCs w:val="20"/>
        </w:rPr>
        <w:fldChar w:fldCharType="end"/>
      </w:r>
      <w:r w:rsidRPr="00EA2F82">
        <w:rPr>
          <w:sz w:val="20"/>
          <w:szCs w:val="20"/>
        </w:rPr>
        <w:t xml:space="preserve">). (b) Shows geologic units and sample sites from the Oman Drilling Project with drill site locations analyzed in this study highlighted by a dashed line yellow box (modified from </w:t>
      </w:r>
      <w:r w:rsidRPr="00EA2F82">
        <w:rPr>
          <w:sz w:val="20"/>
          <w:szCs w:val="20"/>
        </w:rPr>
        <w:fldChar w:fldCharType="begin" w:fldLock="1"/>
      </w:r>
      <w:r w:rsidRPr="00EA2F82">
        <w:rPr>
          <w:sz w:val="20"/>
          <w:szCs w:val="20"/>
        </w:rPr>
        <w:instrText>ADDIN CSL_CITATION {"citationItems":[{"id":"ITEM-1","itemData":{"DOI":"10.14379/OmanDP.proc.2020","ISBN":"9789401133586","author":[{"dropping-particle":"","family":"Kelemen","given":"Peter B.","non-dropping-particle":"","parse-names":false,"suffix":""},{"dropping-particle":"","family":"Matter","given":"J.M.","non-dropping-particle":"","parse-names":false,"suffix":""},{"dropping-particle":"","family":"Teagle","given":"D.A.H.","non-dropping-particle":"","parse-names":false,"suffix":""},{"dropping-particle":"","family":"Coggon","given":"J.A.","non-dropping-particle":"","parse-names":false,"suffix":""},{"dropping-particle":"","family":"Team","given":"The Oman Drilling Project Science","non-dropping-particle":"","parse-names":false,"suffix":""}],"collection-title":"Proceedings of the International Ocean Discovery Program","editor":[{"dropping-particle":"","family":"Kelemen","given":"P.B.","non-dropping-particle":"","parse-names":false,"suffix":""},{"dropping-particle":"","family":"Matter","given":"J.M.","non-dropping-particle":"","parse-names":false,"suffix":""},{"dropping-particle":"","family":"Teagle","given":"D.A.H.","non-dropping-particle":"","parse-names":false,"suffix":""},{"dropping-particle":"","family":"Coggon","given":"J.A.","non-dropping-particle":"","parse-names":false,"suffix":""}],"id":"ITEM-1","issue":"February","issued":{"date-parts":[["2020","4","24"]]},"number-of-pages":"1-6","publisher":"International Ocean Discovery Program","title":"Introduction to Science Theme 1B: crust–mantle traverse","type":"book","volume":"Phase 1 an"},"uris":["http://www.mendeley.com/documents/?uuid=373374d8-a8d2-4636-932c-66b8147e0a14"]}],"mendeley":{"formattedCitation":"(Peter B. Kelemen et al., 2020)","manualFormatting":"Kelemen et al., (2020)","plainTextFormattedCitation":"(Peter B. Kelemen et al., 2020)","previouslyFormattedCitation":"(Peter B. Kelemen et al., 2020)"},"properties":{"noteIndex":0},"schema":"https://github.com/citation-style-language/schema/raw/master/csl-citation.json"}</w:instrText>
      </w:r>
      <w:r w:rsidRPr="00EA2F82">
        <w:rPr>
          <w:sz w:val="20"/>
          <w:szCs w:val="20"/>
        </w:rPr>
        <w:fldChar w:fldCharType="separate"/>
      </w:r>
      <w:r w:rsidRPr="00EA2F82">
        <w:rPr>
          <w:noProof/>
          <w:sz w:val="20"/>
          <w:szCs w:val="20"/>
        </w:rPr>
        <w:t>Kelemen et al., (2020)</w:t>
      </w:r>
      <w:r w:rsidRPr="00EA2F82">
        <w:rPr>
          <w:sz w:val="20"/>
          <w:szCs w:val="20"/>
        </w:rPr>
        <w:fldChar w:fldCharType="end"/>
      </w:r>
      <w:r w:rsidRPr="00EA2F82">
        <w:rPr>
          <w:sz w:val="20"/>
          <w:szCs w:val="20"/>
        </w:rPr>
        <w:t xml:space="preserve">. (c) Map of the regional location of Hess Deep in the Eastern Pacific and the spreading center geometry modified from </w:t>
      </w:r>
      <w:r w:rsidRPr="00EA2F82">
        <w:rPr>
          <w:sz w:val="20"/>
          <w:szCs w:val="20"/>
        </w:rPr>
        <w:fldChar w:fldCharType="begin" w:fldLock="1"/>
      </w:r>
      <w:r w:rsidRPr="00EA2F82">
        <w:rPr>
          <w:sz w:val="20"/>
          <w:szCs w:val="20"/>
        </w:rPr>
        <w:instrText>ADDIN CSL_CITATION {"citationItems":[{"id":"ITEM-1","itemData":{"DOI":"10.1130/G37353.1","ISBN":"0091-7613","ISSN":"19432682","abstract":"The cooling history of the lowermost ocean crust formed at the East Pacific Rise and exposed at the Hess Deep Rift is constrained using fresh primitive olivine gabbro and troctolite cores recently recovered by Integrated Ocean Drilling Program Expedition 345. The Mg-in-plagioclase and Ca-in-olivine geospeedometers constrain the initial subsolidus cooling rates, down to closure temperatures in the range of 900-750°C. These independent geospeedometers yield similar slow cooling rates, 0.005-0.0001°C yr&lt;sup&gt;-1&lt;/sup&gt;, with a mean value of 0.0011°C yr&lt;sup&gt;-1&lt;/sup&gt;, making these results robust despite the uncertainties inherent in the methods. The slow cooling rates, derived using natural samples, provide a crucial test of predictions of the thermal structure of the lower crust based on remote imaging techniques and thermal modeling. The cooling rates are most consistent with thermal models that are dominated by conductive cooling within the plutonic complex. This implies that lower crust formed at fast spreading rates remains hot in the near-axis environment, indicating limited hydrothermal fluid ingress and reaction.","author":[{"dropping-particle":"","family":"Faak","given":"Kathrin","non-dropping-particle":"","parse-names":false,"suffix":""},{"dropping-particle":"","family":"Gillis","given":"Kathryn M.","non-dropping-particle":"","parse-names":false,"suffix":""}],"container-title":"Geology","id":"ITEM-1","issue":"2","issued":{"date-parts":[["2016"]]},"page":"115-118","title":"Slow cooling of the lowermost oceanic crust at the fast-spreading East Pacific Rise","type":"article-journal","volume":"44"},"uris":["http://www.mendeley.com/documents/?uuid=9f8c9c44-d761-429d-a308-be5db3af2192"]}],"mendeley":{"formattedCitation":"(Faak &amp; Gillis, 2016)","manualFormatting":"Faak &amp; Gillis, (2016)","plainTextFormattedCitation":"(Faak &amp; Gillis, 2016)","previouslyFormattedCitation":"(Faak &amp; Gillis, 2016)"},"properties":{"noteIndex":0},"schema":"https://github.com/citation-style-language/schema/raw/master/csl-citation.json"}</w:instrText>
      </w:r>
      <w:r w:rsidRPr="00EA2F82">
        <w:rPr>
          <w:sz w:val="20"/>
          <w:szCs w:val="20"/>
        </w:rPr>
        <w:fldChar w:fldCharType="separate"/>
      </w:r>
      <w:r w:rsidRPr="00EA2F82">
        <w:rPr>
          <w:noProof/>
          <w:sz w:val="20"/>
          <w:szCs w:val="20"/>
        </w:rPr>
        <w:t>Faak &amp; Gillis, (2016)</w:t>
      </w:r>
      <w:r w:rsidRPr="00EA2F82">
        <w:rPr>
          <w:sz w:val="20"/>
          <w:szCs w:val="20"/>
        </w:rPr>
        <w:fldChar w:fldCharType="end"/>
      </w:r>
      <w:r w:rsidRPr="00EA2F82">
        <w:rPr>
          <w:sz w:val="20"/>
          <w:szCs w:val="20"/>
        </w:rPr>
        <w:t xml:space="preserve">. The central white box highlights the area shown in panel (d). Panel (d) shows a simplified geologic map of Hess Deep with major features and sampling locations labeled (modified from </w:t>
      </w:r>
      <w:r w:rsidRPr="00EA2F82">
        <w:rPr>
          <w:sz w:val="20"/>
          <w:szCs w:val="20"/>
        </w:rPr>
        <w:fldChar w:fldCharType="begin" w:fldLock="1"/>
      </w:r>
      <w:r w:rsidRPr="00EA2F82">
        <w:rPr>
          <w:sz w:val="20"/>
          <w:szCs w:val="20"/>
        </w:rPr>
        <w:instrText>ADDIN CSL_CITATION {"citationItems":[{"id":"ITEM-1","itemData":{"DOI":"10.2973/odp.proc.sr.147.032.1996","abstract":"We present a synthesis of the tectonics of the Hess Deep rift valley, equatorial East Pacific Rise (EPR), as deduced from structural, paleomagnetic, petrological, geochemical, and borehole geophysical data acquired during Ocean Drilling Program (ODP) Leg 147. These data show that the crustal section and underlying shallow mantle lithologies now exposed in Hess Deep were formed by seafloor spreading at the north-south-trending EPR, were then transported eastward away from the EPR ridge axis, and became influenced by extensional tectonism caused by amagmatic rifting in advance of the westward-propagating Cocos-Nazca spreading center. Seawater influx into layer 3, the plutonic portion of the oceanic crust, commenced soon after crystallization, with pervasive influx of water along randomly oriented microfracture networks and grain boundaries, mostly at temperatures of 600°-750°C. This permeability was probably created by tensile brittle failure upon subsolidus cooling and thermal contraction of the gabbro, and must have been established within several tens of thousands of years after axial magma emplacement and within a few kilometers of the ridge axis. When the upper plutonic section had cooled to a temperature of ~450°C, probably a few tens of kilometers from the EPR axis and tens to a couple of hundred thousand years after axial magmatism, it became influenced by the effects of Cocos-Nazca rifting, and a dense array of east-west tensile fractures developed. Widespread access of seawater to sub-Moho levels and consequent onset of serpentinization occurred at this time. The ODP drill sites are located on an intra-rift horst block in the north of Hess Deep, and previous workers had speculated that serpentinite diapirism was responsible for the differential uplift of this block. However, textural evidence from the drill cores suggests that serpentinization of the shallow mantle there was a predominantly static phenomenon; hence, exhumation of the lower crust and shallow mantle appears to have taken place by block faulting rather than incoherent diapirism. Uplift of the intra-rift ridge was accommodated on normal Cataclastic shear zones, which contain low-temperature mineral assemblages (150°-250°C), implying that uplift occurred at a relatively late stage. Paleomagnetic data from the drillsites, fully restored to geographical coordinates, show that the intra-rift ridge has suffered significant tectonic rotation, with both a northward component of tilt and a …","author":[{"dropping-particle":"","family":"MacLeod","given":"C.J.","non-dropping-particle":"","parse-names":false,"suffix":""},{"dropping-particle":"","family":"Celerier","given":"B.","non-dropping-particle":"","parse-names":false,"suffix":""},{"dropping-particle":"","family":"Fruh-Green","given":"G.L.","non-dropping-particle":"","parse-names":false,"suffix":""},{"dropping-particle":"","family":"Manning","given":"C.E.","non-dropping-particle":"","parse-names":false,"suffix":""}],"container-title":"Proceedings of the Ocean Drilling Program, 147 Scientific Results","id":"ITEM-1","issue":"1990","issued":{"date-parts":[["1996"]]},"title":"Tectonics of Hess Deep: A Synthesis of Drilling Results from Leg 147","type":"article-journal","volume":"147"},"uris":["http://www.mendeley.com/documents/?uuid=6e588c62-da29-4ec2-b7c9-a777aed10322"]}],"mendeley":{"formattedCitation":"(MacLeod et al., 1996)","manualFormatting":"MacLeod et al., (1996)","plainTextFormattedCitation":"(MacLeod et al., 1996)","previouslyFormattedCitation":"(MacLeod et al., 1996)"},"properties":{"noteIndex":0},"schema":"https://github.com/citation-style-language/schema/raw/master/csl-citation.json"}</w:instrText>
      </w:r>
      <w:r w:rsidRPr="00EA2F82">
        <w:rPr>
          <w:sz w:val="20"/>
          <w:szCs w:val="20"/>
        </w:rPr>
        <w:fldChar w:fldCharType="separate"/>
      </w:r>
      <w:r w:rsidRPr="00EA2F82">
        <w:rPr>
          <w:noProof/>
          <w:sz w:val="20"/>
          <w:szCs w:val="20"/>
        </w:rPr>
        <w:t>MacLeod et al., (1996)</w:t>
      </w:r>
      <w:r w:rsidRPr="00EA2F82">
        <w:rPr>
          <w:sz w:val="20"/>
          <w:szCs w:val="20"/>
        </w:rPr>
        <w:fldChar w:fldCharType="end"/>
      </w:r>
      <w:r w:rsidRPr="00EA2F82">
        <w:rPr>
          <w:sz w:val="20"/>
          <w:szCs w:val="20"/>
        </w:rPr>
        <w:t xml:space="preserve">). Sites used in this study are represented by yellow five-point stars. </w:t>
      </w:r>
      <w:r w:rsidRPr="00EA2F82">
        <w:br w:type="page"/>
      </w:r>
    </w:p>
    <w:p w14:paraId="467C4101" w14:textId="493AE4D3" w:rsidR="00EA2F82" w:rsidRPr="00C165AD" w:rsidRDefault="00C165AD" w:rsidP="00C165AD">
      <w:pPr>
        <w:pStyle w:val="Caption"/>
        <w:rPr>
          <w:b w:val="0"/>
          <w:bCs w:val="0"/>
        </w:rPr>
      </w:pPr>
      <w:r w:rsidRPr="00C165AD">
        <w:rPr>
          <w:b w:val="0"/>
          <w:bCs w:val="0"/>
          <w:noProof/>
        </w:rPr>
        <w:lastRenderedPageBreak/>
        <w:drawing>
          <wp:anchor distT="0" distB="0" distL="114300" distR="114300" simplePos="0" relativeHeight="251638784" behindDoc="0" locked="0" layoutInCell="1" allowOverlap="1" wp14:anchorId="2E75492F" wp14:editId="1877C83B">
            <wp:simplePos x="0" y="0"/>
            <wp:positionH relativeFrom="column">
              <wp:posOffset>0</wp:posOffset>
            </wp:positionH>
            <wp:positionV relativeFrom="paragraph">
              <wp:posOffset>0</wp:posOffset>
            </wp:positionV>
            <wp:extent cx="5934075" cy="5667375"/>
            <wp:effectExtent l="0" t="0" r="0" b="0"/>
            <wp:wrapTopAndBottom/>
            <wp:docPr id="56" name="Picture 56"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engineering drawing&#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5667375"/>
                    </a:xfrm>
                    <a:prstGeom prst="rect">
                      <a:avLst/>
                    </a:prstGeom>
                    <a:noFill/>
                    <a:ln>
                      <a:noFill/>
                    </a:ln>
                  </pic:spPr>
                </pic:pic>
              </a:graphicData>
            </a:graphic>
          </wp:anchor>
        </w:drawing>
      </w:r>
      <w:r w:rsidR="00EA2F82" w:rsidRPr="00C165AD">
        <w:rPr>
          <w:b w:val="0"/>
          <w:bCs w:val="0"/>
          <w:sz w:val="20"/>
          <w:szCs w:val="20"/>
        </w:rPr>
        <w:t>Figure 1.</w:t>
      </w:r>
      <w:r w:rsidR="004F4776" w:rsidRPr="00C165AD">
        <w:rPr>
          <w:b w:val="0"/>
          <w:bCs w:val="0"/>
          <w:sz w:val="20"/>
          <w:szCs w:val="20"/>
        </w:rPr>
        <w:t>12</w:t>
      </w:r>
      <w:r w:rsidR="00EA2F82" w:rsidRPr="00C165AD">
        <w:rPr>
          <w:b w:val="0"/>
          <w:bCs w:val="0"/>
          <w:sz w:val="20"/>
          <w:szCs w:val="20"/>
        </w:rPr>
        <w:t xml:space="preserve">. Inversion diagrams from application of REE-in-two-pyroxene </w:t>
      </w:r>
      <w:r w:rsidR="00EA2F82" w:rsidRPr="00C165AD">
        <w:rPr>
          <w:b w:val="0"/>
          <w:bCs w:val="0"/>
          <w:sz w:val="20"/>
          <w:szCs w:val="20"/>
        </w:rPr>
        <w:fldChar w:fldCharType="begin" w:fldLock="1"/>
      </w:r>
      <w:r w:rsidR="00EA2F82" w:rsidRPr="00C165AD">
        <w:rPr>
          <w:b w:val="0"/>
          <w:bCs w:val="0"/>
          <w:sz w:val="20"/>
          <w:szCs w:val="20"/>
        </w:rPr>
        <w:instrText>ADDIN CSL_CITATION {"citationItems":[{"id":"ITEM-1","itemData":{"DOI":"10.1016/j.gca.2012.10.035","ISBN":"0016-7037","ISSN":"00167037","abstract":"A REE-in-two-pyroxene thermometer for mafic and ultramafic rocks has been developed on the basis of the temperature and pyroxene composition dependent rare earth element (REE) partitioning between coexisting orthopyroxene and clinopyroxene. This trace element based two-pyroxene thermometer is built on two parameterized lattice strain models for REE partitioning between pyroxene and basaltic melt that were independently calibrated using data from pyroxene-melt partitioning experiments (Sun and Liang, 2012; Yao et al., 2012). By treating REE and Y as a group in temperature calculations, one can reduce analytical uncertainties in trace element analysis through least squares inversion of orthopyroxene-clinopyroxene partitioning data, and identify and exclude variations induced by secondary or metasomatic processes. For convenience, a simple robust regression program is provided for temperature inversion. Application of the REE-in-two-pyroxene thermometer to well-equilibrated spinel lherzolite and harzburgite xenoliths from the continental lithosphere demonstrates the internal consistency of the two pyroxene-melt REE partitioning models and the trace and major element based pyroxene thermometers: temperatures derived from the REE-in-two-pyroxene thermometer agree very well with temperatures calculated using major element based pyroxene thermometers. Applications of the REE-in-two-pyroxene thermometer to abyssal peridotites and mafic cumulates reveal a significant difference in the calculated temperatures between the REE and major element based pyroxene thermometers: temperatures derived from the REE-in-two-pyroxene thermometer are consistently higher than those derived from the major element based pyroxene thermometers. This discrepancy in temperature likely results from a difference in diffusion rate and hence closure temperature between the 2+ and 3+ cations in the pyroxenes. An independently calibrated REE-in-two-pyroxene thermometer may offer new insight into the thermal history of mafic and ultramafic rocks from the upper mantle and lower crust. ?? 2012 Elsevier Ltd.","author":[{"dropping-particle":"","family":"Liang","given":"Yan","non-dropping-particle":"","parse-names":false,"suffix":""},{"dropping-particle":"","family":"Sun","given":"Chenguang","non-dropping-particle":"","parse-names":false,"suffix":""},{"dropping-particle":"","family":"Yao","given":"Lijing","non-dropping-particle":"","parse-names":false,"suffix":""}],"container-title":"Geochimica et Cosmochimica Acta","id":"ITEM-1","issued":{"date-parts":[["2013"]]},"page":"246-260","publisher":"Elsevier Ltd","title":"A REE-in-two-pyroxene thermometer for mafic and ultramafic rocks","type":"article-journal","volume":"102"},"uris":["http://www.mendeley.com/documents/?uuid=b26fbd8f-ada8-4bbd-b9f4-769e52f10d9a"]}],"mendeley":{"formattedCitation":"(Liang et al., 2013)","plainTextFormattedCitation":"(Liang et al., 2013)","previouslyFormattedCitation":"(Liang et al., 2013)"},"properties":{"noteIndex":0},"schema":"https://github.com/citation-style-language/schema/raw/master/csl-citation.json"}</w:instrText>
      </w:r>
      <w:r w:rsidR="00EA2F82" w:rsidRPr="00C165AD">
        <w:rPr>
          <w:b w:val="0"/>
          <w:bCs w:val="0"/>
          <w:sz w:val="20"/>
          <w:szCs w:val="20"/>
        </w:rPr>
        <w:fldChar w:fldCharType="separate"/>
      </w:r>
      <w:r w:rsidR="00EA2F82" w:rsidRPr="00C165AD">
        <w:rPr>
          <w:b w:val="0"/>
          <w:bCs w:val="0"/>
          <w:noProof/>
          <w:sz w:val="20"/>
          <w:szCs w:val="20"/>
        </w:rPr>
        <w:t>(Liang et al., 2013)</w:t>
      </w:r>
      <w:r w:rsidR="00EA2F82" w:rsidRPr="00C165AD">
        <w:rPr>
          <w:b w:val="0"/>
          <w:bCs w:val="0"/>
          <w:sz w:val="20"/>
          <w:szCs w:val="20"/>
        </w:rPr>
        <w:fldChar w:fldCharType="end"/>
      </w:r>
      <w:r w:rsidR="00EA2F82" w:rsidRPr="00C165AD">
        <w:rPr>
          <w:b w:val="0"/>
          <w:bCs w:val="0"/>
          <w:sz w:val="20"/>
          <w:szCs w:val="20"/>
        </w:rPr>
        <w:t xml:space="preserve"> and REE-in-</w:t>
      </w:r>
      <w:proofErr w:type="spellStart"/>
      <w:r w:rsidR="00EA2F82" w:rsidRPr="00C165AD">
        <w:rPr>
          <w:b w:val="0"/>
          <w:bCs w:val="0"/>
          <w:sz w:val="20"/>
          <w:szCs w:val="20"/>
        </w:rPr>
        <w:t>plag</w:t>
      </w:r>
      <w:proofErr w:type="spellEnd"/>
      <w:r w:rsidR="00EA2F82" w:rsidRPr="00C165AD">
        <w:rPr>
          <w:b w:val="0"/>
          <w:bCs w:val="0"/>
          <w:sz w:val="20"/>
          <w:szCs w:val="20"/>
        </w:rPr>
        <w:t>-</w:t>
      </w:r>
      <w:proofErr w:type="spellStart"/>
      <w:r w:rsidR="00EA2F82" w:rsidRPr="00C165AD">
        <w:rPr>
          <w:b w:val="0"/>
          <w:bCs w:val="0"/>
          <w:sz w:val="20"/>
          <w:szCs w:val="20"/>
        </w:rPr>
        <w:t>cpx</w:t>
      </w:r>
      <w:proofErr w:type="spellEnd"/>
      <w:r w:rsidR="00EA2F82" w:rsidRPr="00C165AD">
        <w:rPr>
          <w:b w:val="0"/>
          <w:bCs w:val="0"/>
          <w:sz w:val="20"/>
          <w:szCs w:val="20"/>
        </w:rPr>
        <w:t xml:space="preserve"> </w:t>
      </w:r>
      <w:r w:rsidR="00EA2F82" w:rsidRPr="00C165AD">
        <w:rPr>
          <w:b w:val="0"/>
          <w:bCs w:val="0"/>
          <w:sz w:val="20"/>
          <w:szCs w:val="20"/>
        </w:rPr>
        <w:fldChar w:fldCharType="begin" w:fldLock="1"/>
      </w:r>
      <w:r w:rsidR="00EA2F82" w:rsidRPr="00C165AD">
        <w:rPr>
          <w:b w:val="0"/>
          <w:bCs w:val="0"/>
          <w:sz w:val="20"/>
          <w:szCs w:val="20"/>
        </w:rPr>
        <w:instrText>ADDIN CSL_CITATION {"citationItems":[{"id":"ITEM-1","itemData":{"DOI":"10.1007/s00410-016-1326-9","ISBN":"0041001613","ISSN":"00107999","abstract":"differences appear between the REE-and Mg-exchange thermometers for the volcanic and cumulate rocks. Through numerical simulations of diffusion in plagioclase-clinopy-roxene systems, we demonstrate that (1) due to their slower diffusion rates, REE in minerals preferentially records crys-tallization or near-crystallization temperatures of the rock, and that (2) Mg is readily rest to lower temperatures for rocks from intermediately or slowly cooled magma bodies but records the initial crystallization temperatures of rocks from rapidly cooled magmas. Given their distinct diffusive responses to temperature changes, REE and Mg closure temperatures recorded by the two thermometers can be used in concert to study thermal and magmatic histories of plagioclase-and clinopyroxene-bearing rocks.","author":[{"dropping-particle":"","family":"Sun","given":"Chenguang","non-dropping-particle":"","parse-names":false,"suffix":""},{"dropping-particle":"","family":"Liang","given":"Yan","non-dropping-particle":"","parse-names":false,"suffix":""}],"container-title":"Contributions to Mineralogy and Petrology","id":"ITEM-1","issue":"4","issued":{"date-parts":[["2017"]]},"page":"1-20","publisher":"Springer Berlin Heidelberg","title":"A REE-in-plagioclase–clinopyroxene thermometer for crustal rocks","type":"article-journal","volume":"172"},"uris":["http://www.mendeley.com/documents/?uuid=3aed1e81-ac55-444c-aa5b-566f814d31e5"]}],"mendeley":{"formattedCitation":"(Sun &amp; Liang, 2017)","plainTextFormattedCitation":"(Sun &amp; Liang, 2017)","previouslyFormattedCitation":"(Sun &amp; Liang, 2017)"},"properties":{"noteIndex":0},"schema":"https://github.com/citation-style-language/schema/raw/master/csl-citation.json"}</w:instrText>
      </w:r>
      <w:r w:rsidR="00EA2F82" w:rsidRPr="00C165AD">
        <w:rPr>
          <w:b w:val="0"/>
          <w:bCs w:val="0"/>
          <w:sz w:val="20"/>
          <w:szCs w:val="20"/>
        </w:rPr>
        <w:fldChar w:fldCharType="separate"/>
      </w:r>
      <w:r w:rsidR="00EA2F82" w:rsidRPr="00C165AD">
        <w:rPr>
          <w:b w:val="0"/>
          <w:bCs w:val="0"/>
          <w:noProof/>
          <w:sz w:val="20"/>
          <w:szCs w:val="20"/>
        </w:rPr>
        <w:t>(Sun &amp; Liang, 2017)</w:t>
      </w:r>
      <w:r w:rsidR="00EA2F82" w:rsidRPr="00C165AD">
        <w:rPr>
          <w:b w:val="0"/>
          <w:bCs w:val="0"/>
          <w:sz w:val="20"/>
          <w:szCs w:val="20"/>
        </w:rPr>
        <w:fldChar w:fldCharType="end"/>
      </w:r>
      <w:r w:rsidR="00EA2F82" w:rsidRPr="00C165AD">
        <w:rPr>
          <w:b w:val="0"/>
          <w:bCs w:val="0"/>
          <w:sz w:val="20"/>
          <w:szCs w:val="20"/>
        </w:rPr>
        <w:t xml:space="preserve"> thermometers to peridotite and gabbro samples from Hess Deep and the Oman Drilling Project. All reported trace element data are shown, with data excluded from the temperature inversions indicated using orange symbols. Data used in the temperature determinations are indicated in yellow. Inversion diagrams were produced using Excel spreadsheets available publicly on the </w:t>
      </w:r>
      <w:r w:rsidR="00EA2F82" w:rsidRPr="00E5080A">
        <w:rPr>
          <w:b w:val="0"/>
          <w:bCs w:val="0"/>
          <w:sz w:val="20"/>
          <w:szCs w:val="20"/>
        </w:rPr>
        <w:t xml:space="preserve">web at </w:t>
      </w:r>
      <w:hyperlink r:id="rId23" w:history="1">
        <w:r w:rsidR="00EA2F82" w:rsidRPr="008701A2">
          <w:rPr>
            <w:rStyle w:val="Hyperlink"/>
            <w:b w:val="0"/>
            <w:bCs w:val="0"/>
            <w:color w:val="auto"/>
            <w:sz w:val="20"/>
            <w:szCs w:val="20"/>
            <w:u w:val="none"/>
          </w:rPr>
          <w:t>http://earth-sun.weebly.com</w:t>
        </w:r>
      </w:hyperlink>
      <w:r w:rsidR="00EA2F82" w:rsidRPr="008701A2">
        <w:rPr>
          <w:b w:val="0"/>
          <w:bCs w:val="0"/>
          <w:sz w:val="20"/>
          <w:szCs w:val="20"/>
        </w:rPr>
        <w:t>.</w:t>
      </w:r>
    </w:p>
    <w:p w14:paraId="7C68D10A" w14:textId="27D68F7E" w:rsidR="00EA2F82" w:rsidRDefault="00EA2F82" w:rsidP="00EA2F82">
      <w:pPr>
        <w:pStyle w:val="Caption"/>
        <w:rPr>
          <w:rFonts w:asciiTheme="minorHAnsi" w:hAnsiTheme="minorHAnsi" w:cstheme="minorBidi"/>
          <w:sz w:val="22"/>
          <w:szCs w:val="22"/>
        </w:rPr>
      </w:pPr>
    </w:p>
    <w:p w14:paraId="0D062E73" w14:textId="77777777" w:rsidR="00EA2F82" w:rsidRDefault="00EA2F82" w:rsidP="00EA2F82">
      <w:pPr>
        <w:keepNext/>
        <w:jc w:val="center"/>
      </w:pPr>
      <w:r>
        <w:rPr>
          <w:noProof/>
        </w:rPr>
        <w:lastRenderedPageBreak/>
        <w:drawing>
          <wp:inline distT="0" distB="0" distL="0" distR="0" wp14:anchorId="64855994" wp14:editId="46493289">
            <wp:extent cx="3800475" cy="3848100"/>
            <wp:effectExtent l="0" t="0" r="9525" b="0"/>
            <wp:docPr id="55" name="Picture 5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00475" cy="3848100"/>
                    </a:xfrm>
                    <a:prstGeom prst="rect">
                      <a:avLst/>
                    </a:prstGeom>
                    <a:noFill/>
                    <a:ln>
                      <a:noFill/>
                    </a:ln>
                  </pic:spPr>
                </pic:pic>
              </a:graphicData>
            </a:graphic>
          </wp:inline>
        </w:drawing>
      </w:r>
    </w:p>
    <w:p w14:paraId="03647865" w14:textId="54311728" w:rsidR="00EA2F82" w:rsidRPr="00EA2F82" w:rsidRDefault="00EA2F82" w:rsidP="00EA2F82">
      <w:pPr>
        <w:pStyle w:val="Caption"/>
        <w:rPr>
          <w:rFonts w:ascii="Myriad Pro" w:hAnsi="Myriad Pro"/>
          <w:b w:val="0"/>
          <w:bCs w:val="0"/>
          <w:sz w:val="20"/>
          <w:szCs w:val="20"/>
        </w:rPr>
      </w:pPr>
      <w:r w:rsidRPr="00EA2F82">
        <w:rPr>
          <w:b w:val="0"/>
          <w:bCs w:val="0"/>
          <w:sz w:val="20"/>
          <w:szCs w:val="20"/>
        </w:rPr>
        <w:t xml:space="preserve">Figure </w:t>
      </w:r>
      <w:r>
        <w:rPr>
          <w:b w:val="0"/>
          <w:bCs w:val="0"/>
          <w:sz w:val="20"/>
          <w:szCs w:val="20"/>
        </w:rPr>
        <w:t>1</w:t>
      </w:r>
      <w:r w:rsidRPr="00EA2F82">
        <w:rPr>
          <w:b w:val="0"/>
          <w:bCs w:val="0"/>
          <w:sz w:val="20"/>
          <w:szCs w:val="20"/>
        </w:rPr>
        <w:t>.</w:t>
      </w:r>
      <w:r w:rsidR="004F4776">
        <w:rPr>
          <w:b w:val="0"/>
          <w:bCs w:val="0"/>
          <w:sz w:val="20"/>
          <w:szCs w:val="20"/>
        </w:rPr>
        <w:t>13</w:t>
      </w:r>
      <w:r w:rsidRPr="00EA2F82">
        <w:rPr>
          <w:b w:val="0"/>
          <w:bCs w:val="0"/>
          <w:sz w:val="20"/>
          <w:szCs w:val="20"/>
        </w:rPr>
        <w:t xml:space="preserve">. A comparison of Ca-in-olivine cooling rates determined for Hess Deep </w:t>
      </w:r>
      <w:proofErr w:type="spellStart"/>
      <w:r w:rsidRPr="00EA2F82">
        <w:rPr>
          <w:b w:val="0"/>
          <w:bCs w:val="0"/>
          <w:sz w:val="20"/>
          <w:szCs w:val="20"/>
        </w:rPr>
        <w:t>gabbros</w:t>
      </w:r>
      <w:proofErr w:type="spellEnd"/>
      <w:r w:rsidRPr="00EA2F82">
        <w:rPr>
          <w:b w:val="0"/>
          <w:bCs w:val="0"/>
          <w:sz w:val="20"/>
          <w:szCs w:val="20"/>
        </w:rPr>
        <w:t xml:space="preserve"> (</w:t>
      </w:r>
      <w:proofErr w:type="spellStart"/>
      <w:r w:rsidRPr="00EA2F82">
        <w:rPr>
          <w:b w:val="0"/>
          <w:bCs w:val="0"/>
          <w:sz w:val="20"/>
          <w:szCs w:val="20"/>
        </w:rPr>
        <w:t>Faak</w:t>
      </w:r>
      <w:proofErr w:type="spellEnd"/>
      <w:r w:rsidRPr="00EA2F82">
        <w:rPr>
          <w:b w:val="0"/>
          <w:bCs w:val="0"/>
          <w:sz w:val="20"/>
          <w:szCs w:val="20"/>
        </w:rPr>
        <w:t xml:space="preserve"> &amp; Gillis, 2016, circles) and gabbros from the Wadi Abyad section of the </w:t>
      </w:r>
      <w:proofErr w:type="spellStart"/>
      <w:r w:rsidRPr="00EA2F82">
        <w:rPr>
          <w:b w:val="0"/>
          <w:bCs w:val="0"/>
          <w:sz w:val="20"/>
          <w:szCs w:val="20"/>
        </w:rPr>
        <w:t>Samail</w:t>
      </w:r>
      <w:proofErr w:type="spellEnd"/>
      <w:r w:rsidRPr="00EA2F82">
        <w:rPr>
          <w:b w:val="0"/>
          <w:bCs w:val="0"/>
          <w:sz w:val="20"/>
          <w:szCs w:val="20"/>
        </w:rPr>
        <w:t xml:space="preserve"> ophiolite (Coogan et al., 2002, triangles) to rates recalculated using the methods we employed in this study. For consistency, literature rates for the Wadi Abyad data were gathered from Coogan et al., 2007, as they were calculated using the Ca-in-olivine diffusivity of Coogan et al., 2005, as employed in the main text and in other studies. The black line is the 1:1 line, green, </w:t>
      </w:r>
      <w:proofErr w:type="gramStart"/>
      <w:r w:rsidRPr="00EA2F82">
        <w:rPr>
          <w:b w:val="0"/>
          <w:bCs w:val="0"/>
          <w:sz w:val="20"/>
          <w:szCs w:val="20"/>
        </w:rPr>
        <w:t>magenta</w:t>
      </w:r>
      <w:proofErr w:type="gramEnd"/>
      <w:r w:rsidRPr="00EA2F82">
        <w:rPr>
          <w:b w:val="0"/>
          <w:bCs w:val="0"/>
          <w:sz w:val="20"/>
          <w:szCs w:val="20"/>
        </w:rPr>
        <w:t xml:space="preserve"> and red dotted lines show order of magnitude deviations of the literature rates from recalculated rates. Recalculated rates are mostly somewhat higher; average deviations of the recalculated rates from the literature rates are 1.4 and 1.6 orders of magnitude for Coogan et al. (2002; 2007) and </w:t>
      </w:r>
      <w:proofErr w:type="spellStart"/>
      <w:r w:rsidRPr="00EA2F82">
        <w:rPr>
          <w:b w:val="0"/>
          <w:bCs w:val="0"/>
          <w:sz w:val="20"/>
          <w:szCs w:val="20"/>
        </w:rPr>
        <w:t>Faak</w:t>
      </w:r>
      <w:proofErr w:type="spellEnd"/>
      <w:r w:rsidRPr="00EA2F82">
        <w:rPr>
          <w:b w:val="0"/>
          <w:bCs w:val="0"/>
          <w:sz w:val="20"/>
          <w:szCs w:val="20"/>
        </w:rPr>
        <w:t xml:space="preserve"> and Gillis (2016) respectively. In the case of the </w:t>
      </w:r>
      <w:proofErr w:type="spellStart"/>
      <w:r w:rsidRPr="00EA2F82">
        <w:rPr>
          <w:b w:val="0"/>
          <w:bCs w:val="0"/>
          <w:sz w:val="20"/>
          <w:szCs w:val="20"/>
        </w:rPr>
        <w:t>Faak</w:t>
      </w:r>
      <w:proofErr w:type="spellEnd"/>
      <w:r w:rsidRPr="00EA2F82">
        <w:rPr>
          <w:b w:val="0"/>
          <w:bCs w:val="0"/>
          <w:sz w:val="20"/>
          <w:szCs w:val="20"/>
        </w:rPr>
        <w:t xml:space="preserve"> &amp; Gillis (2016) dataset, samples with slower rates agree better with the recalculated rates. In the case of the Coogan et al. (2002; 2007) data, samples with faster rates better agree with the recalculated rates.</w:t>
      </w:r>
    </w:p>
    <w:p w14:paraId="406B63D4" w14:textId="77777777" w:rsidR="00EA2F82" w:rsidRDefault="00EA2F82" w:rsidP="00EA2F82">
      <w:pPr>
        <w:jc w:val="center"/>
        <w:rPr>
          <w:rFonts w:ascii="Myriad Pro" w:hAnsi="Myriad Pro"/>
          <w:b/>
        </w:rPr>
      </w:pPr>
    </w:p>
    <w:p w14:paraId="51A3B6B9" w14:textId="5CB392BF" w:rsidR="00EA2F82" w:rsidRDefault="00EA2F82" w:rsidP="00EA2F82">
      <w:pPr>
        <w:rPr>
          <w:rFonts w:ascii="Myriad Pro" w:hAnsi="Myriad Pro"/>
        </w:rPr>
      </w:pPr>
    </w:p>
    <w:p w14:paraId="70119B33" w14:textId="6E7BF05B" w:rsidR="00EA2F82" w:rsidRDefault="00EA2F82">
      <w:pPr>
        <w:rPr>
          <w:rFonts w:ascii="Myriad Pro" w:hAnsi="Myriad Pro"/>
        </w:rPr>
      </w:pPr>
      <w:r>
        <w:rPr>
          <w:rFonts w:ascii="Myriad Pro" w:hAnsi="Myriad Pro"/>
        </w:rPr>
        <w:br w:type="page"/>
      </w:r>
    </w:p>
    <w:p w14:paraId="23C0C494" w14:textId="1295B291" w:rsidR="00EA2F82" w:rsidRDefault="00EA2F82" w:rsidP="00EA2F82">
      <w:pPr>
        <w:pStyle w:val="Heading3"/>
      </w:pPr>
      <w:bookmarkStart w:id="58" w:name="_Toc109036140"/>
      <w:r>
        <w:lastRenderedPageBreak/>
        <w:t>Appendix 1 References</w:t>
      </w:r>
      <w:bookmarkEnd w:id="58"/>
    </w:p>
    <w:p w14:paraId="0917374B" w14:textId="77777777" w:rsidR="00EA2F82" w:rsidRPr="00EA2F82" w:rsidRDefault="00EA2F82" w:rsidP="00EB54E6">
      <w:pPr>
        <w:widowControl w:val="0"/>
        <w:autoSpaceDE w:val="0"/>
        <w:autoSpaceDN w:val="0"/>
        <w:adjustRightInd w:val="0"/>
        <w:spacing w:line="360" w:lineRule="auto"/>
        <w:ind w:left="480" w:hanging="480"/>
        <w:rPr>
          <w:noProof/>
          <w:sz w:val="22"/>
        </w:rPr>
      </w:pPr>
      <w:r w:rsidRPr="00EA2F82">
        <w:fldChar w:fldCharType="begin" w:fldLock="1"/>
      </w:r>
      <w:r w:rsidRPr="00EA2F82">
        <w:instrText xml:space="preserve">ADDIN Mendeley Bibliography CSL_BIBLIOGRAPHY </w:instrText>
      </w:r>
      <w:r w:rsidRPr="00EA2F82">
        <w:fldChar w:fldCharType="separate"/>
      </w:r>
      <w:r w:rsidRPr="00EA2F82">
        <w:rPr>
          <w:noProof/>
        </w:rPr>
        <w:t xml:space="preserve">MacLeod, C. J., Celerier, B., Fruh-Green, G. L., &amp; Manning, C. E. (1996). Tectonics of Hess Deep: A Synthesis of Drilling Results from Leg 147. </w:t>
      </w:r>
      <w:r w:rsidRPr="00EA2F82">
        <w:rPr>
          <w:i/>
          <w:iCs/>
          <w:noProof/>
        </w:rPr>
        <w:t>Proceedings of the Ocean Drilling Program, 147 Scientific Results</w:t>
      </w:r>
      <w:r w:rsidRPr="00EA2F82">
        <w:rPr>
          <w:noProof/>
        </w:rPr>
        <w:t xml:space="preserve">, </w:t>
      </w:r>
      <w:r w:rsidRPr="00EA2F82">
        <w:rPr>
          <w:i/>
          <w:iCs/>
          <w:noProof/>
        </w:rPr>
        <w:t>147</w:t>
      </w:r>
      <w:r w:rsidRPr="00EA2F82">
        <w:rPr>
          <w:noProof/>
        </w:rPr>
        <w:t>(1990). https://doi.org/10.2973/odp.proc.sr.147.032.1996</w:t>
      </w:r>
    </w:p>
    <w:p w14:paraId="5E94A1A0" w14:textId="211B8DBE" w:rsidR="00F00EB2" w:rsidRPr="009107D2" w:rsidRDefault="00EA2F82" w:rsidP="00C165AD">
      <w:pPr>
        <w:widowControl w:val="0"/>
        <w:autoSpaceDE w:val="0"/>
        <w:autoSpaceDN w:val="0"/>
        <w:adjustRightInd w:val="0"/>
        <w:spacing w:line="360" w:lineRule="auto"/>
        <w:ind w:left="480" w:hanging="480"/>
        <w:rPr>
          <w:rFonts w:ascii="Times New Roman" w:hAnsi="Times New Roman" w:cs="Times New Roman"/>
          <w:bCs/>
        </w:rPr>
        <w:sectPr w:rsidR="00F00EB2" w:rsidRPr="009107D2" w:rsidSect="002D28EA">
          <w:pgSz w:w="12240" w:h="15840"/>
          <w:pgMar w:top="1440" w:right="1440" w:bottom="1440" w:left="1440" w:header="720" w:footer="1440" w:gutter="0"/>
          <w:cols w:space="720"/>
          <w:docGrid w:linePitch="360"/>
        </w:sectPr>
      </w:pPr>
      <w:r w:rsidRPr="00EA2F82">
        <w:rPr>
          <w:noProof/>
        </w:rPr>
        <w:t xml:space="preserve">Nicolas, A., Bouldier, F., Ildefonse, B., &amp; Ball, E. (2000). Accretion of Oman and United Arab Emirates ophiolite - Discussion of a new structural map. </w:t>
      </w:r>
      <w:r w:rsidRPr="00EA2F82">
        <w:rPr>
          <w:i/>
          <w:iCs/>
          <w:noProof/>
        </w:rPr>
        <w:t>Marine Geophysical Research</w:t>
      </w:r>
      <w:r w:rsidRPr="00EA2F82">
        <w:rPr>
          <w:noProof/>
        </w:rPr>
        <w:t xml:space="preserve">, </w:t>
      </w:r>
      <w:r w:rsidRPr="00EA2F82">
        <w:rPr>
          <w:i/>
          <w:iCs/>
          <w:noProof/>
        </w:rPr>
        <w:t>21</w:t>
      </w:r>
      <w:r w:rsidRPr="00EA2F82">
        <w:rPr>
          <w:noProof/>
        </w:rPr>
        <w:t>(3–4), 147–180. https://doi.org/10.1023/A:1026769727917</w:t>
      </w:r>
      <w:r w:rsidRPr="00EA2F82">
        <w:fldChar w:fldCharType="end"/>
      </w:r>
      <w:bookmarkEnd w:id="7"/>
    </w:p>
    <w:p w14:paraId="36F7ABAF" w14:textId="69A07A19" w:rsidR="00B15994" w:rsidRDefault="00CD5044" w:rsidP="00DA4466">
      <w:pPr>
        <w:pStyle w:val="Heading1"/>
        <w:rPr>
          <w:caps w:val="0"/>
        </w:rPr>
      </w:pPr>
      <w:bookmarkStart w:id="59" w:name="_Toc289175833"/>
      <w:bookmarkStart w:id="60" w:name="_Toc109036141"/>
      <w:bookmarkEnd w:id="56"/>
      <w:r>
        <w:rPr>
          <w:caps w:val="0"/>
        </w:rPr>
        <w:lastRenderedPageBreak/>
        <w:t xml:space="preserve">Chapter 2: </w:t>
      </w:r>
      <w:r w:rsidR="009107D2" w:rsidRPr="009107D2">
        <w:rPr>
          <w:caps w:val="0"/>
        </w:rPr>
        <w:t>Microstructural Investigation of Ilmenite-Olivine Aggregates Deformed in Shear</w:t>
      </w:r>
      <w:bookmarkStart w:id="61" w:name="_Hlk101191304"/>
      <w:bookmarkStart w:id="62" w:name="_Hlk103595871"/>
      <w:bookmarkEnd w:id="59"/>
      <w:bookmarkEnd w:id="60"/>
    </w:p>
    <w:p w14:paraId="19262DDD" w14:textId="77777777" w:rsidR="00B15994" w:rsidRDefault="00B15994" w:rsidP="001E0B34">
      <w:pPr>
        <w:pStyle w:val="Heading2"/>
        <w:spacing w:line="360" w:lineRule="auto"/>
      </w:pPr>
      <w:r>
        <w:rPr>
          <w:caps/>
        </w:rPr>
        <w:br w:type="page"/>
      </w:r>
      <w:bookmarkStart w:id="63" w:name="_Toc109036142"/>
      <w:r w:rsidRPr="00987EE5">
        <w:lastRenderedPageBreak/>
        <w:t>Abstract</w:t>
      </w:r>
      <w:bookmarkEnd w:id="63"/>
    </w:p>
    <w:p w14:paraId="344C6AA1" w14:textId="042B8119" w:rsidR="00512595" w:rsidRPr="00512595" w:rsidRDefault="00512595" w:rsidP="00512595">
      <w:pPr>
        <w:spacing w:line="360" w:lineRule="auto"/>
        <w:ind w:firstLine="720"/>
      </w:pPr>
      <w:r w:rsidRPr="00512595">
        <w:t>To examine the development of fabrics in different phase percentages of aggregate rocks, general shear molten salt cell experiments were conducted on varying proportions of ilmenite and olivine in a Griggs-style apparatus with confining pressures of 1 GPa and 1100°C, and a nominal axial compression rate of 10</w:t>
      </w:r>
      <w:r w:rsidRPr="00512595">
        <w:rPr>
          <w:vertAlign w:val="superscript"/>
        </w:rPr>
        <w:t>-6</w:t>
      </w:r>
      <w:r w:rsidRPr="00512595">
        <w:t xml:space="preserve"> s</w:t>
      </w:r>
      <w:r w:rsidRPr="00512595">
        <w:rPr>
          <w:vertAlign w:val="superscript"/>
        </w:rPr>
        <w:t>-1</w:t>
      </w:r>
      <w:r w:rsidRPr="00512595">
        <w:t xml:space="preserve">. Data from 5 samples with 4 different aggregate ratios show the weaker phase, ilmenite, taking up deformation, even at volume fractions of 25%, as seen in photomicrograph and electron back scatter diffraction analysis. This data provides a starting point for the use of established aggregate flow law models such as Tullis et al. (1991) and the isostress (Reuss) model as end members for future development and refinement of an aggregate ilmenite-olivine flow law. </w:t>
      </w:r>
    </w:p>
    <w:p w14:paraId="04AC8B06" w14:textId="6FD4D331" w:rsidR="00B15994" w:rsidRDefault="00DF56B1" w:rsidP="00DF56B1">
      <w:pPr>
        <w:pStyle w:val="Heading2"/>
        <w:spacing w:line="360" w:lineRule="auto"/>
      </w:pPr>
      <w:bookmarkStart w:id="64" w:name="_Toc109036143"/>
      <w:r>
        <w:t xml:space="preserve">1. </w:t>
      </w:r>
      <w:r w:rsidR="00B15994" w:rsidRPr="001A261F">
        <w:t>Introduction</w:t>
      </w:r>
      <w:bookmarkEnd w:id="64"/>
    </w:p>
    <w:p w14:paraId="57969D28" w14:textId="77777777" w:rsidR="00512595" w:rsidRPr="00512595" w:rsidRDefault="00512595" w:rsidP="00512595">
      <w:pPr>
        <w:spacing w:line="360" w:lineRule="auto"/>
        <w:ind w:firstLine="720"/>
      </w:pPr>
      <w:r w:rsidRPr="00512595">
        <w:t xml:space="preserve">Flow laws for a range of individual minerals have been established through field and laboratory observations and refined through experimental methods throughout the years, in efforts to explain the deformation behaviors of rocks on Earth and across the solar system </w:t>
      </w:r>
      <w:r w:rsidRPr="00512595">
        <w:fldChar w:fldCharType="begin" w:fldLock="1"/>
      </w:r>
      <w:r w:rsidRPr="00512595">
        <w:instrText>ADDIN CSL_CITATION {"citationItems":[{"id":"ITEM-1","itemData":{"DOI":"10.1016/j.epsl.2009.08.006","ISSN":"0012821X","abstract":"High-temperature, high-pressure triaxial compressive creep experiments were carried out on polycrystalline samples of olivine, (FexMg1 - x)2SiO4, with x ≡ Fe/(Fe + Mg) = 1.0, 0.75, 0.5, and 0.3 to investigate the influence of Fe content on rheological properties of olivine under anhydrous conditions. Samples with grain sizes of &lt; 50 μm were deformed at differential stresses of 50 to 300 MPa primarily in the dislocation-accommodated grain boundary sliding creep regime for temperatures between 1273 and 1473 K with a confining pressure of 300 MPa. Our results, combined with published results on aggregates of Fa10, demonstrate that samples of Fa30, Fa50, Fa75, and Fa100 creep ~ 15, ~ 75, ~ 365, and ~ 1480 times faster than samples of Fa10, respectively, under the same conditions. Our experimental results can be described by the flow lawover(ε, ̇) = over(ε, ̇)gbs0 (frac(σ, μ))ngbs (frac(b, d))2 XFap exp (- frac(Qgbso + α XFa, R T)) with over(ε, ̇)gbs0 = (6.2 ± 5.2) × 105 s- 1, ngbs = 3.9,p = 1.5 ± 0.1, Qgbs0 = 440 ± 10 kJ/mol, and α = - 45 ± 4 kJ/mol. Based on measured dependence of strain rate on iron concentration, we conclude that, at the same thermodynamic conditions, the Martian mantle, which is more rich in Fe than Earth's mantle, will be a factor of ~ 10 less viscous than Earth's mantle. © 2009 Elsevier B.V. All rights reserved.","author":[{"dropping-particle":"","family":"Zhao","given":"Yong Hong","non-dropping-particle":"","parse-names":false,"suffix":""},{"dropping-particle":"","family":"Zimmerman","given":"Mark E.","non-dropping-particle":"","parse-names":false,"suffix":""},{"dropping-particle":"","family":"Kohlstedt","given":"David L.","non-dropping-particle":"","parse-names":false,"suffix":""}],"container-title":"Earth and Planetary Science Letters","id":"ITEM-1","issue":"1-2","issued":{"date-parts":[["2009"]]},"page":"229-240","publisher":"Elsevier B.V.","title":"Effect of iron content on the creep behavior of olivine: 1. Anhydrous conditions","type":"article-journal","volume":"287"},"uris":["http://www.mendeley.com/documents/?uuid=736cf47b-365a-4959-a0fb-cd95a92f95b5"]},{"id":"ITEM-2","itemData":{"DOI":"10.1144/GSL.SP.2001.200.01.11","ISSN":"03058719","abstract":"Quartz veins in the Eastern Tonale mylonite zone (Italian Alps) were deformed in strike-slip shear. Due to the synkinematic emplacement of the Adamello Pluton, a temperature gradient between 280°C and 700°C was effected across this fault zone. The resulting dynamic recrystallization microstructures are characteristic of bulging recrystallization, subgrain rotation recrystallization and grain boundary migration recrystallization. The transitions in recrystallization mechanisms are marked by discrete changes of grain size dependence on temperature. Differential stresses are calculated from the recrystallized grain size data using paleopiezometric relationships. Deformation temperatures are obtained from metamorphic reactions in the deformed host rock. Flow stresses and deformation temperatures are used to determine the strain rate of the Tonale mylonites through integration with several published flow laws yielding an average rate of approximately 10-14s-1 to 10-12s-1. The deformation conditions of the natural fault rocks are compared and correlated with three experimental dislocation creep regimes of quartz of Hirth &amp; Tullis. Linking the microstructures of the naturally and experimentally deformed quartz rocks, a recrystallization mechanism map is presented. This map permits the derivation of temperature and strain rate for mylonitic fault rocks once the recrystallization mechanism is known. © 2002 Geological Society of London.","author":[{"dropping-particle":"","family":"Stipp","given":"Michael","non-dropping-particle":"","parse-names":false,"suffix":""},{"dropping-particle":"","family":"Stünitz","given":"Holger","non-dropping-particle":"","parse-names":false,"suffix":""},{"dropping-particle":"","family":"Heilbronner","given":"Renée","non-dropping-particle":"","parse-names":false,"suffix":""},{"dropping-particle":"","family":"Schmid","given":"Stefan M.","non-dropping-particle":"","parse-names":false,"suffix":""}],"container-title":"Geological Society Special Publication","id":"ITEM-2","issue":"October 2002","issued":{"date-parts":[["2002"]]},"page":"171-190","title":"Dynamic recrystallization of quartz: Correlation between natural and experimental conditions","type":"article-journal","volume":"200"},"uris":["http://www.mendeley.com/documents/?uuid=f2ae03c8-ff1a-4b8f-b0b7-d8e6befdd970"]},{"id":"ITEM-3","itemData":{"DOI":"10.1029/jb079i014p02045","abstract":"Derivation of flow law applicable in P-T range 50-10,000 bars and 1100 degrees -1700 degrees C; discussion of methods and apparatus.","author":[{"dropping-particle":"","family":"Kohlstedt","given":"David L.","non-dropping-particle":"","parse-names":false,"suffix":""},{"dropping-particle":"","family":"Goetze","given":"C.","non-dropping-particle":"","parse-names":false,"suffix":""}],"container-title":"Journal of Geophysical Research","id":"ITEM-3","issue":"14","issued":{"date-parts":[["1974"]]},"page":"2045-2051","title":"Low-stress high-temperature creep in olivine single crystals","type":"article-journal","volume":"79"},"uris":["http://www.mendeley.com/documents/?uuid=412f95ac-e81a-4695-a58d-ded8df331fea"]},{"id":"ITEM-4","itemData":{"DOI":"10.1029/2020JE006494","ISSN":"2169-9097","abstract":"The viscosity of ilmenite is an important parameter that is thought to have influenced the thermal and chemical evolution of the lunar cumulate mantle. We conduct deformation experiments on two different ilmenite compositions, ilmenite100 (FeTiO3) and ilmenite40 ((Fe0.4Mg0.6)TiO3), to investigate the influence of pressure and Mg-content on the rheology of ilmenite aggregates. Experiments were conducted in a Griggs apparatus and a deformation-DIA apparatus at pressures spanning 1–5 GPa. Using the new experimental data and reanalyzed data from Dygert et al. (2016), we determine pressure-dependent flow law parameters for ilmenite100 (A = 2.183 MPa−ns−1, n = 3.0 ± 0.4, E = 276 ± 25 kJ/mol and V = 17 ± 4 cm3/mol) and ilmenite40 (A = 3.936e−7 MPa−ns−1, n = 5.7 ± 0.5, E = 283 ± 25 kJ/mol and V = 26 ± 4 cm3/mol). Over the range of experimental conditions ilmenite40 has a larger stress exponent and activation volume than ilmenite100. Extrapolation of the ilmenite100 flow law predicts a viscosity approximately five orders of magnitude lower than dry olivine and three orders of magnitude lower than wet olivine at a temperature of 1,100°C, pressure of 0.3 GPa, and stress of 0.3 MPa, conditions representative of the early ilmenite-bearing cumulate. Our estimated viscosity contrasts for a dry lunar mantle suggests that lunar cumulate mantle overturn may be dominated by longer wavelength downwellings, while a wet lunar mantle may be dominated by shorter wavelength downwellings.","author":[{"dropping-particle":"","family":"Tokle","given":"Leif","non-dropping-particle":"","parse-names":false,"suffix":""},{"dropping-particle":"","family":"Hirth","given":"Greg","non-dropping-particle":"","parse-names":false,"suffix":""},{"dropping-particle":"","family":"Liang","given":"Yan","non-dropping-particle":"","parse-names":false,"suffix":""},{"dropping-particle":"","family":"Raterron","given":"Paul","non-dropping-particle":"","parse-names":false,"suffix":""},{"dropping-particle":"","family":"Dygert","given":"Nick","non-dropping-particle":"","parse-names":false,"suffix":""}],"container-title":"Journal of Geophysical Research: Planets","id":"ITEM-4","issue":"1","issued":{"date-parts":[["2021","1","28"]]},"page":"1-21","title":"The Effect of Pressure and Mg</w:instrText>
      </w:r>
      <w:r w:rsidRPr="00512595">
        <w:rPr>
          <w:rFonts w:ascii="Cambria Math" w:hAnsi="Cambria Math" w:cs="Cambria Math"/>
        </w:rPr>
        <w:instrText>‐</w:instrText>
      </w:r>
      <w:r w:rsidRPr="00512595">
        <w:instrText>Content on Ilmenite Rheology: Implications for Lunar Cumulate Mantle Overturn","type":"article-journal","volume":"126"},"uris":["http://www.mendeley.com/documents/?uuid=a302dfec-9caf-4cd7-a626-07b6be4d33fc"]},{"id":"ITEM-5","itemData":{"DOI":"10.1098/rsta.1978.0008","ISSN":"0080-4614","abstract":"We summarize the progress made in providing experimental verification for the deformation map of polycrystalline olivine published by Stocker &amp; Ashby in 1973 ( Rev. Geophys . 11, 391). Porosity-free polycrystalline deformation data, applicable to the mantle, were found to be obtainable only from high-pressure deformation studies. Combination of the results of such studies with hardness measurements and single crystal deformation studies on olivine provides narrow constraints on the flow of olivine resulting from dislocation mechanisms from room temperature to the melting point along a band of experimentally accessible strain rates. A good fit is obtained combining a Dorn law above 2 kbar differential stress, e/s -1 =5.7x10 11 ex{-128kcal/mol/RT (1-cr 1 -cr 2 /85000) 2 }, with a power law below 2 kbar, e = 70(cr 1 —cr 3 ) exp{— 122(kcal/mol)/RT}, where stress is measured in bars ( l bar = 10 5 Pa). Indirect data on a mechanism phenomenologically resembling the Goble creep regime are now available from two sources. The observed strain rates are only slightly faster than those predicted by Stocker &amp; Ashby (1973). The ' wet’ data, previously believed to show hydrolytic weakening, are found to fall within this Coble field. The asthenosphere is still expected to deform by the dislocation mechanism summarized by the two formulae given above, but higher stress deformation within the lithosphere is almost certainly dominated by this Coble creep regime once dynamic recrystallization sets in.","author":[{"dropping-particle":"","family":"Goetze","given":"C.","non-dropping-particle":"","parse-names":false,"suffix":""},{"dropping-particle":"","family":"Poirier","given":"J P","non-dropping-particle":"","parse-names":false,"suffix":""}],"container-title":"Philosophical Transactions of the Royal Society of London. Series A, Mathematical and Physical Sciences","id":"ITEM-5","issue":"1350","issued":{"date-parts":[["1978","2","14"]]},"page":"99-119","title":"The mechanisms of creep in olivine","type":"article-journal","volume":"288"},"uris":["http://www.mendeley.com/documents/?uuid=5ff9bddd-26c5-4f10-9282-9b73ba475342"]},{"id":"ITEM-6","itemData":{"DOI":"10.1002/2015GL066546","ISBN":"1944-8007","ISSN":"19448007","abstract":"proposal, MoonThermalEvolution","author":[{"dropping-particle":"","family":"Dygert","given":"Nick","non-dropping-particle":"","parse-names":false,"suffix":""},{"dropping-particle":"","family":"Hirth","given":"Greg","non-dropping-particle":"","parse-names":false,"suffix":""},{"dropping-particle":"","family":"Liang","given":"Yan","non-dropping-particle":"","parse-names":false,"suffix":""}],"container-title":"Geophysical Research Letters","id":"ITEM-6","issue":"2","issued":{"date-parts":[["2016"]]},"page":"532-540","title":"A flow law for ilmenite in dislocation creep: Implications for lunar cumulate mantle overturn","type":"article-journal","volume":"43"},"uris":["http://www.mendeley.com/documents/?uuid=e670bc92-714c-4a03-b692-64f8043aec35"]},{"id":"ITEM-7","itemData":{"DOI":"10.1029/2011JB008220","ISSN":"21699356","abstract":"We performed triaxial compressive creep experiments on aggregates of San Carlos olivine to develop a flow law and to examine microstructural development in the dislocation-accommodated grain boundary sliding regime (GBS). Each experiment included load and temperature steps to determine both the stress exponent and the activation energy. Grain boundary maps, created with electron backscatter diffraction data, were used to quantify grain size distributions for each sample. Inversion of the resulting data produced the following flow law for GBS: $\\dot{\\varepsilon}$GBS = 104.8 0.8 (2.9 0.3/d0.7 0.1) exp[(-445 20 kJ mol-1)/RT], with , d, and $\\dot{\\varepsilon}$GBS in units of MPa, m, and s-1, respectively. Although relatively weak, crystallographic-preferred orientations (CPOs) have [010] maxima parallel to the compression direction along with [100] and [001] girdles perpendicular to the compression direction. CPOs and subgrain boundary misorientation axes suggest that the (010)[100] slip system contributes significantly to deformation. We propose that these experimental results are best modeled by a deformation mechanism in which strain is accomplished primarily through grain boundary sliding accommodated by the motion of dislocations. Extrapolation of our flow laws to mantle conditions suggests that GBS is likely to be the dominant deformation mechanism in both lithospheric shear zones and asthenospheric flow, and therefore strong upper mantle seismic anisotropy can not be attributed solely to the dominance of dislocation creep. Copyright 2011 by the American Geophysical Union.","author":[{"dropping-particle":"","family":"Hansen","given":"Lars N.","non-dropping-particle":"","parse-names":false,"suffix":""},{"dropping-particle":"","family":"Zimmerman","given":"Mark E.","non-dropping-particle":"","parse-names":false,"suffix":""},{"dropping-particle":"","family":"Kohlstedt","given":"David L.","non-dropping-particle":"","parse-names":false,"suffix":""}],"container-title":"Journal of Geophysical Research: Solid Earth","id":"ITEM-7","issue":"8","issued":{"date-parts":[["2011"]]},"page":"1-16","title":"Grain boundary sliding in San Carlos olivine: Flow law parameters and crystallographic-preferred orientation","type":"article-journal","volume":"116"},"uris":["http://www.mendeley.com/documents/?uuid=44afe369-5de5-4954-abe2-72a1f7de1fea"]},{"id":"ITEM-8","itemData":{"DOI":"10.1016/j.epsl.2018.10.017","ISSN":"0012821X","abstract":"We investigated quartzite flow laws based on data from 21 different experimental studies on samples deformed with added water at temperatures from 700 to 1200 °C. Two clear trends emerge: one with a power-law stress exponent of n=4±0.3 and the other, at higher stresses and lower temperatures, with a stress exponent of n=2.7±0.3. The change in stress exponent indicates a transition in the rate-limiting process of dislocation creep. The deformation conditions where the change in n occurs also correlate with conditions where a distinctive change in the c-axis fabric is observed for samples deformed in general shear. At low stresses, quartz fabrics are defined by a Y-max (where c-axes align parallel to the Y direction of the strain ellipse), suggesting easy slip on the prism system. At higher stresses quartz fabrics indicate easy slip on the basal system. The correlation between the stress exponents and c-axis fabrics suggests that the flow law transition results from a concomitant switch in the dominant slip system and the slip system that rate-limits deformation. Alternatively, recent studies on both experimental and natural samples provide evidence for dislocation-accommodated grain boundary sliding (disGBS) in quartz aggregates; microstructures and mechanical data acquired on samples deformed at conditions near the transition between the n=4 and n=2.7 flows laws are indicative of this process, providing evidence for a rheological model similar to that proposed for ice and olivine. Extrapolation of these newly constrained flow laws delineates estimated deformation conditions where the Y-max and basal fabrics are preserved in the crust. These results provide further support for the application of quartzite flow laws to investigate the rheology of the continental crust and motivate more analyses on the grain size dependence of creep in quartz aggregates.","author":[{"dropping-particle":"","family":"Tokle","given":"Leif","non-dropping-particle":"","parse-names":false,"suffix":""},{"dropping-particle":"","family":"Hirth","given":"Greg","non-dropping-particle":"","parse-names":false,"suffix":""},{"dropping-particle":"","family":"Behr","given":"Whitney M.","non-dropping-particle":"","parse-names":false,"suffix":""}],"container-title":"Earth and Planetary Science Letters","id":"ITEM-8","issued":{"date-parts":[["2019"]]},"page":"152-161","publisher":"Elsevier B.V.","title":"Flow laws and fabric transitions in wet quartzite","type":"article-journal","volume":"505"},"uris":["http://www.mendeley.com/documents/?uuid=14e12aa9-5606-4348-ac13-da30ee0cdce4"]},{"id":"ITEM-9","itemData":{"DOI":"10.1002/grl.50170","ISSN":"19448007","abstract":"A meta-analysis of existing experimental deformation data for magnetite and other spinel-structured ferrites reveals that previously published flow laws are inadequate to describe the general deformation behavior of magnetite. Using updated rate equations for oxygen diffusion in magnetite, we present new flow laws that closely predict creep rates similar to those found in deformation experiments and that can be used to predict strain partitioning between cubic Fe oxides and other phases in the Earth's crust. New deformation mechanism maps for magnetite have been constructed as functions of temperature and grain size. Using the revised creep parameters, estimates of strain partitioning between magnetite, ilmenite, and plagioclase indicate that concentrated zones of Fe-Ti oxides in oceanic crust near slow-spreading ridges could accommodate significant amounts of strain at moderate temperatures and may contribute to aseismic creep along spreading-segment faults. Key Points New magnetite flow laws can help predict strain partitioning relationships Magnetite is predicted to be capable of significant low-temperature ductility FeTi-oxides may contribute to strain localization at slow-spreading ridges ©2013. American Geophysical Union. All Rights Reserved.","author":[{"dropping-particle":"","family":"Till","given":"Jessica","non-dropping-particle":"","parse-names":false,"suffix":""},{"dropping-particle":"","family":"Moskowitz","given":"Bruce","non-dropping-particle":"","parse-names":false,"suffix":""}],"container-title":"Geophysical Research Letters","id":"ITEM-9","issue":"4","issued":{"date-parts":[["2013"]]},"page":"697-702","title":"Magnetite deformation mechanism maps for better prediction of strain partitioning","type":"article-journal","volume":"40"},"uris":["http://www.mendeley.com/documents/?uuid=dd5a718c-7be2-4625-bbe8-579a6e58ed5b"]},{"id":"ITEM-10","itemData":{"DOI":"10.1029/138GM06","ISBN":"9781118668573","author":[{"dropping-particle":"","family":"Hirth","given":"Greg","non-dropping-particle":"","parse-names":false,"suffix":""},{"dropping-particle":"","family":"Kohlstedt","given":"David L.","non-dropping-particle":"","parse-names":false,"suffix":""}],"chapter-number":"6","container-title":"Inside the Subduction Factory, Volume 138","editor":[{"dropping-particle":"","family":"Eiler","given":"John M.","non-dropping-particle":"","parse-names":false,"suffix":""}],"id":"ITEM-10","issued":{"date-parts":[["2003"]]},"page":"83-105","publisher":"American Geophysical Union","title":"Rheology of the upper mantle and the mantle wedge: A view from the experimentalists","type":"chapter"},"uris":["http://www.mendeley.com/documents/?uuid=49bab03c-3fce-4415-9eca-c2cf707f8813"]}],"mendeley":{"formattedCitation":"(Dygert et al., 2016; Goetze &amp; Poirier, 1978; Hansen et al., 2011; Hirth &amp; Kohlstedt, 2003; Kohlstedt &amp; Goetze, 1974; Stipp et al., 2002; J. Till &amp; Moskowitz, 2013; Tokle et al., 2019, 2021; Y. H. Zhao et al., 2009)","manualFormatting":"(e.g., Dygert et al., 2016; Goetze &amp; Poirier, 1978; Hansen et al., 2011; Hirth &amp; Kohlstedt, 2003; Kohlstedt &amp; Goetze, 1974; Stipp et al., 2002; J. Till &amp; Moskowitz, 2013; Tokle et al., 2019, 2021; Y. H. Zhao et al., 2009)","plainTextFormattedCitation":"(Dygert et al., 2016; Goetze &amp; Poirier, 1978; Hansen et al., 2011; Hirth &amp; Kohlstedt, 2003; Kohlstedt &amp; Goetze, 1974; Stipp et al., 2002; J. Till &amp; Moskowitz, 2013; Tokle et al., 2019, 2021; Y. H. Zhao et al., 2009)","previouslyFormattedCitation":"(Dygert et al., 2016; Goetze &amp; Poirier, 1978; Hansen et al., 2011; Hirth &amp; Kohlstedt, 2003; Kohlstedt &amp; Goetze, 1974; Stipp et al., 2002; J. Till &amp; Moskowitz, 2013; Tokle et al., 2019, 2021; Y. H. Zhao et al., 2009)"},"properties":{"noteIndex":0},"schema":"https://github.com/citation-style-language/schema/raw/master/csl-citation.json"}</w:instrText>
      </w:r>
      <w:r w:rsidRPr="00512595">
        <w:fldChar w:fldCharType="separate"/>
      </w:r>
      <w:r w:rsidRPr="00512595">
        <w:rPr>
          <w:noProof/>
        </w:rPr>
        <w:t>(e.g., Dygert et al., 2016; Goetze &amp; Poirier, 1978; Hansen et al., 2011; Hirth &amp; Kohlstedt, 2003; Kohlstedt &amp; Goetze, 1974; Stipp et al., 2002; J. Till &amp; Moskowitz, 2013; Tokle et al., 2019, 2021; Y. H. Zhao et al., 2009)</w:t>
      </w:r>
      <w:r w:rsidRPr="00512595">
        <w:fldChar w:fldCharType="end"/>
      </w:r>
      <w:r w:rsidRPr="00512595">
        <w:t xml:space="preserve">. While some minerals, such as olivine and quartz, have been of high geologic interest and are well studied. Minerals that are less abundant in terrestrial geologic systems, such as ilmenite, have only recently been characterized in flow laws. Employing monomineralic flow laws established for two mantle-relevant minerals, ilmenite and olivine </w:t>
      </w:r>
      <w:r w:rsidRPr="00512595">
        <w:fldChar w:fldCharType="begin" w:fldLock="1"/>
      </w:r>
      <w:r w:rsidRPr="00512595">
        <w:instrText>ADDIN CSL_CITATION {"citationItems":[{"id":"ITEM-1","itemData":{"DOI":"10.1029/2020JE006494","ISSN":"2169-9097","abstract":"The viscosity of ilmenite is an important parameter that is thought to have influenced the thermal and chemical evolution of the lunar cumulate mantle. We conduct deformation experiments on two different ilmenite compositions, ilmenite100 (FeTiO3) and ilmenite40 ((Fe0.4Mg0.6)TiO3), to investigate the influence of pressure and Mg-content on the rheology of ilmenite aggregates. Experiments were conducted in a Griggs apparatus and a deformation-DIA apparatus at pressures spanning 1–5 GPa. Using the new experimental data and reanalyzed data from Dygert et al. (2016), we determine pressure-dependent flow law parameters for ilmenite100 (A = 2.183 MPa−ns−1, n = 3.0 ± 0.4, E = 276 ± 25 kJ/mol and V = 17 ± 4 cm3/mol) and ilmenite40 (A = 3.936e−7 MPa−ns−1, n = 5.7 ± 0.5, E = 283 ± 25 kJ/mol and V = 26 ± 4 cm3/mol). Over the range of experimental conditions ilmenite40 has a larger stress exponent and activation volume than ilmenite100. Extrapolation of the ilmenite100 flow law predicts a viscosity approximately five orders of magnitude lower than dry olivine and three orders of magnitude lower than wet olivine at a temperature of 1,100°C, pressure of 0.3 GPa, and stress of 0.3 MPa, conditions representative of the early ilmenite-bearing cumulate. Our estimated viscosity contrasts for a dry lunar mantle suggests that lunar cumulate mantle overturn may be dominated by longer wavelength downwellings, while a wet lunar mantle may be dominated by shorter wavelength downwellings.","author":[{"dropping-particle":"","family":"Tokle","given":"Leif","non-dropping-particle":"","parse-names":false,"suffix":""},{"dropping-particle":"","family":"Hirth","given":"Greg","non-dropping-particle":"","parse-names":false,"suffix":""},{"dropping-particle":"","family":"Liang","given":"Yan","non-dropping-particle":"","parse-names":false,"suffix":""},{"dropping-particle":"","family":"Raterron","given":"Paul","non-dropping-particle":"","parse-names":false,"suffix":""},{"dropping-particle":"","family":"Dygert","given":"Nick","non-dropping-particle":"","parse-names":false,"suffix":""}],"container-title":"Journal of Geophysical Research: Planets","id":"ITEM-1","issue":"1","issued":{"date-parts":[["2021","1","28"]]},"page":"1-21","title":"The Effect of Pressure and Mg</w:instrText>
      </w:r>
      <w:r w:rsidRPr="00512595">
        <w:rPr>
          <w:rFonts w:ascii="Cambria Math" w:hAnsi="Cambria Math" w:cs="Cambria Math"/>
        </w:rPr>
        <w:instrText>‐</w:instrText>
      </w:r>
      <w:r w:rsidRPr="00512595">
        <w:instrText>Content on Ilmenite Rheology: Implications for Lunar Cumulate Mantle Overturn","type":"article-journal","volume":"126"},"uris":["http://www.mendeley.com/documents/?uuid=a302dfec-9caf-4cd7-a626-07b6be4d33fc"]},{"id":"ITEM-2","itemData":{"DOI":"10.1029/138GM06","ISBN":"9781118668573","author":[{"dropping-particle":"","family":"Hirth","given":"Greg","non-dropping-particle":"","parse-names":false,"suffix":""},{"dropping-particle":"","family":"Kohlstedt","given":"David L.","non-dropping-particle":"","parse-names":false,"suffix":""}],"chapter-number":"6","container-title":"Inside the Subduction Factory, Volume 138","editor":[{"dropping-particle":"","family":"Eiler","given":"John M.","non-dropping-particle":"","parse-names":false,"suffix":""}],"id":"ITEM-2","issued":{"date-parts":[["2003"]]},"page":"83-105","publisher":"American Geophysical Union","title":"Rheology of the upper mantle and the mantle wedge: A view from the experimentalists","type":"chapter"},"uris":["http://www.mendeley.com/documents/?uuid=49bab03c-3fce-4415-9eca-c2cf707f8813"]}],"mendeley":{"formattedCitation":"(Hirth &amp; Kohlstedt, 2003; Tokle et al., 2021)","plainTextFormattedCitation":"(Hirth &amp; Kohlstedt, 2003; Tokle et al., 2021)","previouslyFormattedCitation":"(Hirth &amp; Kohlstedt, 2003; Tokle et al., 2021)"},"properties":{"noteIndex":0},"schema":"https://github.com/citation-style-language/schema/raw/master/csl-citation.json"}</w:instrText>
      </w:r>
      <w:r w:rsidRPr="00512595">
        <w:fldChar w:fldCharType="separate"/>
      </w:r>
      <w:r w:rsidRPr="00512595">
        <w:rPr>
          <w:noProof/>
        </w:rPr>
        <w:t>(Hirth &amp; Kohlstedt, 2003; Tokle et al., 2021)</w:t>
      </w:r>
      <w:r w:rsidRPr="00512595">
        <w:fldChar w:fldCharType="end"/>
      </w:r>
      <w:r w:rsidRPr="00512595">
        <w:t>, we have investigated the flow law mixing behavior via aggregate deformation experiments with differing proportions of ilmenite40 (ilm40) and San Carlos olivine (SCO), which are in chemical equilibrium at mantle-relevant experimental conditions.</w:t>
      </w:r>
    </w:p>
    <w:p w14:paraId="4817DD06" w14:textId="77777777" w:rsidR="00512595" w:rsidRPr="00512595" w:rsidRDefault="00512595" w:rsidP="00512595">
      <w:pPr>
        <w:spacing w:line="360" w:lineRule="auto"/>
        <w:ind w:firstLine="720"/>
      </w:pPr>
      <w:r w:rsidRPr="00512595">
        <w:t xml:space="preserve">The strength and viscosity of polymineralic rocks depends on the partitioning of deformation into the different phases and can be relatively independent of phase proportions depending on deformation mechanisms and individual grain behaviors. </w:t>
      </w:r>
      <w:r w:rsidRPr="00512595">
        <w:lastRenderedPageBreak/>
        <w:t xml:space="preserve">Theoretical aggregate flow laws have been constrained through numerical modeling </w:t>
      </w:r>
      <w:r w:rsidRPr="00512595">
        <w:fldChar w:fldCharType="begin" w:fldLock="1"/>
      </w:r>
      <w:r w:rsidRPr="00512595">
        <w:instrText>ADDIN CSL_CITATION {"citationItems":[{"id":"ITEM-1","itemData":{"DOI":"10.1029/90JB02491","ISSN":"01480227","abstract":"An incompressible finite element model has been used to study the plane strain deformation of two-phase aggregates deformed by dislocation creep. Input for the model includes the power law flow laws of the two end-member phases and their volume fractions and configuration. The model calculates the overall flow law of the aggregate as well as the stress and strain rate variations within it. The input flow laws were experimentally determined for monomineralic aggregates of clinopyroxene and plagioclase. Results were calculated for a temperature of 1000C, strain rates from 104 to and stresses of 11000 MPa. For these conditions, the end-member flow laws intersect on a log stress versus log strain rate plot at Some runs were made on finite element grids fit to an actual diabase texture (64% pyroxene, 36% plagioclase.) Other runs were made on idealized geometries to test the effects of varying the volume fraction of two phases, shape of inclusions, and relative strengths of inclusion and matrix. Important results include the following: (1) The model results satisfy the requirement that the aggregate strength must lie between the bound set by the end-member flow laws and those set by assumptions of uniform stress and uniform strain rate. (2) The calculated diabase flow law matches well with that experimentally determined. (3) The aggregate strength within the uniform stress and uniform strain rate bounds is primarily affected by volume fraction, although certain phase geometries can also affect the strength. (4) Although the flow law for an aggregate of power law phases need not be a simple power law, we find it to be a good approximation. We have developed two simple methods of estimating the strength of an aggregate, given the end-member flow law parameters and volume fraction; both give results that agree with the finite element model calculations. (1) One method takes into account the phase geometry and gives a strength for the aggregate at any strain rate. (2) The other method can be used even if the phase geometry is unknown and gives expressions for the aggregate flow law parameters. American Geophysical Union 1991","author":[{"dropping-particle":"","family":"Tullis","given":"T. E.","non-dropping-particle":"","parse-names":false,"suffix":""},{"dropping-particle":"","family":"Horowitz","given":"F. G.","non-dropping-particle":"","parse-names":false,"suffix":""},{"dropping-particle":"","family":"Tullis","given":"Jan","non-dropping-particle":"","parse-names":false,"suffix":""}],"container-title":"Journal of Geophysical Research","id":"ITEM-1","issue":"B5","issued":{"date-parts":[["1991"]]},"page":"8081-8096","title":"Flow laws of polyphase aggregates from end-member flow laws","type":"article-journal","volume":"96"},"uris":["http://www.mendeley.com/documents/?uuid=cc23b306-ebe2-4dac-99d5-058d66362b4a"]},{"id":"ITEM-2","itemData":{"DOI":"10.1002/2013JB010453","ISSN":"21699356","abstract":"Here we introduce the Minimized Power Geometric (MPG) model which predicts the viscosity of any polyphase rocks deformed during ductile flow. The volumetric fractions and power law parameters of the constituting phases are the only model inputs required. The model is based on a minimization of the mechanical power dissipated in the rock during deformation. In contrast to existing mixing models based on minimization, we use the Lagrange multipliers method and constraints of strain rate and stress geometric averaging. This allows us to determine analytical expressions for the polyphase rock viscosity, its power law parameters, and the partitioning of strain rate and stress between the phases. The power law bulk behavior is a consequence of our model and not an assumption. Comparison of model results with 15 published experimental data sets on two-phase aggregates shows that the MPG model reproduces accurately both experimental viscosities and creep parameters, even where large viscosity contrasts are present. In detail, the ratio between experimental and MPG-predicted viscosities averages 1.6. Deviations from the experimental values are likely to be due to microstructural processes (strain localization and coeval other deformation mechanisms) that are neglected by the model. Existing models that are not based on geometric averaging show a poorer fit with the experimental data. As long as the limitations of the mixing models are kept in mind, the MPG model offers great potential for applications in structural geology and numerical modeling. ©2014. American Geophysical Union. All Rights Reserved.","author":[{"dropping-particle":"","family":"Huet","given":"B.","non-dropping-particle":"","parse-names":false,"suffix":""},{"dropping-particle":"","family":"Yamato","given":"P.","non-dropping-particle":"","parse-names":false,"suffix":""},{"dropping-particle":"","family":"Grasemann","given":"B.","non-dropping-particle":"","parse-names":false,"suffix":""}],"container-title":"Journal of Geophysical Research: Solid Earth","id":"ITEM-2","issue":"4","issued":{"date-parts":[["2014"]]},"page":"3897-3924","title":"The Minimized Power Geometric model: An analytical mixing model for calculating polyphase rock viscosities consistent with experimental data","type":"article-journal","volume":"119"},"uris":["http://www.mendeley.com/documents/?uuid=53ab76f0-93a8-4687-abf7-150b61b7c86d"]},{"id":"ITEM-3","itemData":{"DOI":"10.1029/2018GC007881","ISSN":"15252027","abstract":"Building upon the two-phase and grain damage theory, we propose a new formulation allowing to track the evolution of phase mixing/segregation during ductile deformation of a two-phased aggregate. Our model is based on a set of variables characterizing a rock texture: the mean grain sizes and the phase proportion. During ductile deformation, activation of different micromechanical processes impacts the aggregate texture. Dislocation and diffusion creep are the two main deformation processes considered. We only account for the effect of Zener pinning in slowing down grain growth and allow for active grain-size reduction mechanisms in the diffusion creep domain. For this purpose, an equation is proposed to track the phase mixing evolution during ductile deformation. Numerical application using anorthite rheology shows that any grain reduction mechanisms that could be active in the diffusion creep regime requires a very high partition fraction in order to reach the grain size predicted by the feldspar piezometer. Application of this model to gabbroic composition, relevant for the ductile crust, demonstrates that the strong coupling between phases grain sizes and interface evolution results in steady-state grain sizes far below the field boundary. This effect is coeval with an important increase of mixing between the two phases. In addition, accounting for the phase mixing results in a drop of the global aggregate stress during deformation. This model allows for further comparison of mylonitized textures evolution with natural shear zones at the local and regional scales.","author":[{"dropping-particle":"","family":"Bevillard","given":"Benoit","non-dropping-particle":"","parse-names":false,"suffix":""},{"dropping-particle":"","family":"Richard","given":"Guillaume","non-dropping-particle":"","parse-names":false,"suffix":""},{"dropping-particle":"","family":"Raimbourg","given":"Hugues","non-dropping-particle":"","parse-names":false,"suffix":""}],"container-title":"Geochemistry, Geophysics, Geosystems","id":"ITEM-3","issue":"2","issued":{"date-parts":[["2019"]]},"page":"1095-1137","title":"Rock Strength and Texture Evolution During Deformation in the Earth's Ductile Lithosphere: A Two-Phase Thermodynamics Model","type":"article-journal","volume":"20"},"uris":["http://www.mendeley.com/documents/?uuid=d53a8332-9e4a-493c-84f4-7c44458095e4"]}],"mendeley":{"formattedCitation":"(Bevillard et al., 2019; Huet et al., 2014; T. E. Tullis et al., 1991)","manualFormatting":"(e.g., Bevillard et al., 2019; Huet et al., 2014; T. E. Tullis et al., 1991)","plainTextFormattedCitation":"(Bevillard et al., 2019; Huet et al., 2014; T. E. Tullis et al., 1991)","previouslyFormattedCitation":"(Bevillard et al., 2019; Huet et al., 2014; T. E. Tullis et al., 1991)"},"properties":{"noteIndex":0},"schema":"https://github.com/citation-style-language/schema/raw/master/csl-citation.json"}</w:instrText>
      </w:r>
      <w:r w:rsidRPr="00512595">
        <w:fldChar w:fldCharType="separate"/>
      </w:r>
      <w:r w:rsidRPr="00512595">
        <w:rPr>
          <w:noProof/>
        </w:rPr>
        <w:t>(e.g., Bevillard et al., 2019; Huet et al., 2014; T. E. Tullis et al., 1991)</w:t>
      </w:r>
      <w:r w:rsidRPr="00512595">
        <w:fldChar w:fldCharType="end"/>
      </w:r>
      <w:r w:rsidRPr="00512595">
        <w:t xml:space="preserve"> and from examination of experimental and natural samples </w:t>
      </w:r>
      <w:r w:rsidRPr="00512595">
        <w:fldChar w:fldCharType="begin" w:fldLock="1"/>
      </w:r>
      <w:r w:rsidRPr="00512595">
        <w:instrText>ADDIN CSL_CITATION {"citationItems":[{"id":"ITEM-1","itemData":{"DOI":"10.1016/0040-1951(87)90160-0","ISSN":"00401951","abstract":"A compositional foliation banding develops within synthetic limestone-halite aggregates experimentally deformed in axially symmetric compression and in simple shear. The strength of the bulk aggregate decreases as the foliation becomes stronger (foliation weakening). In calcite-rich specimens the development of foliation starts with the formation of cataclastic shear systems in calcite domains between isolated halite domains. With increasing deformation halite is sheared into these systems. The halite domains coalesce into halite-rich shear systems and accommodate an increasing amount of the bulk deformation. The bulk strength of bimineralic aggregates at a given amount of strain increases with decreasing halite content. The influence of halite on the bulk strength is much greater than would be expected from its volume fraction and becomes dominant with increasing deformation due to the development of the foliation. It is postulated that such processes also occur during natural deformation of polyphase rocks. Competent clasts within a weaker ductile matrix showing no recrystallization differ in shape and rotational behaviour from recrystallizing clasts, such as feldspar augen. These competent clasts, denoted as δ-type clasts, may cause problems in deducing the sense and direction of shear when formed as almost exact mirror images of σ-type recrystallizing clasts. © 1987.","author":[{"dropping-particle":"","family":"Jordan","given":"Peter G","non-dropping-particle":"","parse-names":false,"suffix":""}],"container-title":"Tectonophysics","id":"ITEM-1","issue":"1-3","issued":{"date-parts":[["1987"]]},"page":"185-197","title":"The deformational behaviour of bimineralic limestone-halite aggregates","type":"article-journal","volume":"135"},"uris":["http://www.mendeley.com/documents/?uuid=c52cd4c1-64c6-4df8-8ee1-d8f8f1c184d7"]},{"id":"ITEM-2","itemData":{"DOI":"10.1029/90JB02491","ISSN":"01480227","abstract":"An incompressible finite element model has been used to study the plane strain deformation of two-phase aggregates deformed by dislocation creep. Input for the model includes the power law flow laws of the two end-member phases and their volume fractions and configuration. The model calculates the overall flow law of the aggregate as well as the stress and strain rate variations within it. The input flow laws were experimentally determined for monomineralic aggregates of clinopyroxene and plagioclase. Results were calculated for a temperature of 1000C, strain rates from 104 to and stresses of 11000 MPa. For these conditions, the end-member flow laws intersect on a log stress versus log strain rate plot at Some runs were made on finite element grids fit to an actual diabase texture (64% pyroxene, 36% plagioclase.) Other runs were made on idealized geometries to test the effects of varying the volume fraction of two phases, shape of inclusions, and relative strengths of inclusion and matrix. Important results include the following: (1) The model results satisfy the requirement that the aggregate strength must lie between the bound set by the end-member flow laws and those set by assumptions of uniform stress and uniform strain rate. (2) The calculated diabase flow law matches well with that experimentally determined. (3) The aggregate strength within the uniform stress and uniform strain rate bounds is primarily affected by volume fraction, although certain phase geometries can also affect the strength. (4) Although the flow law for an aggregate of power law phases need not be a simple power law, we find it to be a good approximation. We have developed two simple methods of estimating the strength of an aggregate, given the end-member flow law parameters and volume fraction; both give results that agree with the finite element model calculations. (1) One method takes into account the phase geometry and gives a strength for the aggregate at any strain rate. (2) The other method can be used even if the phase geometry is unknown and gives expressions for the aggregate flow law parameters. American Geophysical Union 1991","author":[{"dropping-particle":"","family":"Tullis","given":"T. E.","non-dropping-particle":"","parse-names":false,"suffix":""},{"dropping-particle":"","family":"Horowitz","given":"F. G.","non-dropping-particle":"","parse-names":false,"suffix":""},{"dropping-particle":"","family":"Tullis","given":"Jan","non-dropping-particle":"","parse-names":false,"suffix":""}],"container-title":"Journal of Geophysical Research","id":"ITEM-2","issue":"B5","issued":{"date-parts":[["1991"]]},"page":"8081-8096","title":"Flow laws of polyphase aggregates from end-member flow laws","type":"article-journal","volume":"96"},"uris":["http://www.mendeley.com/documents/?uuid=cc23b306-ebe2-4dac-99d5-058d66362b4a"]},{"id":"ITEM-3","itemData":{"DOI":"10.1016/0921-5093(94)91060-X","ISSN":"09215093","abstract":"Axial compression experiments were performed on synthetic aggregates of quartz with varying volume percentages of muscovite, in order to assess the effect of the muscovite on the flow strength and the lattice preferred orientations. The experiments were performed at 800°C, with a confining pressure of 1200 MPa, constant strain rates of 10-5 and 10-6 s-1, and variable strains. At 10-5 s-1, the quartz is very strong and deforms by recrystallization-accommodated dislocation creep. Experiments were carried out with 0%, 15%, 25%, 50% and 100% muscovite, using quartz grains 125-250 μm in size and muscovite grains of less than 20 μm in size. The peak strength of the aggregates is markedly decreased by the addition of muscovite; it decays from 1400 MPa (100% quartz) to 700 MPa (85%) to 450 MPa (50%) and then to 400 MPa (100% muscovite). The decreasing composite strength correlates with a significant decrease in the quartz grain strain, because strain is partitioned into the weaker muscovite, which undergoes kinking and dynamic recrystallization in addition to basal slip. At 10-6 s-1, the quartz is much weaker and deforms by climb-accommodated dislocation creep. Experiments were carried out with 0%, 25% and 50% muscovite, using quartz grains 90-120 μm in size and muscovite grains 53-90 μ in size. Under these conditions, the addition of muscovite has a smaller effect on the aggregate strength: it decays from 300 MPa (100% quartz) to 250 MPa (75%) to 200 MPa (50%). However, the quartz grain strain is significantly reduced by the muscovite additions. The quartz preferred orientations were measured by time-of-flight neutron diffraction at LANSCE for pure quartz samples and for those with 25% and 50% muscovite, shortened 35% and 50%. The pure quartz aggregate developed a small circle girdle of c axes. Adding 25% and 50% muscovite did not change the general texture pattern of the quartz but greatly reduced its strength, reflecting the reduced quartz grain strain and the greater strain heterogeneity. © 1994.","author":[{"dropping-particle":"","family":"Tullis","given":"J.","non-dropping-particle":"","parse-names":false,"suffix":""},{"dropping-particle":"","family":"Wenk","given":"H. R.","non-dropping-particle":"","parse-names":false,"suffix":""}],"container-title":"Materials Science and Engineering A","id":"ITEM-3","issue":"1-2","issued":{"date-parts":[["1994"]]},"page":"209-220","title":"Effect of muscovite on the strength and lattice preferred orientations of experimentally deformed quartz aggregates","type":"article-journal","volume":"175"},"uris":["http://www.mendeley.com/documents/?uuid=bfca2480-73ea-4bc3-8dad-fe9aa74c7b2b"]},{"id":"ITEM-4","itemData":{"DOI":"10.1016/j.jsg.2015.05.003","ISSN":"01918141","abstract":"Ductile shear zones commonly contain distinctive bands of high strain rock characterized by intimately mixed fine-grained two-phase or polyphase material. These ultramylonite bands are weaker than the surrounding material, and may play a critical role in strain localization. How such zones develop, how the phases become evenly dispersed, the bulk rheology, and the controls on grain size, are all unclear. The following generic scenario may resolve some of these questions.1) Dislocation creep and dynamic recrystallization cause grain-size reduction: commonly, the recrystallized grain sizes of the two phases differ.2) Grain size reduction causes a switch to grain-boundary diffusion creep, which requires grain-boundary sliding. Diffusion allows one phase to fill spaces that open between grains of the other: this will happen most rapidly in the finer-grained phase. The grain size of the resulting mixture is therefore controlled by that of the finer-grained phase. This leads to mixing and dispersion of the two phases, producing a fine-grained, evenly dispersed two-phase aggregate.3) The bulk rheology will be controlled by grain-boundary diffusion creep of the two phases, with the grain size controlled by the finer-grained phase. Bulk flow laws can be developed for quartz-feldspar and olivine-orthopyroxene ultramylonites based on these concepts, using appropriate mixing laws.","author":[{"dropping-particle":"","family":"Platt","given":"John P.","non-dropping-particle":"","parse-names":false,"suffix":""}],"container-title":"Journal of Structural Geology","id":"ITEM-4","issued":{"date-parts":[["2015"]]},"page":"213-227","publisher":"Elsevier Ltd","title":"Rheology of two-phase systems: A microphysical and observational approach","type":"article-journal","volume":"77"},"uris":["http://www.mendeley.com/documents/?uuid=6b76a0f7-05d5-40e8-a8e0-f8d543589c17"]},{"id":"ITEM-5","itemData":{"DOI":"10.1016/j.epsl.2016.07.016","ISSN":"0012821X","abstract":"Experiments were conducted with hydrous olivine to investigate the defect responsible for the influence of water (hydrogen structurally incorporated as hydroxyl) on the olivine rheology. Solution–gelation derived Fo90 olivine doped with nominally 0.04–0.1 wt.% TiO2 was first hot-pressed and then deformed in platinum capsules at 300 MPa confining pressure and temperatures from 1200–1350°C. The water content was not buffered so that deformation occurred at water-undersaturated conditions. Due to the enhanced grain growth under hydrous conditions, the samples were at least a factor of three more coarse-grained than their dry counterparts and deformed in powerlaw creep at differential stresses as low as a few tens of MPa. Since all experiments were conducted at the same confining pressure, the essentially linear relationship between strain rate and water content was for the first time determined independently of an activation volume. Infrared spectra are dominated by absorption bands at 3572 and 3525 cm−1. These bands also predominate in infrared spectra of natural olivine, and can only be reproduced experimentally in the presence of titanium. In contrast to the previous interpretation of the hydrous rheology in terms of intrinsic point defects, the experiments show that extrinsic defects (impurities) in natural olivine play the dominant role for water weakening at the water contents expected for most of the upper mantle.","author":[{"dropping-particle":"","family":"Faul","given":"Ulrich H.","non-dropping-particle":"","parse-names":false,"suffix":""},{"dropping-particle":"","family":"Cline","given":"Christopher J.","non-dropping-particle":"","parse-names":false,"suffix":""},{"dropping-particle":"","family":"David","given":"Emmanuel C.","non-dropping-particle":"","parse-names":false,"suffix":""},{"dropping-particle":"","family":"Berry","given":"Andrew J.","non-dropping-particle":"","parse-names":false,"suffix":""},{"dropping-particle":"","family":"Jackson","given":"Ian","non-dropping-particle":"","parse-names":false,"suffix":""}],"container-title":"Earth and Planetary Science Letters","id":"ITEM-5","issued":{"date-parts":[["2016"]]},"page":"227-237","publisher":"Elsevier B.V.","title":"Titanium-hydroxyl defect-controlled rheology of the Earth's upper mantle","type":"article-journal","volume":"452"},"uris":["http://www.mendeley.com/documents/?uuid=fd420ba5-c81e-4788-8c0f-44be9537b10a"]},{"id":"ITEM-6","itemData":{"DOI":"10.1016/j.jsg.2014.11.010","ISSN":"01918141","abstract":"We conducted axial compression and general shear experiments, at T=900°C and P=1.5GPa, on samples of banded iron formation (BIF) and synthetic aggregates of quartz, hematite and magnetite to investigate how dynamic recrystallization of quartz promotes strain localization, and the role of weak second phases (oxides) on the rheology and microstructural evolution of the aggregates. Experiments showed strain localization into oxide rich layers, and that the oxide content and oxide distribution are key factors for the strength of the aggregate. Only 2-10wt.% hematite leads to pronounced weakening and increasing hematite content above ~10% has only a minor additional effect. Where oxide grains are dispersed, the initial strength contrast with quartz induces stress concentrations at their tips, promoting high stress recrystallization-accommodated dislocation creep of quartz. Fine recrystallized quartz reacts with oxide, forming trails of fine reaction product (ferrosilite/fayalite) leading to the interconnection/percolation of a weaker matrix. The strength contrast between the quartz framework and these fine-grained trails promotes strain localization into micro-shear zones, inducing drastic strain weakening. Thus dynamic recrystallization of quartz promotes syn-deformational reactions leading to a microstructurally-controlled evolution of phase strength contrast. It results in a rheologic transition from load-bearing framework to a matrix-controlled rheology, with transition from S-C' to S-C fabric with increasing strain.","author":[{"dropping-particle":"","family":"Gonçalves","given":"Cristiane C.","non-dropping-particle":"","parse-names":false,"suffix":""},{"dropping-particle":"","family":"Gonçalves","given":"Leonardo","non-dropping-particle":"","parse-names":false,"suffix":""},{"dropping-particle":"","family":"Hirth","given":"Greg","non-dropping-particle":"","parse-names":false,"suffix":""}],"container-title":"Journal of Structural Geology","id":"ITEM-6","issued":{"date-parts":[["2015"]]},"page":"24-40","publisher":"Elsevier Ltd","title":"The effects of quartz recrystallization and reaction on weak phase interconnection, strain localization and evolution of microstructure","type":"article-journal","volume":"71"},"uris":["http://www.mendeley.com/documents/?uuid=3f1bac7e-f685-4a4d-a54a-a5da0c7b51fa"]},{"id":"ITEM-7","itemData":{"DOI":"10.1016/0191-8141(94)90035-3","ISSN":"01918141","author":[{"dropping-particle":"","family":"Handy","given":"Mark R.","non-dropping-particle":"","parse-names":false,"suffix":""}],"container-title":"Journal of Structural Geology","id":"ITEM-7","issue":"3","issued":{"date-parts":[["1994","3"]]},"page":"287-301","title":"Flow laws for rocks containing two non-linear viscous phases: A phenomenological approach","type":"article-journal","volume":"16"},"uris":["http://www.mendeley.com/documents/?uuid=e5865eef-07f8-4fea-be99-7a22e4c54f79"]},{"id":"ITEM-8","itemData":{"DOI":"10.1029/JB095iB06p08647","ISSN":"0148-0227","author":[{"dropping-particle":"","family":"Handy","given":"Mark R.","non-dropping-particle":"","parse-names":false,"suffix":""}],"container-title":"Journal of Geophysical Research","id":"ITEM-8","issue":"B6","issued":{"date-parts":[["1990"]]},"page":"8647","title":"The solid-state flow of polymineralic rocks","type":"article-journal","volume":"95"},"uris":["http://www.mendeley.com/documents/?uuid=958f3c51-9f9a-4a57-a91e-58eb7983350d"]},{"id":"ITEM-9","itemData":{"DOI":"10.1016/j.jsg.2011.08.011","ISSN":"01918141","abstract":"We present a state-of-the-art review of the microstructural evolution in rocks under static and deformational conditions. First, the general concepts and processes are introduced using monomineralic aggregates. Then, they are expanded into the more complex context of polymineralic rocks with a dominant matrix phase. The first part of this contribution delivers information on sample strategies to quantify polymineralic microfabrics. Based on comparisons between microfabrics of monomineralic and polymineralic rocks, we use the common knowledge collected over the past decades for monomineralic systems and discuss the differences to polymineralic ones in terms of microstructures, modal compositions, spatial distribution of phases, crystallographic preferred orientations and associated processes. The article puts particular emphasis on the effect of coupled grain growth, mass transfer processes, and deformation mechanisms. We speculate on the effect of mineral reactions during the evolution of microstructures and rheology in polymineralic aggregates at different metamorphic conditions. At the end of the article, we demonstrate the great potential of grain-size evolution maps as microstructural tool to unravel the geological history of polymineralic rocks that evolved under a variety of geodynamic situations. © 2011 Elsevier Ltd.","author":[{"dropping-particle":"","family":"Herwegh","given":"M.","non-dropping-particle":"","parse-names":false,"suffix":""},{"dropping-particle":"","family":"Linckens","given":"J.","non-dropping-particle":"","parse-names":false,"suffix":""},{"dropping-particle":"","family":"Ebert","given":"A.","non-dropping-particle":"","parse-names":false,"suffix":""},{"dropping-particle":"","family":"Berger","given":"A.","non-dropping-particle":"","parse-names":false,"suffix":""},{"dropping-particle":"","family":"Brodhag","given":"S. H.","non-dropping-particle":"","parse-names":false,"suffix":""}],"container-title":"Journal of Structural Geology","id":"ITEM-9","issue":"12","issued":{"date-parts":[["2011"]]},"page":"1728-1750","publisher":"Elsevier Ltd","title":"The role of second phases for controlling microstructural evolution in polymineralic rocks: A review","type":"article-journal","volume":"33"},"uris":["http://www.mendeley.com/documents/?uuid=7cc8546d-8522-4b1f-b988-9428698e49d6"]}],"mendeley":{"formattedCitation":"(Faul et al., 2016; Gonçalves et al., 2015; Handy, 1990, 1994; Herwegh et al., 2011; Jordan, 1987; Platt, 2015; J. Tullis &amp; Wenk, 1994; T. E. Tullis et al., 1991)","manualFormatting":"(e.g., Faul et al., 2016; Gonçalves et al., 2015; Handy, 1990, 1994; Herwegh et al., 2011; Jordan, 1987; Platt, 2015; J. Tullis &amp; Wenk, 1994; T. E. Tullis et al., 1991)","plainTextFormattedCitation":"(Faul et al., 2016; Gonçalves et al., 2015; Handy, 1990, 1994; Herwegh et al., 2011; Jordan, 1987; Platt, 2015; J. Tullis &amp; Wenk, 1994; T. E. Tullis et al., 1991)","previouslyFormattedCitation":"(Faul et al., 2016; Gonçalves et al., 2015; Handy, 1990, 1994; Herwegh et al., 2011; Jordan, 1987; Platt, 2015; J. Tullis &amp; Wenk, 1994; T. E. Tullis et al., 1991)"},"properties":{"noteIndex":0},"schema":"https://github.com/citation-style-language/schema/raw/master/csl-citation.json"}</w:instrText>
      </w:r>
      <w:r w:rsidRPr="00512595">
        <w:fldChar w:fldCharType="separate"/>
      </w:r>
      <w:r w:rsidRPr="00512595">
        <w:rPr>
          <w:noProof/>
        </w:rPr>
        <w:t>(e.g., Faul et al., 2016; Gonçalves et al., 2015; Handy, 1990, 1994; Herwegh et al., 2011; Jordan, 1987; Platt, 2015; J. Tullis &amp; Wenk, 1994; T. E. Tullis et al., 1991)</w:t>
      </w:r>
      <w:r w:rsidRPr="00512595">
        <w:fldChar w:fldCharType="end"/>
      </w:r>
      <w:r w:rsidRPr="00512595">
        <w:t xml:space="preserve">, but are unique to the minerals in the system and the conditions of deformation. </w:t>
      </w:r>
    </w:p>
    <w:p w14:paraId="568712AF" w14:textId="77777777" w:rsidR="00512595" w:rsidRPr="00512595" w:rsidRDefault="00512595" w:rsidP="00512595">
      <w:pPr>
        <w:spacing w:line="360" w:lineRule="auto"/>
        <w:ind w:firstLine="720"/>
      </w:pPr>
      <w:r w:rsidRPr="00512595">
        <w:t>In this study, we investigate the effect of ilm40 on the strength of SCO in different volume fractions of ilm</w:t>
      </w:r>
      <w:proofErr w:type="gramStart"/>
      <w:r w:rsidRPr="00512595">
        <w:t>40:SCO</w:t>
      </w:r>
      <w:proofErr w:type="gramEnd"/>
      <w:r w:rsidRPr="00512595">
        <w:t xml:space="preserve"> in order to estimate the first-order aggregate behavior of these mantle-relevant materials. We conducted general shear experiments on samples of natural SCO and synthesized ilm40 to examine the effect of weak phase and strong phase on the overall rock behavior during deformation and to compare the resulting microstructures at different phase proportions and total strain. </w:t>
      </w:r>
    </w:p>
    <w:p w14:paraId="16E4A5CF" w14:textId="2D2C9B2A" w:rsidR="00512595" w:rsidRPr="006709E2" w:rsidRDefault="002060AF" w:rsidP="006709E2">
      <w:pPr>
        <w:pStyle w:val="Heading3"/>
        <w:spacing w:before="0" w:line="360" w:lineRule="auto"/>
      </w:pPr>
      <w:bookmarkStart w:id="65" w:name="_Toc109036144"/>
      <w:r w:rsidRPr="006709E2">
        <w:t xml:space="preserve">1.1 </w:t>
      </w:r>
      <w:r w:rsidR="00512595" w:rsidRPr="006709E2">
        <w:t>Flow Laws</w:t>
      </w:r>
      <w:bookmarkEnd w:id="65"/>
    </w:p>
    <w:p w14:paraId="7D61B465" w14:textId="77777777" w:rsidR="009F28D1" w:rsidRDefault="00512595" w:rsidP="009F28D1">
      <w:pPr>
        <w:spacing w:line="360" w:lineRule="auto"/>
      </w:pPr>
      <w:r w:rsidRPr="00512595">
        <w:tab/>
        <w:t>The rheological behavior of the individual phases used in this study are both best described by a power law dependence of strain rate (</w:t>
      </w:r>
      <m:oMath>
        <m:acc>
          <m:accPr>
            <m:chr m:val="̇"/>
            <m:ctrlPr>
              <w:rPr>
                <w:rFonts w:ascii="Cambria Math" w:hAnsi="Cambria Math"/>
                <w:i/>
              </w:rPr>
            </m:ctrlPr>
          </m:accPr>
          <m:e>
            <m:r>
              <w:rPr>
                <w:rFonts w:ascii="Cambria Math" w:hAnsi="Cambria Math"/>
              </w:rPr>
              <m:t>ε</m:t>
            </m:r>
          </m:e>
        </m:acc>
      </m:oMath>
      <w:r w:rsidRPr="00512595">
        <w:t xml:space="preserve">) on differential stress (σ). The power law form </w:t>
      </w:r>
    </w:p>
    <w:p w14:paraId="5A6FBADA" w14:textId="67428127" w:rsidR="00512595" w:rsidRPr="00512595" w:rsidRDefault="00D223CC" w:rsidP="009F28D1">
      <w:pPr>
        <w:spacing w:line="360" w:lineRule="auto"/>
        <w:ind w:firstLine="720"/>
      </w:pPr>
      <m:oMath>
        <m:acc>
          <m:accPr>
            <m:chr m:val="̇"/>
            <m:ctrlPr>
              <w:rPr>
                <w:rFonts w:ascii="Cambria Math" w:hAnsi="Cambria Math"/>
              </w:rPr>
            </m:ctrlPr>
          </m:accPr>
          <m:e>
            <m:r>
              <w:rPr>
                <w:rFonts w:ascii="Cambria Math" w:hAnsi="Cambria Math"/>
              </w:rPr>
              <m:t>ε</m:t>
            </m:r>
          </m:e>
        </m:acc>
        <m:r>
          <m:rPr>
            <m:sty m:val="p"/>
          </m:rPr>
          <w:rPr>
            <w:rFonts w:ascii="Cambria Math" w:hAnsi="Cambria Math"/>
          </w:rPr>
          <m:t>=</m:t>
        </m:r>
        <m:r>
          <w:rPr>
            <w:rFonts w:ascii="Cambria Math" w:hAnsi="Cambria Math"/>
          </w:rPr>
          <m:t>A</m:t>
        </m:r>
        <m:r>
          <m:rPr>
            <m:sty m:val="p"/>
          </m:rPr>
          <w:rPr>
            <w:rFonts w:ascii="Cambria Math" w:hAnsi="Cambria Math"/>
          </w:rPr>
          <m:t>*</m:t>
        </m:r>
        <m:sSup>
          <m:sSupPr>
            <m:ctrlPr>
              <w:rPr>
                <w:rFonts w:ascii="Cambria Math" w:hAnsi="Cambria Math"/>
              </w:rPr>
            </m:ctrlPr>
          </m:sSupPr>
          <m:e>
            <m:r>
              <w:rPr>
                <w:rFonts w:ascii="Cambria Math" w:hAnsi="Cambria Math"/>
              </w:rPr>
              <m:t>σ</m:t>
            </m:r>
          </m:e>
          <m:sup>
            <m:r>
              <w:rPr>
                <w:rFonts w:ascii="Cambria Math" w:hAnsi="Cambria Math"/>
              </w:rPr>
              <m:t>n</m:t>
            </m:r>
          </m:sup>
        </m:s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f>
                  <m:fPr>
                    <m:ctrlPr>
                      <w:rPr>
                        <w:rFonts w:ascii="Cambria Math" w:hAnsi="Cambria Math"/>
                      </w:rPr>
                    </m:ctrlPr>
                  </m:fPr>
                  <m:num>
                    <m:r>
                      <w:rPr>
                        <w:rFonts w:ascii="Cambria Math" w:hAnsi="Cambria Math"/>
                      </w:rPr>
                      <m:t>E</m:t>
                    </m:r>
                    <m:r>
                      <m:rPr>
                        <m:sty m:val="p"/>
                      </m:rPr>
                      <w:rPr>
                        <w:rFonts w:ascii="Cambria Math" w:hAnsi="Cambria Math"/>
                      </w:rPr>
                      <m:t>+</m:t>
                    </m:r>
                    <m:r>
                      <w:rPr>
                        <w:rFonts w:ascii="Cambria Math" w:hAnsi="Cambria Math"/>
                      </w:rPr>
                      <m:t>PV</m:t>
                    </m:r>
                  </m:num>
                  <m:den>
                    <m:r>
                      <w:rPr>
                        <w:rFonts w:ascii="Cambria Math" w:hAnsi="Cambria Math"/>
                      </w:rPr>
                      <m:t>RT</m:t>
                    </m:r>
                  </m:den>
                </m:f>
              </m:e>
            </m:d>
          </m:e>
        </m:func>
      </m:oMath>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t>(</w:t>
      </w:r>
      <w:r>
        <w:fldChar w:fldCharType="begin"/>
      </w:r>
      <w:r>
        <w:instrText xml:space="preserve"> SEQ Equation \* ARABIC </w:instrText>
      </w:r>
      <w:r>
        <w:fldChar w:fldCharType="separate"/>
      </w:r>
      <w:r w:rsidR="00512595" w:rsidRPr="00512595">
        <w:rPr>
          <w:noProof/>
        </w:rPr>
        <w:t>1</w:t>
      </w:r>
      <w:r>
        <w:rPr>
          <w:noProof/>
        </w:rPr>
        <w:fldChar w:fldCharType="end"/>
      </w:r>
      <w:r w:rsidR="00512595" w:rsidRPr="00512595">
        <w:t>)</w:t>
      </w:r>
    </w:p>
    <w:p w14:paraId="0B603562" w14:textId="77777777" w:rsidR="00512595" w:rsidRPr="00512595" w:rsidRDefault="00512595" w:rsidP="00512595">
      <w:pPr>
        <w:spacing w:line="360" w:lineRule="auto"/>
      </w:pPr>
      <w:r w:rsidRPr="00512595">
        <w:t xml:space="preserve">is applied to both materials, with the addition of a variable for water content in the olivine flow law </w:t>
      </w:r>
      <w:r w:rsidRPr="00512595">
        <w:fldChar w:fldCharType="begin" w:fldLock="1"/>
      </w:r>
      <w:r w:rsidRPr="00512595">
        <w:instrText>ADDIN CSL_CITATION {"citationItems":[{"id":"ITEM-1","itemData":{"DOI":"10.1029/138GM06","ISBN":"9781118668573","author":[{"dropping-particle":"","family":"Hirth","given":"Greg","non-dropping-particle":"","parse-names":false,"suffix":""},{"dropping-particle":"","family":"Kohlstedt","given":"David L.","non-dropping-particle":"","parse-names":false,"suffix":""}],"chapter-number":"6","container-title":"Inside the Subduction Factory, Volume 138","editor":[{"dropping-particle":"","family":"Eiler","given":"John M.","non-dropping-particle":"","parse-names":false,"suffix":""}],"id":"ITEM-1","issued":{"date-parts":[["2003"]]},"page":"83-105","publisher":"American Geophysical Union","title":"Rheology of the upper mantle and the mantle wedge: A view from the experimentalists","type":"chapter"},"uris":["http://www.mendeley.com/documents/?uuid=49bab03c-3fce-4415-9eca-c2cf707f8813"]},{"id":"ITEM-2","itemData":{"DOI":"10.1029/2020JE006494","ISSN":"2169-9097","abstract":"The viscosity of ilmenite is an important parameter that is thought to have influenced the thermal and chemical evolution of the lunar cumulate mantle. We conduct deformation experiments on two different ilmenite compositions, ilmenite100 (FeTiO3) and ilmenite40 ((Fe0.4Mg0.6)TiO3), to investigate the influence of pressure and Mg-content on the rheology of ilmenite aggregates. Experiments were conducted in a Griggs apparatus and a deformation-DIA apparatus at pressures spanning 1–5 GPa. Using the new experimental data and reanalyzed data from Dygert et al. (2016), we determine pressure-dependent flow law parameters for ilmenite100 (A = 2.183 MPa−ns−1, n = 3.0 ± 0.4, E = 276 ± 25 kJ/mol and V = 17 ± 4 cm3/mol) and ilmenite40 (A = 3.936e−7 MPa−ns−1, n = 5.7 ± 0.5, E = 283 ± 25 kJ/mol and V = 26 ± 4 cm3/mol). Over the range of experimental conditions ilmenite40 has a larger stress exponent and activation volume than ilmenite100. Extrapolation of the ilmenite100 flow law predicts a viscosity approximately five orders of magnitude lower than dry olivine and three orders of magnitude lower than wet olivine at a temperature of 1,100°C, pressure of 0.3 GPa, and stress of 0.3 MPa, conditions representative of the early ilmenite-bearing cumulate. Our estimated viscosity contrasts for a dry lunar mantle suggests that lunar cumulate mantle overturn may be dominated by longer wavelength downwellings, while a wet lunar mantle may be dominated by shorter wavelength downwellings.","author":[{"dropping-particle":"","family":"Tokle","given":"Leif","non-dropping-particle":"","parse-names":false,"suffix":""},{"dropping-particle":"","family":"Hirth","given":"Greg","non-dropping-particle":"","parse-names":false,"suffix":""},{"dropping-particle":"","family":"Liang","given":"Yan","non-dropping-particle":"","parse-names":false,"suffix":""},{"dropping-particle":"","family":"Raterron","given":"Paul","non-dropping-particle":"","parse-names":false,"suffix":""},{"dropping-particle":"","family":"Dygert","given":"Nick","non-dropping-particle":"","parse-names":false,"suffix":""}],"container-title":"Journal of Geophysical Research: Planets","id":"ITEM-2","issue":"1","issued":{"date-parts":[["2021","1","28"]]},"page":"1-21","title":"The Effect of Pressure and Mg</w:instrText>
      </w:r>
      <w:r w:rsidRPr="00512595">
        <w:rPr>
          <w:rFonts w:ascii="Cambria Math" w:hAnsi="Cambria Math" w:cs="Cambria Math"/>
        </w:rPr>
        <w:instrText>‐</w:instrText>
      </w:r>
      <w:r w:rsidRPr="00512595">
        <w:instrText>Content on Ilmenite Rheology: Implications for Lunar Cumulate Mantle Overturn","type":"article-journal","volume":"126"},"uris":["http://www.mendeley.com/documents/?uuid=a302dfec-9caf-4cd7-a626-07b6be4d33fc"]}],"mendeley":{"formattedCitation":"(Hirth &amp; Kohlstedt, 2003; Tokle et al., 2021)","plainTextFormattedCitation":"(Hirth &amp; Kohlstedt, 2003; Tokle et al., 2021)"},"properties":{"noteIndex":0},"schema":"https://github.com/citation-style-language/schema/raw/master/csl-citation.json"}</w:instrText>
      </w:r>
      <w:r w:rsidRPr="00512595">
        <w:fldChar w:fldCharType="separate"/>
      </w:r>
      <w:r w:rsidRPr="00512595">
        <w:rPr>
          <w:noProof/>
        </w:rPr>
        <w:t>(Hirth &amp; Kohlstedt, 2003; Tokle et al., 2021)</w:t>
      </w:r>
      <w:r w:rsidRPr="00512595">
        <w:fldChar w:fldCharType="end"/>
      </w:r>
      <w:r w:rsidRPr="00512595">
        <w:t>.</w:t>
      </w:r>
    </w:p>
    <w:p w14:paraId="04ECB191" w14:textId="16C945A7" w:rsidR="00512595" w:rsidRPr="006709E2" w:rsidRDefault="002060AF" w:rsidP="006709E2">
      <w:pPr>
        <w:pStyle w:val="Style1"/>
        <w:spacing w:before="0" w:line="360" w:lineRule="auto"/>
      </w:pPr>
      <w:bookmarkStart w:id="66" w:name="_Toc109036145"/>
      <w:r w:rsidRPr="006709E2">
        <w:t xml:space="preserve">1.1.1 </w:t>
      </w:r>
      <w:r w:rsidR="00512595" w:rsidRPr="006709E2">
        <w:t>Olivine Flow Laws</w:t>
      </w:r>
      <w:bookmarkEnd w:id="66"/>
    </w:p>
    <w:p w14:paraId="40D0026F" w14:textId="77777777" w:rsidR="009F28D1" w:rsidRDefault="00512595" w:rsidP="009F28D1">
      <w:pPr>
        <w:spacing w:line="360" w:lineRule="auto"/>
        <w:ind w:firstLine="720"/>
      </w:pPr>
      <w:r w:rsidRPr="00512595">
        <w:t xml:space="preserve">Based on the experimental conditions and materials employed, we apply the olivine flow law of </w:t>
      </w:r>
      <w:r w:rsidRPr="00512595">
        <w:fldChar w:fldCharType="begin" w:fldLock="1"/>
      </w:r>
      <w:r w:rsidRPr="00512595">
        <w:instrText>ADDIN CSL_CITATION {"citationItems":[{"id":"ITEM-1","itemData":{"DOI":"10.1029/138GM06","ISBN":"9781118668573","author":[{"dropping-particle":"","family":"Hirth","given":"Greg","non-dropping-particle":"","parse-names":false,"suffix":""},{"dropping-particle":"","family":"Kohlstedt","given":"David L.","non-dropping-particle":"","parse-names":false,"suffix":""}],"chapter-number":"6","container-title":"Inside the Subduction Factory, Volume 138","editor":[{"dropping-particle":"","family":"Eiler","given":"John M.","non-dropping-particle":"","parse-names":false,"suffix":""}],"id":"ITEM-1","issued":{"date-parts":[["2003"]]},"page":"83-105","publisher":"American Geophysical Union","title":"Rheology of the upper mantle and the mantle wedge: A view from the experimentalists","type":"chapter"},"uris":["http://www.mendeley.com/documents/?uuid=49bab03c-3fce-4415-9eca-c2cf707f8813"]}],"mendeley":{"formattedCitation":"(Hirth &amp; Kohlstedt, 2003)","manualFormatting":"Hirth &amp; Kohlstedt (2003)","plainTextFormattedCitation":"(Hirth &amp; Kohlstedt, 2003)","previouslyFormattedCitation":"(Hirth &amp; Kohlstedt, 2003)"},"properties":{"noteIndex":0},"schema":"https://github.com/citation-style-language/schema/raw/master/csl-citation.json"}</w:instrText>
      </w:r>
      <w:r w:rsidRPr="00512595">
        <w:fldChar w:fldCharType="separate"/>
      </w:r>
      <w:r w:rsidRPr="00512595">
        <w:rPr>
          <w:noProof/>
        </w:rPr>
        <w:t>Hirth &amp; Kohlstedt (2003)</w:t>
      </w:r>
      <w:r w:rsidRPr="00512595">
        <w:fldChar w:fldCharType="end"/>
      </w:r>
      <w:r w:rsidRPr="00512595">
        <w:t xml:space="preserve"> for wet dislocation creep with a constant water content (C</w:t>
      </w:r>
      <w:r w:rsidRPr="00512595">
        <w:rPr>
          <w:vertAlign w:val="subscript"/>
        </w:rPr>
        <w:t>OH</w:t>
      </w:r>
      <w:r w:rsidRPr="00512595">
        <w:t>):</w:t>
      </w:r>
    </w:p>
    <w:p w14:paraId="7D3D7A16" w14:textId="77777777" w:rsidR="009F28D1" w:rsidRDefault="009F28D1" w:rsidP="009F28D1">
      <w:pPr>
        <w:spacing w:line="360" w:lineRule="auto"/>
        <w:ind w:firstLine="720"/>
      </w:pPr>
      <m:oMath>
        <m:r>
          <m:rPr>
            <m:sty m:val="p"/>
          </m:rPr>
          <w:rPr>
            <w:rFonts w:ascii="Cambria Math" w:hAnsi="Cambria Math"/>
          </w:rPr>
          <m:t xml:space="preserve"> </m:t>
        </m:r>
        <m:acc>
          <m:accPr>
            <m:chr m:val="̇"/>
            <m:ctrlPr>
              <w:rPr>
                <w:rFonts w:ascii="Cambria Math" w:hAnsi="Cambria Math"/>
              </w:rPr>
            </m:ctrlPr>
          </m:accPr>
          <m:e>
            <m:r>
              <w:rPr>
                <w:rFonts w:ascii="Cambria Math" w:hAnsi="Cambria Math"/>
              </w:rPr>
              <m:t>ε</m:t>
            </m:r>
          </m:e>
        </m:acc>
        <m:r>
          <m:rPr>
            <m:sty m:val="p"/>
          </m:rPr>
          <w:rPr>
            <w:rFonts w:ascii="Cambria Math" w:hAnsi="Cambria Math"/>
          </w:rPr>
          <m:t>=</m:t>
        </m:r>
        <m:r>
          <w:rPr>
            <w:rFonts w:ascii="Cambria Math" w:hAnsi="Cambria Math"/>
          </w:rPr>
          <m:t>A</m:t>
        </m:r>
        <m:r>
          <m:rPr>
            <m:sty m:val="p"/>
          </m:rPr>
          <w:rPr>
            <w:rFonts w:ascii="Cambria Math" w:hAnsi="Cambria Math"/>
          </w:rPr>
          <m:t>*</m:t>
        </m:r>
        <m:sSubSup>
          <m:sSubSupPr>
            <m:ctrlPr>
              <w:rPr>
                <w:rFonts w:ascii="Cambria Math" w:hAnsi="Cambria Math"/>
              </w:rPr>
            </m:ctrlPr>
          </m:sSubSupPr>
          <m:e>
            <m:r>
              <w:rPr>
                <w:rFonts w:ascii="Cambria Math" w:hAnsi="Cambria Math"/>
              </w:rPr>
              <m:t>C</m:t>
            </m:r>
          </m:e>
          <m:sub>
            <m:r>
              <w:rPr>
                <w:rFonts w:ascii="Cambria Math" w:hAnsi="Cambria Math"/>
              </w:rPr>
              <m:t>OH</m:t>
            </m:r>
          </m:sub>
          <m:sup>
            <m:r>
              <w:rPr>
                <w:rFonts w:ascii="Cambria Math" w:hAnsi="Cambria Math"/>
              </w:rPr>
              <m:t>r</m:t>
            </m:r>
          </m:sup>
        </m:sSubSup>
        <m:r>
          <m:rPr>
            <m:sty m:val="p"/>
          </m:rPr>
          <w:rPr>
            <w:rFonts w:ascii="Cambria Math" w:hAnsi="Cambria Math"/>
          </w:rPr>
          <m:t>*</m:t>
        </m:r>
        <m:sSup>
          <m:sSupPr>
            <m:ctrlPr>
              <w:rPr>
                <w:rFonts w:ascii="Cambria Math" w:hAnsi="Cambria Math"/>
              </w:rPr>
            </m:ctrlPr>
          </m:sSupPr>
          <m:e>
            <m:r>
              <w:rPr>
                <w:rFonts w:ascii="Cambria Math" w:hAnsi="Cambria Math"/>
              </w:rPr>
              <m:t>σ</m:t>
            </m:r>
          </m:e>
          <m:sup>
            <m:r>
              <w:rPr>
                <w:rFonts w:ascii="Cambria Math" w:hAnsi="Cambria Math"/>
              </w:rPr>
              <m:t>n</m:t>
            </m:r>
          </m:sup>
        </m:sSup>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f>
                  <m:fPr>
                    <m:ctrlPr>
                      <w:rPr>
                        <w:rFonts w:ascii="Cambria Math" w:hAnsi="Cambria Math"/>
                      </w:rPr>
                    </m:ctrlPr>
                  </m:fPr>
                  <m:num>
                    <m:r>
                      <w:rPr>
                        <w:rFonts w:ascii="Cambria Math" w:hAnsi="Cambria Math"/>
                      </w:rPr>
                      <m:t>E</m:t>
                    </m:r>
                    <m:r>
                      <m:rPr>
                        <m:sty m:val="p"/>
                      </m:rPr>
                      <w:rPr>
                        <w:rFonts w:ascii="Cambria Math" w:hAnsi="Cambria Math"/>
                      </w:rPr>
                      <m:t>+</m:t>
                    </m:r>
                    <m:r>
                      <w:rPr>
                        <w:rFonts w:ascii="Cambria Math" w:hAnsi="Cambria Math"/>
                      </w:rPr>
                      <m:t>PV</m:t>
                    </m:r>
                  </m:num>
                  <m:den>
                    <m:r>
                      <w:rPr>
                        <w:rFonts w:ascii="Cambria Math" w:hAnsi="Cambria Math"/>
                      </w:rPr>
                      <m:t>RT</m:t>
                    </m:r>
                  </m:den>
                </m:f>
              </m:e>
            </m:d>
          </m:e>
        </m:func>
      </m:oMath>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Pr>
          <w:rFonts w:eastAsiaTheme="minorEastAsia"/>
        </w:rPr>
        <w:t xml:space="preserve">   </w:t>
      </w:r>
      <w:r w:rsidR="00512595" w:rsidRPr="00512595">
        <w:rPr>
          <w:rFonts w:eastAsiaTheme="minorEastAsia"/>
        </w:rPr>
        <w:tab/>
      </w:r>
      <w:r w:rsidR="00512595" w:rsidRPr="00512595">
        <w:t>(</w:t>
      </w:r>
      <w:r w:rsidR="00D223CC">
        <w:fldChar w:fldCharType="begin"/>
      </w:r>
      <w:r w:rsidR="00D223CC">
        <w:instrText xml:space="preserve"> SEQ Equation \* ARABIC </w:instrText>
      </w:r>
      <w:r w:rsidR="00D223CC">
        <w:fldChar w:fldCharType="separate"/>
      </w:r>
      <w:r w:rsidR="00512595" w:rsidRPr="00512595">
        <w:rPr>
          <w:noProof/>
        </w:rPr>
        <w:t>2</w:t>
      </w:r>
      <w:r w:rsidR="00D223CC">
        <w:rPr>
          <w:noProof/>
        </w:rPr>
        <w:fldChar w:fldCharType="end"/>
      </w:r>
      <w:r w:rsidR="00512595" w:rsidRPr="00512595">
        <w:t>)</w:t>
      </w:r>
    </w:p>
    <w:p w14:paraId="7121BD71" w14:textId="04424429" w:rsidR="00512595" w:rsidRPr="00512595" w:rsidRDefault="00512595" w:rsidP="009F28D1">
      <w:pPr>
        <w:spacing w:line="360" w:lineRule="auto"/>
      </w:pPr>
      <w:r w:rsidRPr="00512595">
        <w:t>where constant (A) = 90 MPa</w:t>
      </w:r>
      <w:r w:rsidRPr="00512595">
        <w:rPr>
          <w:vertAlign w:val="superscript"/>
        </w:rPr>
        <w:t>−n</w:t>
      </w:r>
      <w:r w:rsidRPr="00512595">
        <w:t>s</w:t>
      </w:r>
      <w:r w:rsidRPr="00512595">
        <w:rPr>
          <w:vertAlign w:val="superscript"/>
        </w:rPr>
        <w:t>−1</w:t>
      </w:r>
      <w:r w:rsidRPr="00512595">
        <w:t>, the water fugacity exponent (r) = 1.2, the stress exponent (n) = 3.5, the strain rate (</w:t>
      </w:r>
      <m:oMath>
        <m:acc>
          <m:accPr>
            <m:chr m:val="̇"/>
            <m:ctrlPr>
              <w:rPr>
                <w:rFonts w:ascii="Cambria Math" w:hAnsi="Cambria Math"/>
                <w:i/>
              </w:rPr>
            </m:ctrlPr>
          </m:accPr>
          <m:e>
            <m:r>
              <w:rPr>
                <w:rFonts w:ascii="Cambria Math" w:hAnsi="Cambria Math"/>
              </w:rPr>
              <m:t>ε</m:t>
            </m:r>
          </m:e>
        </m:acc>
      </m:oMath>
      <w:r w:rsidRPr="00512595">
        <w:t>) = 1.3x10</w:t>
      </w:r>
      <w:r w:rsidRPr="00512595">
        <w:rPr>
          <w:vertAlign w:val="superscript"/>
        </w:rPr>
        <w:t>-5</w:t>
      </w:r>
      <w:r w:rsidRPr="00512595">
        <w:t>/s, activation energy (E) = 480 kJ/mol, pressure for all experiments (P) = 1x10</w:t>
      </w:r>
      <w:r w:rsidRPr="00512595">
        <w:rPr>
          <w:vertAlign w:val="superscript"/>
        </w:rPr>
        <w:t>9</w:t>
      </w:r>
      <w:r w:rsidRPr="00512595">
        <w:t xml:space="preserve"> MPa, activation volume (V) =11x10</w:t>
      </w:r>
      <w:r w:rsidRPr="00512595">
        <w:rPr>
          <w:vertAlign w:val="superscript"/>
        </w:rPr>
        <w:t>-6</w:t>
      </w:r>
      <w:r w:rsidRPr="00512595">
        <w:t xml:space="preserve"> m</w:t>
      </w:r>
      <w:r w:rsidRPr="00512595">
        <w:rPr>
          <w:vertAlign w:val="superscript"/>
        </w:rPr>
        <w:t>3</w:t>
      </w:r>
      <w:r w:rsidRPr="00512595">
        <w:t>/mol, the gas constant (R) =8.3145 J∙mol</w:t>
      </w:r>
      <w:r w:rsidRPr="00512595">
        <w:rPr>
          <w:vertAlign w:val="superscript"/>
        </w:rPr>
        <w:t>-1</w:t>
      </w:r>
      <w:r w:rsidRPr="00512595">
        <w:t>∙K</w:t>
      </w:r>
      <w:r w:rsidRPr="00512595">
        <w:rPr>
          <w:vertAlign w:val="superscript"/>
        </w:rPr>
        <w:t>-1</w:t>
      </w:r>
      <w:r w:rsidRPr="00512595">
        <w:t>, and the temperature for all experiments (T) = 1373 Kelvin. The starting C</w:t>
      </w:r>
      <w:r w:rsidRPr="00512595">
        <w:rPr>
          <w:vertAlign w:val="subscript"/>
        </w:rPr>
        <w:t>OH</w:t>
      </w:r>
      <w:r w:rsidRPr="00512595">
        <w:t xml:space="preserve"> of SCO cannot be measured as samples were </w:t>
      </w:r>
      <w:r w:rsidRPr="00512595">
        <w:lastRenderedPageBreak/>
        <w:t>conditioned in their sealed assembly at reducing conditions. Therefore, to initially calculate predicted viscosities of 100% SCO from published flow laws, we use a lower bound estimate of 50 H/10</w:t>
      </w:r>
      <w:r w:rsidRPr="00512595">
        <w:rPr>
          <w:vertAlign w:val="superscript"/>
        </w:rPr>
        <w:t>6</w:t>
      </w:r>
      <w:r w:rsidRPr="00512595">
        <w:t>Si and an upper bound estimate of 600 H/10</w:t>
      </w:r>
      <w:r w:rsidRPr="00512595">
        <w:rPr>
          <w:vertAlign w:val="superscript"/>
        </w:rPr>
        <w:t>6</w:t>
      </w:r>
      <w:r w:rsidRPr="00512595">
        <w:t xml:space="preserve">Si based on FTIR measurements of SCO pre- and post-deformation in other Griggs-style apparatus studies from the same lab </w:t>
      </w:r>
      <w:r w:rsidRPr="00512595">
        <w:fldChar w:fldCharType="begin" w:fldLock="1"/>
      </w:r>
      <w:r w:rsidRPr="00512595">
        <w:instrText xml:space="preserve">ADDIN CSL_CITATION {"citationItems":[{"id":"ITEM-1","itemData":{"DOI":"10.1016/j.epsl.2019.04.019","ISSN":"0012821X","abstract":"The influence of pyroxene on the rheology of peridotite is critical for understanding the dynamics of the upper mantle. Intragranular deformation of each phase is often assumed to be independent and the rheology of aggregates is calculated by mixing models. However, intergranular deformation on grain boundaries (e.g., olivine-olivine)and phase boundaries (e.g., olivine-pyroxene)could be intrinsically different and needs to be constrained experimentally. Experiments on fine-grained olivine and clinopyroxene demonstrate that 50-50 mixtures of these phases (a wehrlite)deform up to </w:instrText>
      </w:r>
      <w:r w:rsidRPr="00512595">
        <w:rPr>
          <w:rFonts w:ascii="Cambria Math" w:hAnsi="Cambria Math" w:cs="Cambria Math"/>
        </w:rPr>
        <w:instrText>∼</w:instrText>
      </w:r>
      <w:r w:rsidRPr="00512595">
        <w:instrText>30 times faster than either of the end-members when scaled to the same experimental conditions. Strain localization within layers with a high-density of phase boundaries demonstrates that phase boundaries enhance the rate of deformation relative to that of either olivine or pyroxene aggregates. Olivine AG-type crystallographic textures (i.e., axial girdles of [100]and [001]axes with [010]maxima sub-perpendicular to the shear plane)observed in deformed specimens are indistinguishable from those observed in many naturally deformed mantle peridotites. We propose that the presence of abundant olivine-pyroxene phase boundaries can decrease the viscosity of mantle shear zones, enhancing strain localization.","author":[{"dropping-particle":"","family":"Zhao","given":"Ningli","non-dropping-particle":"","parse-names":false,"suffix":""},{"dropping-particle":"","family":"Hirth","given":"Greg","non-dropping-particle":"","parse-names":false,"suffix":""},{"dropping-particle":"","family":"Cooper","given":"Reid F.","non-dropping-particle":"","parse-names":false,"suffix":""},{"dropping-particle":"","family":"Kruckenberg","given":"Seth C.","non-dropping-particle":"","parse-names":false,"suffix":""},{"dropping-particle":"","family":"Cukjati","given":"Joseph","non-dropping-particle":"","parse-names":false,"suffix":""}],"container-title":"Earth and Planetary Science Letters","id":"ITEM-1","issued":{"date-parts":[["2019"]]},"page":"83-94","publisher":"Elsevier B.V.","title":"Low viscosity of mantle rocks linked to phase boundary sliding","type":"article-journal","volume":"517"},"uris":["http://www.mendeley.com/documents/?uuid=cbff3169-c49c-42df-86b2-8dfcf91dca60"]},{"id":"ITEM-2","itemData":{"author":[{"dropping-particle":"","family":"Holyoke-III","given":"Caleb W","non-dropping-particle":"","parse-names":false,"suffix":""}],"container-title":"Ph.D. Dissertation","id":"ITEM-2","issue":"May","issued":{"date-parts":[["2005"]]},"page":"1-243","title":"Strain weakening in crustal and upper mantle lithologies: processes and consequences","type":"article-journal"},"uris":["http://www.mendeley.com/documents/?uuid=5cc8833a-60e0-4c11-9ff9-c1f210669c75"]}],"mendeley":{"formattedCitation":"(Holyoke-III, 2005; N. Zhao et al., 2019)","plainTextFormattedCitation":"(Holyoke-III, 2005; N. Zhao et al., 2019)","previouslyFormattedCitation":"(Holyoke-III, 2005; N. Zhao et al., 2019)"},"properties":{"noteIndex":0},"schema":"https://github.com/citation-style-language/schema/raw/master/csl-citation.json"}</w:instrText>
      </w:r>
      <w:r w:rsidRPr="00512595">
        <w:fldChar w:fldCharType="separate"/>
      </w:r>
      <w:r w:rsidRPr="00512595">
        <w:rPr>
          <w:noProof/>
        </w:rPr>
        <w:t>(Holyoke-III, 2005; N. Zhao et al., 2019)</w:t>
      </w:r>
      <w:r w:rsidRPr="00512595">
        <w:fldChar w:fldCharType="end"/>
      </w:r>
      <w:r w:rsidRPr="00512595">
        <w:t>.</w:t>
      </w:r>
    </w:p>
    <w:p w14:paraId="366D96AE" w14:textId="77777777" w:rsidR="00512595" w:rsidRPr="00512595" w:rsidRDefault="00512595" w:rsidP="00512595">
      <w:pPr>
        <w:keepNext/>
        <w:spacing w:line="360" w:lineRule="auto"/>
        <w:ind w:firstLine="720"/>
      </w:pPr>
      <w:r w:rsidRPr="00512595">
        <w:t>The calculated effective viscosity is:</w:t>
      </w:r>
    </w:p>
    <w:p w14:paraId="253A6A27" w14:textId="77777777" w:rsidR="00512595" w:rsidRPr="00512595" w:rsidRDefault="00D223CC" w:rsidP="00512595">
      <w:pPr>
        <w:keepNext/>
        <w:spacing w:line="360" w:lineRule="auto"/>
        <w:ind w:firstLine="720"/>
        <w:jc w:val="right"/>
      </w:pPr>
      <m:oMath>
        <m:sSub>
          <m:sSubPr>
            <m:ctrlPr>
              <w:rPr>
                <w:rFonts w:ascii="Cambria Math" w:hAnsi="Cambria Math"/>
                <w:i/>
              </w:rPr>
            </m:ctrlPr>
          </m:sSubPr>
          <m:e>
            <m:r>
              <w:rPr>
                <w:rFonts w:ascii="Cambria Math" w:hAnsi="Cambria Math"/>
              </w:rPr>
              <m:t>μ</m:t>
            </m:r>
          </m:e>
          <m:sub>
            <m:r>
              <w:rPr>
                <w:rFonts w:ascii="Cambria Math" w:hAnsi="Cambria Math"/>
              </w:rPr>
              <m:t>eff</m:t>
            </m:r>
          </m:sub>
        </m:sSub>
        <m:r>
          <w:rPr>
            <w:rFonts w:ascii="Cambria Math" w:hAnsi="Cambria Math"/>
          </w:rPr>
          <m:t xml:space="preserve">= </m:t>
        </m:r>
        <m:f>
          <m:fPr>
            <m:ctrlPr>
              <w:rPr>
                <w:rFonts w:ascii="Cambria Math" w:hAnsi="Cambria Math"/>
                <w:i/>
              </w:rPr>
            </m:ctrlPr>
          </m:fPr>
          <m:num>
            <m:r>
              <w:rPr>
                <w:rFonts w:ascii="Cambria Math" w:hAnsi="Cambria Math"/>
              </w:rPr>
              <m:t>σ</m:t>
            </m:r>
          </m:num>
          <m:den>
            <m:acc>
              <m:accPr>
                <m:chr m:val="̇"/>
                <m:ctrlPr>
                  <w:rPr>
                    <w:rFonts w:ascii="Cambria Math" w:hAnsi="Cambria Math"/>
                    <w:i/>
                  </w:rPr>
                </m:ctrlPr>
              </m:accPr>
              <m:e>
                <m:r>
                  <w:rPr>
                    <w:rFonts w:ascii="Cambria Math" w:hAnsi="Cambria Math"/>
                  </w:rPr>
                  <m:t>ε</m:t>
                </m:r>
              </m:e>
            </m:acc>
          </m:den>
        </m:f>
      </m:oMath>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rPr>
          <w:rFonts w:eastAsiaTheme="minorEastAsia"/>
        </w:rPr>
        <w:tab/>
      </w:r>
      <w:r w:rsidR="00512595" w:rsidRPr="00512595">
        <w:t>(</w:t>
      </w:r>
      <w:r>
        <w:fldChar w:fldCharType="begin"/>
      </w:r>
      <w:r>
        <w:instrText xml:space="preserve"> SEQ Equation \* ARABIC </w:instrText>
      </w:r>
      <w:r>
        <w:fldChar w:fldCharType="separate"/>
      </w:r>
      <w:r w:rsidR="00512595" w:rsidRPr="00512595">
        <w:rPr>
          <w:noProof/>
        </w:rPr>
        <w:t>3</w:t>
      </w:r>
      <w:r>
        <w:rPr>
          <w:noProof/>
        </w:rPr>
        <w:fldChar w:fldCharType="end"/>
      </w:r>
      <w:r w:rsidR="00512595" w:rsidRPr="00512595">
        <w:t>)</w:t>
      </w:r>
    </w:p>
    <w:p w14:paraId="4D0724F2" w14:textId="77777777" w:rsidR="00512595" w:rsidRPr="00512595" w:rsidRDefault="00512595" w:rsidP="00512595">
      <w:pPr>
        <w:spacing w:line="360" w:lineRule="auto"/>
      </w:pPr>
      <w:r w:rsidRPr="00512595">
        <w:t>at experimental conditions for a low-water (C</w:t>
      </w:r>
      <w:r w:rsidRPr="00512595">
        <w:rPr>
          <w:vertAlign w:val="subscript"/>
        </w:rPr>
        <w:t>OH</w:t>
      </w:r>
      <w:r w:rsidRPr="00512595">
        <w:t>=50 ppm H/Si) olivine estimate sample is 4.87x10</w:t>
      </w:r>
      <w:r w:rsidRPr="00512595">
        <w:rPr>
          <w:vertAlign w:val="superscript"/>
        </w:rPr>
        <w:t>13</w:t>
      </w:r>
      <w:r w:rsidRPr="00512595">
        <w:t xml:space="preserve"> Pa*s and 2.08x10</w:t>
      </w:r>
      <w:r w:rsidRPr="00512595">
        <w:rPr>
          <w:vertAlign w:val="superscript"/>
        </w:rPr>
        <w:t>13</w:t>
      </w:r>
      <w:r w:rsidRPr="00512595">
        <w:t xml:space="preserve"> Pa*s for high-water (C</w:t>
      </w:r>
      <w:r w:rsidRPr="00512595">
        <w:rPr>
          <w:vertAlign w:val="subscript"/>
        </w:rPr>
        <w:t>OH</w:t>
      </w:r>
      <w:r w:rsidRPr="00512595">
        <w:t xml:space="preserve">=600 ppm H/Si) olivine estimates. </w:t>
      </w:r>
    </w:p>
    <w:p w14:paraId="26213C65" w14:textId="6F0D733E" w:rsidR="00512595" w:rsidRPr="006709E2" w:rsidRDefault="002060AF" w:rsidP="006709E2">
      <w:pPr>
        <w:pStyle w:val="Style1"/>
        <w:spacing w:before="0" w:line="360" w:lineRule="auto"/>
      </w:pPr>
      <w:bookmarkStart w:id="67" w:name="_Toc109036146"/>
      <w:r w:rsidRPr="006709E2">
        <w:t xml:space="preserve">1.1.2 </w:t>
      </w:r>
      <w:r w:rsidR="00512595" w:rsidRPr="006709E2">
        <w:t>Ilmenite Flow Laws</w:t>
      </w:r>
      <w:bookmarkEnd w:id="67"/>
    </w:p>
    <w:p w14:paraId="0B6B8945" w14:textId="6E3C1D45" w:rsidR="00512595" w:rsidRPr="00512595" w:rsidRDefault="00512595" w:rsidP="00512595">
      <w:pPr>
        <w:spacing w:line="360" w:lineRule="auto"/>
        <w:ind w:firstLine="720"/>
      </w:pPr>
      <w:proofErr w:type="spellStart"/>
      <w:r w:rsidRPr="00512595">
        <w:t>Tokle</w:t>
      </w:r>
      <w:proofErr w:type="spellEnd"/>
      <w:r w:rsidRPr="00512595">
        <w:t xml:space="preserve"> et al. (2021) used Griggs apparatus and deformation-DIA apparatus experiments on varying Mg-content ilmenites to recalibrate the flow law for ilmenite 100 (ilm100) previously developed by</w:t>
      </w:r>
      <w:r w:rsidRPr="00512595">
        <w:fldChar w:fldCharType="begin" w:fldLock="1"/>
      </w:r>
      <w:r w:rsidRPr="00512595">
        <w:instrText>ADDIN CSL_CITATION {"citationItems":[{"id":"ITEM-1","itemData":{"DOI":"10.1002/2015GL066546","ISBN":"1944-8007","ISSN":"19448007","abstract":"proposal, MoonThermalEvolution","author":[{"dropping-particle":"","family":"Dygert","given":"Nick","non-dropping-particle":"","parse-names":false,"suffix":""},{"dropping-particle":"","family":"Hirth","given":"Greg","non-dropping-particle":"","parse-names":false,"suffix":""},{"dropping-particle":"","family":"Liang","given":"Yan","non-dropping-particle":"","parse-names":false,"suffix":""}],"container-title":"Geophysical Research Letters","id":"ITEM-1","issue":"2","issued":{"date-parts":[["2016"]]},"page":"532-540","title":"A flow law for ilmenite in dislocation creep: Implications for lunar cumulate mantle overturn","type":"article-journal","volume":"43"},"uris":["http://www.mendeley.com/documents/?uuid=e670bc92-714c-4a03-b692-64f8043aec35"]}],"mendeley":{"formattedCitation":"(Dygert et al., 2016)","manualFormatting":" Dygert et al. (2016)","plainTextFormattedCitation":"(Dygert et al., 2016)","previouslyFormattedCitation":"(Dygert et al., 2016)"},"properties":{"noteIndex":0},"schema":"https://github.com/citation-style-language/schema/raw/master/csl-citation.json"}</w:instrText>
      </w:r>
      <w:r w:rsidRPr="00512595">
        <w:fldChar w:fldCharType="separate"/>
      </w:r>
      <w:r w:rsidRPr="00512595">
        <w:rPr>
          <w:noProof/>
        </w:rPr>
        <w:t xml:space="preserve"> Dygert et al. (2016)</w:t>
      </w:r>
      <w:r w:rsidRPr="00512595">
        <w:fldChar w:fldCharType="end"/>
      </w:r>
      <w:r w:rsidRPr="00512595">
        <w:t>, and to establish a pressure-dependent flow law for ilm40. Using equation 1, the flow law for ilm40, the species used in this study, has the following parameters: A = 3.936x10</w:t>
      </w:r>
      <w:r w:rsidRPr="00512595">
        <w:rPr>
          <w:vertAlign w:val="superscript"/>
        </w:rPr>
        <w:t>−7</w:t>
      </w:r>
      <w:r w:rsidRPr="00512595">
        <w:t xml:space="preserve"> MPa</w:t>
      </w:r>
      <w:r w:rsidRPr="00512595">
        <w:rPr>
          <w:vertAlign w:val="superscript"/>
        </w:rPr>
        <w:t>−n</w:t>
      </w:r>
      <w:r w:rsidRPr="00512595">
        <w:t>s</w:t>
      </w:r>
      <w:r w:rsidRPr="00512595">
        <w:rPr>
          <w:vertAlign w:val="superscript"/>
        </w:rPr>
        <w:t>−1</w:t>
      </w:r>
      <w:r w:rsidRPr="00512595">
        <w:t>, n = 5.7, E = 283 kJ/mol and V = 26x10</w:t>
      </w:r>
      <w:r w:rsidRPr="00512595">
        <w:rPr>
          <w:vertAlign w:val="superscript"/>
        </w:rPr>
        <w:t>-6</w:t>
      </w:r>
      <w:r w:rsidRPr="00512595">
        <w:t xml:space="preserve"> m</w:t>
      </w:r>
      <w:r w:rsidRPr="00512595">
        <w:rPr>
          <w:vertAlign w:val="superscript"/>
        </w:rPr>
        <w:t>3</w:t>
      </w:r>
      <w:r w:rsidRPr="00512595">
        <w:t xml:space="preserve">/mol. With ε̇, P, R, and T as defined for the olivine flow law, the bounding flow-law values can be calculated for a sample of 100% ilm40. The calculated effective viscosity at experimental conditions for a 100% ilm40 sample is </w:t>
      </w:r>
      <m:oMath>
        <m:sSub>
          <m:sSubPr>
            <m:ctrlPr>
              <w:rPr>
                <w:rFonts w:ascii="Cambria Math" w:hAnsi="Cambria Math"/>
                <w:i/>
              </w:rPr>
            </m:ctrlPr>
          </m:sSubPr>
          <m:e>
            <m:r>
              <w:rPr>
                <w:rFonts w:ascii="Cambria Math" w:hAnsi="Cambria Math"/>
              </w:rPr>
              <m:t>μ</m:t>
            </m:r>
          </m:e>
          <m:sub>
            <m:r>
              <w:rPr>
                <w:rFonts w:ascii="Cambria Math" w:hAnsi="Cambria Math"/>
              </w:rPr>
              <m:t>eff</m:t>
            </m:r>
          </m:sub>
        </m:sSub>
      </m:oMath>
      <w:r w:rsidRPr="00512595">
        <w:rPr>
          <w:rFonts w:eastAsiaTheme="minorEastAsia"/>
        </w:rPr>
        <w:t>=</w:t>
      </w:r>
      <w:r w:rsidRPr="00512595">
        <w:t>1.24 x10</w:t>
      </w:r>
      <w:r w:rsidRPr="00512595">
        <w:rPr>
          <w:vertAlign w:val="superscript"/>
        </w:rPr>
        <w:t>13</w:t>
      </w:r>
      <w:r w:rsidRPr="00512595">
        <w:t xml:space="preserve"> Pa*s. </w:t>
      </w:r>
    </w:p>
    <w:p w14:paraId="32E160F1" w14:textId="6CAA4673" w:rsidR="004738DA" w:rsidRPr="004738DA" w:rsidRDefault="000C4761" w:rsidP="001E0B34">
      <w:pPr>
        <w:pStyle w:val="Heading2"/>
        <w:spacing w:line="360" w:lineRule="auto"/>
      </w:pPr>
      <w:bookmarkStart w:id="68" w:name="_Toc109036147"/>
      <w:r>
        <w:t xml:space="preserve">2. </w:t>
      </w:r>
      <w:r w:rsidR="0070639F" w:rsidRPr="00847CC5">
        <w:t>Experimental Design and Methods</w:t>
      </w:r>
      <w:bookmarkEnd w:id="68"/>
    </w:p>
    <w:p w14:paraId="02D02CF3" w14:textId="7AFB50D8" w:rsidR="00512595" w:rsidRPr="00512595" w:rsidRDefault="00512595" w:rsidP="00512595">
      <w:pPr>
        <w:spacing w:line="360" w:lineRule="auto"/>
        <w:ind w:firstLine="720"/>
      </w:pPr>
      <w:r w:rsidRPr="00512595">
        <w:t xml:space="preserve">General shear experiments were conducted in a Griggs-type apparatus using molten salt assemblies (Figure </w:t>
      </w:r>
      <w:r w:rsidR="00EB54E6">
        <w:t>2.</w:t>
      </w:r>
      <w:r w:rsidRPr="00512595">
        <w:t xml:space="preserve">1a) at confining pressures of 1 GPa and temperatures of 1100°C. Molten salt cells are ideal for use at high temperatures and pressures, and have very low friction, allowing for accurate measurements on Griggs-type apparatus </w:t>
      </w:r>
      <w:r w:rsidRPr="00512595">
        <w:fldChar w:fldCharType="begin" w:fldLock="1"/>
      </w:r>
      <w:r w:rsidRPr="00512595">
        <w:instrText>ADDIN CSL_CITATION {"citationItems":[{"id":"ITEM-1","itemData":{"author":[{"dropping-particle":"","family":"Holyoke-III","given":"Caleb W","non-dropping-particle":"","parse-names":false,"suffix":""}],"container-title":"Ph.D. Dissertation","id":"ITEM-1","issue":"May","issued":{"date-parts":[["2005"]]},"page":"1-243","title":"Strain weakening in crustal and upper mantle lithologies: processes and consequences","type":"article-journal"},"uris":["http://www.mendeley.com/documents/?uuid=5cc8833a-60e0-4c11-9ff9-c1f210669c75"]}],"mendeley":{"formattedCitation":"(Holyoke-III, 2005)","plainTextFormattedCitation":"(Holyoke-III, 2005)","previouslyFormattedCitation":"(Holyoke-III, 2005)"},"properties":{"noteIndex":0},"schema":"https://github.com/citation-style-language/schema/raw/master/csl-citation.json"}</w:instrText>
      </w:r>
      <w:r w:rsidRPr="00512595">
        <w:fldChar w:fldCharType="separate"/>
      </w:r>
      <w:r w:rsidRPr="00512595">
        <w:rPr>
          <w:noProof/>
        </w:rPr>
        <w:t>(Holyoke-III, 2005)</w:t>
      </w:r>
      <w:r w:rsidRPr="00512595">
        <w:fldChar w:fldCharType="end"/>
      </w:r>
      <w:r w:rsidRPr="00512595">
        <w:t>.</w:t>
      </w:r>
    </w:p>
    <w:p w14:paraId="07590886" w14:textId="77BB8C1E" w:rsidR="00512595" w:rsidRPr="006709E2" w:rsidRDefault="002060AF" w:rsidP="006709E2">
      <w:pPr>
        <w:pStyle w:val="Heading3"/>
        <w:spacing w:before="0" w:line="360" w:lineRule="auto"/>
      </w:pPr>
      <w:bookmarkStart w:id="69" w:name="_Toc109036148"/>
      <w:r w:rsidRPr="006709E2">
        <w:t xml:space="preserve">2.1 </w:t>
      </w:r>
      <w:r w:rsidR="00512595" w:rsidRPr="006709E2">
        <w:t>Starting Materials</w:t>
      </w:r>
      <w:bookmarkEnd w:id="69"/>
    </w:p>
    <w:p w14:paraId="42C80EF4" w14:textId="77777777" w:rsidR="00164D4C" w:rsidRDefault="00512595" w:rsidP="00512595">
      <w:pPr>
        <w:spacing w:line="360" w:lineRule="auto"/>
        <w:ind w:firstLine="720"/>
      </w:pPr>
      <w:r w:rsidRPr="00512595">
        <w:t xml:space="preserve">Initial investigation of aggregate </w:t>
      </w:r>
      <w:proofErr w:type="spellStart"/>
      <w:proofErr w:type="gramStart"/>
      <w:r w:rsidRPr="00512595">
        <w:t>ilmenite:olivine</w:t>
      </w:r>
      <w:proofErr w:type="spellEnd"/>
      <w:proofErr w:type="gramEnd"/>
      <w:r w:rsidRPr="00512595">
        <w:t xml:space="preserve"> rheology in shear used end-member ilmenite (FeTiO</w:t>
      </w:r>
      <w:r w:rsidRPr="00512595">
        <w:rPr>
          <w:vertAlign w:val="subscript"/>
        </w:rPr>
        <w:t>3</w:t>
      </w:r>
      <w:r w:rsidRPr="00512595">
        <w:t>) and San Carlos olivine ((Mg</w:t>
      </w:r>
      <w:r w:rsidRPr="00512595">
        <w:rPr>
          <w:vertAlign w:val="subscript"/>
        </w:rPr>
        <w:t>0.9</w:t>
      </w:r>
      <w:r w:rsidRPr="00512595">
        <w:t>Fe</w:t>
      </w:r>
      <w:r w:rsidRPr="00512595">
        <w:rPr>
          <w:vertAlign w:val="subscript"/>
        </w:rPr>
        <w:t>0.1</w:t>
      </w:r>
      <w:r w:rsidRPr="00512595">
        <w:t>)</w:t>
      </w:r>
      <w:r w:rsidRPr="00512595">
        <w:rPr>
          <w:vertAlign w:val="subscript"/>
        </w:rPr>
        <w:t>2</w:t>
      </w:r>
      <w:r w:rsidRPr="00512595">
        <w:t>SiO</w:t>
      </w:r>
      <w:r w:rsidRPr="00512595">
        <w:rPr>
          <w:vertAlign w:val="subscript"/>
        </w:rPr>
        <w:t>4</w:t>
      </w:r>
      <w:r w:rsidRPr="00512595">
        <w:t xml:space="preserve">), which are not in </w:t>
      </w:r>
    </w:p>
    <w:p w14:paraId="55A7F0C8" w14:textId="22435A32" w:rsidR="00164D4C" w:rsidRPr="00B659CB" w:rsidRDefault="00164D4C" w:rsidP="00164D4C">
      <w:pPr>
        <w:pStyle w:val="Caption"/>
        <w:rPr>
          <w:b w:val="0"/>
          <w:bCs w:val="0"/>
          <w:sz w:val="20"/>
          <w:szCs w:val="20"/>
        </w:rPr>
      </w:pPr>
      <w:bookmarkStart w:id="70" w:name="_Toc109738673"/>
      <w:r>
        <w:rPr>
          <w:noProof/>
        </w:rPr>
        <w:lastRenderedPageBreak/>
        <w:drawing>
          <wp:anchor distT="0" distB="0" distL="114300" distR="114300" simplePos="0" relativeHeight="251675648" behindDoc="0" locked="0" layoutInCell="1" allowOverlap="1" wp14:anchorId="26CD0472" wp14:editId="012486F8">
            <wp:simplePos x="0" y="0"/>
            <wp:positionH relativeFrom="column">
              <wp:posOffset>0</wp:posOffset>
            </wp:positionH>
            <wp:positionV relativeFrom="paragraph">
              <wp:posOffset>0</wp:posOffset>
            </wp:positionV>
            <wp:extent cx="5943600" cy="2957195"/>
            <wp:effectExtent l="0" t="0" r="0" b="0"/>
            <wp:wrapTopAndBottom/>
            <wp:docPr id="25" name="Picture 2" descr="Diagram&#10;&#10;Description automatically generated">
              <a:extLst xmlns:a="http://schemas.openxmlformats.org/drawingml/2006/main">
                <a:ext uri="{FF2B5EF4-FFF2-40B4-BE49-F238E27FC236}">
                  <a16:creationId xmlns:a16="http://schemas.microsoft.com/office/drawing/2014/main" id="{098A6BD7-81D0-5839-9742-E553BA78C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10;&#10;Description automatically generated">
                      <a:extLst>
                        <a:ext uri="{FF2B5EF4-FFF2-40B4-BE49-F238E27FC236}">
                          <a16:creationId xmlns:a16="http://schemas.microsoft.com/office/drawing/2014/main" id="{098A6BD7-81D0-5839-9742-E553BA78C3FB}"/>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957195"/>
                    </a:xfrm>
                    <a:prstGeom prst="rect">
                      <a:avLst/>
                    </a:prstGeom>
                  </pic:spPr>
                </pic:pic>
              </a:graphicData>
            </a:graphic>
          </wp:anchor>
        </w:drawing>
      </w:r>
      <w:r w:rsidRPr="00B659CB">
        <w:rPr>
          <w:b w:val="0"/>
          <w:bCs w:val="0"/>
          <w:sz w:val="20"/>
          <w:szCs w:val="20"/>
        </w:rPr>
        <w:t xml:space="preserve">Figure </w:t>
      </w:r>
      <w:r>
        <w:rPr>
          <w:b w:val="0"/>
          <w:bCs w:val="0"/>
          <w:sz w:val="20"/>
          <w:szCs w:val="20"/>
        </w:rPr>
        <w:t>2.</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1</w:t>
      </w:r>
      <w:r>
        <w:rPr>
          <w:b w:val="0"/>
          <w:bCs w:val="0"/>
          <w:sz w:val="20"/>
          <w:szCs w:val="20"/>
        </w:rPr>
        <w:fldChar w:fldCharType="end"/>
      </w:r>
      <w:r w:rsidRPr="00B659CB">
        <w:rPr>
          <w:b w:val="0"/>
          <w:bCs w:val="0"/>
          <w:sz w:val="20"/>
          <w:szCs w:val="20"/>
        </w:rPr>
        <w:t xml:space="preserve">. Diagram of components for molten salt cell and Griggs apparatus used in this study. Panel A shows the assembly for the sample in shear. Panel B shows the interior schematic for the force ram portion of the Griggs apparatus and panel C shows the full Griggs apparatus. Figure modified from Holyoke and </w:t>
      </w:r>
      <w:proofErr w:type="spellStart"/>
      <w:r w:rsidRPr="00B659CB">
        <w:rPr>
          <w:b w:val="0"/>
          <w:bCs w:val="0"/>
          <w:sz w:val="20"/>
          <w:szCs w:val="20"/>
        </w:rPr>
        <w:t>Kronenberg</w:t>
      </w:r>
      <w:proofErr w:type="spellEnd"/>
      <w:r w:rsidRPr="00B659CB">
        <w:rPr>
          <w:b w:val="0"/>
          <w:bCs w:val="0"/>
          <w:sz w:val="20"/>
          <w:szCs w:val="20"/>
        </w:rPr>
        <w:t>, 2010 for Rig 2 at the Brown University Rock Deformation lab.</w:t>
      </w:r>
      <w:bookmarkEnd w:id="70"/>
    </w:p>
    <w:p w14:paraId="67D86217" w14:textId="77777777" w:rsidR="00164D4C" w:rsidRDefault="00164D4C">
      <w:r>
        <w:br w:type="page"/>
      </w:r>
    </w:p>
    <w:p w14:paraId="7DA8B087" w14:textId="0FF29204" w:rsidR="00512595" w:rsidRPr="00512595" w:rsidRDefault="00512595" w:rsidP="00164D4C">
      <w:pPr>
        <w:spacing w:line="360" w:lineRule="auto"/>
      </w:pPr>
      <w:r w:rsidRPr="00512595">
        <w:lastRenderedPageBreak/>
        <w:t xml:space="preserve">equilibrium at the experimental conditions </w:t>
      </w:r>
      <w:r w:rsidRPr="00512595">
        <w:fldChar w:fldCharType="begin" w:fldLock="1"/>
      </w:r>
      <w:r w:rsidRPr="00512595">
        <w:instrText>ADDIN CSL_CITATION {"citationItems":[{"id":"ITEM-1","itemData":{"DOI":"1979LPSC...10..493A","author":[{"dropping-particle":"","family":"Andersen","given":"David J.","non-dropping-particle":"","parse-names":false,"suffix":""},{"dropping-particle":"","family":"Lindsley","given":"D.H.","non-dropping-particle":"","parse-names":false,"suffix":""}],"container-title":"Lunar Planetary Science Conference","id":"ITEM-1","issued":{"date-parts":[["1979"]]},"page":"493-507","title":"The olivine-ilmenite thermometer","type":"article-journal","volume":"10"},"uris":["http://www.mendeley.com/documents/?uuid=046a259d-5d17-4643-b86a-3fecd7494905"]},{"id":"ITEM-2","itemData":{"DOI":"10.1016/j.gca.2008.10.038","ISSN":"00167037","abstract":"Ilmenite has played an important role in the petrogenesis of lunar high-Ti picritic magmas, and armalcolite is another high-Ti oxide that was first discovered on the moon. In this study, we examined the thermodynamic stability of ilmenite and armalcolite in the context of lunar cumulate mantle overturn. Two starting compositions were explored, an ilmenite-bearing dunite (olivine + ilmenite) and an ilmenite-bearing harzburgite (olivine + orthopyroxene + ilmenite). Experiments were conducted using a 19.05 mm piston-cylinder apparatus at temperatures of 1235-1475 °C and pressures of 1-2 GPa. In runs with the ilmenite-bearing dunite mixture, ilmenite is stable in the subsolidus assemblage at least up to 1450 °C and 2 GPa. In runs with the ilmenite-bearing harzburgite starting mixture, ilmenite is stable at pressures greater than 1.4 GPa, and armalcolite is stable at lower pressures. Solidi for both starting compositions were determined, and the phase boundary between ilmenite- and armalcolite-bearing harzburgite was shown to have little dependence on temperature. During lunar cumulate overturn, sinking ilmenite formed near the end of lunar magma ocean solidification transforms into armalcolite when in contact with harzburgite cumulates at depths of less than 280 km in the lunar mantle. Inefficient overturn could leave isolated, inhomogeneously distributed pockets of armalcolite-bearing harzburgite in the upper lunar mantle, underlain by an ilmenite-bearing lower lunar mantle. These high-Ti oxide-bearing harzburgitic pockets can serve as potential sources for the generation of high-Ti magmas through partial melting or through assimilation of high-Ti minerals during transport of low-Ti picritic magmas in the lunar mantle. FeO-MgO exchange between olivine and either ilmenite or armalcolite was also examined in this study. We found the FeO-MgO distribution coefficient to be effectively independent of temperature for the pressures, temperatures, and compositions explored, with an average value of 0.179 ± 0.008 for olivine/ilmenite and 0.319 ± 0.021 for olivine/armalcolite. Given the bulk composition of an overturned lunar cumulate mantle, our measured FeO-MgO distribution coefficients can be used to estimate the Mg# of coexisting minerals in armalcolite- or ilmenite-bearing harzburgite and dunite in the overturned lunar mantle. Finally, the transformation from ilmenite-bearing harzburgite to armalcolite-bearing harzburgite results in a density increase of up to …","author":[{"dropping-particle":"","family":"Thacker","given":"Carla","non-dropping-particle":"","parse-names":false,"suffix":""},{"dropping-particle":"","family":"Liang","given":"Yan","non-dropping-particle":"","parse-names":false,"suffix":""},{"dropping-particle":"","family":"Peng","given":"Qinglan","non-dropping-particle":"","parse-names":false,"suffix":""},{"dropping-particle":"","family":"Hess","given":"Paul","non-dropping-particle":"","parse-names":false,"suffix":""}],"container-title":"Geochimica et Cosmochimica Acta","id":"ITEM-2","issue":"3","issued":{"date-parts":[["2009"]]},"page":"820-836","publisher":"Elsevier Ltd","title":"The stability and major element partitioning of ilmenite and armalcolite during lunar cumulate mantle overturn","type":"article-journal","volume":"73"},"uris":["http://www.mendeley.com/documents/?uuid=65669ee9-ea47-411e-beea-311f492a91c7"]}],"mendeley":{"formattedCitation":"(Andersen &amp; Lindsley, 1979; Thacker et al., 2009)","plainTextFormattedCitation":"(Andersen &amp; Lindsley, 1979; Thacker et al., 2009)","previouslyFormattedCitation":"(Andersen &amp; Lindsley, 1979; Thacker et al., 2009)"},"properties":{"noteIndex":0},"schema":"https://github.com/citation-style-language/schema/raw/master/csl-citation.json"}</w:instrText>
      </w:r>
      <w:r w:rsidRPr="00512595">
        <w:fldChar w:fldCharType="separate"/>
      </w:r>
      <w:r w:rsidRPr="00512595">
        <w:rPr>
          <w:noProof/>
        </w:rPr>
        <w:t>(Andersen &amp; Lindsley, 1979; Thacker et al., 2009)</w:t>
      </w:r>
      <w:r w:rsidRPr="00512595">
        <w:fldChar w:fldCharType="end"/>
      </w:r>
      <w:r w:rsidRPr="00512595">
        <w:t>. For this study, ilm40 ((Mg</w:t>
      </w:r>
      <w:r w:rsidRPr="00512595">
        <w:rPr>
          <w:vertAlign w:val="subscript"/>
        </w:rPr>
        <w:t>60</w:t>
      </w:r>
      <w:r w:rsidRPr="00512595">
        <w:t>Fe</w:t>
      </w:r>
      <w:proofErr w:type="gramStart"/>
      <w:r w:rsidRPr="00512595">
        <w:rPr>
          <w:vertAlign w:val="subscript"/>
        </w:rPr>
        <w:t>40</w:t>
      </w:r>
      <w:r w:rsidRPr="00512595">
        <w:t>)TiO</w:t>
      </w:r>
      <w:proofErr w:type="gramEnd"/>
      <w:r w:rsidRPr="00512595">
        <w:rPr>
          <w:vertAlign w:val="subscript"/>
        </w:rPr>
        <w:t>3</w:t>
      </w:r>
      <w:r w:rsidRPr="00512595">
        <w:t xml:space="preserve">) synthesized by L. </w:t>
      </w:r>
      <w:proofErr w:type="spellStart"/>
      <w:r w:rsidRPr="00512595">
        <w:t>Tokle</w:t>
      </w:r>
      <w:proofErr w:type="spellEnd"/>
      <w:r w:rsidRPr="00512595">
        <w:t xml:space="preserve"> for </w:t>
      </w:r>
      <w:proofErr w:type="spellStart"/>
      <w:r w:rsidRPr="00512595">
        <w:t>Tokle</w:t>
      </w:r>
      <w:proofErr w:type="spellEnd"/>
      <w:r w:rsidRPr="00512595">
        <w:t xml:space="preserve"> et al. (2021), was used. This composition of 40% ilmenite and 60% </w:t>
      </w:r>
      <w:proofErr w:type="spellStart"/>
      <w:r w:rsidRPr="00512595">
        <w:t>giekielite</w:t>
      </w:r>
      <w:proofErr w:type="spellEnd"/>
      <w:r w:rsidRPr="00512595">
        <w:t xml:space="preserve"> (MgTiO</w:t>
      </w:r>
      <w:r w:rsidRPr="00512595">
        <w:rPr>
          <w:vertAlign w:val="subscript"/>
        </w:rPr>
        <w:t>3</w:t>
      </w:r>
      <w:r w:rsidRPr="00512595">
        <w:t xml:space="preserve">) is in equilibrium with SCO at the experimental conditions of 1 GPa confining pressure and 1100°C, as experimentally determined in previous studies </w:t>
      </w:r>
      <w:r w:rsidRPr="00512595">
        <w:fldChar w:fldCharType="begin" w:fldLock="1"/>
      </w:r>
      <w:r w:rsidRPr="00512595">
        <w:instrText>ADDIN CSL_CITATION {"citationItems":[{"id":"ITEM-1","itemData":{"DOI":"1979LPSC...10..493A","author":[{"dropping-particle":"","family":"Andersen","given":"David J.","non-dropping-particle":"","parse-names":false,"suffix":""},{"dropping-particle":"","family":"Lindsley","given":"D.H.","non-dropping-particle":"","parse-names":false,"suffix":""}],"container-title":"Lunar Planetary Science Conference","id":"ITEM-1","issued":{"date-parts":[["1979"]]},"page":"493-507","title":"The olivine-ilmenite thermometer","type":"article-journal","volume":"10"},"uris":["http://www.mendeley.com/documents/?uuid=046a259d-5d17-4643-b86a-3fecd7494905"]},{"id":"ITEM-2","itemData":{"DOI":"10.1016/j.gca.2008.10.038","ISSN":"00167037","abstract":"Ilmenite has played an important role in the petrogenesis of lunar high-Ti picritic magmas, and armalcolite is another high-Ti oxide that was first discovered on the moon. In this study, we examined the thermodynamic stability of ilmenite and armalcolite in the context of lunar cumulate mantle overturn. Two starting compositions were explored, an ilmenite-bearing dunite (olivine + ilmenite) and an ilmenite-bearing harzburgite (olivine + orthopyroxene + ilmenite). Experiments were conducted using a 19.05 mm piston-cylinder apparatus at temperatures of 1235-1475 °C and pressures of 1-2 GPa. In runs with the ilmenite-bearing dunite mixture, ilmenite is stable in the subsolidus assemblage at least up to 1450 °C and 2 GPa. In runs with the ilmenite-bearing harzburgite starting mixture, ilmenite is stable at pressures greater than 1.4 GPa, and armalcolite is stable at lower pressures. Solidi for both starting compositions were determined, and the phase boundary between ilmenite- and armalcolite-bearing harzburgite was shown to have little dependence on temperature. During lunar cumulate overturn, sinking ilmenite formed near the end of lunar magma ocean solidification transforms into armalcolite when in contact with harzburgite cumulates at depths of less than 280 km in the lunar mantle. Inefficient overturn could leave isolated, inhomogeneously distributed pockets of armalcolite-bearing harzburgite in the upper lunar mantle, underlain by an ilmenite-bearing lower lunar mantle. These high-Ti oxide-bearing harzburgitic pockets can serve as potential sources for the generation of high-Ti magmas through partial melting or through assimilation of high-Ti minerals during transport of low-Ti picritic magmas in the lunar mantle. FeO-MgO exchange between olivine and either ilmenite or armalcolite was also examined in this study. We found the FeO-MgO distribution coefficient to be effectively independent of temperature for the pressures, temperatures, and compositions explored, with an average value of 0.179 ± 0.008 for olivine/ilmenite and 0.319 ± 0.021 for olivine/armalcolite. Given the bulk composition of an overturned lunar cumulate mantle, our measured FeO-MgO distribution coefficients can be used to estimate the Mg# of coexisting minerals in armalcolite- or ilmenite-bearing harzburgite and dunite in the overturned lunar mantle. Finally, the transformation from ilmenite-bearing harzburgite to armalcolite-bearing harzburgite results in a density increase of up to …","author":[{"dropping-particle":"","family":"Thacker","given":"Carla","non-dropping-particle":"","parse-names":false,"suffix":""},{"dropping-particle":"","family":"Liang","given":"Yan","non-dropping-particle":"","parse-names":false,"suffix":""},{"dropping-particle":"","family":"Peng","given":"Qinglan","non-dropping-particle":"","parse-names":false,"suffix":""},{"dropping-particle":"","family":"Hess","given":"Paul","non-dropping-particle":"","parse-names":false,"suffix":""}],"container-title":"Geochimica et Cosmochimica Acta","id":"ITEM-2","issue":"3","issued":{"date-parts":[["2009"]]},"page":"820-836","publisher":"Elsevier Ltd","title":"The stability and major element partitioning of ilmenite and armalcolite during lunar cumulate mantle overturn","type":"article-journal","volume":"73"},"uris":["http://www.mendeley.com/documents/?uuid=65669ee9-ea47-411e-beea-311f492a91c7"]},{"id":"ITEM-3","itemData":{"DOI":"10.1029/2020JE006494","ISSN":"2169-9097","abstract":"The viscosity of ilmenite is an important parameter that is thought to have influenced the thermal and chemical evolution of the lunar cumulate mantle. We conduct deformation experiments on two different ilmenite compositions, ilmenite100 (FeTiO3) and ilmenite40 ((Fe0.4Mg0.6)TiO3), to investigate the influence of pressure and Mg-content on the rheology of ilmenite aggregates. Experiments were conducted in a Griggs apparatus and a deformation-DIA apparatus at pressures spanning 1–5 GPa. Using the new experimental data and reanalyzed data from Dygert et al. (2016), we determine pressure-dependent flow law parameters for ilmenite100 (A = 2.183 MPa−ns−1, n = 3.0 ± 0.4, E = 276 ± 25 kJ/mol and V = 17 ± 4 cm3/mol) and ilmenite40 (A = 3.936e−7 MPa−ns−1, n = 5.7 ± 0.5, E = 283 ± 25 kJ/mol and V = 26 ± 4 cm3/mol). Over the range of experimental conditions ilmenite40 has a larger stress exponent and activation volume than ilmenite100. Extrapolation of the ilmenite100 flow law predicts a viscosity approximately five orders of magnitude lower than dry olivine and three orders of magnitude lower than wet olivine at a temperature of 1,100°C, pressure of 0.3 GPa, and stress of 0.3 MPa, conditions representative of the early ilmenite-bearing cumulate. Our estimated viscosity contrasts for a dry lunar mantle suggests that lunar cumulate mantle overturn may be dominated by longer wavelength downwellings, while a wet lunar mantle may be dominated by shorter wavelength downwellings.","author":[{"dropping-particle":"","family":"Tokle","given":"Leif","non-dropping-particle":"","parse-names":false,"suffix":""},{"dropping-particle":"","family":"Hirth","given":"Greg","non-dropping-particle":"","parse-names":false,"suffix":""},{"dropping-particle":"","family":"Liang","given":"Yan","non-dropping-particle":"","parse-names":false,"suffix":""},{"dropping-particle":"","family":"Raterron","given":"Paul","non-dropping-particle":"","parse-names":false,"suffix":""},{"dropping-particle":"","family":"Dygert","given":"Nick","non-dropping-particle":"","parse-names":false,"suffix":""}],"container-title":"Journal of Geophysical Research: Planets","id":"ITEM-3","issue":"1","issued":{"date-parts":[["2021","1","28"]]},"page":"1-21","title":"The Effect of Pressure and Mg</w:instrText>
      </w:r>
      <w:r w:rsidRPr="00512595">
        <w:rPr>
          <w:rFonts w:ascii="Cambria Math" w:hAnsi="Cambria Math" w:cs="Cambria Math"/>
        </w:rPr>
        <w:instrText>‐</w:instrText>
      </w:r>
      <w:r w:rsidRPr="00512595">
        <w:instrText>Content on Ilmenite Rheology: Implications for Lunar Cumulate Mantle Overturn","type":"article-journal","volume":"126"},"uris":["http://www.mendeley.com/documents/?uuid=a302dfec-9caf-4cd7-a626-07b6be4d33fc"]}],"mendeley":{"formattedCitation":"(Andersen &amp; Lindsley, 1979; Thacker et al., 2009; Tokle et al., 2021)","plainTextFormattedCitation":"(Andersen &amp; Lindsley, 1979; Thacker et al., 2009; Tokle et al., 2021)","previouslyFormattedCitation":"(Andersen &amp; Lindsley, 1979; Thacker et al., 2009; Tokle et al., 2021)"},"properties":{"noteIndex":0},"schema":"https://github.com/citation-style-language/schema/raw/master/csl-citation.json"}</w:instrText>
      </w:r>
      <w:r w:rsidRPr="00512595">
        <w:fldChar w:fldCharType="separate"/>
      </w:r>
      <w:r w:rsidRPr="00512595">
        <w:rPr>
          <w:noProof/>
        </w:rPr>
        <w:t>(Andersen &amp; Lindsley, 1979; Thacker et al., 2009; Tokle et al., 2021)</w:t>
      </w:r>
      <w:r w:rsidRPr="00512595">
        <w:fldChar w:fldCharType="end"/>
      </w:r>
      <w:r w:rsidRPr="00512595">
        <w:t xml:space="preserve">. </w:t>
      </w:r>
    </w:p>
    <w:p w14:paraId="4B89368D" w14:textId="2C23DD6E" w:rsidR="00512595" w:rsidRPr="00512595" w:rsidRDefault="00512595" w:rsidP="00512595">
      <w:pPr>
        <w:spacing w:line="360" w:lineRule="auto"/>
        <w:ind w:firstLine="720"/>
      </w:pPr>
      <w:r w:rsidRPr="00512595">
        <w:t xml:space="preserve">Starting powders of SCO and ilm40 were ground and sieved to a minimum grain size of 20-30 </w:t>
      </w:r>
      <w:proofErr w:type="spellStart"/>
      <w:r w:rsidRPr="00512595">
        <w:t>μm</w:t>
      </w:r>
      <w:proofErr w:type="spellEnd"/>
      <w:r w:rsidRPr="00512595">
        <w:t xml:space="preserve">. As per the steps outlined in Appendix B of </w:t>
      </w:r>
      <w:r w:rsidRPr="00512595">
        <w:fldChar w:fldCharType="begin" w:fldLock="1"/>
      </w:r>
      <w:r w:rsidRPr="00512595">
        <w:instrText>ADDIN CSL_CITATION {"citationItems":[{"id":"ITEM-1","itemData":{"author":[{"dropping-particle":"","family":"Holyoke-III","given":"Caleb W","non-dropping-particle":"","parse-names":false,"suffix":""}],"container-title":"Ph.D. Dissertation","id":"ITEM-1","issue":"May","issued":{"date-parts":[["2005"]]},"page":"1-243","title":"Strain weakening in crustal and upper mantle lithologies: processes and consequences","type":"article-journal"},"uris":["http://www.mendeley.com/documents/?uuid=5cc8833a-60e0-4c11-9ff9-c1f210669c75"]}],"mendeley":{"formattedCitation":"(Holyoke-III, 2005)","manualFormatting":"Holyoke, (2005)","plainTextFormattedCitation":"(Holyoke-III, 2005)","previouslyFormattedCitation":"(Holyoke-III, 2005)"},"properties":{"noteIndex":0},"schema":"https://github.com/citation-style-language/schema/raw/master/csl-citation.json"}</w:instrText>
      </w:r>
      <w:r w:rsidRPr="00512595">
        <w:fldChar w:fldCharType="separate"/>
      </w:r>
      <w:r w:rsidRPr="00512595">
        <w:rPr>
          <w:noProof/>
        </w:rPr>
        <w:t>Holyoke, (2005)</w:t>
      </w:r>
      <w:r w:rsidRPr="00512595">
        <w:fldChar w:fldCharType="end"/>
      </w:r>
      <w:r w:rsidRPr="00512595">
        <w:t>, experimental powders and shear pistons were cold pressed into a thick Ni jacket and conditioned in a horizontal gas mixing furnace at 900°C at an oxygen fugacity approximating the Ni/</w:t>
      </w:r>
      <w:proofErr w:type="spellStart"/>
      <w:r w:rsidRPr="00512595">
        <w:t>NiO</w:t>
      </w:r>
      <w:proofErr w:type="spellEnd"/>
      <w:r w:rsidRPr="00512595">
        <w:t xml:space="preserve"> buffer for 9 hours. The conditioned samples were then inserted into thinner Pt and Ni outer jackets with Ni and Pt disks covering the top and bottom of the jacketed sample (Figure </w:t>
      </w:r>
      <w:r w:rsidR="00EB54E6">
        <w:t>2.</w:t>
      </w:r>
      <w:r w:rsidRPr="00512595">
        <w:t>1a). The Pt sleeve was mechanically folded over the disks to seal the jacketed sample. The jacketed samples were then annealed overnight at run conditions prior to deformation. A hydrostatic experiment, LMO-007, demonstrates vertical shortening of the powders by approximately 3% prior to and during annealing.</w:t>
      </w:r>
    </w:p>
    <w:p w14:paraId="69FE922B" w14:textId="0F23FED2" w:rsidR="00512595" w:rsidRPr="006709E2" w:rsidRDefault="002060AF" w:rsidP="006709E2">
      <w:pPr>
        <w:pStyle w:val="Heading3"/>
        <w:spacing w:before="0" w:line="360" w:lineRule="auto"/>
      </w:pPr>
      <w:bookmarkStart w:id="71" w:name="_Toc109036149"/>
      <w:r w:rsidRPr="006709E2">
        <w:t xml:space="preserve">2.2 </w:t>
      </w:r>
      <w:r w:rsidR="00512595" w:rsidRPr="006709E2">
        <w:t>Experimental Conditions</w:t>
      </w:r>
      <w:bookmarkEnd w:id="71"/>
    </w:p>
    <w:p w14:paraId="663A5861" w14:textId="77777777" w:rsidR="00512595" w:rsidRPr="00512595" w:rsidRDefault="00512595" w:rsidP="00512595">
      <w:pPr>
        <w:spacing w:line="360" w:lineRule="auto"/>
        <w:ind w:firstLine="720"/>
      </w:pPr>
      <w:r w:rsidRPr="00512595">
        <w:t>Experiments were conducted at 1100°C and at a confining pressure of 1.0 +/- 0.1 GPa at a nominal axial compression rate of 10</w:t>
      </w:r>
      <w:r w:rsidRPr="00512595">
        <w:rPr>
          <w:vertAlign w:val="superscript"/>
        </w:rPr>
        <w:t>-6</w:t>
      </w:r>
      <w:r w:rsidRPr="00512595">
        <w:t xml:space="preserve"> s</w:t>
      </w:r>
      <w:r w:rsidRPr="00512595">
        <w:rPr>
          <w:vertAlign w:val="superscript"/>
        </w:rPr>
        <w:t>-1</w:t>
      </w:r>
      <w:r w:rsidRPr="00512595">
        <w:t xml:space="preserve">. Individual sample data related to each run is listed in Table 2.1. To preserve the microstructures, at the end of the experiment the temperature was lowered at a rate of 3°C/s to 300°C whenever possible, though due to thermocouple failures, samples LMO-001, LMO-003, and LMO-004 were quenched from 1100°C, and specific reasons are noted in Table 2.2. During the temperature decrease, the confining pressure decreases slightly and once the sample temperature decreases to 300°C the confining pressure is decreased manually over 1 hour to prevent decompression cracking. </w:t>
      </w:r>
    </w:p>
    <w:p w14:paraId="5C8274C2" w14:textId="77777777" w:rsidR="00164D4C" w:rsidRDefault="00512595" w:rsidP="009F28D1">
      <w:pPr>
        <w:spacing w:line="360" w:lineRule="auto"/>
        <w:ind w:firstLine="720"/>
      </w:pPr>
      <w:r w:rsidRPr="00512595">
        <w:t xml:space="preserve">Applied force and deformation piston displacement during experimental runs are measured through an external load cell and displacement transducer (resolution = 1 </w:t>
      </w:r>
      <w:proofErr w:type="spellStart"/>
      <w:r w:rsidRPr="00512595">
        <w:t>μm</w:t>
      </w:r>
      <w:proofErr w:type="spellEnd"/>
      <w:r w:rsidRPr="00512595">
        <w:t xml:space="preserve">) labeled on a schematic of the Brown University Rock Deformation </w:t>
      </w:r>
      <w:proofErr w:type="gramStart"/>
      <w:r w:rsidRPr="00512595">
        <w:t>lab</w:t>
      </w:r>
      <w:proofErr w:type="gramEnd"/>
      <w:r w:rsidRPr="00512595">
        <w:t xml:space="preserve"> Rig 2 Griggs </w:t>
      </w:r>
    </w:p>
    <w:p w14:paraId="6B89B2A5" w14:textId="77777777" w:rsidR="00164D4C" w:rsidRDefault="00164D4C">
      <w:pPr>
        <w:sectPr w:rsidR="00164D4C" w:rsidSect="009F28D1">
          <w:pgSz w:w="12240" w:h="15840"/>
          <w:pgMar w:top="1440" w:right="1440" w:bottom="1440" w:left="1440" w:header="720" w:footer="1440" w:gutter="0"/>
          <w:cols w:space="720"/>
          <w:docGrid w:linePitch="360"/>
        </w:sectPr>
      </w:pPr>
    </w:p>
    <w:p w14:paraId="16BCBBF6" w14:textId="77777777" w:rsidR="00164D4C" w:rsidRPr="00B659CB" w:rsidRDefault="00164D4C" w:rsidP="00164D4C">
      <w:pPr>
        <w:pStyle w:val="Caption"/>
        <w:rPr>
          <w:b w:val="0"/>
          <w:bCs w:val="0"/>
          <w:sz w:val="20"/>
          <w:szCs w:val="20"/>
        </w:rPr>
      </w:pPr>
      <w:bookmarkStart w:id="72" w:name="_Toc109398944"/>
      <w:r w:rsidRPr="00B659CB">
        <w:rPr>
          <w:b w:val="0"/>
          <w:bCs w:val="0"/>
          <w:sz w:val="20"/>
          <w:szCs w:val="20"/>
        </w:rPr>
        <w:lastRenderedPageBreak/>
        <w:t xml:space="preserve">Table </w:t>
      </w:r>
      <w:r>
        <w:rPr>
          <w:b w:val="0"/>
          <w:bCs w:val="0"/>
          <w:sz w:val="20"/>
          <w:szCs w:val="20"/>
        </w:rPr>
        <w:t>2.</w:t>
      </w:r>
      <w:r>
        <w:rPr>
          <w:b w:val="0"/>
          <w:bCs w:val="0"/>
          <w:sz w:val="20"/>
          <w:szCs w:val="20"/>
        </w:rPr>
        <w:fldChar w:fldCharType="begin"/>
      </w:r>
      <w:r>
        <w:rPr>
          <w:b w:val="0"/>
          <w:bCs w:val="0"/>
          <w:sz w:val="20"/>
          <w:szCs w:val="20"/>
        </w:rPr>
        <w:instrText xml:space="preserve"> SEQ Table \* ARABIC \s 1 </w:instrText>
      </w:r>
      <w:r>
        <w:rPr>
          <w:b w:val="0"/>
          <w:bCs w:val="0"/>
          <w:sz w:val="20"/>
          <w:szCs w:val="20"/>
        </w:rPr>
        <w:fldChar w:fldCharType="separate"/>
      </w:r>
      <w:r>
        <w:rPr>
          <w:b w:val="0"/>
          <w:bCs w:val="0"/>
          <w:noProof/>
          <w:sz w:val="20"/>
          <w:szCs w:val="20"/>
        </w:rPr>
        <w:t>1</w:t>
      </w:r>
      <w:r>
        <w:rPr>
          <w:b w:val="0"/>
          <w:bCs w:val="0"/>
          <w:sz w:val="20"/>
          <w:szCs w:val="20"/>
        </w:rPr>
        <w:fldChar w:fldCharType="end"/>
      </w:r>
      <w:r w:rsidRPr="00B659CB">
        <w:rPr>
          <w:b w:val="0"/>
          <w:bCs w:val="0"/>
          <w:sz w:val="20"/>
          <w:szCs w:val="20"/>
        </w:rPr>
        <w:t>. Sample information by experiment in order of first run to last run.</w:t>
      </w:r>
      <w:bookmarkEnd w:id="72"/>
      <w:r w:rsidRPr="00B659CB">
        <w:rPr>
          <w:b w:val="0"/>
          <w:bCs w:val="0"/>
          <w:sz w:val="20"/>
          <w:szCs w:val="20"/>
        </w:rPr>
        <w:t xml:space="preserve"> </w:t>
      </w:r>
    </w:p>
    <w:p w14:paraId="618395DF" w14:textId="77777777" w:rsidR="00164D4C" w:rsidRPr="00B659CB" w:rsidRDefault="00164D4C" w:rsidP="00164D4C">
      <w:pPr>
        <w:pStyle w:val="Caption"/>
        <w:rPr>
          <w:b w:val="0"/>
          <w:bCs w:val="0"/>
          <w:sz w:val="20"/>
          <w:szCs w:val="20"/>
        </w:rPr>
      </w:pPr>
      <w:r w:rsidRPr="00B659CB">
        <w:rPr>
          <w:b w:val="0"/>
          <w:bCs w:val="0"/>
          <w:sz w:val="20"/>
          <w:szCs w:val="20"/>
        </w:rPr>
        <w:t>* Shear strain rate calculated for end of experiment.</w:t>
      </w:r>
    </w:p>
    <w:tbl>
      <w:tblPr>
        <w:tblW w:w="11460" w:type="dxa"/>
        <w:tblCellMar>
          <w:left w:w="0" w:type="dxa"/>
          <w:right w:w="0" w:type="dxa"/>
        </w:tblCellMar>
        <w:tblLook w:val="04A0" w:firstRow="1" w:lastRow="0" w:firstColumn="1" w:lastColumn="0" w:noHBand="0" w:noVBand="1"/>
      </w:tblPr>
      <w:tblGrid>
        <w:gridCol w:w="1128"/>
        <w:gridCol w:w="1186"/>
        <w:gridCol w:w="1002"/>
        <w:gridCol w:w="1002"/>
        <w:gridCol w:w="1173"/>
        <w:gridCol w:w="1394"/>
        <w:gridCol w:w="1133"/>
        <w:gridCol w:w="931"/>
        <w:gridCol w:w="1104"/>
        <w:gridCol w:w="1407"/>
      </w:tblGrid>
      <w:tr w:rsidR="00164D4C" w:rsidRPr="007159A3" w14:paraId="4F769279" w14:textId="77777777" w:rsidTr="00EC27DE">
        <w:trPr>
          <w:trHeight w:val="62"/>
        </w:trPr>
        <w:tc>
          <w:tcPr>
            <w:tcW w:w="1128"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10196D1F"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Run Number</w:t>
            </w:r>
          </w:p>
        </w:tc>
        <w:tc>
          <w:tcPr>
            <w:tcW w:w="1186"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3A7C0153"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Sample Name</w:t>
            </w:r>
          </w:p>
        </w:tc>
        <w:tc>
          <w:tcPr>
            <w:tcW w:w="1002"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424B966F"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Proportion</w:t>
            </w:r>
          </w:p>
          <w:p w14:paraId="68D6EC86"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ilm40</w:t>
            </w:r>
          </w:p>
        </w:tc>
        <w:tc>
          <w:tcPr>
            <w:tcW w:w="1002"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183CC678"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Proportion</w:t>
            </w:r>
          </w:p>
          <w:p w14:paraId="6E96B1BF"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SCO</w:t>
            </w:r>
          </w:p>
        </w:tc>
        <w:tc>
          <w:tcPr>
            <w:tcW w:w="1173"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262DE985"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Temperature</w:t>
            </w:r>
          </w:p>
        </w:tc>
        <w:tc>
          <w:tcPr>
            <w:tcW w:w="1394"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4A6453FB"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Axial compression rate</w:t>
            </w:r>
          </w:p>
        </w:tc>
        <w:tc>
          <w:tcPr>
            <w:tcW w:w="1133"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05F694A9"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Post-run thickness</w:t>
            </w:r>
          </w:p>
        </w:tc>
        <w:tc>
          <w:tcPr>
            <w:tcW w:w="931"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5FB1CE04"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Post-run height</w:t>
            </w:r>
          </w:p>
        </w:tc>
        <w:tc>
          <w:tcPr>
            <w:tcW w:w="1104"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43395941"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Shear strain rate*</w:t>
            </w:r>
          </w:p>
        </w:tc>
        <w:tc>
          <w:tcPr>
            <w:tcW w:w="1407" w:type="dxa"/>
            <w:tcBorders>
              <w:top w:val="nil"/>
              <w:left w:val="nil"/>
              <w:bottom w:val="single" w:sz="8" w:space="0" w:color="000000"/>
              <w:right w:val="nil"/>
            </w:tcBorders>
            <w:shd w:val="clear" w:color="auto" w:fill="auto"/>
            <w:tcMar>
              <w:top w:w="6" w:type="dxa"/>
              <w:left w:w="41" w:type="dxa"/>
              <w:bottom w:w="0" w:type="dxa"/>
              <w:right w:w="41" w:type="dxa"/>
            </w:tcMar>
            <w:vAlign w:val="bottom"/>
            <w:hideMark/>
          </w:tcPr>
          <w:p w14:paraId="0A21D860" w14:textId="77777777" w:rsidR="00164D4C" w:rsidRPr="00DC57A8" w:rsidRDefault="00164D4C" w:rsidP="00EC27DE">
            <w:pPr>
              <w:spacing w:line="360" w:lineRule="auto"/>
              <w:jc w:val="center"/>
              <w:textAlignment w:val="center"/>
              <w:rPr>
                <w:sz w:val="36"/>
                <w:szCs w:val="36"/>
              </w:rPr>
            </w:pPr>
            <w:r w:rsidRPr="00DC57A8">
              <w:rPr>
                <w:rFonts w:eastAsia="Calibri"/>
                <w:b/>
                <w:bCs/>
                <w:color w:val="000000"/>
                <w:kern w:val="24"/>
                <w:sz w:val="18"/>
                <w:szCs w:val="18"/>
              </w:rPr>
              <w:t>Axial equivalent strain rate*</w:t>
            </w:r>
          </w:p>
        </w:tc>
      </w:tr>
      <w:tr w:rsidR="00164D4C" w:rsidRPr="007159A3" w14:paraId="2976ACCF"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2DDFD42"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W2384</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9498386"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LMO-001</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44478E83"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100</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0833017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0</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7CC362E"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0475787"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BF5C790"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1.0851</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0EF599E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1.5346</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F1E34C4"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3.86E-06</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4DB3B17"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7.72E-06</w:t>
            </w:r>
          </w:p>
        </w:tc>
      </w:tr>
      <w:tr w:rsidR="00164D4C" w:rsidRPr="007159A3" w14:paraId="67D1A0E1"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48D057AB"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W2387</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BC0061F"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LMO-002</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0B7CCA6"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10</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632B9AB"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90</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309CC43"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9EDD29F"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3B60504"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1.0200</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8EB299E"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1.4425</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0A870F6"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4.26E-06</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90249AE"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8.52E-06</w:t>
            </w:r>
          </w:p>
        </w:tc>
      </w:tr>
      <w:tr w:rsidR="00164D4C" w:rsidRPr="007159A3" w14:paraId="59CA091E"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015BD90"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W2389</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0D1637C0"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LMO-003</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8656CBC"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10</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560933AC"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90</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A10435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CF47C75"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A576726"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0.9100</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61D040F"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1.2869</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2317278"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1.77E-06</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E010FDB"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3.53E-06</w:t>
            </w:r>
          </w:p>
        </w:tc>
      </w:tr>
      <w:tr w:rsidR="00164D4C" w:rsidRPr="007159A3" w14:paraId="29F7B9CE"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6CCA575"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W2393</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3F44002"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LMO-004</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C488A02"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50</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5E33D2C"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50</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9AEC802"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13BB47E"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5A880F5A"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0.9369</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0C1D7C6"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1.3250</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77F85DF"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3.50E-06</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23F85AB"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7.00E-06</w:t>
            </w:r>
          </w:p>
        </w:tc>
      </w:tr>
      <w:tr w:rsidR="00164D4C" w:rsidRPr="007159A3" w14:paraId="7A1AA749"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F9FCEA8"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W2395</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50C7CD0F"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LMO-005</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C12A3F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25</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229540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75</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5689A92C"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A2BD6E5"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EE00E31"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1.0869</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48D6981"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1.5370</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01575DE"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6.42E-07</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257B72B"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1.28E-06</w:t>
            </w:r>
          </w:p>
        </w:tc>
      </w:tr>
      <w:tr w:rsidR="00164D4C" w:rsidRPr="007159A3" w14:paraId="4FC7F8D9"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B90A457"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W2546</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6FD8216"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LMO-006</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6744FCB"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5</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7261BBB"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95</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C028783"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815775D"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A9135A0"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5FC32B4B"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D60B2DD"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1BAA13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r>
      <w:tr w:rsidR="00164D4C" w:rsidRPr="007159A3" w14:paraId="28136E0A"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45A28150"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W2544</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0647A3CC"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LMO-007</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05637266"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10</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532869C0"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90</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506DDB84"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18B3EF5"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Hydrostatic</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5FAF4F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1.0912</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794E89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1.5432</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6ABFE0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F3D91E8"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r>
      <w:tr w:rsidR="00164D4C" w:rsidRPr="007159A3" w14:paraId="126137A3"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0C7139BF"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W2549</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EC10C21"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LMO-008</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EFB5395"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5</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0AC2763D"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95</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13EC66B"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404EE2EB"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D64285D"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766D4D33"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A37A06D"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3125C07"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r>
      <w:tr w:rsidR="00164D4C" w:rsidRPr="007159A3" w14:paraId="1EAB3B41"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6A01972"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W2562</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6FCEADA"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LMO-009</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FCA8F21"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5</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38E1A7FA"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95</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43F5E422"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4B3DBCAD"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A7C07E6"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347CE3C"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4BF98CF"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9.77E-06</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555FBD8"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1.95E-05</w:t>
            </w:r>
          </w:p>
        </w:tc>
      </w:tr>
      <w:tr w:rsidR="00164D4C" w:rsidRPr="007159A3" w14:paraId="727AE836" w14:textId="77777777" w:rsidTr="00EC27DE">
        <w:trPr>
          <w:trHeight w:val="539"/>
        </w:trPr>
        <w:tc>
          <w:tcPr>
            <w:tcW w:w="1128"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2A0CDF6B"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W2559</w:t>
            </w:r>
          </w:p>
        </w:tc>
        <w:tc>
          <w:tcPr>
            <w:tcW w:w="1186"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4AE3C531"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LMO-010</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F10C0EB"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25</w:t>
            </w:r>
          </w:p>
        </w:tc>
        <w:tc>
          <w:tcPr>
            <w:tcW w:w="1002"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60C5C23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75</w:t>
            </w:r>
          </w:p>
        </w:tc>
        <w:tc>
          <w:tcPr>
            <w:tcW w:w="117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1DB8F028"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single" w:sz="8" w:space="0" w:color="000000"/>
              <w:right w:val="nil"/>
            </w:tcBorders>
            <w:shd w:val="clear" w:color="auto" w:fill="auto"/>
            <w:tcMar>
              <w:top w:w="6" w:type="dxa"/>
              <w:left w:w="41" w:type="dxa"/>
              <w:bottom w:w="0" w:type="dxa"/>
              <w:right w:w="41" w:type="dxa"/>
            </w:tcMar>
            <w:vAlign w:val="center"/>
            <w:hideMark/>
          </w:tcPr>
          <w:p w14:paraId="5AE1F423"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single" w:sz="8" w:space="0" w:color="000000"/>
              <w:right w:val="nil"/>
            </w:tcBorders>
            <w:shd w:val="clear" w:color="auto" w:fill="auto"/>
            <w:tcMar>
              <w:top w:w="6" w:type="dxa"/>
              <w:left w:w="41" w:type="dxa"/>
              <w:bottom w:w="0" w:type="dxa"/>
              <w:right w:w="41" w:type="dxa"/>
            </w:tcMar>
            <w:hideMark/>
          </w:tcPr>
          <w:p w14:paraId="295FD91A"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1.2000</w:t>
            </w:r>
          </w:p>
        </w:tc>
        <w:tc>
          <w:tcPr>
            <w:tcW w:w="931" w:type="dxa"/>
            <w:tcBorders>
              <w:top w:val="single" w:sz="8" w:space="0" w:color="000000"/>
              <w:left w:val="nil"/>
              <w:bottom w:val="single" w:sz="8" w:space="0" w:color="000000"/>
              <w:right w:val="nil"/>
            </w:tcBorders>
            <w:shd w:val="clear" w:color="auto" w:fill="auto"/>
            <w:tcMar>
              <w:top w:w="6" w:type="dxa"/>
              <w:left w:w="41" w:type="dxa"/>
              <w:bottom w:w="0" w:type="dxa"/>
              <w:right w:w="41" w:type="dxa"/>
            </w:tcMar>
            <w:hideMark/>
          </w:tcPr>
          <w:p w14:paraId="5D1893FC"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1.6971</w:t>
            </w:r>
          </w:p>
        </w:tc>
        <w:tc>
          <w:tcPr>
            <w:tcW w:w="1104"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2F206B6"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8.23E-07</w:t>
            </w:r>
          </w:p>
        </w:tc>
        <w:tc>
          <w:tcPr>
            <w:tcW w:w="140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9F837A0"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1.65E-06</w:t>
            </w:r>
          </w:p>
        </w:tc>
      </w:tr>
      <w:tr w:rsidR="00164D4C" w:rsidRPr="007159A3" w14:paraId="494AA03E" w14:textId="77777777" w:rsidTr="00EC27DE">
        <w:trPr>
          <w:trHeight w:val="539"/>
        </w:trPr>
        <w:tc>
          <w:tcPr>
            <w:tcW w:w="1128" w:type="dxa"/>
            <w:tcBorders>
              <w:top w:val="single" w:sz="8" w:space="0" w:color="000000"/>
              <w:left w:val="nil"/>
              <w:bottom w:val="nil"/>
              <w:right w:val="nil"/>
            </w:tcBorders>
            <w:shd w:val="clear" w:color="auto" w:fill="auto"/>
            <w:tcMar>
              <w:top w:w="6" w:type="dxa"/>
              <w:left w:w="41" w:type="dxa"/>
              <w:bottom w:w="0" w:type="dxa"/>
              <w:right w:w="41" w:type="dxa"/>
            </w:tcMar>
            <w:vAlign w:val="center"/>
            <w:hideMark/>
          </w:tcPr>
          <w:p w14:paraId="702B5FD1" w14:textId="77777777" w:rsidR="00164D4C" w:rsidRPr="00DC57A8" w:rsidRDefault="00164D4C" w:rsidP="00EC27DE">
            <w:pPr>
              <w:spacing w:line="360" w:lineRule="auto"/>
              <w:jc w:val="center"/>
              <w:textAlignment w:val="bottom"/>
              <w:rPr>
                <w:sz w:val="36"/>
                <w:szCs w:val="36"/>
              </w:rPr>
            </w:pPr>
            <w:r w:rsidRPr="00DC57A8">
              <w:rPr>
                <w:rFonts w:eastAsia="Calibri"/>
                <w:color w:val="000000"/>
                <w:kern w:val="24"/>
                <w:sz w:val="18"/>
                <w:szCs w:val="18"/>
              </w:rPr>
              <w:t>W2560</w:t>
            </w:r>
          </w:p>
        </w:tc>
        <w:tc>
          <w:tcPr>
            <w:tcW w:w="1186" w:type="dxa"/>
            <w:tcBorders>
              <w:top w:val="single" w:sz="8" w:space="0" w:color="000000"/>
              <w:left w:val="nil"/>
              <w:bottom w:val="nil"/>
              <w:right w:val="nil"/>
            </w:tcBorders>
            <w:shd w:val="clear" w:color="auto" w:fill="auto"/>
            <w:tcMar>
              <w:top w:w="6" w:type="dxa"/>
              <w:left w:w="41" w:type="dxa"/>
              <w:bottom w:w="0" w:type="dxa"/>
              <w:right w:w="41" w:type="dxa"/>
            </w:tcMar>
            <w:vAlign w:val="center"/>
            <w:hideMark/>
          </w:tcPr>
          <w:p w14:paraId="4B07CD09"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LMO-011</w:t>
            </w:r>
          </w:p>
        </w:tc>
        <w:tc>
          <w:tcPr>
            <w:tcW w:w="1002" w:type="dxa"/>
            <w:tcBorders>
              <w:top w:val="single" w:sz="8" w:space="0" w:color="000000"/>
              <w:left w:val="nil"/>
              <w:bottom w:val="nil"/>
              <w:right w:val="nil"/>
            </w:tcBorders>
            <w:shd w:val="clear" w:color="auto" w:fill="auto"/>
            <w:tcMar>
              <w:top w:w="6" w:type="dxa"/>
              <w:left w:w="41" w:type="dxa"/>
              <w:bottom w:w="0" w:type="dxa"/>
              <w:right w:w="41" w:type="dxa"/>
            </w:tcMar>
            <w:vAlign w:val="center"/>
            <w:hideMark/>
          </w:tcPr>
          <w:p w14:paraId="0551B2B5"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25</w:t>
            </w:r>
          </w:p>
        </w:tc>
        <w:tc>
          <w:tcPr>
            <w:tcW w:w="1002" w:type="dxa"/>
            <w:tcBorders>
              <w:top w:val="single" w:sz="8" w:space="0" w:color="000000"/>
              <w:left w:val="nil"/>
              <w:bottom w:val="nil"/>
              <w:right w:val="nil"/>
            </w:tcBorders>
            <w:shd w:val="clear" w:color="auto" w:fill="auto"/>
            <w:tcMar>
              <w:top w:w="6" w:type="dxa"/>
              <w:left w:w="41" w:type="dxa"/>
              <w:bottom w:w="0" w:type="dxa"/>
              <w:right w:w="41" w:type="dxa"/>
            </w:tcMar>
            <w:vAlign w:val="center"/>
            <w:hideMark/>
          </w:tcPr>
          <w:p w14:paraId="2A417477"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75</w:t>
            </w:r>
          </w:p>
        </w:tc>
        <w:tc>
          <w:tcPr>
            <w:tcW w:w="1173" w:type="dxa"/>
            <w:tcBorders>
              <w:top w:val="single" w:sz="8" w:space="0" w:color="000000"/>
              <w:left w:val="nil"/>
              <w:bottom w:val="nil"/>
              <w:right w:val="nil"/>
            </w:tcBorders>
            <w:shd w:val="clear" w:color="auto" w:fill="auto"/>
            <w:tcMar>
              <w:top w:w="6" w:type="dxa"/>
              <w:left w:w="41" w:type="dxa"/>
              <w:bottom w:w="0" w:type="dxa"/>
              <w:right w:w="41" w:type="dxa"/>
            </w:tcMar>
            <w:vAlign w:val="center"/>
            <w:hideMark/>
          </w:tcPr>
          <w:p w14:paraId="2C1DC13D"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1100°C</w:t>
            </w:r>
          </w:p>
        </w:tc>
        <w:tc>
          <w:tcPr>
            <w:tcW w:w="1394" w:type="dxa"/>
            <w:tcBorders>
              <w:top w:val="single" w:sz="8" w:space="0" w:color="000000"/>
              <w:left w:val="nil"/>
              <w:bottom w:val="nil"/>
              <w:right w:val="nil"/>
            </w:tcBorders>
            <w:shd w:val="clear" w:color="auto" w:fill="auto"/>
            <w:tcMar>
              <w:top w:w="6" w:type="dxa"/>
              <w:left w:w="41" w:type="dxa"/>
              <w:bottom w:w="0" w:type="dxa"/>
              <w:right w:w="41" w:type="dxa"/>
            </w:tcMar>
            <w:vAlign w:val="center"/>
            <w:hideMark/>
          </w:tcPr>
          <w:p w14:paraId="0C8B09FE"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1*10^-6</w:t>
            </w:r>
          </w:p>
        </w:tc>
        <w:tc>
          <w:tcPr>
            <w:tcW w:w="1133" w:type="dxa"/>
            <w:tcBorders>
              <w:top w:val="single" w:sz="8" w:space="0" w:color="000000"/>
              <w:left w:val="nil"/>
              <w:bottom w:val="nil"/>
              <w:right w:val="nil"/>
            </w:tcBorders>
            <w:shd w:val="clear" w:color="auto" w:fill="auto"/>
            <w:tcMar>
              <w:top w:w="6" w:type="dxa"/>
              <w:left w:w="41" w:type="dxa"/>
              <w:bottom w:w="0" w:type="dxa"/>
              <w:right w:w="41" w:type="dxa"/>
            </w:tcMar>
            <w:hideMark/>
          </w:tcPr>
          <w:p w14:paraId="4D0B1E07"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1.4498</w:t>
            </w:r>
          </w:p>
        </w:tc>
        <w:tc>
          <w:tcPr>
            <w:tcW w:w="931" w:type="dxa"/>
            <w:tcBorders>
              <w:top w:val="single" w:sz="8" w:space="0" w:color="000000"/>
              <w:left w:val="nil"/>
              <w:bottom w:val="nil"/>
              <w:right w:val="nil"/>
            </w:tcBorders>
            <w:shd w:val="clear" w:color="auto" w:fill="auto"/>
            <w:tcMar>
              <w:top w:w="6" w:type="dxa"/>
              <w:left w:w="41" w:type="dxa"/>
              <w:bottom w:w="0" w:type="dxa"/>
              <w:right w:w="41" w:type="dxa"/>
            </w:tcMar>
            <w:hideMark/>
          </w:tcPr>
          <w:p w14:paraId="3E8BDAB2" w14:textId="77777777" w:rsidR="00164D4C" w:rsidRPr="00DC57A8" w:rsidRDefault="00164D4C" w:rsidP="00EC27DE">
            <w:pPr>
              <w:spacing w:line="360" w:lineRule="auto"/>
              <w:jc w:val="center"/>
              <w:textAlignment w:val="center"/>
              <w:rPr>
                <w:sz w:val="36"/>
                <w:szCs w:val="36"/>
              </w:rPr>
            </w:pPr>
            <w:r w:rsidRPr="00DC57A8">
              <w:rPr>
                <w:rFonts w:eastAsia="Calibri"/>
                <w:color w:val="000000"/>
                <w:kern w:val="24"/>
                <w:sz w:val="18"/>
                <w:szCs w:val="18"/>
              </w:rPr>
              <w:t>2.0503</w:t>
            </w:r>
          </w:p>
        </w:tc>
        <w:tc>
          <w:tcPr>
            <w:tcW w:w="1104"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651A493" w14:textId="77777777" w:rsidR="00164D4C" w:rsidRPr="00DC57A8" w:rsidRDefault="00164D4C" w:rsidP="00EC27DE">
            <w:pPr>
              <w:spacing w:line="360" w:lineRule="auto"/>
              <w:jc w:val="center"/>
              <w:textAlignment w:val="center"/>
              <w:rPr>
                <w:sz w:val="36"/>
                <w:szCs w:val="36"/>
              </w:rPr>
            </w:pPr>
            <w:r w:rsidRPr="00DC57A8">
              <w:rPr>
                <w:color w:val="000000"/>
                <w:kern w:val="24"/>
                <w:sz w:val="18"/>
                <w:szCs w:val="18"/>
              </w:rPr>
              <w:t>2.86E-06</w:t>
            </w:r>
          </w:p>
        </w:tc>
        <w:tc>
          <w:tcPr>
            <w:tcW w:w="1407"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52360EF" w14:textId="77777777" w:rsidR="00164D4C" w:rsidRPr="00DC57A8" w:rsidRDefault="00164D4C" w:rsidP="00EC27DE">
            <w:pPr>
              <w:keepNext/>
              <w:spacing w:line="360" w:lineRule="auto"/>
              <w:jc w:val="center"/>
              <w:textAlignment w:val="center"/>
              <w:rPr>
                <w:sz w:val="36"/>
                <w:szCs w:val="36"/>
              </w:rPr>
            </w:pPr>
            <w:r w:rsidRPr="00DC57A8">
              <w:rPr>
                <w:color w:val="000000"/>
                <w:kern w:val="24"/>
                <w:sz w:val="18"/>
                <w:szCs w:val="18"/>
              </w:rPr>
              <w:t>5.73E-06</w:t>
            </w:r>
          </w:p>
        </w:tc>
      </w:tr>
    </w:tbl>
    <w:p w14:paraId="4EF2482F" w14:textId="77777777" w:rsidR="00164D4C" w:rsidRDefault="00164D4C" w:rsidP="00164D4C"/>
    <w:p w14:paraId="5D4C6786" w14:textId="77777777" w:rsidR="00164D4C" w:rsidRDefault="00164D4C" w:rsidP="00164D4C">
      <w:pPr>
        <w:spacing w:after="160" w:line="259" w:lineRule="auto"/>
      </w:pPr>
      <w:r>
        <w:br w:type="page"/>
      </w:r>
    </w:p>
    <w:p w14:paraId="509EC2C8" w14:textId="77777777" w:rsidR="00164D4C" w:rsidRPr="00B659CB" w:rsidRDefault="00164D4C" w:rsidP="00164D4C">
      <w:pPr>
        <w:rPr>
          <w:b/>
          <w:bCs/>
          <w:sz w:val="20"/>
          <w:szCs w:val="20"/>
        </w:rPr>
      </w:pPr>
      <w:bookmarkStart w:id="73" w:name="_Toc109398945"/>
      <w:r w:rsidRPr="00B659CB">
        <w:rPr>
          <w:sz w:val="20"/>
          <w:szCs w:val="20"/>
        </w:rPr>
        <w:lastRenderedPageBreak/>
        <w:t xml:space="preserve">Table </w:t>
      </w:r>
      <w:r>
        <w:rPr>
          <w:sz w:val="20"/>
          <w:szCs w:val="20"/>
        </w:rPr>
        <w:t>2.</w:t>
      </w:r>
      <w:r>
        <w:rPr>
          <w:b/>
          <w:bCs/>
          <w:sz w:val="20"/>
          <w:szCs w:val="20"/>
        </w:rPr>
        <w:fldChar w:fldCharType="begin"/>
      </w:r>
      <w:r>
        <w:rPr>
          <w:sz w:val="20"/>
          <w:szCs w:val="20"/>
        </w:rPr>
        <w:instrText xml:space="preserve"> SEQ Table \* ARABIC \s 1 </w:instrText>
      </w:r>
      <w:r>
        <w:rPr>
          <w:b/>
          <w:bCs/>
          <w:sz w:val="20"/>
          <w:szCs w:val="20"/>
        </w:rPr>
        <w:fldChar w:fldCharType="separate"/>
      </w:r>
      <w:r>
        <w:rPr>
          <w:noProof/>
          <w:sz w:val="20"/>
          <w:szCs w:val="20"/>
        </w:rPr>
        <w:t>2</w:t>
      </w:r>
      <w:r>
        <w:rPr>
          <w:b/>
          <w:bCs/>
          <w:sz w:val="20"/>
          <w:szCs w:val="20"/>
        </w:rPr>
        <w:fldChar w:fldCharType="end"/>
      </w:r>
      <w:r w:rsidRPr="00B659CB">
        <w:rPr>
          <w:sz w:val="20"/>
          <w:szCs w:val="20"/>
        </w:rPr>
        <w:t>. Notes on variations in experimental run conditions.</w:t>
      </w:r>
      <w:bookmarkEnd w:id="73"/>
    </w:p>
    <w:tbl>
      <w:tblPr>
        <w:tblW w:w="11620" w:type="dxa"/>
        <w:tblCellMar>
          <w:left w:w="0" w:type="dxa"/>
          <w:right w:w="0" w:type="dxa"/>
        </w:tblCellMar>
        <w:tblLook w:val="04A0" w:firstRow="1" w:lastRow="0" w:firstColumn="1" w:lastColumn="0" w:noHBand="0" w:noVBand="1"/>
      </w:tblPr>
      <w:tblGrid>
        <w:gridCol w:w="1502"/>
        <w:gridCol w:w="1503"/>
        <w:gridCol w:w="8615"/>
      </w:tblGrid>
      <w:tr w:rsidR="00164D4C" w:rsidRPr="007159A3" w14:paraId="492C2AD1" w14:textId="77777777" w:rsidTr="00164D4C">
        <w:trPr>
          <w:trHeight w:val="238"/>
        </w:trPr>
        <w:tc>
          <w:tcPr>
            <w:tcW w:w="1502" w:type="dxa"/>
            <w:tcBorders>
              <w:top w:val="single" w:sz="8" w:space="0" w:color="000000"/>
              <w:left w:val="nil"/>
              <w:bottom w:val="single" w:sz="8" w:space="0" w:color="000000"/>
              <w:right w:val="nil"/>
            </w:tcBorders>
            <w:shd w:val="clear" w:color="auto" w:fill="auto"/>
            <w:tcMar>
              <w:top w:w="12" w:type="dxa"/>
              <w:left w:w="85" w:type="dxa"/>
              <w:bottom w:w="0" w:type="dxa"/>
              <w:right w:w="85" w:type="dxa"/>
            </w:tcMar>
            <w:vAlign w:val="center"/>
            <w:hideMark/>
          </w:tcPr>
          <w:p w14:paraId="75A355A2" w14:textId="77777777" w:rsidR="00164D4C" w:rsidRPr="00DC57A8" w:rsidRDefault="00164D4C" w:rsidP="00EC27DE">
            <w:pPr>
              <w:spacing w:before="120" w:after="120" w:line="360" w:lineRule="auto"/>
              <w:jc w:val="center"/>
              <w:rPr>
                <w:sz w:val="36"/>
                <w:szCs w:val="36"/>
              </w:rPr>
            </w:pPr>
            <w:r w:rsidRPr="00DC57A8">
              <w:rPr>
                <w:rFonts w:eastAsia="Calibri"/>
                <w:b/>
                <w:bCs/>
                <w:color w:val="000000" w:themeColor="text1"/>
                <w:kern w:val="24"/>
                <w:sz w:val="18"/>
                <w:szCs w:val="18"/>
              </w:rPr>
              <w:t>Run Number</w:t>
            </w:r>
          </w:p>
        </w:tc>
        <w:tc>
          <w:tcPr>
            <w:tcW w:w="1503" w:type="dxa"/>
            <w:tcBorders>
              <w:top w:val="single" w:sz="8" w:space="0" w:color="000000"/>
              <w:left w:val="nil"/>
              <w:bottom w:val="single" w:sz="8" w:space="0" w:color="000000"/>
              <w:right w:val="nil"/>
            </w:tcBorders>
            <w:shd w:val="clear" w:color="auto" w:fill="auto"/>
            <w:tcMar>
              <w:top w:w="12" w:type="dxa"/>
              <w:left w:w="85" w:type="dxa"/>
              <w:bottom w:w="0" w:type="dxa"/>
              <w:right w:w="85" w:type="dxa"/>
            </w:tcMar>
            <w:vAlign w:val="center"/>
            <w:hideMark/>
          </w:tcPr>
          <w:p w14:paraId="16192609" w14:textId="77777777" w:rsidR="00164D4C" w:rsidRPr="00DC57A8" w:rsidRDefault="00164D4C" w:rsidP="00EC27DE">
            <w:pPr>
              <w:spacing w:before="120" w:after="120" w:line="360" w:lineRule="auto"/>
              <w:jc w:val="center"/>
              <w:rPr>
                <w:sz w:val="36"/>
                <w:szCs w:val="36"/>
              </w:rPr>
            </w:pPr>
            <w:r w:rsidRPr="00DC57A8">
              <w:rPr>
                <w:rFonts w:eastAsia="Calibri"/>
                <w:b/>
                <w:bCs/>
                <w:i/>
                <w:iCs/>
                <w:color w:val="000000" w:themeColor="text1"/>
                <w:kern w:val="24"/>
                <w:sz w:val="18"/>
                <w:szCs w:val="18"/>
              </w:rPr>
              <w:t>Sample name</w:t>
            </w:r>
          </w:p>
        </w:tc>
        <w:tc>
          <w:tcPr>
            <w:tcW w:w="8615" w:type="dxa"/>
            <w:tcBorders>
              <w:top w:val="single" w:sz="8" w:space="0" w:color="000000"/>
              <w:left w:val="nil"/>
              <w:bottom w:val="single" w:sz="8" w:space="0" w:color="000000"/>
              <w:right w:val="nil"/>
            </w:tcBorders>
            <w:shd w:val="clear" w:color="auto" w:fill="auto"/>
            <w:tcMar>
              <w:top w:w="12" w:type="dxa"/>
              <w:left w:w="85" w:type="dxa"/>
              <w:bottom w:w="0" w:type="dxa"/>
              <w:right w:w="85" w:type="dxa"/>
            </w:tcMar>
            <w:vAlign w:val="center"/>
            <w:hideMark/>
          </w:tcPr>
          <w:p w14:paraId="5DD4D640" w14:textId="77777777" w:rsidR="00164D4C" w:rsidRPr="00DC57A8" w:rsidRDefault="00164D4C" w:rsidP="00EC27DE">
            <w:pPr>
              <w:spacing w:before="120" w:after="120" w:line="360" w:lineRule="auto"/>
              <w:rPr>
                <w:sz w:val="36"/>
                <w:szCs w:val="36"/>
              </w:rPr>
            </w:pPr>
            <w:r w:rsidRPr="00DC57A8">
              <w:rPr>
                <w:rFonts w:eastAsia="Calibri"/>
                <w:b/>
                <w:bCs/>
                <w:i/>
                <w:iCs/>
                <w:color w:val="000000" w:themeColor="text1"/>
                <w:kern w:val="24"/>
                <w:sz w:val="18"/>
                <w:szCs w:val="18"/>
              </w:rPr>
              <w:t>Notes</w:t>
            </w:r>
          </w:p>
        </w:tc>
      </w:tr>
      <w:tr w:rsidR="00164D4C" w:rsidRPr="007159A3" w14:paraId="40E90D85" w14:textId="77777777" w:rsidTr="00164D4C">
        <w:trPr>
          <w:trHeight w:val="193"/>
        </w:trPr>
        <w:tc>
          <w:tcPr>
            <w:tcW w:w="1502" w:type="dxa"/>
            <w:tcBorders>
              <w:top w:val="single" w:sz="8" w:space="0" w:color="000000"/>
              <w:left w:val="nil"/>
              <w:bottom w:val="nil"/>
              <w:right w:val="nil"/>
            </w:tcBorders>
            <w:shd w:val="clear" w:color="auto" w:fill="auto"/>
            <w:tcMar>
              <w:top w:w="12" w:type="dxa"/>
              <w:left w:w="85" w:type="dxa"/>
              <w:bottom w:w="0" w:type="dxa"/>
              <w:right w:w="85" w:type="dxa"/>
            </w:tcMar>
            <w:vAlign w:val="center"/>
            <w:hideMark/>
          </w:tcPr>
          <w:p w14:paraId="3E737E66"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W2384</w:t>
            </w:r>
          </w:p>
        </w:tc>
        <w:tc>
          <w:tcPr>
            <w:tcW w:w="1503" w:type="dxa"/>
            <w:tcBorders>
              <w:top w:val="single" w:sz="8" w:space="0" w:color="000000"/>
              <w:left w:val="nil"/>
              <w:bottom w:val="nil"/>
              <w:right w:val="nil"/>
            </w:tcBorders>
            <w:shd w:val="clear" w:color="auto" w:fill="auto"/>
            <w:tcMar>
              <w:top w:w="12" w:type="dxa"/>
              <w:left w:w="85" w:type="dxa"/>
              <w:bottom w:w="0" w:type="dxa"/>
              <w:right w:w="85" w:type="dxa"/>
            </w:tcMar>
            <w:vAlign w:val="center"/>
            <w:hideMark/>
          </w:tcPr>
          <w:p w14:paraId="6FC4ED29"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LMO-001</w:t>
            </w:r>
          </w:p>
        </w:tc>
        <w:tc>
          <w:tcPr>
            <w:tcW w:w="8615" w:type="dxa"/>
            <w:tcBorders>
              <w:top w:val="single" w:sz="8" w:space="0" w:color="000000"/>
              <w:left w:val="nil"/>
              <w:bottom w:val="nil"/>
              <w:right w:val="nil"/>
            </w:tcBorders>
            <w:shd w:val="clear" w:color="auto" w:fill="auto"/>
            <w:tcMar>
              <w:top w:w="12" w:type="dxa"/>
              <w:left w:w="85" w:type="dxa"/>
              <w:bottom w:w="0" w:type="dxa"/>
              <w:right w:w="85" w:type="dxa"/>
            </w:tcMar>
            <w:vAlign w:val="center"/>
            <w:hideMark/>
          </w:tcPr>
          <w:p w14:paraId="70CB437D"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 xml:space="preserve">Failsafe </w:t>
            </w:r>
            <w:proofErr w:type="gramStart"/>
            <w:r w:rsidRPr="00DC57A8">
              <w:rPr>
                <w:rFonts w:eastAsia="Calibri"/>
                <w:color w:val="000000"/>
                <w:kern w:val="24"/>
                <w:sz w:val="20"/>
                <w:szCs w:val="20"/>
              </w:rPr>
              <w:t>tripped,</w:t>
            </w:r>
            <w:proofErr w:type="gramEnd"/>
            <w:r w:rsidRPr="00DC57A8">
              <w:rPr>
                <w:rFonts w:eastAsia="Calibri"/>
                <w:color w:val="000000"/>
                <w:kern w:val="24"/>
                <w:sz w:val="20"/>
                <w:szCs w:val="20"/>
              </w:rPr>
              <w:t xml:space="preserve"> motor ran in ~ 1.5 hours post trip</w:t>
            </w:r>
          </w:p>
        </w:tc>
      </w:tr>
      <w:tr w:rsidR="00164D4C" w:rsidRPr="007159A3" w14:paraId="7FCCC6FB" w14:textId="77777777" w:rsidTr="00164D4C">
        <w:trPr>
          <w:trHeight w:val="411"/>
        </w:trPr>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47B86B93"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W2387</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0903D274"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LMO-002</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72AD5CC4"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Turned failsafe off and watched output until quench. Shows excessive T swings, likely thermocouple issue.</w:t>
            </w:r>
          </w:p>
        </w:tc>
      </w:tr>
      <w:tr w:rsidR="00164D4C" w:rsidRPr="007159A3" w14:paraId="2494DD99" w14:textId="77777777" w:rsidTr="00164D4C">
        <w:trPr>
          <w:trHeight w:val="68"/>
        </w:trPr>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6DFA8E15"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W2389</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4029A20E"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LMO-003</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183AD89E"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 xml:space="preserve">Failsafe </w:t>
            </w:r>
            <w:proofErr w:type="gramStart"/>
            <w:r w:rsidRPr="00DC57A8">
              <w:rPr>
                <w:rFonts w:eastAsia="Calibri"/>
                <w:color w:val="000000"/>
                <w:kern w:val="24"/>
                <w:sz w:val="20"/>
                <w:szCs w:val="20"/>
              </w:rPr>
              <w:t>tripped,</w:t>
            </w:r>
            <w:proofErr w:type="gramEnd"/>
            <w:r w:rsidRPr="00DC57A8">
              <w:rPr>
                <w:rFonts w:eastAsia="Calibri"/>
                <w:color w:val="000000"/>
                <w:kern w:val="24"/>
                <w:sz w:val="20"/>
                <w:szCs w:val="20"/>
              </w:rPr>
              <w:t xml:space="preserve"> motor turned off immediately</w:t>
            </w:r>
          </w:p>
        </w:tc>
      </w:tr>
      <w:tr w:rsidR="00164D4C" w:rsidRPr="007159A3" w14:paraId="0EB07DD3" w14:textId="77777777" w:rsidTr="00164D4C">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7E05F2E5"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W2393</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454443DC"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LMO-004</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66EC34BF"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 xml:space="preserve">Failsafe tripped in middle of night, motor may have </w:t>
            </w:r>
            <w:proofErr w:type="gramStart"/>
            <w:r w:rsidRPr="00DC57A8">
              <w:rPr>
                <w:rFonts w:eastAsia="Calibri"/>
                <w:color w:val="000000"/>
                <w:kern w:val="24"/>
                <w:sz w:val="20"/>
                <w:szCs w:val="20"/>
              </w:rPr>
              <w:t>ran</w:t>
            </w:r>
            <w:proofErr w:type="gramEnd"/>
            <w:r w:rsidRPr="00DC57A8">
              <w:rPr>
                <w:rFonts w:eastAsia="Calibri"/>
                <w:color w:val="000000"/>
                <w:kern w:val="24"/>
                <w:sz w:val="20"/>
                <w:szCs w:val="20"/>
              </w:rPr>
              <w:t xml:space="preserve"> in 4+ hours</w:t>
            </w:r>
          </w:p>
        </w:tc>
      </w:tr>
      <w:tr w:rsidR="00164D4C" w:rsidRPr="007159A3" w14:paraId="0B60B691" w14:textId="77777777" w:rsidTr="00164D4C">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23D7B37D"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W2395</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250D7FDA"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LMO-005</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11EEA5F1"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 xml:space="preserve">Quenched Sample </w:t>
            </w:r>
          </w:p>
        </w:tc>
      </w:tr>
      <w:tr w:rsidR="00164D4C" w:rsidRPr="007159A3" w14:paraId="4EA2CFF5" w14:textId="77777777" w:rsidTr="00164D4C">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18488C01"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W2546</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322FC61A"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LMO-006</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6DCF8EB6"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No hit, thermocouple failure and ran on output until it was unstable</w:t>
            </w:r>
          </w:p>
        </w:tc>
      </w:tr>
      <w:tr w:rsidR="00164D4C" w:rsidRPr="007159A3" w14:paraId="7E1CFC29" w14:textId="77777777" w:rsidTr="00164D4C">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5710BCF3"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W2544</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382D930A"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LMO-007</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476EBB87"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Thermocouple failure before motor was turned on. Sat at temperature for ~4 hours</w:t>
            </w:r>
          </w:p>
        </w:tc>
      </w:tr>
      <w:tr w:rsidR="00164D4C" w:rsidRPr="007159A3" w14:paraId="23642B18" w14:textId="77777777" w:rsidTr="00164D4C">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3902B418"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W2549</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37C3D8A8"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LMO-008</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6F5B79FF"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Failed thermocouple, motor ran in while cold.</w:t>
            </w:r>
          </w:p>
        </w:tc>
      </w:tr>
      <w:tr w:rsidR="00164D4C" w:rsidRPr="007159A3" w14:paraId="222380BD" w14:textId="77777777" w:rsidTr="00164D4C">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54D5EA25"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W2558/W2562</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2D8470A6"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LMO-009</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4CE256A9"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 xml:space="preserve">Initially ran as W2558, thermocouple failure at 700*C. Removed and rerun as W2562. </w:t>
            </w:r>
            <w:r w:rsidRPr="00DC57A8">
              <w:rPr>
                <w:rFonts w:eastAsia="Calibri"/>
                <w:color w:val="000000"/>
                <w:kern w:val="24"/>
                <w:sz w:val="20"/>
                <w:szCs w:val="20"/>
              </w:rPr>
              <w:br/>
              <w:t xml:space="preserve">Thermocouple failure/extreme T flux for final 6 hours of experiment, </w:t>
            </w:r>
            <w:proofErr w:type="spellStart"/>
            <w:r w:rsidRPr="00DC57A8">
              <w:rPr>
                <w:rFonts w:eastAsia="Calibri"/>
                <w:color w:val="000000"/>
                <w:kern w:val="24"/>
                <w:sz w:val="20"/>
                <w:szCs w:val="20"/>
              </w:rPr>
              <w:t>can not</w:t>
            </w:r>
            <w:proofErr w:type="spellEnd"/>
            <w:r w:rsidRPr="00DC57A8">
              <w:rPr>
                <w:rFonts w:eastAsia="Calibri"/>
                <w:color w:val="000000"/>
                <w:kern w:val="24"/>
                <w:sz w:val="20"/>
                <w:szCs w:val="20"/>
              </w:rPr>
              <w:t xml:space="preserve"> </w:t>
            </w:r>
            <w:proofErr w:type="spellStart"/>
            <w:r w:rsidRPr="00DC57A8">
              <w:rPr>
                <w:rFonts w:eastAsia="Calibri"/>
                <w:color w:val="000000"/>
                <w:kern w:val="24"/>
                <w:sz w:val="20"/>
                <w:szCs w:val="20"/>
              </w:rPr>
              <w:t>cofirm</w:t>
            </w:r>
            <w:proofErr w:type="spellEnd"/>
            <w:r w:rsidRPr="00DC57A8">
              <w:rPr>
                <w:rFonts w:eastAsia="Calibri"/>
                <w:color w:val="000000"/>
                <w:kern w:val="24"/>
                <w:sz w:val="20"/>
                <w:szCs w:val="20"/>
              </w:rPr>
              <w:t xml:space="preserve"> thickness/lack of salt leak</w:t>
            </w:r>
          </w:p>
        </w:tc>
      </w:tr>
      <w:tr w:rsidR="00164D4C" w:rsidRPr="007159A3" w14:paraId="53357195" w14:textId="77777777" w:rsidTr="00164D4C">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470EA95A"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W2559</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1883C19B"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LMO-010</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11A71DF8"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Ran in fast (1*10-5), ran stress loops at end of experiment which induced a pressure leak</w:t>
            </w:r>
          </w:p>
        </w:tc>
      </w:tr>
      <w:tr w:rsidR="00164D4C" w:rsidRPr="007159A3" w14:paraId="24CD7523" w14:textId="77777777" w:rsidTr="00164D4C">
        <w:tc>
          <w:tcPr>
            <w:tcW w:w="1502" w:type="dxa"/>
            <w:tcBorders>
              <w:top w:val="nil"/>
              <w:left w:val="nil"/>
              <w:bottom w:val="nil"/>
              <w:right w:val="nil"/>
            </w:tcBorders>
            <w:shd w:val="clear" w:color="auto" w:fill="auto"/>
            <w:tcMar>
              <w:top w:w="12" w:type="dxa"/>
              <w:left w:w="85" w:type="dxa"/>
              <w:bottom w:w="0" w:type="dxa"/>
              <w:right w:w="85" w:type="dxa"/>
            </w:tcMar>
            <w:vAlign w:val="center"/>
            <w:hideMark/>
          </w:tcPr>
          <w:p w14:paraId="44534DB3"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W2560</w:t>
            </w:r>
          </w:p>
        </w:tc>
        <w:tc>
          <w:tcPr>
            <w:tcW w:w="1503" w:type="dxa"/>
            <w:tcBorders>
              <w:top w:val="nil"/>
              <w:left w:val="nil"/>
              <w:bottom w:val="nil"/>
              <w:right w:val="nil"/>
            </w:tcBorders>
            <w:shd w:val="clear" w:color="auto" w:fill="auto"/>
            <w:tcMar>
              <w:top w:w="12" w:type="dxa"/>
              <w:left w:w="85" w:type="dxa"/>
              <w:bottom w:w="0" w:type="dxa"/>
              <w:right w:w="85" w:type="dxa"/>
            </w:tcMar>
            <w:vAlign w:val="center"/>
            <w:hideMark/>
          </w:tcPr>
          <w:p w14:paraId="4AD8AD6F" w14:textId="77777777" w:rsidR="00164D4C" w:rsidRPr="00DC57A8" w:rsidRDefault="00164D4C" w:rsidP="00EC27DE">
            <w:pPr>
              <w:spacing w:before="120" w:after="120" w:line="360" w:lineRule="auto"/>
              <w:jc w:val="center"/>
              <w:rPr>
                <w:sz w:val="36"/>
                <w:szCs w:val="36"/>
              </w:rPr>
            </w:pPr>
            <w:r w:rsidRPr="00DC57A8">
              <w:rPr>
                <w:rFonts w:eastAsia="Calibri"/>
                <w:color w:val="000000"/>
                <w:kern w:val="24"/>
                <w:sz w:val="20"/>
                <w:szCs w:val="20"/>
              </w:rPr>
              <w:t>LMO-011</w:t>
            </w:r>
          </w:p>
        </w:tc>
        <w:tc>
          <w:tcPr>
            <w:tcW w:w="8615" w:type="dxa"/>
            <w:tcBorders>
              <w:top w:val="nil"/>
              <w:left w:val="nil"/>
              <w:bottom w:val="nil"/>
              <w:right w:val="nil"/>
            </w:tcBorders>
            <w:shd w:val="clear" w:color="auto" w:fill="auto"/>
            <w:tcMar>
              <w:top w:w="12" w:type="dxa"/>
              <w:left w:w="85" w:type="dxa"/>
              <w:bottom w:w="0" w:type="dxa"/>
              <w:right w:w="85" w:type="dxa"/>
            </w:tcMar>
            <w:vAlign w:val="center"/>
            <w:hideMark/>
          </w:tcPr>
          <w:p w14:paraId="75825A41" w14:textId="77777777" w:rsidR="00164D4C" w:rsidRPr="00DC57A8" w:rsidRDefault="00164D4C" w:rsidP="00EC27DE">
            <w:pPr>
              <w:spacing w:before="120" w:after="120" w:line="360" w:lineRule="auto"/>
              <w:rPr>
                <w:sz w:val="36"/>
                <w:szCs w:val="36"/>
              </w:rPr>
            </w:pPr>
            <w:r w:rsidRPr="00DC57A8">
              <w:rPr>
                <w:rFonts w:eastAsia="Calibri"/>
                <w:color w:val="000000"/>
                <w:kern w:val="24"/>
                <w:sz w:val="20"/>
                <w:szCs w:val="20"/>
              </w:rPr>
              <w:t>Ran in fast (1*10-5)</w:t>
            </w:r>
          </w:p>
        </w:tc>
      </w:tr>
    </w:tbl>
    <w:p w14:paraId="333FB49C" w14:textId="5C30F5A3" w:rsidR="00164D4C" w:rsidRDefault="00164D4C" w:rsidP="00164D4C">
      <w:pPr>
        <w:spacing w:after="160" w:line="259" w:lineRule="auto"/>
      </w:pPr>
      <w:r>
        <w:br w:type="page"/>
      </w:r>
    </w:p>
    <w:p w14:paraId="04E1F53C" w14:textId="77777777" w:rsidR="00164D4C" w:rsidRDefault="00164D4C" w:rsidP="00164D4C">
      <w:pPr>
        <w:spacing w:line="360" w:lineRule="auto"/>
        <w:sectPr w:rsidR="00164D4C" w:rsidSect="00164D4C">
          <w:pgSz w:w="15840" w:h="12240" w:orient="landscape"/>
          <w:pgMar w:top="1440" w:right="1440" w:bottom="1440" w:left="1440" w:header="720" w:footer="1440" w:gutter="0"/>
          <w:cols w:space="720"/>
          <w:docGrid w:linePitch="360"/>
        </w:sectPr>
      </w:pPr>
    </w:p>
    <w:p w14:paraId="675D7C7E" w14:textId="13C6232A" w:rsidR="00512595" w:rsidRPr="00512595" w:rsidRDefault="00512595" w:rsidP="00164D4C">
      <w:pPr>
        <w:spacing w:line="360" w:lineRule="auto"/>
      </w:pPr>
      <w:r w:rsidRPr="00512595">
        <w:lastRenderedPageBreak/>
        <w:t xml:space="preserve">apparatus in Figure </w:t>
      </w:r>
      <w:r w:rsidR="00EB54E6">
        <w:t>2.</w:t>
      </w:r>
      <w:r w:rsidRPr="00512595">
        <w:t xml:space="preserve">1c. Experimental run data is recorded at a sampling rate of 2 Hz digitally. Saved files were processed using a modification of the RIG program for MATLAB </w:t>
      </w:r>
      <w:r w:rsidRPr="00512595">
        <w:fldChar w:fldCharType="begin" w:fldLock="1"/>
      </w:r>
      <w:r w:rsidRPr="00512595">
        <w:instrText>ADDIN CSL_CITATION {"citationItems":[{"id":"ITEM-1","itemData":{"author":[{"dropping-particle":"","family":"Peč","given":"Matěj","non-dropping-particle":"","parse-names":false,"suffix":""}],"id":"ITEM-1","issue":"August","issued":{"date-parts":[["2010"]]},"title":"RIG : a MATLAB TM program for evaluation of mechanical data from experimental apparatuses","type":"article"},"uris":["http://www.mendeley.com/documents/?uuid=cf09daec-078c-4e40-9a8b-23f6a4d7334d"]}],"mendeley":{"formattedCitation":"(Peč, 2010)","plainTextFormattedCitation":"(Peč, 2010)","previouslyFormattedCitation":"(Peč, 2010)"},"properties":{"noteIndex":0},"schema":"https://github.com/citation-style-language/schema/raw/master/csl-citation.json"}</w:instrText>
      </w:r>
      <w:r w:rsidRPr="00512595">
        <w:fldChar w:fldCharType="separate"/>
      </w:r>
      <w:r w:rsidRPr="00512595">
        <w:rPr>
          <w:noProof/>
        </w:rPr>
        <w:t>(Peč, 2010)</w:t>
      </w:r>
      <w:r w:rsidRPr="00512595">
        <w:fldChar w:fldCharType="end"/>
      </w:r>
      <w:r w:rsidRPr="00512595">
        <w:t xml:space="preserve">, to work with Rig 2 at Brown University. </w:t>
      </w:r>
    </w:p>
    <w:p w14:paraId="6DAE0C71" w14:textId="087DE643" w:rsidR="0070639F" w:rsidRPr="00512595" w:rsidRDefault="00512595" w:rsidP="00512595">
      <w:pPr>
        <w:spacing w:line="360" w:lineRule="auto"/>
        <w:ind w:firstLine="360"/>
      </w:pPr>
      <w:r w:rsidRPr="00512595">
        <w:t>Notes on experimental runs, including experimental conditions, thermocouple failures and changes to motor speeds pre-deformation are noted in Table 2.2, with the run number for the Brown University cataloging system and the sample number assigned for this study.</w:t>
      </w:r>
      <w:r w:rsidR="0070639F" w:rsidRPr="00512595">
        <w:t xml:space="preserve"> </w:t>
      </w:r>
    </w:p>
    <w:p w14:paraId="2FBF1099" w14:textId="6B7B4771" w:rsidR="00512595" w:rsidRDefault="000C4761" w:rsidP="006709E2">
      <w:pPr>
        <w:pStyle w:val="Heading2"/>
        <w:spacing w:before="0" w:line="360" w:lineRule="auto"/>
      </w:pPr>
      <w:bookmarkStart w:id="74" w:name="_Toc109036150"/>
      <w:r>
        <w:t xml:space="preserve">3. </w:t>
      </w:r>
      <w:r w:rsidR="0070639F" w:rsidRPr="00FB2B82">
        <w:t>Analytical Methods</w:t>
      </w:r>
      <w:bookmarkEnd w:id="74"/>
    </w:p>
    <w:p w14:paraId="770B02AF" w14:textId="4FF9F260" w:rsidR="00DC57A8" w:rsidRDefault="00DC57A8" w:rsidP="00DC57A8">
      <w:pPr>
        <w:spacing w:line="360" w:lineRule="auto"/>
        <w:ind w:firstLine="720"/>
      </w:pPr>
      <w:r w:rsidRPr="00DC57A8">
        <w:t>Post-deformation, samples were prepared for microanalysis by carefully extracting the jacketed sample from the molten salt assembly and marking relevant directions, such as top and bottom, and indicating the position of the thermocouple, when possible. Samples were then cut in half perpendicular to the strike direction of the shear pistons, along the dip of the deformed sample. One-half of the sample was then mounted in 1-inch clear epoxy pucks for photomicrograph and electron beam microanalysis.</w:t>
      </w:r>
    </w:p>
    <w:p w14:paraId="7C72F9FE" w14:textId="77777777" w:rsidR="00DC57A8" w:rsidRPr="00DC57A8" w:rsidRDefault="00DC57A8" w:rsidP="00DC57A8">
      <w:pPr>
        <w:spacing w:line="360" w:lineRule="auto"/>
        <w:ind w:firstLine="720"/>
      </w:pPr>
      <w:r w:rsidRPr="00DC57A8">
        <w:t xml:space="preserve">Samples were analyzed under reflected light to check for potential salt leaks and to measure the post-deformation height and thickness of the sample. Backscatter electron (BSE) images were taken of samples to do a visual assessment of the mineral ratio and distribution of grains. </w:t>
      </w:r>
    </w:p>
    <w:p w14:paraId="61ED8061" w14:textId="77777777" w:rsidR="00DC57A8" w:rsidRPr="00DC57A8" w:rsidRDefault="00DC57A8" w:rsidP="00DC57A8">
      <w:pPr>
        <w:spacing w:line="360" w:lineRule="auto"/>
        <w:ind w:firstLine="720"/>
      </w:pPr>
      <w:r w:rsidRPr="00DC57A8">
        <w:t xml:space="preserve">After preliminary analysis at the University of Tennessee – Knoxville, all samples ran in 2019, LMO-001, LMO-002, LMO-003, LMO-004 &amp; LMO-005, were taken to Scripps Institution of Oceanography, to run electron backscatter diffraction (EBSD) analysis for microstructural data. </w:t>
      </w:r>
    </w:p>
    <w:p w14:paraId="6F62F3DC" w14:textId="25C513E9" w:rsidR="00DC57A8" w:rsidRPr="006709E2" w:rsidRDefault="002060AF" w:rsidP="006709E2">
      <w:pPr>
        <w:pStyle w:val="Heading3"/>
        <w:spacing w:before="0" w:line="360" w:lineRule="auto"/>
      </w:pPr>
      <w:bookmarkStart w:id="75" w:name="_Toc109036151"/>
      <w:r w:rsidRPr="006709E2">
        <w:t xml:space="preserve">3.1 </w:t>
      </w:r>
      <w:r w:rsidR="00DC57A8" w:rsidRPr="006709E2">
        <w:t>Electron Backscatter Diffraction</w:t>
      </w:r>
      <w:bookmarkEnd w:id="75"/>
    </w:p>
    <w:p w14:paraId="06F5AB2F" w14:textId="77777777" w:rsidR="009F28D1" w:rsidRDefault="00DC57A8" w:rsidP="00B659CB">
      <w:pPr>
        <w:spacing w:line="360" w:lineRule="auto"/>
        <w:ind w:firstLine="720"/>
      </w:pPr>
      <w:r w:rsidRPr="00DC57A8">
        <w:t xml:space="preserve">EBSD analyses were completed using an Oxford Instruments Symmetry EBSD detector on a FEI </w:t>
      </w:r>
      <w:proofErr w:type="spellStart"/>
      <w:r w:rsidRPr="00DC57A8">
        <w:t>Apreo</w:t>
      </w:r>
      <w:proofErr w:type="spellEnd"/>
      <w:r w:rsidRPr="00DC57A8">
        <w:t xml:space="preserve"> </w:t>
      </w:r>
      <w:proofErr w:type="spellStart"/>
      <w:r w:rsidRPr="00DC57A8">
        <w:t>LoVac</w:t>
      </w:r>
      <w:proofErr w:type="spellEnd"/>
      <w:r w:rsidRPr="00DC57A8">
        <w:t xml:space="preserve"> Field Emission Gun SEM at the University of California – San Diego/Scripps Institution of Oceanography. All samples were analyzed at a 1 µm step size, across the entire polished surface of the sample at a working distance between 26 to 28 mm, and voltage of 20 kV. Sample LMO-001 was indexed for only </w:t>
      </w:r>
      <w:r w:rsidRPr="00DC57A8">
        <w:lastRenderedPageBreak/>
        <w:t>ilmenite because it was prepared as a 100% ilmenite experiment. Samples LMO-002, LMO-003, LMO-004 and LMO-005 were indexed for both ilmenite and forsterite.</w:t>
      </w:r>
    </w:p>
    <w:p w14:paraId="5A15F120" w14:textId="10D643DA" w:rsidR="00B659CB" w:rsidRDefault="00DC57A8" w:rsidP="00B659CB">
      <w:pPr>
        <w:spacing w:line="360" w:lineRule="auto"/>
        <w:ind w:firstLine="720"/>
      </w:pPr>
      <w:r w:rsidRPr="00DC57A8">
        <w:t xml:space="preserve">Data processing was completed using the open source MTEX software (version 5.7.0) </w:t>
      </w:r>
      <w:r w:rsidRPr="00DC57A8">
        <w:fldChar w:fldCharType="begin" w:fldLock="1"/>
      </w:r>
      <w:r w:rsidRPr="00DC57A8">
        <w:instrText>ADDIN CSL_CITATION {"citationItems":[{"id":"ITEM-1","itemData":{"DOI":"10.1016/j.ultramic.2011.08.002","ISSN":"03043991","abstract":"We present a fast and versatile algorithm for the reconstruction of the grain structure from 2d and 3d Electron Back Scatter Diffraction (EBSD) data. The algorithm is rigorously derived from the modeling assumption that grain boundaries are located at the bisectors of adjacent measurement locations. This modeling assumption immediately implies that grains are composed of Voronoi cells corresponding to the measurement locations. Thus our algorithm is based on the Voronoi decomposition of the 2d or 3d measurement domain. It applies to any geometrical configuration of measurement locations and allows for missing data due to measurement errors. The definition of grains as compositions of Voronoi cells implies another fundamental feature of the proposed algorithm-its invariance with respect to spatial displacements, i.e., rotations or shifts of the specimen. This paper also serves as a reference paper for the texture analysis software MTEX, which is a comprehensive and versatile, freely available MATLAB toolbox that covers a wide range of problems in quantitative texture analysis, including the analysis of EBSD data. © 2011 Elsevier B.V.","author":[{"dropping-particle":"","family":"Bachmann","given":"Florian","non-dropping-particle":"","parse-names":false,"suffix":""},{"dropping-particle":"","family":"Hielscher","given":"Ralf","non-dropping-particle":"","parse-names":false,"suffix":""},{"dropping-particle":"","family":"Schaeben","given":"Helmut","non-dropping-particle":"","parse-names":false,"suffix":""}],"container-title":"Ultramicroscopy","id":"ITEM-1","issue":"12","issued":{"date-parts":[["2011"]]},"page":"1720-1733","publisher":"Elsevier","title":"Grain detection from 2d and 3d EBSD data-Specification of the MTEX algorithm","type":"article-journal","volume":"111"},"uris":["http://www.mendeley.com/documents/?uuid=afbf9daf-c90f-44fc-a8e7-0f30c2e876e5"]}],"mendeley":{"formattedCitation":"(Bachmann et al., 2011)","plainTextFormattedCitation":"(Bachmann et al., 2011)","previouslyFormattedCitation":"(Bachmann et al., 2011)"},"properties":{"noteIndex":0},"schema":"https://github.com/citation-style-language/schema/raw/master/csl-citation.json"}</w:instrText>
      </w:r>
      <w:r w:rsidRPr="00DC57A8">
        <w:fldChar w:fldCharType="separate"/>
      </w:r>
      <w:r w:rsidRPr="00DC57A8">
        <w:rPr>
          <w:noProof/>
        </w:rPr>
        <w:t>(Bachmann et al., 2011)</w:t>
      </w:r>
      <w:r w:rsidRPr="00DC57A8">
        <w:fldChar w:fldCharType="end"/>
      </w:r>
      <w:r w:rsidRPr="00DC57A8">
        <w:t xml:space="preserve">. The program was used to correct for rotation of the epoxy mount so that all samples plotted with the shear pistons in the same orientation, then used to generate EBSD maps, pole figures, and statistical data such as aspect ratio histograms and misorientation index (M-index) </w:t>
      </w:r>
      <w:r w:rsidRPr="00DC57A8">
        <w:fldChar w:fldCharType="begin" w:fldLock="1"/>
      </w:r>
      <w:r w:rsidRPr="00DC57A8">
        <w:instrText>ADDIN CSL_CITATION {"citationItems":[{"id":"ITEM-1","itemData":{"DOI":"10.1016/j.tecto.2005.08.023","ISSN":"00401951","abstract":"Using orientation data from experimentally deformed olivine, we explore some practical problems with the J-index, a commonly applied measure of fabric strength. We show that the J-index is highly dependent on several factors, including the number of discrete data in the orientation distribution function (ODF), and arbitrary numerical parameters specified for its calculation. Because of this non-uniqueness, we conclude that the J-index is difficult to interpret and should only be applied with caution. As an alternative to the J-index, we propose a new measure of fabric strength that is based on the distribution of uncorrelated misorientation angles. This \"M-index\" is shown to be insensitive to the parameters specified for its calculation. For typical deformed olivine samples, we show that 150 discrete data are adequate to quantify fabric strength using the M-index technique. The M-index correlates well with seismic anisotropy, particularly for materials of the same fabric type. Therefore, we conclude that the M-index technique is well-suited for the quantification of fabric strength and the comparison of like materials. © 2005 Elsevier B.V. All rights reserved.","author":[{"dropping-particle":"","family":"Skemer","given":"Philip","non-dropping-particle":"","parse-names":false,"suffix":""},{"dropping-particle":"","family":"Katayama","given":"Ikuo","non-dropping-particle":"","parse-names":false,"suffix":""},{"dropping-particle":"","family":"Jiang","given":"Zhenting","non-dropping-particle":"","parse-names":false,"suffix":""},{"dropping-particle":"","family":"Karato","given":"Shun Ichiro","non-dropping-particle":"","parse-names":false,"suffix":""}],"container-title":"Tectonophysics","id":"ITEM-1","issue":"1-4","issued":{"date-parts":[["2005","12","23"]]},"page":"157-167","title":"The misorientation index: Development of a new method for calculating the strength of lattice-preferred orientation","type":"article-journal","volume":"411"},"uris":["http://www.mendeley.com/documents/?uuid=b8944b75-1cf9-3971-afb1-6e13aa24502d"]}],"mendeley":{"formattedCitation":"(Skemer et al., 2005)","plainTextFormattedCitation":"(Skemer et al., 2005)","previouslyFormattedCitation":"(Skemer et al., 2005)"},"properties":{"noteIndex":0},"schema":"https://github.com/citation-style-language/schema/raw/master/csl-citation.json"}</w:instrText>
      </w:r>
      <w:r w:rsidRPr="00DC57A8">
        <w:fldChar w:fldCharType="separate"/>
      </w:r>
      <w:r w:rsidRPr="00DC57A8">
        <w:rPr>
          <w:noProof/>
        </w:rPr>
        <w:t>(Skemer et al., 2005)</w:t>
      </w:r>
      <w:r w:rsidRPr="00DC57A8">
        <w:fldChar w:fldCharType="end"/>
      </w:r>
      <w:r w:rsidRPr="00DC57A8">
        <w:t>. Grain boundaries for indexed minerals were defined with an angle of 10°.</w:t>
      </w:r>
    </w:p>
    <w:p w14:paraId="08FC6856" w14:textId="55F6FC92" w:rsidR="0070639F" w:rsidRDefault="000C4761" w:rsidP="007E7EE5">
      <w:pPr>
        <w:pStyle w:val="Heading2"/>
      </w:pPr>
      <w:bookmarkStart w:id="76" w:name="_Toc109036152"/>
      <w:r>
        <w:t xml:space="preserve">4. </w:t>
      </w:r>
      <w:r w:rsidR="0070639F">
        <w:t>Mechanical Data and Analytical Results</w:t>
      </w:r>
      <w:bookmarkEnd w:id="76"/>
    </w:p>
    <w:p w14:paraId="02148CB9" w14:textId="13A0B66C" w:rsidR="0070639F" w:rsidRPr="006709E2" w:rsidRDefault="000C4761" w:rsidP="006709E2">
      <w:pPr>
        <w:pStyle w:val="Heading3"/>
        <w:spacing w:before="0" w:line="360" w:lineRule="auto"/>
      </w:pPr>
      <w:bookmarkStart w:id="77" w:name="_Toc109036153"/>
      <w:r w:rsidRPr="006709E2">
        <w:t xml:space="preserve">4.1 </w:t>
      </w:r>
      <w:r w:rsidR="0070639F" w:rsidRPr="006709E2">
        <w:t>Mechanical Data</w:t>
      </w:r>
      <w:bookmarkEnd w:id="77"/>
    </w:p>
    <w:p w14:paraId="5EBEB6F7" w14:textId="3E0CB9C3" w:rsidR="00DC57A8" w:rsidRPr="00DC57A8" w:rsidRDefault="00DC57A8" w:rsidP="00DC57A8">
      <w:pPr>
        <w:spacing w:line="360" w:lineRule="auto"/>
        <w:ind w:firstLine="720"/>
      </w:pPr>
      <w:r w:rsidRPr="00DC57A8">
        <w:t>Mechanical data was downloaded from the Rig 2 computer as .tdms files and processed in MATLAB using code based on RIG (</w:t>
      </w:r>
      <w:proofErr w:type="spellStart"/>
      <w:r w:rsidRPr="00DC57A8">
        <w:t>Peč</w:t>
      </w:r>
      <w:proofErr w:type="spellEnd"/>
      <w:r w:rsidRPr="00DC57A8">
        <w:t xml:space="preserve">, 2010). Figure </w:t>
      </w:r>
      <w:r w:rsidR="00EB54E6">
        <w:t>2.</w:t>
      </w:r>
      <w:r w:rsidRPr="00DC57A8">
        <w:t xml:space="preserve">2 shows strain versus stress plots of the processed mechanical data for experiments LMO-001, LMO-002, LMO-003, LMO-004, LMO-005, LMO-010, LMO-011. </w:t>
      </w:r>
    </w:p>
    <w:p w14:paraId="557E05FC" w14:textId="0D3B91DA" w:rsidR="00DC57A8" w:rsidRPr="006709E2" w:rsidRDefault="00B659CB" w:rsidP="006709E2">
      <w:pPr>
        <w:pStyle w:val="Style1"/>
        <w:spacing w:before="0" w:line="360" w:lineRule="auto"/>
      </w:pPr>
      <w:bookmarkStart w:id="78" w:name="_Toc109036154"/>
      <w:r w:rsidRPr="006709E2">
        <w:t xml:space="preserve">4.1.1 </w:t>
      </w:r>
      <w:r w:rsidR="00DC57A8" w:rsidRPr="006709E2">
        <w:t>Dormant Rig complications in runs from July 2021 and January 2022</w:t>
      </w:r>
      <w:bookmarkEnd w:id="78"/>
    </w:p>
    <w:p w14:paraId="5EB86FBC" w14:textId="77777777" w:rsidR="00DC57A8" w:rsidRPr="00DC57A8" w:rsidRDefault="00DC57A8" w:rsidP="00DC57A8">
      <w:pPr>
        <w:spacing w:line="360" w:lineRule="auto"/>
        <w:ind w:firstLine="720"/>
      </w:pPr>
      <w:r w:rsidRPr="00DC57A8">
        <w:t xml:space="preserve">Samples LMO-006, LMO-007, LMO-008 and the first run of LMO-009, experienced power failures during the pressurization and heating process of the experiment and were therefore undeformed. Troubleshooting of the sample assembly revealed minor microstructural differences in mullite composition between manufacturers that caused shearing in the small arm of the thermocouple, near the outer salt-graphite can interface and highlighted the sensitivity of the experimental design to all assembly components. Sample LMO-007 was used to determine compression of sample materials pre-deformation, as it was able to dwell at the same pressure and temperature conditions as deformed samples for approximately 4 hours prior to failure. This hydrostatic experiment provided the data used to calculate percent compaction during pressurization and temperature increases.   </w:t>
      </w:r>
    </w:p>
    <w:p w14:paraId="64A35B4F" w14:textId="6E130CD2" w:rsidR="00DC57A8" w:rsidRPr="006709E2" w:rsidRDefault="00B659CB" w:rsidP="006709E2">
      <w:pPr>
        <w:pStyle w:val="Style1"/>
        <w:spacing w:before="0" w:line="360" w:lineRule="auto"/>
      </w:pPr>
      <w:bookmarkStart w:id="79" w:name="_Toc109036155"/>
      <w:r w:rsidRPr="006709E2">
        <w:t xml:space="preserve">4.1.2 </w:t>
      </w:r>
      <w:r w:rsidR="00DC57A8" w:rsidRPr="006709E2">
        <w:t>Correcting for fast run-ins</w:t>
      </w:r>
      <w:bookmarkEnd w:id="79"/>
    </w:p>
    <w:p w14:paraId="7C526A46" w14:textId="77777777" w:rsidR="00164D4C" w:rsidRDefault="00DC57A8" w:rsidP="0071663C">
      <w:pPr>
        <w:spacing w:line="360" w:lineRule="auto"/>
        <w:ind w:firstLine="720"/>
      </w:pPr>
      <w:r w:rsidRPr="00DC57A8">
        <w:t xml:space="preserve">Experimental runs in which the motor speed at time of sample hit was faster than the experimental conditions (W2559 (LMO-010), W2560 (LMO-011), W2562 (LMO-009)) were corrected in MATLAB by shifting the accelerated compression portion by the </w:t>
      </w:r>
    </w:p>
    <w:p w14:paraId="6DD895CC" w14:textId="389656D2" w:rsidR="00164D4C" w:rsidRPr="00B659CB" w:rsidRDefault="00164D4C" w:rsidP="00164D4C">
      <w:pPr>
        <w:rPr>
          <w:b/>
          <w:bCs/>
          <w:sz w:val="20"/>
          <w:szCs w:val="20"/>
        </w:rPr>
      </w:pPr>
      <w:bookmarkStart w:id="80" w:name="_Toc109738674"/>
      <w:r>
        <w:rPr>
          <w:noProof/>
        </w:rPr>
        <w:lastRenderedPageBreak/>
        <w:drawing>
          <wp:anchor distT="0" distB="0" distL="114300" distR="114300" simplePos="0" relativeHeight="251669504" behindDoc="0" locked="0" layoutInCell="1" allowOverlap="1" wp14:anchorId="28F79C76" wp14:editId="715A795C">
            <wp:simplePos x="0" y="0"/>
            <wp:positionH relativeFrom="margin">
              <wp:posOffset>-11876</wp:posOffset>
            </wp:positionH>
            <wp:positionV relativeFrom="paragraph">
              <wp:posOffset>0</wp:posOffset>
            </wp:positionV>
            <wp:extent cx="5943600" cy="2415540"/>
            <wp:effectExtent l="0" t="0" r="0" b="0"/>
            <wp:wrapTopAndBottom/>
            <wp:docPr id="2" name="Picture 2">
              <a:extLst xmlns:a="http://schemas.openxmlformats.org/drawingml/2006/main">
                <a:ext uri="{FF2B5EF4-FFF2-40B4-BE49-F238E27FC236}">
                  <a16:creationId xmlns:a16="http://schemas.microsoft.com/office/drawing/2014/main" id="{02C7BF41-5FF3-7C2F-927C-63E7999FA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02C7BF41-5FF3-7C2F-927C-63E7999FA405}"/>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415540"/>
                    </a:xfrm>
                    <a:prstGeom prst="rect">
                      <a:avLst/>
                    </a:prstGeom>
                  </pic:spPr>
                </pic:pic>
              </a:graphicData>
            </a:graphic>
          </wp:anchor>
        </w:drawing>
      </w:r>
      <w:r w:rsidRPr="00B659CB">
        <w:rPr>
          <w:sz w:val="20"/>
          <w:szCs w:val="20"/>
        </w:rPr>
        <w:t xml:space="preserve">Figure </w:t>
      </w:r>
      <w:r>
        <w:rPr>
          <w:sz w:val="20"/>
          <w:szCs w:val="20"/>
        </w:rPr>
        <w:t>2.</w:t>
      </w:r>
      <w:r>
        <w:rPr>
          <w:b/>
          <w:bCs/>
          <w:sz w:val="20"/>
          <w:szCs w:val="20"/>
        </w:rPr>
        <w:fldChar w:fldCharType="begin"/>
      </w:r>
      <w:r>
        <w:rPr>
          <w:sz w:val="20"/>
          <w:szCs w:val="20"/>
        </w:rPr>
        <w:instrText xml:space="preserve"> SEQ Figure \* ARABIC \s 1 </w:instrText>
      </w:r>
      <w:r>
        <w:rPr>
          <w:b/>
          <w:bCs/>
          <w:sz w:val="20"/>
          <w:szCs w:val="20"/>
        </w:rPr>
        <w:fldChar w:fldCharType="separate"/>
      </w:r>
      <w:r w:rsidR="008701A2">
        <w:rPr>
          <w:noProof/>
          <w:sz w:val="20"/>
          <w:szCs w:val="20"/>
        </w:rPr>
        <w:t>2</w:t>
      </w:r>
      <w:r>
        <w:rPr>
          <w:b/>
          <w:bCs/>
          <w:sz w:val="20"/>
          <w:szCs w:val="20"/>
        </w:rPr>
        <w:fldChar w:fldCharType="end"/>
      </w:r>
      <w:r w:rsidRPr="00B659CB">
        <w:rPr>
          <w:sz w:val="20"/>
          <w:szCs w:val="20"/>
        </w:rPr>
        <w:t>. Mechanical data plots for deformed experiments from this study. Samples are color coded based on the spectrum at right, with pink representing ilm40 and green representing SCO. For samples with the same proportions of ilm</w:t>
      </w:r>
      <w:proofErr w:type="gramStart"/>
      <w:r w:rsidRPr="00B659CB">
        <w:rPr>
          <w:sz w:val="20"/>
          <w:szCs w:val="20"/>
        </w:rPr>
        <w:t>40:SCO</w:t>
      </w:r>
      <w:proofErr w:type="gramEnd"/>
      <w:r w:rsidRPr="00B659CB">
        <w:rPr>
          <w:sz w:val="20"/>
          <w:szCs w:val="20"/>
        </w:rPr>
        <w:t>, sample hue is lighter for low total strain and darker for high accumulated strain. Mechanical data is cropped to begin at the hit point as calculated in MATLAB and end at initial pressure decrease at time of thermocouple failure and/or experiment completion.</w:t>
      </w:r>
      <w:bookmarkEnd w:id="80"/>
    </w:p>
    <w:p w14:paraId="7824B330" w14:textId="443CBFE7" w:rsidR="00164D4C" w:rsidRDefault="00164D4C">
      <w:r>
        <w:br w:type="page"/>
      </w:r>
    </w:p>
    <w:p w14:paraId="69F2C1A2" w14:textId="00C3F1ED" w:rsidR="00DC57A8" w:rsidRPr="00DC57A8" w:rsidRDefault="00DC57A8" w:rsidP="00164D4C">
      <w:pPr>
        <w:spacing w:line="360" w:lineRule="auto"/>
      </w:pPr>
      <w:r w:rsidRPr="00DC57A8">
        <w:lastRenderedPageBreak/>
        <w:t xml:space="preserve">load change at acceleration and load change at deceleration, averaged over the entire higher rate portion. The change in load seen at different motor speeds can be attributed to friction in the rig that varies with axial compression rates. The portions of the record where the run in was stabilizing were then removed and replaced by a linear regression of the values at the starting and ending times of the segment removed. This allowed for calculation of a corrected hit point. </w:t>
      </w:r>
    </w:p>
    <w:p w14:paraId="20FB5F30" w14:textId="3B3FCACF" w:rsidR="00DC57A8" w:rsidRPr="006709E2" w:rsidRDefault="002060AF" w:rsidP="006709E2">
      <w:pPr>
        <w:pStyle w:val="Heading3"/>
        <w:spacing w:before="0" w:line="360" w:lineRule="auto"/>
      </w:pPr>
      <w:bookmarkStart w:id="81" w:name="_Toc109036156"/>
      <w:r w:rsidRPr="006709E2">
        <w:t xml:space="preserve">4.2 </w:t>
      </w:r>
      <w:r w:rsidR="00DC57A8" w:rsidRPr="006709E2">
        <w:t>Microstructures</w:t>
      </w:r>
      <w:bookmarkEnd w:id="81"/>
    </w:p>
    <w:p w14:paraId="24245981" w14:textId="7AF6644E" w:rsidR="00DC57A8" w:rsidRDefault="00DC57A8" w:rsidP="00DC57A8">
      <w:pPr>
        <w:spacing w:line="360" w:lineRule="auto"/>
        <w:ind w:firstLine="360"/>
      </w:pPr>
      <w:r w:rsidRPr="00DC57A8">
        <w:t xml:space="preserve">Crystallographic preferred orientation (CPO) for ilmenite (0001) are shown in the left-hand column of Figure </w:t>
      </w:r>
      <w:r w:rsidR="00EB54E6">
        <w:t>2.</w:t>
      </w:r>
      <w:r w:rsidRPr="00DC57A8">
        <w:t xml:space="preserve">3 for LMO-001, LMO-002, LMO-003, LMO-004 and LMO-005 (top to bottom). In the 3 right-hand columns of Figure </w:t>
      </w:r>
      <w:r w:rsidR="00EB54E6">
        <w:t>2.</w:t>
      </w:r>
      <w:r w:rsidRPr="00DC57A8">
        <w:t>3, CPOs for Forsterite (olivine) (100), (010), and (001) are shown for LMO-002, LMO-003, LMO-004, and LMO-005. M-index values for ilmenite and olivine are provided in Table 2.3 based on the orientation distribution function generated by MTEX.</w:t>
      </w:r>
    </w:p>
    <w:p w14:paraId="0F7BD1DB" w14:textId="15D3C100" w:rsidR="00B659CB" w:rsidRDefault="00B659CB" w:rsidP="00B659CB">
      <w:pPr>
        <w:spacing w:line="360" w:lineRule="auto"/>
        <w:ind w:firstLine="720"/>
        <w:rPr>
          <w:noProof/>
        </w:rPr>
      </w:pPr>
      <w:r>
        <w:t>G</w:t>
      </w:r>
      <w:r w:rsidRPr="00DC57A8">
        <w:t xml:space="preserve">rain area and aspect ratio maps for each indexed phase are shown in the supplement, Supplemental Figure </w:t>
      </w:r>
      <w:r w:rsidR="00EB54E6">
        <w:t>2.</w:t>
      </w:r>
      <w:r w:rsidRPr="00DC57A8">
        <w:t xml:space="preserve">6, for LMO-001, LMO-002, LMO-003, LMO-004 and LMO-005. The aspect ratio data attained from building these maps is plotted as histograms in Figure </w:t>
      </w:r>
      <w:r w:rsidR="00EB54E6">
        <w:t>2.</w:t>
      </w:r>
      <w:r w:rsidRPr="00DC57A8">
        <w:t>4 for all samples analyzed by EBSD.</w:t>
      </w:r>
      <w:r w:rsidRPr="00DC57A8">
        <w:rPr>
          <w:noProof/>
        </w:rPr>
        <w:t xml:space="preserve"> </w:t>
      </w:r>
    </w:p>
    <w:p w14:paraId="3AADC87C" w14:textId="6E3FC21C" w:rsidR="00701931" w:rsidRPr="002060AF" w:rsidRDefault="002060AF" w:rsidP="002060AF">
      <w:pPr>
        <w:pStyle w:val="Heading2"/>
      </w:pPr>
      <w:bookmarkStart w:id="82" w:name="_Toc109036157"/>
      <w:r>
        <w:t xml:space="preserve">5. </w:t>
      </w:r>
      <w:r w:rsidR="00701931" w:rsidRPr="002060AF">
        <w:t>Discussion</w:t>
      </w:r>
      <w:bookmarkEnd w:id="82"/>
    </w:p>
    <w:p w14:paraId="40B0C7F7" w14:textId="6B56476B" w:rsidR="00701931" w:rsidRPr="006709E2" w:rsidRDefault="002060AF" w:rsidP="006709E2">
      <w:pPr>
        <w:pStyle w:val="Heading3"/>
        <w:spacing w:before="0" w:line="360" w:lineRule="auto"/>
      </w:pPr>
      <w:bookmarkStart w:id="83" w:name="_Toc109036158"/>
      <w:r w:rsidRPr="006709E2">
        <w:t xml:space="preserve">5.1 </w:t>
      </w:r>
      <w:r w:rsidR="00701931" w:rsidRPr="006709E2">
        <w:t>Stress and strain comparisons to published flow laws</w:t>
      </w:r>
      <w:bookmarkEnd w:id="83"/>
    </w:p>
    <w:p w14:paraId="4CF9EE62" w14:textId="77777777" w:rsidR="00B1124B" w:rsidRDefault="00701931" w:rsidP="00494211">
      <w:pPr>
        <w:spacing w:line="360" w:lineRule="auto"/>
      </w:pPr>
      <w:r w:rsidRPr="00DC57A8">
        <w:t xml:space="preserve">Figure </w:t>
      </w:r>
      <w:r w:rsidR="00EB54E6">
        <w:t>2.</w:t>
      </w:r>
      <w:r w:rsidRPr="00DC57A8">
        <w:t>5a shows the predicted range of viscosities from the published ilm40 and olivine flow laws, as triangles on the left and right y-axes of the plot, respectively. From published numerical models of aggregate flow laws, the Tullis et al. (1991) two-phase mixing model represents an aggregate flow law that is influenced by the relative phase percentage of the aggregate during deformation. For that reason, we show the Tullis et al. (1991) mixing model as the split on the graph between viscosity predictions in cases where the strength of the aggregate is controlled by the stronger material, olivine in this case, which would fall above the Tullis et al. (1991) line in the green region, and viscosities predicted if the strength of the aggregate is controlled by the weaker phase of the two, ilmenite in this case, which would plot beneath the Tullis et al. (1991) line, in the pink field. By comparing calculated viscosities of samples in this study to the wet</w:t>
      </w:r>
    </w:p>
    <w:p w14:paraId="04C544D2" w14:textId="2CF3AA9B" w:rsidR="008701A2" w:rsidRPr="008701A2" w:rsidRDefault="008701A2" w:rsidP="008701A2">
      <w:pPr>
        <w:pStyle w:val="Caption"/>
        <w:rPr>
          <w:b w:val="0"/>
          <w:bCs w:val="0"/>
          <w:i/>
          <w:iCs/>
          <w:sz w:val="20"/>
          <w:szCs w:val="20"/>
        </w:rPr>
      </w:pPr>
      <w:bookmarkStart w:id="84" w:name="_Toc109738675"/>
      <w:r>
        <w:rPr>
          <w:noProof/>
        </w:rPr>
        <w:lastRenderedPageBreak/>
        <w:drawing>
          <wp:anchor distT="0" distB="0" distL="114300" distR="114300" simplePos="0" relativeHeight="251678720" behindDoc="0" locked="0" layoutInCell="1" allowOverlap="1" wp14:anchorId="5305E977" wp14:editId="36EEB124">
            <wp:simplePos x="0" y="0"/>
            <wp:positionH relativeFrom="column">
              <wp:posOffset>893445</wp:posOffset>
            </wp:positionH>
            <wp:positionV relativeFrom="paragraph">
              <wp:posOffset>0</wp:posOffset>
            </wp:positionV>
            <wp:extent cx="4139565" cy="56794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9565" cy="5679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01A2">
        <w:rPr>
          <w:b w:val="0"/>
          <w:bCs w:val="0"/>
          <w:sz w:val="20"/>
          <w:szCs w:val="20"/>
        </w:rPr>
        <w:t>Figure 2.</w:t>
      </w:r>
      <w:r w:rsidRPr="008701A2">
        <w:rPr>
          <w:b w:val="0"/>
          <w:bCs w:val="0"/>
          <w:i/>
          <w:iCs/>
          <w:sz w:val="20"/>
          <w:szCs w:val="20"/>
        </w:rPr>
        <w:fldChar w:fldCharType="begin"/>
      </w:r>
      <w:r w:rsidRPr="008701A2">
        <w:rPr>
          <w:b w:val="0"/>
          <w:bCs w:val="0"/>
          <w:sz w:val="20"/>
          <w:szCs w:val="20"/>
        </w:rPr>
        <w:instrText xml:space="preserve"> SEQ Figure \* ARABIC </w:instrText>
      </w:r>
      <w:r w:rsidRPr="008701A2">
        <w:rPr>
          <w:b w:val="0"/>
          <w:bCs w:val="0"/>
          <w:i/>
          <w:iCs/>
          <w:sz w:val="20"/>
          <w:szCs w:val="20"/>
        </w:rPr>
        <w:fldChar w:fldCharType="separate"/>
      </w:r>
      <w:r w:rsidRPr="008701A2">
        <w:rPr>
          <w:b w:val="0"/>
          <w:bCs w:val="0"/>
          <w:noProof/>
          <w:sz w:val="20"/>
          <w:szCs w:val="20"/>
        </w:rPr>
        <w:t>3</w:t>
      </w:r>
      <w:r w:rsidRPr="008701A2">
        <w:rPr>
          <w:b w:val="0"/>
          <w:bCs w:val="0"/>
          <w:i/>
          <w:iCs/>
          <w:sz w:val="20"/>
          <w:szCs w:val="20"/>
        </w:rPr>
        <w:fldChar w:fldCharType="end"/>
      </w:r>
      <w:r w:rsidRPr="008701A2">
        <w:rPr>
          <w:b w:val="0"/>
          <w:bCs w:val="0"/>
          <w:sz w:val="20"/>
          <w:szCs w:val="20"/>
        </w:rPr>
        <w:t>. Ilmenite (0001) CPOs and Forsterite (001), (010) and (100) CPOs for samples LMO-001, - 002, -003, -004, &amp; -005, with ilm</w:t>
      </w:r>
      <w:proofErr w:type="gramStart"/>
      <w:r w:rsidRPr="008701A2">
        <w:rPr>
          <w:b w:val="0"/>
          <w:bCs w:val="0"/>
          <w:sz w:val="20"/>
          <w:szCs w:val="20"/>
        </w:rPr>
        <w:t>40:SCO</w:t>
      </w:r>
      <w:proofErr w:type="gramEnd"/>
      <w:r w:rsidRPr="008701A2">
        <w:rPr>
          <w:b w:val="0"/>
          <w:bCs w:val="0"/>
          <w:sz w:val="20"/>
          <w:szCs w:val="20"/>
        </w:rPr>
        <w:t xml:space="preserve"> ratios and total accumulated shear strain and axial equivalent strain. All sample MUD scales are set to the color scale at the bottom of the figure.</w:t>
      </w:r>
      <w:bookmarkEnd w:id="84"/>
    </w:p>
    <w:p w14:paraId="12C2A522" w14:textId="63CC3AAB" w:rsidR="00164D4C" w:rsidRDefault="00701931" w:rsidP="00B1124B">
      <w:r w:rsidRPr="00DC57A8">
        <w:t xml:space="preserve"> </w:t>
      </w:r>
      <w:r w:rsidR="00164D4C">
        <w:br w:type="page"/>
      </w:r>
    </w:p>
    <w:p w14:paraId="491A8987" w14:textId="77777777" w:rsidR="00164D4C" w:rsidRDefault="00164D4C" w:rsidP="00494211">
      <w:pPr>
        <w:spacing w:line="360" w:lineRule="auto"/>
        <w:sectPr w:rsidR="00164D4C" w:rsidSect="009F28D1">
          <w:pgSz w:w="12240" w:h="15840"/>
          <w:pgMar w:top="1440" w:right="1440" w:bottom="1440" w:left="1440" w:header="720" w:footer="1440" w:gutter="0"/>
          <w:cols w:space="720"/>
          <w:docGrid w:linePitch="360"/>
        </w:sectPr>
      </w:pPr>
    </w:p>
    <w:p w14:paraId="24B6828D" w14:textId="77777777" w:rsidR="00164D4C" w:rsidRPr="00BD32F0" w:rsidRDefault="00164D4C" w:rsidP="00164D4C">
      <w:pPr>
        <w:pStyle w:val="Caption"/>
        <w:rPr>
          <w:b w:val="0"/>
          <w:bCs w:val="0"/>
          <w:sz w:val="20"/>
          <w:szCs w:val="20"/>
        </w:rPr>
      </w:pPr>
      <w:bookmarkStart w:id="85" w:name="_Toc109398946"/>
      <w:r w:rsidRPr="00BD32F0">
        <w:rPr>
          <w:b w:val="0"/>
          <w:bCs w:val="0"/>
          <w:sz w:val="20"/>
          <w:szCs w:val="20"/>
        </w:rPr>
        <w:lastRenderedPageBreak/>
        <w:t xml:space="preserve">Table </w:t>
      </w:r>
      <w:r>
        <w:rPr>
          <w:b w:val="0"/>
          <w:bCs w:val="0"/>
          <w:sz w:val="20"/>
          <w:szCs w:val="20"/>
        </w:rPr>
        <w:t>2.</w:t>
      </w:r>
      <w:r>
        <w:rPr>
          <w:b w:val="0"/>
          <w:bCs w:val="0"/>
          <w:sz w:val="20"/>
          <w:szCs w:val="20"/>
        </w:rPr>
        <w:fldChar w:fldCharType="begin"/>
      </w:r>
      <w:r>
        <w:rPr>
          <w:b w:val="0"/>
          <w:bCs w:val="0"/>
          <w:sz w:val="20"/>
          <w:szCs w:val="20"/>
        </w:rPr>
        <w:instrText xml:space="preserve"> SEQ Table \* ARABIC \s 1 </w:instrText>
      </w:r>
      <w:r>
        <w:rPr>
          <w:b w:val="0"/>
          <w:bCs w:val="0"/>
          <w:sz w:val="20"/>
          <w:szCs w:val="20"/>
        </w:rPr>
        <w:fldChar w:fldCharType="separate"/>
      </w:r>
      <w:r>
        <w:rPr>
          <w:b w:val="0"/>
          <w:bCs w:val="0"/>
          <w:noProof/>
          <w:sz w:val="20"/>
          <w:szCs w:val="20"/>
        </w:rPr>
        <w:t>3</w:t>
      </w:r>
      <w:r>
        <w:rPr>
          <w:b w:val="0"/>
          <w:bCs w:val="0"/>
          <w:sz w:val="20"/>
          <w:szCs w:val="20"/>
        </w:rPr>
        <w:fldChar w:fldCharType="end"/>
      </w:r>
      <w:r w:rsidRPr="00BD32F0">
        <w:rPr>
          <w:b w:val="0"/>
          <w:bCs w:val="0"/>
          <w:sz w:val="20"/>
          <w:szCs w:val="20"/>
        </w:rPr>
        <w:t>. Sample results from mechanical data and EBSD analysis data processing.</w:t>
      </w:r>
      <w:bookmarkEnd w:id="85"/>
    </w:p>
    <w:tbl>
      <w:tblPr>
        <w:tblW w:w="12955" w:type="dxa"/>
        <w:tblCellMar>
          <w:left w:w="0" w:type="dxa"/>
          <w:right w:w="0" w:type="dxa"/>
        </w:tblCellMar>
        <w:tblLook w:val="0600" w:firstRow="0" w:lastRow="0" w:firstColumn="0" w:lastColumn="0" w:noHBand="1" w:noVBand="1"/>
      </w:tblPr>
      <w:tblGrid>
        <w:gridCol w:w="1250"/>
        <w:gridCol w:w="567"/>
        <w:gridCol w:w="778"/>
        <w:gridCol w:w="567"/>
        <w:gridCol w:w="1126"/>
        <w:gridCol w:w="1079"/>
        <w:gridCol w:w="692"/>
        <w:gridCol w:w="706"/>
        <w:gridCol w:w="600"/>
        <w:gridCol w:w="600"/>
        <w:gridCol w:w="600"/>
        <w:gridCol w:w="600"/>
        <w:gridCol w:w="600"/>
        <w:gridCol w:w="600"/>
        <w:gridCol w:w="1333"/>
        <w:gridCol w:w="1257"/>
      </w:tblGrid>
      <w:tr w:rsidR="00164D4C" w:rsidRPr="00BD32F0" w14:paraId="4EC1C92C" w14:textId="77777777" w:rsidTr="00EC27DE">
        <w:trPr>
          <w:trHeight w:val="468"/>
        </w:trPr>
        <w:tc>
          <w:tcPr>
            <w:tcW w:w="1250" w:type="dxa"/>
            <w:vMerge w:val="restart"/>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08BB16B8"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Sample Name</w:t>
            </w:r>
          </w:p>
        </w:tc>
        <w:tc>
          <w:tcPr>
            <w:tcW w:w="567" w:type="dxa"/>
            <w:vMerge w:val="restart"/>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0C634CDD"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γ</w:t>
            </w:r>
          </w:p>
        </w:tc>
        <w:tc>
          <w:tcPr>
            <w:tcW w:w="778" w:type="dxa"/>
            <w:vMerge w:val="restart"/>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588880B7"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σ</w:t>
            </w:r>
            <w:r w:rsidRPr="00BD32F0">
              <w:rPr>
                <w:b/>
                <w:bCs/>
                <w:color w:val="000000"/>
                <w:kern w:val="24"/>
                <w:position w:val="-5"/>
                <w:sz w:val="18"/>
                <w:szCs w:val="18"/>
                <w:vertAlign w:val="subscript"/>
              </w:rPr>
              <w:t>shear</w:t>
            </w:r>
            <w:r w:rsidRPr="00BD32F0">
              <w:rPr>
                <w:b/>
                <w:bCs/>
                <w:color w:val="000000"/>
                <w:kern w:val="24"/>
                <w:sz w:val="18"/>
                <w:szCs w:val="18"/>
              </w:rPr>
              <w:t xml:space="preserve"> </w:t>
            </w:r>
          </w:p>
          <w:p w14:paraId="07BEE2CC"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(MPa)</w:t>
            </w:r>
          </w:p>
        </w:tc>
        <w:tc>
          <w:tcPr>
            <w:tcW w:w="567" w:type="dxa"/>
            <w:vMerge w:val="restart"/>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410F5851"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ε</w:t>
            </w:r>
          </w:p>
        </w:tc>
        <w:tc>
          <w:tcPr>
            <w:tcW w:w="1126" w:type="dxa"/>
            <w:vMerge w:val="restart"/>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04BBFBB6"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σ</w:t>
            </w:r>
            <w:r w:rsidRPr="00BD32F0">
              <w:rPr>
                <w:b/>
                <w:bCs/>
                <w:color w:val="000000"/>
                <w:kern w:val="24"/>
                <w:position w:val="-5"/>
                <w:sz w:val="18"/>
                <w:szCs w:val="18"/>
                <w:vertAlign w:val="subscript"/>
              </w:rPr>
              <w:t>axial equivalent</w:t>
            </w:r>
            <w:r w:rsidRPr="00BD32F0">
              <w:rPr>
                <w:b/>
                <w:bCs/>
                <w:color w:val="000000"/>
                <w:kern w:val="24"/>
                <w:sz w:val="18"/>
                <w:szCs w:val="18"/>
              </w:rPr>
              <w:t xml:space="preserve"> </w:t>
            </w:r>
          </w:p>
          <w:p w14:paraId="3AB43841"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(MPa)</w:t>
            </w:r>
          </w:p>
        </w:tc>
        <w:tc>
          <w:tcPr>
            <w:tcW w:w="1079" w:type="dxa"/>
            <w:vMerge w:val="restart"/>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2EDEE5DD"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Viscosity</w:t>
            </w:r>
          </w:p>
        </w:tc>
        <w:tc>
          <w:tcPr>
            <w:tcW w:w="4998" w:type="dxa"/>
            <w:gridSpan w:val="8"/>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3825175E" w14:textId="77777777" w:rsidR="00164D4C" w:rsidRPr="00BD32F0" w:rsidRDefault="00164D4C" w:rsidP="00EC27DE">
            <w:pPr>
              <w:jc w:val="center"/>
              <w:rPr>
                <w:sz w:val="36"/>
                <w:szCs w:val="36"/>
              </w:rPr>
            </w:pPr>
            <w:r w:rsidRPr="00BD32F0">
              <w:rPr>
                <w:rFonts w:eastAsia="Calibri"/>
                <w:b/>
                <w:bCs/>
                <w:color w:val="000000"/>
                <w:kern w:val="24"/>
                <w:sz w:val="18"/>
                <w:szCs w:val="18"/>
              </w:rPr>
              <w:t>Multiples of Uniform Distribution (MUD) range</w:t>
            </w:r>
          </w:p>
        </w:tc>
        <w:tc>
          <w:tcPr>
            <w:tcW w:w="1333" w:type="dxa"/>
            <w:vMerge w:val="restart"/>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01FE40F4"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M-Index Ilm40</w:t>
            </w:r>
          </w:p>
        </w:tc>
        <w:tc>
          <w:tcPr>
            <w:tcW w:w="1257" w:type="dxa"/>
            <w:vMerge w:val="restart"/>
            <w:tcBorders>
              <w:top w:val="nil"/>
              <w:left w:val="nil"/>
              <w:bottom w:val="single" w:sz="12" w:space="0" w:color="000000"/>
              <w:right w:val="nil"/>
            </w:tcBorders>
            <w:shd w:val="clear" w:color="auto" w:fill="auto"/>
            <w:tcMar>
              <w:top w:w="15" w:type="dxa"/>
              <w:left w:w="108" w:type="dxa"/>
              <w:bottom w:w="0" w:type="dxa"/>
              <w:right w:w="108" w:type="dxa"/>
            </w:tcMar>
            <w:vAlign w:val="center"/>
            <w:hideMark/>
          </w:tcPr>
          <w:p w14:paraId="120E6EEA"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M-Index SCO</w:t>
            </w:r>
          </w:p>
        </w:tc>
      </w:tr>
      <w:tr w:rsidR="00164D4C" w:rsidRPr="00BD32F0" w14:paraId="09C33805" w14:textId="77777777" w:rsidTr="00EC27DE">
        <w:trPr>
          <w:trHeight w:val="468"/>
        </w:trPr>
        <w:tc>
          <w:tcPr>
            <w:tcW w:w="1250" w:type="dxa"/>
            <w:vMerge/>
            <w:tcBorders>
              <w:top w:val="nil"/>
              <w:left w:val="nil"/>
              <w:bottom w:val="single" w:sz="12" w:space="0" w:color="000000"/>
              <w:right w:val="nil"/>
            </w:tcBorders>
            <w:vAlign w:val="center"/>
            <w:hideMark/>
          </w:tcPr>
          <w:p w14:paraId="7B4F765F" w14:textId="77777777" w:rsidR="00164D4C" w:rsidRPr="00BD32F0" w:rsidRDefault="00164D4C" w:rsidP="00EC27DE">
            <w:pPr>
              <w:rPr>
                <w:sz w:val="36"/>
                <w:szCs w:val="36"/>
              </w:rPr>
            </w:pPr>
          </w:p>
        </w:tc>
        <w:tc>
          <w:tcPr>
            <w:tcW w:w="567" w:type="dxa"/>
            <w:vMerge/>
            <w:tcBorders>
              <w:top w:val="nil"/>
              <w:left w:val="nil"/>
              <w:bottom w:val="single" w:sz="12" w:space="0" w:color="000000"/>
              <w:right w:val="nil"/>
            </w:tcBorders>
            <w:vAlign w:val="center"/>
            <w:hideMark/>
          </w:tcPr>
          <w:p w14:paraId="327D0F1A" w14:textId="77777777" w:rsidR="00164D4C" w:rsidRPr="00BD32F0" w:rsidRDefault="00164D4C" w:rsidP="00EC27DE">
            <w:pPr>
              <w:rPr>
                <w:sz w:val="36"/>
                <w:szCs w:val="36"/>
              </w:rPr>
            </w:pPr>
          </w:p>
        </w:tc>
        <w:tc>
          <w:tcPr>
            <w:tcW w:w="778" w:type="dxa"/>
            <w:vMerge/>
            <w:tcBorders>
              <w:top w:val="nil"/>
              <w:left w:val="nil"/>
              <w:bottom w:val="single" w:sz="12" w:space="0" w:color="000000"/>
              <w:right w:val="nil"/>
            </w:tcBorders>
            <w:vAlign w:val="center"/>
            <w:hideMark/>
          </w:tcPr>
          <w:p w14:paraId="02B92434" w14:textId="77777777" w:rsidR="00164D4C" w:rsidRPr="00BD32F0" w:rsidRDefault="00164D4C" w:rsidP="00EC27DE">
            <w:pPr>
              <w:rPr>
                <w:sz w:val="36"/>
                <w:szCs w:val="36"/>
              </w:rPr>
            </w:pPr>
          </w:p>
        </w:tc>
        <w:tc>
          <w:tcPr>
            <w:tcW w:w="567" w:type="dxa"/>
            <w:vMerge/>
            <w:tcBorders>
              <w:top w:val="nil"/>
              <w:left w:val="nil"/>
              <w:bottom w:val="single" w:sz="12" w:space="0" w:color="000000"/>
              <w:right w:val="nil"/>
            </w:tcBorders>
            <w:vAlign w:val="center"/>
            <w:hideMark/>
          </w:tcPr>
          <w:p w14:paraId="13AE8482" w14:textId="77777777" w:rsidR="00164D4C" w:rsidRPr="00BD32F0" w:rsidRDefault="00164D4C" w:rsidP="00EC27DE">
            <w:pPr>
              <w:rPr>
                <w:sz w:val="36"/>
                <w:szCs w:val="36"/>
              </w:rPr>
            </w:pPr>
          </w:p>
        </w:tc>
        <w:tc>
          <w:tcPr>
            <w:tcW w:w="1126" w:type="dxa"/>
            <w:vMerge/>
            <w:tcBorders>
              <w:top w:val="nil"/>
              <w:left w:val="nil"/>
              <w:bottom w:val="single" w:sz="12" w:space="0" w:color="000000"/>
              <w:right w:val="nil"/>
            </w:tcBorders>
            <w:vAlign w:val="center"/>
            <w:hideMark/>
          </w:tcPr>
          <w:p w14:paraId="291E29C0" w14:textId="77777777" w:rsidR="00164D4C" w:rsidRPr="00BD32F0" w:rsidRDefault="00164D4C" w:rsidP="00EC27DE">
            <w:pPr>
              <w:rPr>
                <w:sz w:val="36"/>
                <w:szCs w:val="36"/>
              </w:rPr>
            </w:pPr>
          </w:p>
        </w:tc>
        <w:tc>
          <w:tcPr>
            <w:tcW w:w="1079" w:type="dxa"/>
            <w:vMerge/>
            <w:tcBorders>
              <w:top w:val="nil"/>
              <w:left w:val="nil"/>
              <w:bottom w:val="single" w:sz="12" w:space="0" w:color="000000"/>
              <w:right w:val="nil"/>
            </w:tcBorders>
            <w:vAlign w:val="center"/>
            <w:hideMark/>
          </w:tcPr>
          <w:p w14:paraId="05346FEA" w14:textId="77777777" w:rsidR="00164D4C" w:rsidRPr="00BD32F0" w:rsidRDefault="00164D4C" w:rsidP="00EC27DE">
            <w:pPr>
              <w:rPr>
                <w:sz w:val="36"/>
                <w:szCs w:val="36"/>
              </w:rPr>
            </w:pPr>
          </w:p>
        </w:tc>
        <w:tc>
          <w:tcPr>
            <w:tcW w:w="1398" w:type="dxa"/>
            <w:gridSpan w:val="2"/>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47B60A39"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 xml:space="preserve">Ilm40 (0001) </w:t>
            </w:r>
          </w:p>
        </w:tc>
        <w:tc>
          <w:tcPr>
            <w:tcW w:w="1200" w:type="dxa"/>
            <w:gridSpan w:val="2"/>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2DB2F89C"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SCO (100)</w:t>
            </w:r>
          </w:p>
        </w:tc>
        <w:tc>
          <w:tcPr>
            <w:tcW w:w="1200" w:type="dxa"/>
            <w:gridSpan w:val="2"/>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45F85296"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SCO (010)</w:t>
            </w:r>
          </w:p>
        </w:tc>
        <w:tc>
          <w:tcPr>
            <w:tcW w:w="1200" w:type="dxa"/>
            <w:gridSpan w:val="2"/>
            <w:tcBorders>
              <w:top w:val="single" w:sz="12" w:space="0" w:color="000000"/>
              <w:left w:val="nil"/>
              <w:bottom w:val="single" w:sz="12" w:space="0" w:color="000000"/>
              <w:right w:val="nil"/>
            </w:tcBorders>
            <w:shd w:val="clear" w:color="auto" w:fill="auto"/>
            <w:tcMar>
              <w:top w:w="15" w:type="dxa"/>
              <w:left w:w="108" w:type="dxa"/>
              <w:bottom w:w="0" w:type="dxa"/>
              <w:right w:w="108" w:type="dxa"/>
            </w:tcMar>
            <w:vAlign w:val="center"/>
            <w:hideMark/>
          </w:tcPr>
          <w:p w14:paraId="62851D21"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SCO (001)</w:t>
            </w:r>
          </w:p>
        </w:tc>
        <w:tc>
          <w:tcPr>
            <w:tcW w:w="1333" w:type="dxa"/>
            <w:vMerge/>
            <w:tcBorders>
              <w:top w:val="nil"/>
              <w:left w:val="nil"/>
              <w:bottom w:val="single" w:sz="12" w:space="0" w:color="000000"/>
              <w:right w:val="nil"/>
            </w:tcBorders>
            <w:vAlign w:val="center"/>
            <w:hideMark/>
          </w:tcPr>
          <w:p w14:paraId="27BB769F" w14:textId="77777777" w:rsidR="00164D4C" w:rsidRPr="00BD32F0" w:rsidRDefault="00164D4C" w:rsidP="00EC27DE">
            <w:pPr>
              <w:rPr>
                <w:sz w:val="36"/>
                <w:szCs w:val="36"/>
              </w:rPr>
            </w:pPr>
          </w:p>
        </w:tc>
        <w:tc>
          <w:tcPr>
            <w:tcW w:w="1257" w:type="dxa"/>
            <w:vMerge/>
            <w:tcBorders>
              <w:top w:val="nil"/>
              <w:left w:val="nil"/>
              <w:bottom w:val="single" w:sz="12" w:space="0" w:color="000000"/>
              <w:right w:val="nil"/>
            </w:tcBorders>
            <w:vAlign w:val="center"/>
            <w:hideMark/>
          </w:tcPr>
          <w:p w14:paraId="5DC2805C" w14:textId="77777777" w:rsidR="00164D4C" w:rsidRPr="00BD32F0" w:rsidRDefault="00164D4C" w:rsidP="00EC27DE">
            <w:pPr>
              <w:rPr>
                <w:sz w:val="36"/>
                <w:szCs w:val="36"/>
              </w:rPr>
            </w:pPr>
          </w:p>
        </w:tc>
      </w:tr>
      <w:tr w:rsidR="00164D4C" w:rsidRPr="00BD32F0" w14:paraId="2CB2BBBD" w14:textId="77777777" w:rsidTr="00164D4C">
        <w:trPr>
          <w:trHeight w:val="50"/>
        </w:trPr>
        <w:tc>
          <w:tcPr>
            <w:tcW w:w="1250"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148CF31"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LMO-001</w:t>
            </w:r>
          </w:p>
        </w:tc>
        <w:tc>
          <w:tcPr>
            <w:tcW w:w="567"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1414732"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3.11</w:t>
            </w:r>
          </w:p>
        </w:tc>
        <w:tc>
          <w:tcPr>
            <w:tcW w:w="778"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40550C13"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45.91</w:t>
            </w:r>
          </w:p>
        </w:tc>
        <w:tc>
          <w:tcPr>
            <w:tcW w:w="567"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19BD169D"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1.41</w:t>
            </w:r>
          </w:p>
        </w:tc>
        <w:tc>
          <w:tcPr>
            <w:tcW w:w="1126"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6193E95"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79.52</w:t>
            </w:r>
          </w:p>
        </w:tc>
        <w:tc>
          <w:tcPr>
            <w:tcW w:w="1079" w:type="dxa"/>
            <w:tcBorders>
              <w:top w:val="single" w:sz="12"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1182A0CA"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6.08E+12</w:t>
            </w:r>
          </w:p>
        </w:tc>
        <w:tc>
          <w:tcPr>
            <w:tcW w:w="692"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B5F23DF" w14:textId="77777777" w:rsidR="00164D4C" w:rsidRPr="00BD32F0" w:rsidRDefault="00164D4C" w:rsidP="00EC27DE">
            <w:pPr>
              <w:jc w:val="center"/>
              <w:textAlignment w:val="bottom"/>
              <w:rPr>
                <w:sz w:val="36"/>
                <w:szCs w:val="36"/>
              </w:rPr>
            </w:pPr>
            <w:r w:rsidRPr="00BD32F0">
              <w:rPr>
                <w:color w:val="000000"/>
                <w:kern w:val="24"/>
                <w:sz w:val="18"/>
                <w:szCs w:val="18"/>
              </w:rPr>
              <w:t>19</w:t>
            </w:r>
          </w:p>
        </w:tc>
        <w:tc>
          <w:tcPr>
            <w:tcW w:w="706"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BF00E95" w14:textId="77777777" w:rsidR="00164D4C" w:rsidRPr="00BD32F0" w:rsidRDefault="00164D4C" w:rsidP="00EC27DE">
            <w:pPr>
              <w:jc w:val="center"/>
              <w:textAlignment w:val="bottom"/>
              <w:rPr>
                <w:sz w:val="36"/>
                <w:szCs w:val="36"/>
              </w:rPr>
            </w:pPr>
            <w:r w:rsidRPr="00BD32F0">
              <w:rPr>
                <w:color w:val="000000"/>
                <w:kern w:val="24"/>
                <w:sz w:val="18"/>
                <w:szCs w:val="18"/>
              </w:rPr>
              <w:t>0.0055</w:t>
            </w:r>
          </w:p>
        </w:tc>
        <w:tc>
          <w:tcPr>
            <w:tcW w:w="600"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36C4B88" w14:textId="77777777" w:rsidR="00164D4C" w:rsidRPr="00BD32F0" w:rsidRDefault="00164D4C" w:rsidP="00EC27DE">
            <w:pPr>
              <w:jc w:val="center"/>
              <w:textAlignment w:val="bottom"/>
              <w:rPr>
                <w:sz w:val="36"/>
                <w:szCs w:val="36"/>
              </w:rPr>
            </w:pPr>
            <w:r w:rsidRPr="00BD32F0">
              <w:rPr>
                <w:color w:val="000000"/>
                <w:kern w:val="24"/>
                <w:sz w:val="18"/>
                <w:szCs w:val="18"/>
              </w:rPr>
              <w:t>--</w:t>
            </w:r>
          </w:p>
        </w:tc>
        <w:tc>
          <w:tcPr>
            <w:tcW w:w="600"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C9AA5B5" w14:textId="77777777" w:rsidR="00164D4C" w:rsidRPr="00BD32F0" w:rsidRDefault="00164D4C" w:rsidP="00EC27DE">
            <w:pPr>
              <w:jc w:val="center"/>
              <w:textAlignment w:val="bottom"/>
              <w:rPr>
                <w:sz w:val="36"/>
                <w:szCs w:val="36"/>
              </w:rPr>
            </w:pPr>
            <w:r w:rsidRPr="00BD32F0">
              <w:rPr>
                <w:color w:val="000000"/>
                <w:kern w:val="24"/>
                <w:sz w:val="18"/>
                <w:szCs w:val="18"/>
              </w:rPr>
              <w:t>--</w:t>
            </w:r>
          </w:p>
        </w:tc>
        <w:tc>
          <w:tcPr>
            <w:tcW w:w="600"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3D3C99F" w14:textId="77777777" w:rsidR="00164D4C" w:rsidRPr="00BD32F0" w:rsidRDefault="00164D4C" w:rsidP="00EC27DE">
            <w:pPr>
              <w:jc w:val="center"/>
              <w:textAlignment w:val="bottom"/>
              <w:rPr>
                <w:sz w:val="36"/>
                <w:szCs w:val="36"/>
              </w:rPr>
            </w:pPr>
            <w:r w:rsidRPr="00BD32F0">
              <w:rPr>
                <w:color w:val="000000"/>
                <w:kern w:val="24"/>
                <w:sz w:val="18"/>
                <w:szCs w:val="18"/>
              </w:rPr>
              <w:t>--</w:t>
            </w:r>
          </w:p>
        </w:tc>
        <w:tc>
          <w:tcPr>
            <w:tcW w:w="600"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EEAD3CC" w14:textId="77777777" w:rsidR="00164D4C" w:rsidRPr="00BD32F0" w:rsidRDefault="00164D4C" w:rsidP="00EC27DE">
            <w:pPr>
              <w:jc w:val="center"/>
              <w:textAlignment w:val="bottom"/>
              <w:rPr>
                <w:sz w:val="36"/>
                <w:szCs w:val="36"/>
              </w:rPr>
            </w:pPr>
            <w:r w:rsidRPr="00BD32F0">
              <w:rPr>
                <w:color w:val="000000"/>
                <w:kern w:val="24"/>
                <w:sz w:val="18"/>
                <w:szCs w:val="18"/>
              </w:rPr>
              <w:t>--</w:t>
            </w:r>
          </w:p>
        </w:tc>
        <w:tc>
          <w:tcPr>
            <w:tcW w:w="600"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1CBF67A" w14:textId="77777777" w:rsidR="00164D4C" w:rsidRPr="00BD32F0" w:rsidRDefault="00164D4C" w:rsidP="00EC27DE">
            <w:pPr>
              <w:jc w:val="center"/>
              <w:textAlignment w:val="bottom"/>
              <w:rPr>
                <w:sz w:val="36"/>
                <w:szCs w:val="36"/>
              </w:rPr>
            </w:pPr>
            <w:r w:rsidRPr="00BD32F0">
              <w:rPr>
                <w:color w:val="000000"/>
                <w:kern w:val="24"/>
                <w:sz w:val="18"/>
                <w:szCs w:val="18"/>
              </w:rPr>
              <w:t>--</w:t>
            </w:r>
          </w:p>
        </w:tc>
        <w:tc>
          <w:tcPr>
            <w:tcW w:w="600"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8BB7717" w14:textId="77777777" w:rsidR="00164D4C" w:rsidRPr="00BD32F0" w:rsidRDefault="00164D4C" w:rsidP="00EC27DE">
            <w:pPr>
              <w:jc w:val="center"/>
              <w:textAlignment w:val="bottom"/>
              <w:rPr>
                <w:sz w:val="36"/>
                <w:szCs w:val="36"/>
              </w:rPr>
            </w:pPr>
            <w:r w:rsidRPr="00BD32F0">
              <w:rPr>
                <w:color w:val="000000"/>
                <w:kern w:val="24"/>
                <w:sz w:val="18"/>
                <w:szCs w:val="18"/>
              </w:rPr>
              <w:t>--</w:t>
            </w:r>
          </w:p>
        </w:tc>
        <w:tc>
          <w:tcPr>
            <w:tcW w:w="1333"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AD4A637" w14:textId="77777777" w:rsidR="00164D4C" w:rsidRPr="00BD32F0" w:rsidRDefault="00164D4C" w:rsidP="00EC27DE">
            <w:pPr>
              <w:jc w:val="center"/>
              <w:textAlignment w:val="bottom"/>
              <w:rPr>
                <w:sz w:val="36"/>
                <w:szCs w:val="36"/>
              </w:rPr>
            </w:pPr>
            <w:r w:rsidRPr="00BD32F0">
              <w:rPr>
                <w:color w:val="000000"/>
                <w:kern w:val="24"/>
                <w:sz w:val="18"/>
                <w:szCs w:val="18"/>
              </w:rPr>
              <w:t>0.3386</w:t>
            </w:r>
          </w:p>
        </w:tc>
        <w:tc>
          <w:tcPr>
            <w:tcW w:w="1257" w:type="dxa"/>
            <w:tcBorders>
              <w:top w:val="single" w:sz="12"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AF9655E" w14:textId="77777777" w:rsidR="00164D4C" w:rsidRPr="00BD32F0" w:rsidRDefault="00164D4C" w:rsidP="00EC27DE">
            <w:pPr>
              <w:jc w:val="center"/>
              <w:textAlignment w:val="bottom"/>
              <w:rPr>
                <w:sz w:val="36"/>
                <w:szCs w:val="36"/>
              </w:rPr>
            </w:pPr>
            <w:r w:rsidRPr="00BD32F0">
              <w:rPr>
                <w:color w:val="000000"/>
                <w:kern w:val="24"/>
                <w:sz w:val="18"/>
                <w:szCs w:val="18"/>
              </w:rPr>
              <w:t>--</w:t>
            </w:r>
          </w:p>
        </w:tc>
      </w:tr>
      <w:tr w:rsidR="00164D4C" w:rsidRPr="00BD32F0" w14:paraId="217FD228" w14:textId="77777777" w:rsidTr="00164D4C">
        <w:trPr>
          <w:trHeight w:val="70"/>
        </w:trPr>
        <w:tc>
          <w:tcPr>
            <w:tcW w:w="1250"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5FD90D69"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LMO-002</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4E4677D"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0.9</w:t>
            </w:r>
          </w:p>
        </w:tc>
        <w:tc>
          <w:tcPr>
            <w:tcW w:w="778"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6962E0ED"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64.55</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115BDEFC"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0.53</w:t>
            </w:r>
          </w:p>
        </w:tc>
        <w:tc>
          <w:tcPr>
            <w:tcW w:w="1126"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C8618D5"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111.81</w:t>
            </w:r>
          </w:p>
        </w:tc>
        <w:tc>
          <w:tcPr>
            <w:tcW w:w="1079"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F734819"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8.62E+12</w:t>
            </w:r>
          </w:p>
        </w:tc>
        <w:tc>
          <w:tcPr>
            <w:tcW w:w="692"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4A19AB5" w14:textId="77777777" w:rsidR="00164D4C" w:rsidRPr="00BD32F0" w:rsidRDefault="00164D4C" w:rsidP="00EC27DE">
            <w:pPr>
              <w:jc w:val="center"/>
              <w:textAlignment w:val="bottom"/>
              <w:rPr>
                <w:sz w:val="36"/>
                <w:szCs w:val="36"/>
              </w:rPr>
            </w:pPr>
            <w:r w:rsidRPr="00BD32F0">
              <w:rPr>
                <w:color w:val="000000"/>
                <w:kern w:val="24"/>
                <w:sz w:val="18"/>
                <w:szCs w:val="18"/>
              </w:rPr>
              <w:t>2.1</w:t>
            </w:r>
          </w:p>
        </w:tc>
        <w:tc>
          <w:tcPr>
            <w:tcW w:w="706"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6B8F15D" w14:textId="77777777" w:rsidR="00164D4C" w:rsidRPr="00BD32F0" w:rsidRDefault="00164D4C" w:rsidP="00EC27DE">
            <w:pPr>
              <w:jc w:val="center"/>
              <w:textAlignment w:val="bottom"/>
              <w:rPr>
                <w:sz w:val="36"/>
                <w:szCs w:val="36"/>
              </w:rPr>
            </w:pPr>
            <w:r w:rsidRPr="00BD32F0">
              <w:rPr>
                <w:color w:val="000000"/>
                <w:kern w:val="24"/>
                <w:sz w:val="18"/>
                <w:szCs w:val="18"/>
              </w:rPr>
              <w:t>0.35</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0104DF0" w14:textId="77777777" w:rsidR="00164D4C" w:rsidRPr="00BD32F0" w:rsidRDefault="00164D4C" w:rsidP="00EC27DE">
            <w:pPr>
              <w:jc w:val="center"/>
              <w:textAlignment w:val="bottom"/>
              <w:rPr>
                <w:sz w:val="36"/>
                <w:szCs w:val="36"/>
              </w:rPr>
            </w:pPr>
            <w:r w:rsidRPr="00BD32F0">
              <w:rPr>
                <w:color w:val="000000"/>
                <w:kern w:val="24"/>
                <w:sz w:val="18"/>
                <w:szCs w:val="18"/>
              </w:rPr>
              <w:t>2.2</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C8A98CC" w14:textId="77777777" w:rsidR="00164D4C" w:rsidRPr="00BD32F0" w:rsidRDefault="00164D4C" w:rsidP="00EC27DE">
            <w:pPr>
              <w:jc w:val="center"/>
              <w:textAlignment w:val="bottom"/>
              <w:rPr>
                <w:sz w:val="36"/>
                <w:szCs w:val="36"/>
              </w:rPr>
            </w:pPr>
            <w:r w:rsidRPr="00BD32F0">
              <w:rPr>
                <w:color w:val="000000"/>
                <w:kern w:val="24"/>
                <w:sz w:val="18"/>
                <w:szCs w:val="18"/>
              </w:rPr>
              <w:t>0.38</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C14B52E" w14:textId="77777777" w:rsidR="00164D4C" w:rsidRPr="00BD32F0" w:rsidRDefault="00164D4C" w:rsidP="00EC27DE">
            <w:pPr>
              <w:jc w:val="center"/>
              <w:textAlignment w:val="bottom"/>
              <w:rPr>
                <w:sz w:val="36"/>
                <w:szCs w:val="36"/>
              </w:rPr>
            </w:pPr>
            <w:r w:rsidRPr="00BD32F0">
              <w:rPr>
                <w:color w:val="000000"/>
                <w:kern w:val="24"/>
                <w:sz w:val="18"/>
                <w:szCs w:val="18"/>
              </w:rPr>
              <w:t>2.9</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1779534" w14:textId="77777777" w:rsidR="00164D4C" w:rsidRPr="00BD32F0" w:rsidRDefault="00164D4C" w:rsidP="00EC27DE">
            <w:pPr>
              <w:jc w:val="center"/>
              <w:textAlignment w:val="bottom"/>
              <w:rPr>
                <w:sz w:val="36"/>
                <w:szCs w:val="36"/>
              </w:rPr>
            </w:pPr>
            <w:r w:rsidRPr="00BD32F0">
              <w:rPr>
                <w:color w:val="000000"/>
                <w:kern w:val="24"/>
                <w:sz w:val="18"/>
                <w:szCs w:val="18"/>
              </w:rPr>
              <w:t>0.4</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3A3D084" w14:textId="77777777" w:rsidR="00164D4C" w:rsidRPr="00BD32F0" w:rsidRDefault="00164D4C" w:rsidP="00EC27DE">
            <w:pPr>
              <w:jc w:val="center"/>
              <w:textAlignment w:val="bottom"/>
              <w:rPr>
                <w:sz w:val="36"/>
                <w:szCs w:val="36"/>
              </w:rPr>
            </w:pPr>
            <w:r w:rsidRPr="00BD32F0">
              <w:rPr>
                <w:color w:val="000000"/>
                <w:kern w:val="24"/>
                <w:sz w:val="18"/>
                <w:szCs w:val="18"/>
              </w:rPr>
              <w:t>1.6</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E8355FB" w14:textId="77777777" w:rsidR="00164D4C" w:rsidRPr="00BD32F0" w:rsidRDefault="00164D4C" w:rsidP="00EC27DE">
            <w:pPr>
              <w:jc w:val="center"/>
              <w:textAlignment w:val="bottom"/>
              <w:rPr>
                <w:sz w:val="36"/>
                <w:szCs w:val="36"/>
              </w:rPr>
            </w:pPr>
            <w:r w:rsidRPr="00BD32F0">
              <w:rPr>
                <w:color w:val="000000"/>
                <w:kern w:val="24"/>
                <w:sz w:val="18"/>
                <w:szCs w:val="18"/>
              </w:rPr>
              <w:t>0.4</w:t>
            </w:r>
          </w:p>
        </w:tc>
        <w:tc>
          <w:tcPr>
            <w:tcW w:w="133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F866C1B" w14:textId="77777777" w:rsidR="00164D4C" w:rsidRPr="00BD32F0" w:rsidRDefault="00164D4C" w:rsidP="00EC27DE">
            <w:pPr>
              <w:jc w:val="center"/>
              <w:textAlignment w:val="bottom"/>
              <w:rPr>
                <w:sz w:val="36"/>
                <w:szCs w:val="36"/>
              </w:rPr>
            </w:pPr>
            <w:r w:rsidRPr="00BD32F0">
              <w:rPr>
                <w:color w:val="000000"/>
                <w:kern w:val="24"/>
                <w:sz w:val="18"/>
                <w:szCs w:val="18"/>
              </w:rPr>
              <w:t>0.0128</w:t>
            </w:r>
          </w:p>
        </w:tc>
        <w:tc>
          <w:tcPr>
            <w:tcW w:w="125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2EE0D45" w14:textId="77777777" w:rsidR="00164D4C" w:rsidRPr="00BD32F0" w:rsidRDefault="00164D4C" w:rsidP="00EC27DE">
            <w:pPr>
              <w:jc w:val="center"/>
              <w:textAlignment w:val="bottom"/>
              <w:rPr>
                <w:sz w:val="36"/>
                <w:szCs w:val="36"/>
              </w:rPr>
            </w:pPr>
            <w:r w:rsidRPr="00BD32F0">
              <w:rPr>
                <w:color w:val="000000"/>
                <w:kern w:val="24"/>
                <w:sz w:val="18"/>
                <w:szCs w:val="18"/>
              </w:rPr>
              <w:t>0.0208</w:t>
            </w:r>
          </w:p>
        </w:tc>
      </w:tr>
      <w:tr w:rsidR="00164D4C" w:rsidRPr="00BD32F0" w14:paraId="44CD9396" w14:textId="77777777" w:rsidTr="00164D4C">
        <w:trPr>
          <w:trHeight w:val="70"/>
        </w:trPr>
        <w:tc>
          <w:tcPr>
            <w:tcW w:w="1250"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3FAE03F3"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LMO-003</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11DA5CB1"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2.38</w:t>
            </w:r>
          </w:p>
        </w:tc>
        <w:tc>
          <w:tcPr>
            <w:tcW w:w="778"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122BCDC"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55.87</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CB3ED22"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1.39</w:t>
            </w:r>
          </w:p>
        </w:tc>
        <w:tc>
          <w:tcPr>
            <w:tcW w:w="1126"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D9D0773"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96.77</w:t>
            </w:r>
          </w:p>
        </w:tc>
        <w:tc>
          <w:tcPr>
            <w:tcW w:w="1079"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5C337A70"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7.38E+12</w:t>
            </w:r>
          </w:p>
        </w:tc>
        <w:tc>
          <w:tcPr>
            <w:tcW w:w="692"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DED10F6" w14:textId="77777777" w:rsidR="00164D4C" w:rsidRPr="00BD32F0" w:rsidRDefault="00164D4C" w:rsidP="00EC27DE">
            <w:pPr>
              <w:jc w:val="center"/>
              <w:textAlignment w:val="bottom"/>
              <w:rPr>
                <w:sz w:val="36"/>
                <w:szCs w:val="36"/>
              </w:rPr>
            </w:pPr>
            <w:r w:rsidRPr="00BD32F0">
              <w:rPr>
                <w:color w:val="000000"/>
                <w:kern w:val="24"/>
                <w:sz w:val="18"/>
                <w:szCs w:val="18"/>
              </w:rPr>
              <w:t>2.6</w:t>
            </w:r>
          </w:p>
        </w:tc>
        <w:tc>
          <w:tcPr>
            <w:tcW w:w="706"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AB08FAC" w14:textId="77777777" w:rsidR="00164D4C" w:rsidRPr="00BD32F0" w:rsidRDefault="00164D4C" w:rsidP="00EC27DE">
            <w:pPr>
              <w:jc w:val="center"/>
              <w:textAlignment w:val="bottom"/>
              <w:rPr>
                <w:sz w:val="36"/>
                <w:szCs w:val="36"/>
              </w:rPr>
            </w:pPr>
            <w:r w:rsidRPr="00BD32F0">
              <w:rPr>
                <w:color w:val="000000"/>
                <w:kern w:val="24"/>
                <w:sz w:val="18"/>
                <w:szCs w:val="18"/>
              </w:rPr>
              <w:t>0.25</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2849F4F" w14:textId="77777777" w:rsidR="00164D4C" w:rsidRPr="00BD32F0" w:rsidRDefault="00164D4C" w:rsidP="00EC27DE">
            <w:pPr>
              <w:jc w:val="center"/>
              <w:textAlignment w:val="bottom"/>
              <w:rPr>
                <w:sz w:val="36"/>
                <w:szCs w:val="36"/>
              </w:rPr>
            </w:pPr>
            <w:r w:rsidRPr="00BD32F0">
              <w:rPr>
                <w:color w:val="000000"/>
                <w:kern w:val="24"/>
                <w:sz w:val="18"/>
                <w:szCs w:val="18"/>
              </w:rPr>
              <w:t>3.2</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4E09421" w14:textId="77777777" w:rsidR="00164D4C" w:rsidRPr="00BD32F0" w:rsidRDefault="00164D4C" w:rsidP="00EC27DE">
            <w:pPr>
              <w:jc w:val="center"/>
              <w:textAlignment w:val="bottom"/>
              <w:rPr>
                <w:sz w:val="36"/>
                <w:szCs w:val="36"/>
              </w:rPr>
            </w:pPr>
            <w:r w:rsidRPr="00BD32F0">
              <w:rPr>
                <w:color w:val="000000"/>
                <w:kern w:val="24"/>
                <w:sz w:val="18"/>
                <w:szCs w:val="18"/>
              </w:rPr>
              <w:t>0.2</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69FAEB3" w14:textId="77777777" w:rsidR="00164D4C" w:rsidRPr="00BD32F0" w:rsidRDefault="00164D4C" w:rsidP="00EC27DE">
            <w:pPr>
              <w:jc w:val="center"/>
              <w:textAlignment w:val="bottom"/>
              <w:rPr>
                <w:sz w:val="36"/>
                <w:szCs w:val="36"/>
              </w:rPr>
            </w:pPr>
            <w:r w:rsidRPr="00BD32F0">
              <w:rPr>
                <w:color w:val="000000"/>
                <w:kern w:val="24"/>
                <w:sz w:val="18"/>
                <w:szCs w:val="18"/>
              </w:rPr>
              <w:t>4.3</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6FDD469" w14:textId="77777777" w:rsidR="00164D4C" w:rsidRPr="00BD32F0" w:rsidRDefault="00164D4C" w:rsidP="00EC27DE">
            <w:pPr>
              <w:jc w:val="center"/>
              <w:textAlignment w:val="bottom"/>
              <w:rPr>
                <w:sz w:val="36"/>
                <w:szCs w:val="36"/>
              </w:rPr>
            </w:pPr>
            <w:r w:rsidRPr="00BD32F0">
              <w:rPr>
                <w:color w:val="000000"/>
                <w:kern w:val="24"/>
                <w:sz w:val="18"/>
                <w:szCs w:val="18"/>
              </w:rPr>
              <w:t>0.17</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2CA6948" w14:textId="77777777" w:rsidR="00164D4C" w:rsidRPr="00BD32F0" w:rsidRDefault="00164D4C" w:rsidP="00EC27DE">
            <w:pPr>
              <w:jc w:val="center"/>
              <w:textAlignment w:val="bottom"/>
              <w:rPr>
                <w:sz w:val="36"/>
                <w:szCs w:val="36"/>
              </w:rPr>
            </w:pPr>
            <w:r w:rsidRPr="00BD32F0">
              <w:rPr>
                <w:color w:val="000000"/>
                <w:kern w:val="24"/>
                <w:sz w:val="18"/>
                <w:szCs w:val="18"/>
              </w:rPr>
              <w:t>1.9</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A35BE48" w14:textId="77777777" w:rsidR="00164D4C" w:rsidRPr="00BD32F0" w:rsidRDefault="00164D4C" w:rsidP="00EC27DE">
            <w:pPr>
              <w:jc w:val="center"/>
              <w:textAlignment w:val="bottom"/>
              <w:rPr>
                <w:sz w:val="36"/>
                <w:szCs w:val="36"/>
              </w:rPr>
            </w:pPr>
            <w:r w:rsidRPr="00BD32F0">
              <w:rPr>
                <w:color w:val="000000"/>
                <w:kern w:val="24"/>
                <w:sz w:val="18"/>
                <w:szCs w:val="18"/>
              </w:rPr>
              <w:t>0.33</w:t>
            </w:r>
          </w:p>
        </w:tc>
        <w:tc>
          <w:tcPr>
            <w:tcW w:w="133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AD1A2CE" w14:textId="77777777" w:rsidR="00164D4C" w:rsidRPr="00BD32F0" w:rsidRDefault="00164D4C" w:rsidP="00EC27DE">
            <w:pPr>
              <w:jc w:val="center"/>
              <w:textAlignment w:val="bottom"/>
              <w:rPr>
                <w:sz w:val="36"/>
                <w:szCs w:val="36"/>
              </w:rPr>
            </w:pPr>
            <w:r w:rsidRPr="00BD32F0">
              <w:rPr>
                <w:color w:val="000000"/>
                <w:kern w:val="24"/>
                <w:sz w:val="18"/>
                <w:szCs w:val="18"/>
              </w:rPr>
              <w:t>0.031</w:t>
            </w:r>
          </w:p>
        </w:tc>
        <w:tc>
          <w:tcPr>
            <w:tcW w:w="125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75F79BA" w14:textId="77777777" w:rsidR="00164D4C" w:rsidRPr="00BD32F0" w:rsidRDefault="00164D4C" w:rsidP="00EC27DE">
            <w:pPr>
              <w:jc w:val="center"/>
              <w:textAlignment w:val="bottom"/>
              <w:rPr>
                <w:sz w:val="36"/>
                <w:szCs w:val="36"/>
              </w:rPr>
            </w:pPr>
            <w:r w:rsidRPr="00BD32F0">
              <w:rPr>
                <w:color w:val="000000"/>
                <w:kern w:val="24"/>
                <w:sz w:val="18"/>
                <w:szCs w:val="18"/>
              </w:rPr>
              <w:t>0.0551</w:t>
            </w:r>
          </w:p>
        </w:tc>
      </w:tr>
      <w:tr w:rsidR="00164D4C" w:rsidRPr="00BD32F0" w14:paraId="028740A2" w14:textId="77777777" w:rsidTr="00164D4C">
        <w:trPr>
          <w:trHeight w:val="70"/>
        </w:trPr>
        <w:tc>
          <w:tcPr>
            <w:tcW w:w="1250"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1DA3B21E"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LMO-004</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BF4ED76"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2.24</w:t>
            </w:r>
          </w:p>
        </w:tc>
        <w:tc>
          <w:tcPr>
            <w:tcW w:w="778"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6E46830F"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59.32</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21EC352"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1.29</w:t>
            </w:r>
          </w:p>
        </w:tc>
        <w:tc>
          <w:tcPr>
            <w:tcW w:w="1126"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1137F7C9"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102.75</w:t>
            </w:r>
          </w:p>
        </w:tc>
        <w:tc>
          <w:tcPr>
            <w:tcW w:w="1079"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B298913"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7.85E+12</w:t>
            </w:r>
          </w:p>
        </w:tc>
        <w:tc>
          <w:tcPr>
            <w:tcW w:w="692"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37C7A70" w14:textId="77777777" w:rsidR="00164D4C" w:rsidRPr="00BD32F0" w:rsidRDefault="00164D4C" w:rsidP="00EC27DE">
            <w:pPr>
              <w:jc w:val="center"/>
              <w:textAlignment w:val="bottom"/>
              <w:rPr>
                <w:sz w:val="36"/>
                <w:szCs w:val="36"/>
              </w:rPr>
            </w:pPr>
            <w:r w:rsidRPr="00BD32F0">
              <w:rPr>
                <w:color w:val="000000"/>
                <w:kern w:val="24"/>
                <w:sz w:val="18"/>
                <w:szCs w:val="18"/>
              </w:rPr>
              <w:t>4.1</w:t>
            </w:r>
          </w:p>
        </w:tc>
        <w:tc>
          <w:tcPr>
            <w:tcW w:w="706"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972010B" w14:textId="77777777" w:rsidR="00164D4C" w:rsidRPr="00BD32F0" w:rsidRDefault="00164D4C" w:rsidP="00EC27DE">
            <w:pPr>
              <w:jc w:val="center"/>
              <w:textAlignment w:val="bottom"/>
              <w:rPr>
                <w:sz w:val="36"/>
                <w:szCs w:val="36"/>
              </w:rPr>
            </w:pPr>
            <w:r w:rsidRPr="00BD32F0">
              <w:rPr>
                <w:color w:val="000000"/>
                <w:kern w:val="24"/>
                <w:sz w:val="18"/>
                <w:szCs w:val="18"/>
              </w:rPr>
              <w:t>0.28</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59EBB44" w14:textId="77777777" w:rsidR="00164D4C" w:rsidRPr="00BD32F0" w:rsidRDefault="00164D4C" w:rsidP="00EC27DE">
            <w:pPr>
              <w:jc w:val="center"/>
              <w:textAlignment w:val="bottom"/>
              <w:rPr>
                <w:sz w:val="36"/>
                <w:szCs w:val="36"/>
              </w:rPr>
            </w:pPr>
            <w:r w:rsidRPr="00BD32F0">
              <w:rPr>
                <w:color w:val="000000"/>
                <w:kern w:val="24"/>
                <w:sz w:val="18"/>
                <w:szCs w:val="18"/>
              </w:rPr>
              <w:t>1.8</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583095A" w14:textId="77777777" w:rsidR="00164D4C" w:rsidRPr="00BD32F0" w:rsidRDefault="00164D4C" w:rsidP="00EC27DE">
            <w:pPr>
              <w:jc w:val="center"/>
              <w:textAlignment w:val="bottom"/>
              <w:rPr>
                <w:sz w:val="36"/>
                <w:szCs w:val="36"/>
              </w:rPr>
            </w:pPr>
            <w:r w:rsidRPr="00BD32F0">
              <w:rPr>
                <w:color w:val="000000"/>
                <w:kern w:val="24"/>
                <w:sz w:val="18"/>
                <w:szCs w:val="18"/>
              </w:rPr>
              <w:t>0.61</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F0AA007" w14:textId="77777777" w:rsidR="00164D4C" w:rsidRPr="00BD32F0" w:rsidRDefault="00164D4C" w:rsidP="00EC27DE">
            <w:pPr>
              <w:jc w:val="center"/>
              <w:textAlignment w:val="bottom"/>
              <w:rPr>
                <w:sz w:val="36"/>
                <w:szCs w:val="36"/>
              </w:rPr>
            </w:pPr>
            <w:r w:rsidRPr="00BD32F0">
              <w:rPr>
                <w:color w:val="000000"/>
                <w:kern w:val="24"/>
                <w:sz w:val="18"/>
                <w:szCs w:val="18"/>
              </w:rPr>
              <w:t>2</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5AA20B0" w14:textId="77777777" w:rsidR="00164D4C" w:rsidRPr="00BD32F0" w:rsidRDefault="00164D4C" w:rsidP="00EC27DE">
            <w:pPr>
              <w:jc w:val="center"/>
              <w:textAlignment w:val="bottom"/>
              <w:rPr>
                <w:sz w:val="36"/>
                <w:szCs w:val="36"/>
              </w:rPr>
            </w:pPr>
            <w:r w:rsidRPr="00BD32F0">
              <w:rPr>
                <w:color w:val="000000"/>
                <w:kern w:val="24"/>
                <w:sz w:val="18"/>
                <w:szCs w:val="18"/>
              </w:rPr>
              <w:t>0.54</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AB4A207" w14:textId="77777777" w:rsidR="00164D4C" w:rsidRPr="00BD32F0" w:rsidRDefault="00164D4C" w:rsidP="00EC27DE">
            <w:pPr>
              <w:jc w:val="center"/>
              <w:textAlignment w:val="bottom"/>
              <w:rPr>
                <w:sz w:val="36"/>
                <w:szCs w:val="36"/>
              </w:rPr>
            </w:pPr>
            <w:r w:rsidRPr="00BD32F0">
              <w:rPr>
                <w:color w:val="000000"/>
                <w:kern w:val="24"/>
                <w:sz w:val="18"/>
                <w:szCs w:val="18"/>
              </w:rPr>
              <w:t>1.5</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EB8D92F" w14:textId="77777777" w:rsidR="00164D4C" w:rsidRPr="00BD32F0" w:rsidRDefault="00164D4C" w:rsidP="00EC27DE">
            <w:pPr>
              <w:jc w:val="center"/>
              <w:textAlignment w:val="bottom"/>
              <w:rPr>
                <w:sz w:val="36"/>
                <w:szCs w:val="36"/>
              </w:rPr>
            </w:pPr>
            <w:r w:rsidRPr="00BD32F0">
              <w:rPr>
                <w:color w:val="000000"/>
                <w:kern w:val="24"/>
                <w:sz w:val="18"/>
                <w:szCs w:val="18"/>
              </w:rPr>
              <w:t>0.52</w:t>
            </w:r>
          </w:p>
        </w:tc>
        <w:tc>
          <w:tcPr>
            <w:tcW w:w="133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470B678" w14:textId="77777777" w:rsidR="00164D4C" w:rsidRPr="00BD32F0" w:rsidRDefault="00164D4C" w:rsidP="00EC27DE">
            <w:pPr>
              <w:jc w:val="center"/>
              <w:textAlignment w:val="bottom"/>
              <w:rPr>
                <w:sz w:val="36"/>
                <w:szCs w:val="36"/>
              </w:rPr>
            </w:pPr>
            <w:r w:rsidRPr="00BD32F0">
              <w:rPr>
                <w:color w:val="000000"/>
                <w:kern w:val="24"/>
                <w:sz w:val="18"/>
                <w:szCs w:val="18"/>
              </w:rPr>
              <w:t>0.0623</w:t>
            </w:r>
          </w:p>
        </w:tc>
        <w:tc>
          <w:tcPr>
            <w:tcW w:w="125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314DDA0" w14:textId="77777777" w:rsidR="00164D4C" w:rsidRPr="00BD32F0" w:rsidRDefault="00164D4C" w:rsidP="00EC27DE">
            <w:pPr>
              <w:jc w:val="center"/>
              <w:textAlignment w:val="bottom"/>
              <w:rPr>
                <w:sz w:val="36"/>
                <w:szCs w:val="36"/>
              </w:rPr>
            </w:pPr>
            <w:r w:rsidRPr="00BD32F0">
              <w:rPr>
                <w:color w:val="000000"/>
                <w:kern w:val="24"/>
                <w:sz w:val="18"/>
                <w:szCs w:val="18"/>
              </w:rPr>
              <w:t>0.01</w:t>
            </w:r>
          </w:p>
        </w:tc>
      </w:tr>
      <w:tr w:rsidR="00164D4C" w:rsidRPr="00BD32F0" w14:paraId="5FD13E85" w14:textId="77777777" w:rsidTr="00164D4C">
        <w:trPr>
          <w:trHeight w:val="70"/>
        </w:trPr>
        <w:tc>
          <w:tcPr>
            <w:tcW w:w="1250"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19C743EC"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LMO-005</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0C8569A4"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2.24</w:t>
            </w:r>
          </w:p>
        </w:tc>
        <w:tc>
          <w:tcPr>
            <w:tcW w:w="778"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753265D5"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94.11</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979917E"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1.15</w:t>
            </w:r>
          </w:p>
        </w:tc>
        <w:tc>
          <w:tcPr>
            <w:tcW w:w="1126"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37CF6504"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163</w:t>
            </w:r>
          </w:p>
        </w:tc>
        <w:tc>
          <w:tcPr>
            <w:tcW w:w="1079"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A6326EB"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1.25E+13</w:t>
            </w:r>
          </w:p>
        </w:tc>
        <w:tc>
          <w:tcPr>
            <w:tcW w:w="692"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8D8BE64" w14:textId="77777777" w:rsidR="00164D4C" w:rsidRPr="00BD32F0" w:rsidRDefault="00164D4C" w:rsidP="00EC27DE">
            <w:pPr>
              <w:jc w:val="center"/>
              <w:textAlignment w:val="bottom"/>
              <w:rPr>
                <w:sz w:val="36"/>
                <w:szCs w:val="36"/>
              </w:rPr>
            </w:pPr>
            <w:r w:rsidRPr="00BD32F0">
              <w:rPr>
                <w:color w:val="000000"/>
                <w:kern w:val="24"/>
                <w:sz w:val="18"/>
                <w:szCs w:val="18"/>
              </w:rPr>
              <w:t>5</w:t>
            </w:r>
          </w:p>
        </w:tc>
        <w:tc>
          <w:tcPr>
            <w:tcW w:w="706"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E0CE4EE" w14:textId="77777777" w:rsidR="00164D4C" w:rsidRPr="00BD32F0" w:rsidRDefault="00164D4C" w:rsidP="00EC27DE">
            <w:pPr>
              <w:jc w:val="center"/>
              <w:textAlignment w:val="bottom"/>
              <w:rPr>
                <w:sz w:val="36"/>
                <w:szCs w:val="36"/>
              </w:rPr>
            </w:pPr>
            <w:r w:rsidRPr="00BD32F0">
              <w:rPr>
                <w:color w:val="000000"/>
                <w:kern w:val="24"/>
                <w:sz w:val="18"/>
                <w:szCs w:val="18"/>
              </w:rPr>
              <w:t>0.21</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FB78029" w14:textId="77777777" w:rsidR="00164D4C" w:rsidRPr="00BD32F0" w:rsidRDefault="00164D4C" w:rsidP="00EC27DE">
            <w:pPr>
              <w:jc w:val="center"/>
              <w:textAlignment w:val="bottom"/>
              <w:rPr>
                <w:sz w:val="36"/>
                <w:szCs w:val="36"/>
              </w:rPr>
            </w:pPr>
            <w:r w:rsidRPr="00BD32F0">
              <w:rPr>
                <w:color w:val="000000"/>
                <w:kern w:val="24"/>
                <w:sz w:val="18"/>
                <w:szCs w:val="18"/>
              </w:rPr>
              <w:t>2</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DBC8EEB" w14:textId="77777777" w:rsidR="00164D4C" w:rsidRPr="00BD32F0" w:rsidRDefault="00164D4C" w:rsidP="00EC27DE">
            <w:pPr>
              <w:jc w:val="center"/>
              <w:textAlignment w:val="bottom"/>
              <w:rPr>
                <w:sz w:val="36"/>
                <w:szCs w:val="36"/>
              </w:rPr>
            </w:pPr>
            <w:r w:rsidRPr="00BD32F0">
              <w:rPr>
                <w:color w:val="000000"/>
                <w:kern w:val="24"/>
                <w:sz w:val="18"/>
                <w:szCs w:val="18"/>
              </w:rPr>
              <w:t>0.5</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5C3A81D" w14:textId="77777777" w:rsidR="00164D4C" w:rsidRPr="00BD32F0" w:rsidRDefault="00164D4C" w:rsidP="00EC27DE">
            <w:pPr>
              <w:jc w:val="center"/>
              <w:textAlignment w:val="bottom"/>
              <w:rPr>
                <w:sz w:val="36"/>
                <w:szCs w:val="36"/>
              </w:rPr>
            </w:pPr>
            <w:r w:rsidRPr="00BD32F0">
              <w:rPr>
                <w:color w:val="000000"/>
                <w:kern w:val="24"/>
                <w:sz w:val="18"/>
                <w:szCs w:val="18"/>
              </w:rPr>
              <w:t>2</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E1512BD" w14:textId="77777777" w:rsidR="00164D4C" w:rsidRPr="00BD32F0" w:rsidRDefault="00164D4C" w:rsidP="00EC27DE">
            <w:pPr>
              <w:jc w:val="center"/>
              <w:textAlignment w:val="bottom"/>
              <w:rPr>
                <w:sz w:val="36"/>
                <w:szCs w:val="36"/>
              </w:rPr>
            </w:pPr>
            <w:r w:rsidRPr="00BD32F0">
              <w:rPr>
                <w:color w:val="000000"/>
                <w:kern w:val="24"/>
                <w:sz w:val="18"/>
                <w:szCs w:val="18"/>
              </w:rPr>
              <w:t>0.48</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97CAAF6" w14:textId="77777777" w:rsidR="00164D4C" w:rsidRPr="00BD32F0" w:rsidRDefault="00164D4C" w:rsidP="00EC27DE">
            <w:pPr>
              <w:jc w:val="center"/>
              <w:textAlignment w:val="bottom"/>
              <w:rPr>
                <w:sz w:val="36"/>
                <w:szCs w:val="36"/>
              </w:rPr>
            </w:pPr>
            <w:r w:rsidRPr="00BD32F0">
              <w:rPr>
                <w:color w:val="000000"/>
                <w:kern w:val="24"/>
                <w:sz w:val="18"/>
                <w:szCs w:val="18"/>
              </w:rPr>
              <w:t>1.5</w:t>
            </w:r>
          </w:p>
        </w:tc>
        <w:tc>
          <w:tcPr>
            <w:tcW w:w="60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EB77216" w14:textId="77777777" w:rsidR="00164D4C" w:rsidRPr="00BD32F0" w:rsidRDefault="00164D4C" w:rsidP="00EC27DE">
            <w:pPr>
              <w:jc w:val="center"/>
              <w:textAlignment w:val="bottom"/>
              <w:rPr>
                <w:sz w:val="36"/>
                <w:szCs w:val="36"/>
              </w:rPr>
            </w:pPr>
            <w:r w:rsidRPr="00BD32F0">
              <w:rPr>
                <w:color w:val="000000"/>
                <w:kern w:val="24"/>
                <w:sz w:val="18"/>
                <w:szCs w:val="18"/>
              </w:rPr>
              <w:t>0.57</w:t>
            </w:r>
          </w:p>
        </w:tc>
        <w:tc>
          <w:tcPr>
            <w:tcW w:w="1333"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EA0A436" w14:textId="77777777" w:rsidR="00164D4C" w:rsidRPr="00BD32F0" w:rsidRDefault="00164D4C" w:rsidP="00EC27DE">
            <w:pPr>
              <w:jc w:val="center"/>
              <w:textAlignment w:val="bottom"/>
              <w:rPr>
                <w:sz w:val="36"/>
                <w:szCs w:val="36"/>
              </w:rPr>
            </w:pPr>
            <w:r w:rsidRPr="00BD32F0">
              <w:rPr>
                <w:color w:val="000000"/>
                <w:kern w:val="24"/>
                <w:sz w:val="18"/>
                <w:szCs w:val="18"/>
              </w:rPr>
              <w:t>0.0865</w:t>
            </w:r>
          </w:p>
        </w:tc>
        <w:tc>
          <w:tcPr>
            <w:tcW w:w="1257"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3C88CE0" w14:textId="77777777" w:rsidR="00164D4C" w:rsidRPr="00BD32F0" w:rsidRDefault="00164D4C" w:rsidP="00EC27DE">
            <w:pPr>
              <w:jc w:val="center"/>
              <w:textAlignment w:val="bottom"/>
              <w:rPr>
                <w:sz w:val="36"/>
                <w:szCs w:val="36"/>
              </w:rPr>
            </w:pPr>
            <w:r w:rsidRPr="00BD32F0">
              <w:rPr>
                <w:color w:val="000000"/>
                <w:kern w:val="24"/>
                <w:sz w:val="18"/>
                <w:szCs w:val="18"/>
              </w:rPr>
              <w:t>0.0162</w:t>
            </w:r>
          </w:p>
        </w:tc>
      </w:tr>
      <w:tr w:rsidR="00164D4C" w:rsidRPr="00BD32F0" w14:paraId="1DBBAA2F" w14:textId="77777777" w:rsidTr="00164D4C">
        <w:trPr>
          <w:trHeight w:val="13"/>
        </w:trPr>
        <w:tc>
          <w:tcPr>
            <w:tcW w:w="1250"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795869A7"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LMO-010</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4FDA16BD"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1.05</w:t>
            </w:r>
          </w:p>
        </w:tc>
        <w:tc>
          <w:tcPr>
            <w:tcW w:w="778"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7CA7403A"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13.45</w:t>
            </w:r>
          </w:p>
        </w:tc>
        <w:tc>
          <w:tcPr>
            <w:tcW w:w="567"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3757DCAB"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0.47</w:t>
            </w:r>
          </w:p>
        </w:tc>
        <w:tc>
          <w:tcPr>
            <w:tcW w:w="1126"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40B95FAB"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23.3</w:t>
            </w:r>
          </w:p>
        </w:tc>
        <w:tc>
          <w:tcPr>
            <w:tcW w:w="1079" w:type="dxa"/>
            <w:tcBorders>
              <w:top w:val="single" w:sz="4" w:space="0" w:color="000000"/>
              <w:left w:val="nil"/>
              <w:bottom w:val="single" w:sz="4" w:space="0" w:color="000000"/>
              <w:right w:val="nil"/>
            </w:tcBorders>
            <w:shd w:val="clear" w:color="auto" w:fill="auto"/>
            <w:tcMar>
              <w:top w:w="15" w:type="dxa"/>
              <w:left w:w="108" w:type="dxa"/>
              <w:bottom w:w="0" w:type="dxa"/>
              <w:right w:w="108" w:type="dxa"/>
            </w:tcMar>
            <w:vAlign w:val="center"/>
            <w:hideMark/>
          </w:tcPr>
          <w:p w14:paraId="2297EAE8"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1.77E+12</w:t>
            </w:r>
          </w:p>
        </w:tc>
        <w:tc>
          <w:tcPr>
            <w:tcW w:w="692"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391B7A35"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706"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6E2C185F"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2CAFDB8A"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71860DAE"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3EC7B02A"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0DBE2117"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52081D10"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1C4FC103"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1333"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3AAC4D88"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1257" w:type="dxa"/>
            <w:tcBorders>
              <w:top w:val="single" w:sz="4" w:space="0" w:color="000000"/>
              <w:left w:val="nil"/>
              <w:bottom w:val="single" w:sz="4" w:space="0" w:color="000000"/>
              <w:right w:val="nil"/>
            </w:tcBorders>
            <w:shd w:val="clear" w:color="auto" w:fill="auto"/>
            <w:tcMar>
              <w:top w:w="72" w:type="dxa"/>
              <w:left w:w="144" w:type="dxa"/>
              <w:bottom w:w="72" w:type="dxa"/>
              <w:right w:w="144" w:type="dxa"/>
            </w:tcMar>
            <w:hideMark/>
          </w:tcPr>
          <w:p w14:paraId="7F273225"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r>
      <w:tr w:rsidR="00164D4C" w:rsidRPr="00BD32F0" w14:paraId="5B2532CF" w14:textId="77777777" w:rsidTr="00164D4C">
        <w:trPr>
          <w:trHeight w:val="13"/>
        </w:trPr>
        <w:tc>
          <w:tcPr>
            <w:tcW w:w="1250"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437C808D" w14:textId="77777777" w:rsidR="00164D4C" w:rsidRPr="00BD32F0" w:rsidRDefault="00164D4C" w:rsidP="00EC27DE">
            <w:pPr>
              <w:spacing w:line="360" w:lineRule="auto"/>
              <w:jc w:val="center"/>
              <w:textAlignment w:val="center"/>
              <w:rPr>
                <w:sz w:val="36"/>
                <w:szCs w:val="36"/>
              </w:rPr>
            </w:pPr>
            <w:r w:rsidRPr="00BD32F0">
              <w:rPr>
                <w:rFonts w:eastAsia="Calibri"/>
                <w:b/>
                <w:bCs/>
                <w:color w:val="000000"/>
                <w:kern w:val="24"/>
                <w:sz w:val="18"/>
                <w:szCs w:val="18"/>
              </w:rPr>
              <w:t>LMO-011</w:t>
            </w:r>
          </w:p>
        </w:tc>
        <w:tc>
          <w:tcPr>
            <w:tcW w:w="567"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1A5C72E6"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1.2</w:t>
            </w:r>
          </w:p>
        </w:tc>
        <w:tc>
          <w:tcPr>
            <w:tcW w:w="778"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67B09494"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1.98</w:t>
            </w:r>
          </w:p>
        </w:tc>
        <w:tc>
          <w:tcPr>
            <w:tcW w:w="567"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7C40E65A"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0.41</w:t>
            </w:r>
          </w:p>
        </w:tc>
        <w:tc>
          <w:tcPr>
            <w:tcW w:w="1126"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60D1FCCF"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3.34</w:t>
            </w:r>
          </w:p>
        </w:tc>
        <w:tc>
          <w:tcPr>
            <w:tcW w:w="1079" w:type="dxa"/>
            <w:tcBorders>
              <w:top w:val="single" w:sz="4" w:space="0" w:color="000000"/>
              <w:left w:val="nil"/>
              <w:bottom w:val="nil"/>
              <w:right w:val="nil"/>
            </w:tcBorders>
            <w:shd w:val="clear" w:color="auto" w:fill="auto"/>
            <w:tcMar>
              <w:top w:w="15" w:type="dxa"/>
              <w:left w:w="108" w:type="dxa"/>
              <w:bottom w:w="0" w:type="dxa"/>
              <w:right w:w="108" w:type="dxa"/>
            </w:tcMar>
            <w:vAlign w:val="center"/>
            <w:hideMark/>
          </w:tcPr>
          <w:p w14:paraId="72DC839D" w14:textId="77777777" w:rsidR="00164D4C" w:rsidRPr="00BD32F0" w:rsidRDefault="00164D4C" w:rsidP="00EC27DE">
            <w:pPr>
              <w:spacing w:line="360" w:lineRule="auto"/>
              <w:jc w:val="center"/>
              <w:textAlignment w:val="center"/>
              <w:rPr>
                <w:sz w:val="36"/>
                <w:szCs w:val="36"/>
              </w:rPr>
            </w:pPr>
            <w:r w:rsidRPr="00BD32F0">
              <w:rPr>
                <w:rFonts w:eastAsia="Calibri"/>
                <w:color w:val="000000"/>
                <w:kern w:val="24"/>
                <w:sz w:val="18"/>
                <w:szCs w:val="18"/>
              </w:rPr>
              <w:t>2.31E+11</w:t>
            </w:r>
          </w:p>
        </w:tc>
        <w:tc>
          <w:tcPr>
            <w:tcW w:w="692"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10B205E4"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706"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1898A604"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3325A50C"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46397CAC"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2670BEFC"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4E5B7D9F"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26EF1FD2"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600"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3EA473B6"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1333"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45F7DE57" w14:textId="77777777" w:rsidR="00164D4C" w:rsidRPr="00BD32F0" w:rsidRDefault="00164D4C" w:rsidP="00EC27DE">
            <w:pPr>
              <w:spacing w:line="360" w:lineRule="auto"/>
              <w:jc w:val="center"/>
              <w:textAlignment w:val="center"/>
              <w:rPr>
                <w:sz w:val="36"/>
                <w:szCs w:val="36"/>
              </w:rPr>
            </w:pPr>
            <w:r w:rsidRPr="00BD32F0">
              <w:rPr>
                <w:b/>
                <w:bCs/>
                <w:color w:val="000000"/>
                <w:kern w:val="24"/>
                <w:sz w:val="18"/>
                <w:szCs w:val="18"/>
              </w:rPr>
              <w:t>--</w:t>
            </w:r>
          </w:p>
        </w:tc>
        <w:tc>
          <w:tcPr>
            <w:tcW w:w="1257"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5119858C" w14:textId="77777777" w:rsidR="00164D4C" w:rsidRPr="00BD32F0" w:rsidRDefault="00164D4C" w:rsidP="00EC27DE">
            <w:pPr>
              <w:keepNext/>
              <w:spacing w:line="360" w:lineRule="auto"/>
              <w:jc w:val="center"/>
              <w:textAlignment w:val="center"/>
              <w:rPr>
                <w:sz w:val="36"/>
                <w:szCs w:val="36"/>
              </w:rPr>
            </w:pPr>
            <w:r w:rsidRPr="00BD32F0">
              <w:rPr>
                <w:b/>
                <w:bCs/>
                <w:color w:val="000000"/>
                <w:kern w:val="24"/>
                <w:sz w:val="18"/>
                <w:szCs w:val="18"/>
              </w:rPr>
              <w:t>--</w:t>
            </w:r>
          </w:p>
        </w:tc>
      </w:tr>
    </w:tbl>
    <w:p w14:paraId="3D1B1F11" w14:textId="77777777" w:rsidR="00164D4C" w:rsidRDefault="00164D4C" w:rsidP="00164D4C">
      <w:pPr>
        <w:keepNext/>
        <w:jc w:val="center"/>
      </w:pPr>
    </w:p>
    <w:p w14:paraId="550BD49A" w14:textId="7A89B9CF" w:rsidR="00164D4C" w:rsidRDefault="00164D4C" w:rsidP="00494211">
      <w:pPr>
        <w:spacing w:line="360" w:lineRule="auto"/>
      </w:pPr>
      <w:r>
        <w:br w:type="page"/>
      </w:r>
    </w:p>
    <w:p w14:paraId="0086A953" w14:textId="77777777" w:rsidR="00164D4C" w:rsidRDefault="00164D4C" w:rsidP="00164D4C">
      <w:pPr>
        <w:pStyle w:val="Caption"/>
        <w:sectPr w:rsidR="00164D4C" w:rsidSect="00164D4C">
          <w:pgSz w:w="15840" w:h="12240" w:orient="landscape"/>
          <w:pgMar w:top="1440" w:right="1440" w:bottom="1440" w:left="1440" w:header="720" w:footer="1440" w:gutter="0"/>
          <w:cols w:space="720"/>
          <w:docGrid w:linePitch="360"/>
        </w:sectPr>
      </w:pPr>
    </w:p>
    <w:p w14:paraId="1C5AAA7A" w14:textId="77777777" w:rsidR="00164D4C" w:rsidRDefault="00164D4C" w:rsidP="00164D4C">
      <w:pPr>
        <w:pStyle w:val="Caption"/>
      </w:pPr>
      <w:r w:rsidRPr="0058271C">
        <w:rPr>
          <w:rFonts w:ascii="Times New Roman" w:hAnsi="Times New Roman" w:cs="Times New Roman"/>
          <w:b w:val="0"/>
          <w:bCs w:val="0"/>
          <w:noProof/>
          <w:sz w:val="28"/>
          <w:szCs w:val="28"/>
        </w:rPr>
        <w:lastRenderedPageBreak/>
        <w:drawing>
          <wp:inline distT="0" distB="0" distL="0" distR="0" wp14:anchorId="17A7E98D" wp14:editId="7E0E74B0">
            <wp:extent cx="5943600" cy="2916555"/>
            <wp:effectExtent l="0" t="0" r="0" b="0"/>
            <wp:docPr id="14" name="Picture 13" descr="A screenshot of a computer&#10;&#10;Description automatically generated with medium confidence">
              <a:extLst xmlns:a="http://schemas.openxmlformats.org/drawingml/2006/main">
                <a:ext uri="{FF2B5EF4-FFF2-40B4-BE49-F238E27FC236}">
                  <a16:creationId xmlns:a16="http://schemas.microsoft.com/office/drawing/2014/main" id="{2DDD264E-858C-5EA2-761C-30CFAE5A45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screenshot of a computer&#10;&#10;Description automatically generated with medium confidence">
                      <a:extLst>
                        <a:ext uri="{FF2B5EF4-FFF2-40B4-BE49-F238E27FC236}">
                          <a16:creationId xmlns:a16="http://schemas.microsoft.com/office/drawing/2014/main" id="{2DDD264E-858C-5EA2-761C-30CFAE5A451F}"/>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2916555"/>
                    </a:xfrm>
                    <a:prstGeom prst="rect">
                      <a:avLst/>
                    </a:prstGeom>
                  </pic:spPr>
                </pic:pic>
              </a:graphicData>
            </a:graphic>
          </wp:inline>
        </w:drawing>
      </w:r>
    </w:p>
    <w:p w14:paraId="5D4ABFAB" w14:textId="3D0C1B3E" w:rsidR="00164D4C" w:rsidRDefault="00164D4C" w:rsidP="00164D4C">
      <w:pPr>
        <w:pStyle w:val="Caption"/>
        <w:rPr>
          <w:b w:val="0"/>
          <w:bCs w:val="0"/>
          <w:sz w:val="20"/>
          <w:szCs w:val="20"/>
        </w:rPr>
      </w:pPr>
      <w:bookmarkStart w:id="86" w:name="_Toc109738676"/>
      <w:r w:rsidRPr="00BD32F0">
        <w:rPr>
          <w:b w:val="0"/>
          <w:bCs w:val="0"/>
          <w:sz w:val="20"/>
          <w:szCs w:val="20"/>
        </w:rPr>
        <w:t xml:space="preserve">Figure </w:t>
      </w:r>
      <w:r>
        <w:rPr>
          <w:b w:val="0"/>
          <w:bCs w:val="0"/>
          <w:sz w:val="20"/>
          <w:szCs w:val="20"/>
        </w:rPr>
        <w:t>2.</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4</w:t>
      </w:r>
      <w:r>
        <w:rPr>
          <w:b w:val="0"/>
          <w:bCs w:val="0"/>
          <w:sz w:val="20"/>
          <w:szCs w:val="20"/>
        </w:rPr>
        <w:fldChar w:fldCharType="end"/>
      </w:r>
      <w:r w:rsidRPr="00BD32F0">
        <w:rPr>
          <w:b w:val="0"/>
          <w:bCs w:val="0"/>
          <w:sz w:val="20"/>
          <w:szCs w:val="20"/>
        </w:rPr>
        <w:t xml:space="preserve">. Histograms of aspect ratio for samples analyzed with EBSD. The top row of histograms </w:t>
      </w:r>
      <w:proofErr w:type="gramStart"/>
      <w:r w:rsidRPr="00BD32F0">
        <w:rPr>
          <w:b w:val="0"/>
          <w:bCs w:val="0"/>
          <w:sz w:val="20"/>
          <w:szCs w:val="20"/>
        </w:rPr>
        <w:t>show</w:t>
      </w:r>
      <w:proofErr w:type="gramEnd"/>
      <w:r w:rsidRPr="00BD32F0">
        <w:rPr>
          <w:b w:val="0"/>
          <w:bCs w:val="0"/>
          <w:sz w:val="20"/>
          <w:szCs w:val="20"/>
        </w:rPr>
        <w:t xml:space="preserve"> both minerals in aggregate samples, with comparison of total grains. Individual mineral aspect ratio histograms are shown the combined plot for each sample, with pink histogram bars representing ilmenite and green bars representing olivine. Grains were defined using an angle of 10 degrees.</w:t>
      </w:r>
      <w:bookmarkEnd w:id="86"/>
    </w:p>
    <w:p w14:paraId="4B725B04" w14:textId="77777777" w:rsidR="00164D4C" w:rsidRDefault="00164D4C">
      <w:pPr>
        <w:rPr>
          <w:sz w:val="20"/>
          <w:szCs w:val="20"/>
        </w:rPr>
      </w:pPr>
      <w:r>
        <w:rPr>
          <w:b/>
          <w:bCs/>
          <w:sz w:val="20"/>
          <w:szCs w:val="20"/>
        </w:rPr>
        <w:br w:type="page"/>
      </w:r>
    </w:p>
    <w:p w14:paraId="04045EEA" w14:textId="77777777" w:rsidR="00164D4C" w:rsidRDefault="00164D4C" w:rsidP="00164D4C">
      <w:pPr>
        <w:keepNext/>
      </w:pPr>
      <w:r>
        <w:rPr>
          <w:noProof/>
        </w:rPr>
        <w:lastRenderedPageBreak/>
        <w:drawing>
          <wp:anchor distT="0" distB="0" distL="114300" distR="114300" simplePos="0" relativeHeight="251672576" behindDoc="0" locked="0" layoutInCell="1" allowOverlap="1" wp14:anchorId="16DB17E9" wp14:editId="0B9F7023">
            <wp:simplePos x="0" y="0"/>
            <wp:positionH relativeFrom="column">
              <wp:posOffset>0</wp:posOffset>
            </wp:positionH>
            <wp:positionV relativeFrom="paragraph">
              <wp:posOffset>0</wp:posOffset>
            </wp:positionV>
            <wp:extent cx="5942330" cy="3157855"/>
            <wp:effectExtent l="0" t="0" r="0" b="0"/>
            <wp:wrapTopAndBottom/>
            <wp:docPr id="28" name="Picture 2" descr="Graphical user interface&#10;&#10;Description automatically generated">
              <a:extLst xmlns:a="http://schemas.openxmlformats.org/drawingml/2006/main">
                <a:ext uri="{FF2B5EF4-FFF2-40B4-BE49-F238E27FC236}">
                  <a16:creationId xmlns:a16="http://schemas.microsoft.com/office/drawing/2014/main" id="{E03F2833-A1DA-8520-6079-BDFF7D7B77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Graphical user interface&#10;&#10;Description automatically generated">
                      <a:extLst>
                        <a:ext uri="{FF2B5EF4-FFF2-40B4-BE49-F238E27FC236}">
                          <a16:creationId xmlns:a16="http://schemas.microsoft.com/office/drawing/2014/main" id="{E03F2833-A1DA-8520-6079-BDFF7D7B77F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2330" cy="3157855"/>
                    </a:xfrm>
                    <a:prstGeom prst="rect">
                      <a:avLst/>
                    </a:prstGeom>
                  </pic:spPr>
                </pic:pic>
              </a:graphicData>
            </a:graphic>
          </wp:anchor>
        </w:drawing>
      </w:r>
    </w:p>
    <w:p w14:paraId="36B9F43A" w14:textId="2C4C4669" w:rsidR="00164D4C" w:rsidRPr="002060AF" w:rsidRDefault="00164D4C" w:rsidP="00164D4C">
      <w:pPr>
        <w:pStyle w:val="Caption"/>
        <w:rPr>
          <w:b w:val="0"/>
          <w:bCs w:val="0"/>
          <w:sz w:val="20"/>
          <w:szCs w:val="20"/>
        </w:rPr>
      </w:pPr>
      <w:bookmarkStart w:id="87" w:name="_Toc109738677"/>
      <w:r w:rsidRPr="002060AF">
        <w:rPr>
          <w:b w:val="0"/>
          <w:bCs w:val="0"/>
          <w:sz w:val="20"/>
          <w:szCs w:val="20"/>
        </w:rPr>
        <w:t xml:space="preserve">Figure </w:t>
      </w:r>
      <w:r>
        <w:rPr>
          <w:b w:val="0"/>
          <w:bCs w:val="0"/>
          <w:sz w:val="20"/>
          <w:szCs w:val="20"/>
        </w:rPr>
        <w:t>2.</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5</w:t>
      </w:r>
      <w:r>
        <w:rPr>
          <w:b w:val="0"/>
          <w:bCs w:val="0"/>
          <w:sz w:val="20"/>
          <w:szCs w:val="20"/>
        </w:rPr>
        <w:fldChar w:fldCharType="end"/>
      </w:r>
      <w:r w:rsidRPr="002060AF">
        <w:rPr>
          <w:b w:val="0"/>
          <w:bCs w:val="0"/>
          <w:sz w:val="20"/>
          <w:szCs w:val="20"/>
        </w:rPr>
        <w:t>. (A) Percent olivine on the x-axis versus logarithmic scale of viscosity on the y-axis. This plot shows the predicted viscosities for samples of 100% ilm40 on the left and 100% SCO on the right edges of the plot based on published flow laws (</w:t>
      </w:r>
      <w:proofErr w:type="spellStart"/>
      <w:r w:rsidRPr="002060AF">
        <w:rPr>
          <w:b w:val="0"/>
          <w:bCs w:val="0"/>
          <w:sz w:val="20"/>
          <w:szCs w:val="20"/>
        </w:rPr>
        <w:t>Hirth</w:t>
      </w:r>
      <w:proofErr w:type="spellEnd"/>
      <w:r w:rsidRPr="002060AF">
        <w:rPr>
          <w:b w:val="0"/>
          <w:bCs w:val="0"/>
          <w:sz w:val="20"/>
          <w:szCs w:val="20"/>
        </w:rPr>
        <w:t xml:space="preserve"> &amp; </w:t>
      </w:r>
      <w:proofErr w:type="spellStart"/>
      <w:r w:rsidRPr="002060AF">
        <w:rPr>
          <w:b w:val="0"/>
          <w:bCs w:val="0"/>
          <w:sz w:val="20"/>
          <w:szCs w:val="20"/>
        </w:rPr>
        <w:t>Kohlstedt</w:t>
      </w:r>
      <w:proofErr w:type="spellEnd"/>
      <w:r w:rsidRPr="002060AF">
        <w:rPr>
          <w:b w:val="0"/>
          <w:bCs w:val="0"/>
          <w:sz w:val="20"/>
          <w:szCs w:val="20"/>
        </w:rPr>
        <w:t xml:space="preserve">, 2003; </w:t>
      </w:r>
      <w:proofErr w:type="spellStart"/>
      <w:r w:rsidRPr="002060AF">
        <w:rPr>
          <w:b w:val="0"/>
          <w:bCs w:val="0"/>
          <w:sz w:val="20"/>
          <w:szCs w:val="20"/>
        </w:rPr>
        <w:t>Tokle</w:t>
      </w:r>
      <w:proofErr w:type="spellEnd"/>
      <w:r w:rsidRPr="002060AF">
        <w:rPr>
          <w:b w:val="0"/>
          <w:bCs w:val="0"/>
          <w:sz w:val="20"/>
          <w:szCs w:val="20"/>
        </w:rPr>
        <w:t xml:space="preserve"> et al., 2021). The black line shows the mixing model of the two phases as calculated by Tullis et al. 1991. Any sample data that plots in the pink region of the graph has a rheology controlled by the weak phase, ilmenite. If data plots in the green region of the graph, its rheology is controlled by the strong phase, olivine. (B) Sample data from this study added as colored dots. All samples are weaker than the predicted viscosities from published flow laws. The dotted line in plot B represents the approximation of the Tullis et al. 1991 mixing model line to connect the two endmember-most experiments with similar accumulated strains, LMO-001 and LMO-003.</w:t>
      </w:r>
      <w:bookmarkEnd w:id="87"/>
    </w:p>
    <w:p w14:paraId="75815C71" w14:textId="77777777" w:rsidR="00164D4C" w:rsidRPr="00BD32F0" w:rsidRDefault="00164D4C" w:rsidP="00164D4C">
      <w:pPr>
        <w:pStyle w:val="Caption"/>
        <w:rPr>
          <w:b w:val="0"/>
          <w:bCs w:val="0"/>
          <w:sz w:val="20"/>
          <w:szCs w:val="20"/>
        </w:rPr>
      </w:pPr>
    </w:p>
    <w:p w14:paraId="20698BAB" w14:textId="77777777" w:rsidR="00164D4C" w:rsidRDefault="00164D4C">
      <w:r>
        <w:br w:type="page"/>
      </w:r>
    </w:p>
    <w:p w14:paraId="07028841" w14:textId="5045CA2A" w:rsidR="00BD32F0" w:rsidRDefault="00701931" w:rsidP="00494211">
      <w:pPr>
        <w:spacing w:line="360" w:lineRule="auto"/>
      </w:pPr>
      <w:r w:rsidRPr="00DC57A8">
        <w:lastRenderedPageBreak/>
        <w:t>olivine flow law (</w:t>
      </w:r>
      <w:r w:rsidRPr="00DC57A8">
        <w:fldChar w:fldCharType="begin" w:fldLock="1"/>
      </w:r>
      <w:r w:rsidRPr="00DC57A8">
        <w:instrText>ADDIN CSL_CITATION {"citationItems":[{"id":"ITEM-1","itemData":{"DOI":"10.1029/138GM06","ISBN":"9781118668573","author":[{"dropping-particle":"","family":"Hirth","given":"Greg","non-dropping-particle":"","parse-names":false,"suffix":""},{"dropping-particle":"","family":"Kohlstedt","given":"David L.","non-dropping-particle":"","parse-names":false,"suffix":""}],"chapter-number":"6","container-title":"Inside the Subduction Factory, Volume 138","editor":[{"dropping-particle":"","family":"Eiler","given":"John M.","non-dropping-particle":"","parse-names":false,"suffix":""}],"id":"ITEM-1","issued":{"date-parts":[["2003"]]},"page":"83-105","publisher":"American Geophysical Union","title":"Rheology of the upper mantle and the mantle wedge: A view from the experimentalists","type":"chapter"},"uris":["http://www.mendeley.com/documents/?uuid=49bab03c-3fce-4415-9eca-c2cf707f8813"]}],"mendeley":{"formattedCitation":"(Hirth &amp; Kohlstedt, 2003)","manualFormatting":"Hirth &amp; Kohlstedt (2003)","plainTextFormattedCitation":"(Hirth &amp; Kohlstedt, 2003)","previouslyFormattedCitation":"(Hirth &amp; Kohlstedt, 2003)"},"properties":{"noteIndex":0},"schema":"https://github.com/citation-style-language/schema/raw/master/csl-citation.json"}</w:instrText>
      </w:r>
      <w:r w:rsidRPr="00DC57A8">
        <w:fldChar w:fldCharType="separate"/>
      </w:r>
      <w:r w:rsidRPr="00DC57A8">
        <w:rPr>
          <w:noProof/>
        </w:rPr>
        <w:t>Hirth &amp; Kohlstedt (2003)</w:t>
      </w:r>
      <w:r w:rsidRPr="00DC57A8">
        <w:fldChar w:fldCharType="end"/>
      </w:r>
      <w:r w:rsidRPr="00DC57A8">
        <w:t>, C</w:t>
      </w:r>
      <w:r w:rsidRPr="00DC57A8">
        <w:rPr>
          <w:vertAlign w:val="subscript"/>
        </w:rPr>
        <w:t>OH</w:t>
      </w:r>
      <w:r w:rsidRPr="00DC57A8">
        <w:t xml:space="preserve"> =50 ppm H/Si) and ilm40 </w:t>
      </w:r>
      <w:r w:rsidRPr="00DC57A8">
        <w:fldChar w:fldCharType="begin" w:fldLock="1"/>
      </w:r>
      <w:r w:rsidRPr="00DC57A8">
        <w:instrText>ADDIN CSL_CITATION {"citationItems":[{"id":"ITEM-1","itemData":{"DOI":"10.1029/2020JE006494","ISSN":"2169-9097","abstract":"The viscosity of ilmenite is an important parameter that is thought to have influenced the thermal and chemical evolution of the lunar cumulate mantle. We conduct deformation experiments on two different ilmenite compositions, ilmenite100 (FeTiO3) and ilmenite40 ((Fe0.4Mg0.6)TiO3), to investigate the influence of pressure and Mg-content on the rheology of ilmenite aggregates. Experiments were conducted in a Griggs apparatus and a deformation-DIA apparatus at pressures spanning 1–5 GPa. Using the new experimental data and reanalyzed data from Dygert et al. (2016), we determine pressure-dependent flow law parameters for ilmenite100 (A = 2.183 MPa−ns−1, n = 3.0 ± 0.4, E = 276 ± 25 kJ/mol and V = 17 ± 4 cm3/mol) and ilmenite40 (A = 3.936e−7 MPa−ns−1, n = 5.7 ± 0.5, E = 283 ± 25 kJ/mol and V = 26 ± 4 cm3/mol). Over the range of experimental conditions ilmenite40 has a larger stress exponent and activation volume than ilmenite100. Extrapolation of the ilmenite100 flow law predicts a viscosity approximately five orders of magnitude lower than dry olivine and three orders of magnitude lower than wet olivine at a temperature of 1,100°C, pressure of 0.3 GPa, and stress of 0.3 MPa, conditions representative of the early ilmenite-bearing cumulate. Our estimated viscosity contrasts for a dry lunar mantle suggests that lunar cumulate mantle overturn may be dominated by longer wavelength downwellings, while a wet lunar mantle may be dominated by shorter wavelength downwellings.","author":[{"dropping-particle":"","family":"Tokle","given":"Leif","non-dropping-particle":"","parse-names":false,"suffix":""},{"dropping-particle":"","family":"Hirth","given":"Greg","non-dropping-particle":"","parse-names":false,"suffix":""},{"dropping-particle":"","family":"Liang","given":"Yan","non-dropping-particle":"","parse-names":false,"suffix":""},{"dropping-particle":"","family":"Raterron","given":"Paul","non-dropping-particle":"","parse-names":false,"suffix":""},{"dropping-particle":"","family":"Dygert","given":"Nick","non-dropping-particle":"","parse-names":false,"suffix":""}],"container-title":"Journal of Geophysical Research: Planets","id":"ITEM-1","issue":"1","issued":{"date-parts":[["2021","1","28"]]},"page":"1-21","title":"The Effect of Pressure and Mg</w:instrText>
      </w:r>
      <w:r w:rsidRPr="00DC57A8">
        <w:rPr>
          <w:rFonts w:ascii="Cambria Math" w:hAnsi="Cambria Math" w:cs="Cambria Math"/>
        </w:rPr>
        <w:instrText>‐</w:instrText>
      </w:r>
      <w:r w:rsidRPr="00DC57A8">
        <w:instrText>Content on Ilmenite Rheology: Implications for Lunar Cumulate Mantle Overturn","type":"article-journal","volume":"126"},"uris":["http://www.mendeley.com/documents/?uuid=a302dfec-9caf-4cd7-a626-07b6be4d33fc"]}],"mendeley":{"formattedCitation":"(Tokle et al., 2021)","plainTextFormattedCitation":"(Tokle et al., 2021)","previouslyFormattedCitation":"(Tokle et al., 2021)"},"properties":{"noteIndex":0},"schema":"https://github.com/citation-style-language/schema/raw/master/csl-citation.json"}</w:instrText>
      </w:r>
      <w:r w:rsidRPr="00DC57A8">
        <w:fldChar w:fldCharType="separate"/>
      </w:r>
      <w:r w:rsidRPr="00DC57A8">
        <w:rPr>
          <w:noProof/>
        </w:rPr>
        <w:t>(Tokle et al., 2021)</w:t>
      </w:r>
      <w:r w:rsidRPr="00DC57A8">
        <w:fldChar w:fldCharType="end"/>
      </w:r>
      <w:r w:rsidRPr="00DC57A8">
        <w:t xml:space="preserve"> flow law in Figure </w:t>
      </w:r>
      <w:r w:rsidR="00EB54E6">
        <w:t>2.</w:t>
      </w:r>
      <w:r w:rsidRPr="00DC57A8">
        <w:t xml:space="preserve">5b, we see decreased viscosities in all samples run for this study. When interpreting these results, it is important to consider that the flow laws are </w:t>
      </w:r>
    </w:p>
    <w:p w14:paraId="509F82BA" w14:textId="515527B9" w:rsidR="00DC57A8" w:rsidRPr="00DC57A8" w:rsidRDefault="00701931" w:rsidP="00701931">
      <w:pPr>
        <w:spacing w:line="360" w:lineRule="auto"/>
      </w:pPr>
      <w:r w:rsidRPr="00DC57A8">
        <w:t xml:space="preserve">calibrated from axial compression experiments in all individual mineral cases, whereas samples in this study were ran in general shear. Previous studies on olivine in general shear, performed on Griggs-type apparatus have shown decreased differential stresses, especially in cases of high strain </w:t>
      </w:r>
      <w:r w:rsidRPr="00DC57A8">
        <w:fldChar w:fldCharType="begin" w:fldLock="1"/>
      </w:r>
      <w:r w:rsidRPr="00DC57A8">
        <w:instrText>ADDIN CSL_CITATION {"citationItems":[{"id":"ITEM-1","itemData":{"author":[{"dropping-particle":"","family":"Holyoke-III","given":"Caleb W","non-dropping-particle":"","parse-names":false,"suffix":""}],"container-title":"Ph.D. Dissertation","id":"ITEM-1","issue":"May","issued":{"date-parts":[["2005"]]},"page":"1-243","title":"Strain weakening in crustal and upper mantle lithologies: processes and consequences","type":"article-journal"},"uris":["http://www.mendeley.com/documents/?uuid=5cc8833a-60e0-4c11-9ff9-c1f210669c75"]},{"id":"ITEM-2","itemData":{"DOI":"10.1016/0040-1951(77)90162-7","ISSN":"00401951","abstract":"A series of creep experiments were performed on Mt. Burnet Dunite, including stress relaxation and the incremental (stepped) variation of temperature and stress on a single sample. The steady-state flow behavior is given by the equation: εs = 1.9 · 1010[sinh( σ 3.50)]3.00 ± 0.20exp(- Q RT) where εs is the steady-state strain rate in sec-1, and σ is the uniaxial compressive stress in kbar. Q is 93.8 ± 2.8 kcal/mole for dunite deformed in a hydrous environment, and Q is about 126 kcal/mole for dunite deformed in an anhydrous environment. The other coefficients in the above equation appear to be insensitive to sample water content, based on limited data. Water thus seems to affect the strain rate primarily through its effect on the activation energy. The activation energy and stress exponent appear to be about the same in transient creep as in steady-state creep. Ductile faulting, characterized by narrow to wide shear zones and gradual stress drops, is prevalent in the samples. This phenomenon may be similar to that occurring in deep-focus earthquakes. © 1977.","author":[{"dropping-particle":"","family":"Post","given":"Robert L.","non-dropping-particle":"","parse-names":false,"suffix":""}],"container-title":"Tectonophysics","id":"ITEM-2","issue":"2-4","issued":{"date-parts":[["1977"]]},"page":"75-110","title":"High-temperature creep of Mt. Burnet Dunite","type":"article-journal","volume":"42"},"uris":["http://www.mendeley.com/documents/?uuid=0240eebe-e268-424b-8e4a-04ecce32b732"]}],"mendeley":{"formattedCitation":"(Holyoke-III, 2005; Post, 1977)","plainTextFormattedCitation":"(Holyoke-III, 2005; Post, 1977)","previouslyFormattedCitation":"(Holyoke-III, 2005; Post, 1977)"},"properties":{"noteIndex":0},"schema":"https://github.com/citation-style-language/schema/raw/master/csl-citation.json"}</w:instrText>
      </w:r>
      <w:r w:rsidRPr="00DC57A8">
        <w:fldChar w:fldCharType="separate"/>
      </w:r>
      <w:r w:rsidRPr="00DC57A8">
        <w:rPr>
          <w:noProof/>
        </w:rPr>
        <w:t>(Holyoke-III, 2005; Post, 1977)</w:t>
      </w:r>
      <w:r w:rsidRPr="00DC57A8">
        <w:fldChar w:fldCharType="end"/>
      </w:r>
      <w:r w:rsidRPr="00DC57A8">
        <w:t xml:space="preserve">. While this weakening has been observed and published in experimental data, no flow law exists for olivine or ilmenite in shear. Using the two end-member experiments of this study, LMO-001 and LMO-003, which had similar ε values, a line has been schematically added to Figure </w:t>
      </w:r>
      <w:r w:rsidR="00EB54E6">
        <w:t>2.</w:t>
      </w:r>
      <w:r w:rsidRPr="00DC57A8">
        <w:t>5b, showing what a Tullis et al. (1991) mixing curve might be given the data for ilm40 and</w:t>
      </w:r>
      <w:r>
        <w:t xml:space="preserve"> </w:t>
      </w:r>
      <w:r w:rsidR="00DC57A8" w:rsidRPr="00DC57A8">
        <w:t xml:space="preserve">SCO aggregates in shear. Addition of a 100% SCO experiment, at the same conditions used in this study, would help to anchor the calculation of a Tullis et al. (1991) mixing model line. </w:t>
      </w:r>
    </w:p>
    <w:p w14:paraId="12670180" w14:textId="40625EDB" w:rsidR="00DC57A8" w:rsidRPr="006709E2" w:rsidRDefault="002060AF" w:rsidP="006709E2">
      <w:pPr>
        <w:pStyle w:val="Style1"/>
        <w:spacing w:before="0" w:line="360" w:lineRule="auto"/>
      </w:pPr>
      <w:bookmarkStart w:id="88" w:name="_Toc109036159"/>
      <w:r w:rsidRPr="006709E2">
        <w:t xml:space="preserve">5.1.1 </w:t>
      </w:r>
      <w:r w:rsidR="00DC57A8" w:rsidRPr="006709E2">
        <w:t>Uncertainty in water content of experimental materials</w:t>
      </w:r>
      <w:bookmarkEnd w:id="88"/>
    </w:p>
    <w:p w14:paraId="14B13C82" w14:textId="746853F9" w:rsidR="00DC57A8" w:rsidRPr="00DC57A8" w:rsidRDefault="00DC57A8" w:rsidP="00DC57A8">
      <w:pPr>
        <w:spacing w:line="360" w:lineRule="auto"/>
        <w:ind w:firstLine="720"/>
      </w:pPr>
      <w:r w:rsidRPr="00DC57A8">
        <w:t>All samples were prepared and conditioned at reducing conditions and stored in a low temperature (~100°C) vacuum oven between packing and experimental assembly. While best efforts were made to keep samples free of absorbed water, C</w:t>
      </w:r>
      <w:r w:rsidRPr="00DC57A8">
        <w:rPr>
          <w:vertAlign w:val="subscript"/>
        </w:rPr>
        <w:t>OH</w:t>
      </w:r>
      <w:r w:rsidRPr="00DC57A8">
        <w:t xml:space="preserve"> values are unknown, and therefore could alter the resulting viscosity calculations. To account for the uncertainty in these values, aggregate flow laws were calculated for a range of C</w:t>
      </w:r>
      <w:r w:rsidRPr="00DC57A8">
        <w:rPr>
          <w:vertAlign w:val="subscript"/>
        </w:rPr>
        <w:t>OH</w:t>
      </w:r>
      <w:r w:rsidRPr="00DC57A8">
        <w:t xml:space="preserve"> in olivine between 50 H/10</w:t>
      </w:r>
      <w:r w:rsidRPr="00DC57A8">
        <w:rPr>
          <w:vertAlign w:val="superscript"/>
        </w:rPr>
        <w:t>6</w:t>
      </w:r>
      <w:r w:rsidRPr="00DC57A8">
        <w:t xml:space="preserve"> Si and 600 H/10</w:t>
      </w:r>
      <w:r w:rsidRPr="00DC57A8">
        <w:rPr>
          <w:vertAlign w:val="superscript"/>
        </w:rPr>
        <w:t>6</w:t>
      </w:r>
      <w:r w:rsidRPr="00DC57A8">
        <w:t xml:space="preserve">Si. These values are an expanded range from the values measured in SCO using FTIR in other studies from the Brown University Rock Deformation Lab </w:t>
      </w:r>
      <w:r w:rsidRPr="00DC57A8">
        <w:fldChar w:fldCharType="begin" w:fldLock="1"/>
      </w:r>
      <w:r w:rsidRPr="00DC57A8">
        <w:instrText xml:space="preserve">ADDIN CSL_CITATION {"citationItems":[{"id":"ITEM-1","itemData":{"author":[{"dropping-particle":"","family":"Holyoke-III","given":"Caleb W","non-dropping-particle":"","parse-names":false,"suffix":""}],"container-title":"Ph.D. Dissertation","id":"ITEM-1","issue":"May","issued":{"date-parts":[["2005"]]},"page":"1-243","title":"Strain weakening in crustal and upper mantle lithologies: processes and consequences","type":"article-journal"},"uris":["http://www.mendeley.com/documents/?uuid=5cc8833a-60e0-4c11-9ff9-c1f210669c75"]},{"id":"ITEM-2","itemData":{"DOI":"10.1016/j.epsl.2019.04.019","ISSN":"0012821X","abstract":"The influence of pyroxene on the rheology of peridotite is critical for understanding the dynamics of the upper mantle. Intragranular deformation of each phase is often assumed to be independent and the rheology of aggregates is calculated by mixing models. However, intergranular deformation on grain boundaries (e.g., olivine-olivine)and phase boundaries (e.g., olivine-pyroxene)could be intrinsically different and needs to be constrained experimentally. Experiments on fine-grained olivine and clinopyroxene demonstrate that 50-50 mixtures of these phases (a wehrlite)deform up to </w:instrText>
      </w:r>
      <w:r w:rsidRPr="00DC57A8">
        <w:rPr>
          <w:rFonts w:ascii="Cambria Math" w:hAnsi="Cambria Math" w:cs="Cambria Math"/>
        </w:rPr>
        <w:instrText>∼</w:instrText>
      </w:r>
      <w:r w:rsidRPr="00DC57A8">
        <w:instrText>30 times faster than either of the end-members when scaled to the same experimental conditions. Strain localization within layers with a high-density of phase boundaries demonstrates that phase boundaries enhance the rate of deformation relative to that of either olivine or pyroxene aggregates. Olivine AG-type crystallographic textures (i.e., axial girdles of [100]and [001]axes with [010]maxima sub-perpendicular to the shear plane)observed in deformed specimens are indistinguishable from those observed in many naturally deformed mantle peridotites. We propose that the presence of abundant olivine-pyroxene phase boundaries can decrease the viscosity of mantle shear zones, enhancing strain localization.","author":[{"dropping-particle":"","family":"Zhao","given":"Ningli","non-dropping-particle":"","parse-names":false,"suffix":""},{"dropping-particle":"","family":"Hirth","given":"Greg","non-dropping-particle":"","parse-names":false,"suffix":""},{"dropping-particle":"","family":"Cooper","given":"Reid F.","non-dropping-particle":"","parse-names":false,"suffix":""},{"dropping-particle":"","family":"Kruckenberg","given":"Seth C.","non-dropping-particle":"","parse-names":false,"suffix":""},{"dropping-particle":"","family":"Cukjati","given":"Joseph","non-dropping-particle":"","parse-names":false,"suffix":""}],"container-title":"Earth and Planetary Science Letters","id":"ITEM-2","issued":{"date-parts":[["2019"]]},"page":"83-94","publisher":"Elsevier B.V.","title":"Low viscosity of mantle rocks linked to phase boundary sliding","type":"article-journal","volume":"517"},"uris":["http://www.mendeley.com/documents/?uuid=cbff3169-c49c-42df-86b2-8dfcf91dca60"]}],"mendeley":{"formattedCitation":"(Holyoke-III, 2005; N. Zhao et al., 2019)","plainTextFormattedCitation":"(Holyoke-III, 2005; N. Zhao et al., 2019)","previouslyFormattedCitation":"(Holyoke-III, 2005; N. Zhao et al., 2019)"},"properties":{"noteIndex":0},"schema":"https://github.com/citation-style-language/schema/raw/master/csl-citation.json"}</w:instrText>
      </w:r>
      <w:r w:rsidRPr="00DC57A8">
        <w:fldChar w:fldCharType="separate"/>
      </w:r>
      <w:r w:rsidRPr="00DC57A8">
        <w:rPr>
          <w:noProof/>
        </w:rPr>
        <w:t>(Holyoke-III, 2005; N. Zhao et al., 2019)</w:t>
      </w:r>
      <w:r w:rsidRPr="00DC57A8">
        <w:fldChar w:fldCharType="end"/>
      </w:r>
      <w:r w:rsidRPr="00DC57A8">
        <w:t xml:space="preserve">. Using the EBSD data from olivine, water contents were also estimated from </w:t>
      </w:r>
      <w:r w:rsidRPr="00DC57A8">
        <w:fldChar w:fldCharType="begin" w:fldLock="1"/>
      </w:r>
      <w:r w:rsidRPr="00DC57A8">
        <w:instrText>ADDIN CSL_CITATION {"citationItems":[{"id":"ITEM-1","itemData":{"DOI":"10.1029/2019gc008289","ISSN":"1525-2027","author":[{"dropping-particle":"","family":"Bernard","given":"Rachel E.","non-dropping-particle":"","parse-names":false,"suffix":""},{"dropping-particle":"","family":"Behr","given":"Whitney M.","non-dropping-particle":"","parse-names":false,"suffix":""},{"dropping-particle":"","family":"Becker","given":"Thorsten W.","non-dropping-particle":"","parse-names":false,"suffix":""},{"dropping-particle":"","family":"Young","given":"David J.","non-dropping-particle":"","parse-names":false,"suffix":""}],"container-title":"Geochemistry, Geophysics, Geosystems","id":"ITEM-1","issued":{"date-parts":[["2019"]]},"title":"Relationships Between Olivine CPO and Deformation Parameters in Naturally Deformed Rocks and Implications for Mantle Seismic Anisotropy","type":"article-journal"},"uris":["http://www.mendeley.com/documents/?uuid=880667b8-79df-4fb4-aa4f-95cd6b4a2d55"]}],"mendeley":{"formattedCitation":"(Bernard et al., 2019)","manualFormatting":"Bernard et al. (2019)","plainTextFormattedCitation":"(Bernard et al., 2019)","previouslyFormattedCitation":"(Bernard et al., 2019)"},"properties":{"noteIndex":0},"schema":"https://github.com/citation-style-language/schema/raw/master/csl-citation.json"}</w:instrText>
      </w:r>
      <w:r w:rsidRPr="00DC57A8">
        <w:fldChar w:fldCharType="separate"/>
      </w:r>
      <w:r w:rsidRPr="00DC57A8">
        <w:rPr>
          <w:noProof/>
        </w:rPr>
        <w:t>Bernard et al. (2019)</w:t>
      </w:r>
      <w:r w:rsidRPr="00DC57A8">
        <w:fldChar w:fldCharType="end"/>
      </w:r>
      <w:r w:rsidRPr="00DC57A8">
        <w:t xml:space="preserve">, which employs a water content correction from previously preferred calibrations made by </w:t>
      </w:r>
      <w:r w:rsidRPr="00DC57A8">
        <w:fldChar w:fldCharType="begin" w:fldLock="1"/>
      </w:r>
      <w:r w:rsidRPr="00DC57A8">
        <w:instrText>ADDIN CSL_CITATION {"citationItems":[{"id":"ITEM-1","itemData":{"DOI":"10.1029/2001jb000679","ISSN":"21699356","abstract":"Olivine is an important host of hydrogen in the Earth's upper mantle, and the OH abundance in this mineral determines many important physical properties of the planet's interior. To date, natural and experimentally hydrated olivines have been analyzed by uncalibrated spectroscopic methods with large (±100%) uncertainties in accuracy. We determined the hydrogen contents of three natural olivines by 15N nuclear reaction analysis and used the results to calibrate the common infrared (IR) spectroscopic method for quantitative hydrogen analysis of olivine. OH content (expressed as parts per million H2O by weight) is 0.188 times the total integrated absorbance of the fundamental OH stretching bands in the 3750&amp;#8211;3100 cm&amp;#8722;1 region. The results indicate that an upward revision of some previous determinations by factors of between 2 and 4 is necessary. The most hydrous naturally occurring mantle-derived olivine analyzed to date contains 240 ppm wt. H2O. Retrospective application of this calibration to experimentally hydrated olivines may be limited by spectral differences in some cases and by the previous use of nonpolarized IR spectra.","author":[{"dropping-particle":"","family":"Bell","given":"David R.","non-dropping-particle":"","parse-names":false,"suffix":""},{"dropping-particle":"","family":"Rossman","given":"George R.","non-dropping-particle":"","parse-names":false,"suffix":""},{"dropping-particle":"","family":"Maldener","given":"Joachim","non-dropping-particle":"","parse-names":false,"suffix":""},{"dropping-particle":"","family":"Endisch","given":"Denis","non-dropping-particle":"","parse-names":false,"suffix":""},{"dropping-particle":"","family":"Rauch","given":"Friedel","non-dropping-particle":"","parse-names":false,"suffix":""}],"container-title":"Journal of Geophysical Research: Solid Earth","id":"ITEM-1","issue":"B2","issued":{"date-parts":[["2003"]]},"page":"1-9","title":"Hydroxide in olivine: A quantitative determination of the absolute amount and calibration of the IR spectrum","type":"article-journal","volume":"108"},"uris":["http://www.mendeley.com/documents/?uuid=fc5ad3b3-11cf-40fb-84c9-47876145fc0d"]}],"mendeley":{"formattedCitation":"(Bell et al., 2003)","manualFormatting":"Bell et al. (2003)","plainTextFormattedCitation":"(Bell et al., 2003)","previouslyFormattedCitation":"(Bell et al., 2003)"},"properties":{"noteIndex":0},"schema":"https://github.com/citation-style-language/schema/raw/master/csl-citation.json"}</w:instrText>
      </w:r>
      <w:r w:rsidRPr="00DC57A8">
        <w:fldChar w:fldCharType="separate"/>
      </w:r>
      <w:r w:rsidRPr="00DC57A8">
        <w:rPr>
          <w:noProof/>
        </w:rPr>
        <w:t>Bell et al. (2003)</w:t>
      </w:r>
      <w:r w:rsidRPr="00DC57A8">
        <w:fldChar w:fldCharType="end"/>
      </w:r>
      <w:r w:rsidRPr="00DC57A8">
        <w:t xml:space="preserve">, and the proposed olivine fabric-type transitions from </w:t>
      </w:r>
      <w:r w:rsidRPr="00DC57A8">
        <w:fldChar w:fldCharType="begin" w:fldLock="1"/>
      </w:r>
      <w:r w:rsidRPr="00DC57A8">
        <w:instrText>ADDIN CSL_CITATION {"citationItems":[{"id":"ITEM-1","itemData":{"DOI":"10.1126/science.1062235","ISSN":"00368075","author":[{"dropping-particle":"","family":"Jung","given":"Haemyeong","non-dropping-particle":"","parse-names":false,"suffix":""},{"dropping-particle":"","family":"Karato S","given":"","non-dropping-particle":"","parse-names":false,"suffix":""}],"container-title":"Science","id":"ITEM-1","issue":"5534","issued":{"date-parts":[["2001","8","24"]]},"page":"1460-1463","title":"Water-Induced Fabric Transitions in Olivine","type":"article-journal","volume":"293"},"uris":["http://www.mendeley.com/documents/?uuid=dc9a64a8-eefb-4749-9e91-9f2146c83d46"]}],"mendeley":{"formattedCitation":"(Jung &amp; Karato S, 2001)","manualFormatting":"Jung &amp; Karato (2001)","plainTextFormattedCitation":"(Jung &amp; Karato S, 2001)","previouslyFormattedCitation":"(Jung &amp; Karato S, 2001)"},"properties":{"noteIndex":0},"schema":"https://github.com/citation-style-language/schema/raw/master/csl-citation.json"}</w:instrText>
      </w:r>
      <w:r w:rsidRPr="00DC57A8">
        <w:fldChar w:fldCharType="separate"/>
      </w:r>
      <w:r w:rsidRPr="00DC57A8">
        <w:rPr>
          <w:noProof/>
        </w:rPr>
        <w:t>Jung &amp; Karato (2001)</w:t>
      </w:r>
      <w:r w:rsidRPr="00DC57A8">
        <w:fldChar w:fldCharType="end"/>
      </w:r>
      <w:r w:rsidRPr="00DC57A8">
        <w:t>. At highest total accumulated strain, CPOs appear to follow a B-type pattern. While this type covers a wide range of possible ppm H/Si, lower stress samples appear to show some A-type behavior, leading to us to estimate C</w:t>
      </w:r>
      <w:r w:rsidRPr="00DC57A8">
        <w:rPr>
          <w:vertAlign w:val="subscript"/>
        </w:rPr>
        <w:t>OH</w:t>
      </w:r>
      <w:r w:rsidRPr="00DC57A8">
        <w:t xml:space="preserve"> values no higher than 1000, although CPOs do not match A-type for all three planes. Because of the </w:t>
      </w:r>
      <w:r w:rsidRPr="00DC57A8">
        <w:lastRenderedPageBreak/>
        <w:t>preparation in reducing conditions and lack of any external hydrating materials, 1000</w:t>
      </w:r>
      <w:r w:rsidR="00701931">
        <w:t xml:space="preserve"> </w:t>
      </w:r>
      <w:r w:rsidRPr="00DC57A8">
        <w:t xml:space="preserve">ppm H/Si can be considered </w:t>
      </w:r>
      <w:proofErr w:type="gramStart"/>
      <w:r w:rsidRPr="00DC57A8">
        <w:t>in excess of</w:t>
      </w:r>
      <w:proofErr w:type="gramEnd"/>
      <w:r w:rsidRPr="00DC57A8">
        <w:t xml:space="preserve"> experimental values.</w:t>
      </w:r>
    </w:p>
    <w:p w14:paraId="6E6AF2C2" w14:textId="2155608F" w:rsidR="00DC57A8" w:rsidRPr="006709E2" w:rsidRDefault="002060AF" w:rsidP="006709E2">
      <w:pPr>
        <w:pStyle w:val="Style1"/>
        <w:spacing w:before="0" w:line="360" w:lineRule="auto"/>
      </w:pPr>
      <w:bookmarkStart w:id="89" w:name="_Toc109036160"/>
      <w:r w:rsidRPr="006709E2">
        <w:t xml:space="preserve">5.1.2 </w:t>
      </w:r>
      <w:r w:rsidR="00DC57A8" w:rsidRPr="006709E2">
        <w:t>Anomalous strength/weakness in 25% ilm40:75% SCO samples not reproducible</w:t>
      </w:r>
      <w:bookmarkEnd w:id="89"/>
      <w:r w:rsidR="00DC57A8" w:rsidRPr="006709E2">
        <w:t xml:space="preserve"> </w:t>
      </w:r>
    </w:p>
    <w:p w14:paraId="17EFEAC6" w14:textId="54A01D5D" w:rsidR="00DC57A8" w:rsidRPr="00DC57A8" w:rsidRDefault="00DC57A8" w:rsidP="00DC57A8">
      <w:pPr>
        <w:spacing w:line="360" w:lineRule="auto"/>
        <w:ind w:firstLine="720"/>
        <w:rPr>
          <w:b/>
          <w:bCs/>
        </w:rPr>
      </w:pPr>
      <w:r w:rsidRPr="00DC57A8">
        <w:t xml:space="preserve">The 25:75 sample, LMO-005, showed anomalously high differential stresses in comparison to all other shear experiments run in the same session. Nearly two years later, repeat attempts to measure the same ratio in samples LMO-010 and LMO-011 returned anomalously low stress and viscosity values, all shown by blue dots in Figure </w:t>
      </w:r>
      <w:r w:rsidR="00EB54E6">
        <w:t>2.</w:t>
      </w:r>
      <w:r w:rsidRPr="00DC57A8">
        <w:t>5b.  There is no indication that the strength variations in this specific phase proportion are scientifically significant, but because of the variation, especially in comparison to the values from other experiments, this ratio of ilm</w:t>
      </w:r>
      <w:proofErr w:type="gramStart"/>
      <w:r w:rsidRPr="00DC57A8">
        <w:t>40:SCO</w:t>
      </w:r>
      <w:proofErr w:type="gramEnd"/>
      <w:r w:rsidRPr="00DC57A8">
        <w:t xml:space="preserve"> should continue to be examined in future studies. </w:t>
      </w:r>
    </w:p>
    <w:p w14:paraId="6A0E6FCA" w14:textId="23BA5F7D" w:rsidR="00DC57A8" w:rsidRPr="006709E2" w:rsidRDefault="002060AF" w:rsidP="006709E2">
      <w:pPr>
        <w:pStyle w:val="Heading3"/>
        <w:spacing w:before="0" w:line="360" w:lineRule="auto"/>
      </w:pPr>
      <w:bookmarkStart w:id="90" w:name="_Toc109036161"/>
      <w:r w:rsidRPr="006709E2">
        <w:t xml:space="preserve">5.2 </w:t>
      </w:r>
      <w:proofErr w:type="gramStart"/>
      <w:r w:rsidR="00DC57A8" w:rsidRPr="006709E2">
        <w:t>Post-deformation</w:t>
      </w:r>
      <w:proofErr w:type="gramEnd"/>
      <w:r w:rsidR="00DC57A8" w:rsidRPr="006709E2">
        <w:t xml:space="preserve"> fabrics</w:t>
      </w:r>
      <w:bookmarkEnd w:id="90"/>
    </w:p>
    <w:p w14:paraId="46E38B9F" w14:textId="3714FE76" w:rsidR="00DC57A8" w:rsidRPr="00DC57A8" w:rsidRDefault="00DC57A8" w:rsidP="00DC57A8">
      <w:pPr>
        <w:spacing w:line="360" w:lineRule="auto"/>
        <w:ind w:firstLine="720"/>
      </w:pPr>
      <w:r w:rsidRPr="00DC57A8">
        <w:t xml:space="preserve">Post-deformation analysis of samples in photomicrograph and via BSE from SEM data collection show changes in fabric strength with increased total strain. Total strain (γ/ε) and stress (σ) for all experiments is in Table 2.3, along with the calculated viscosity based on the axial equivalent differential stresses and strain rates </w:t>
      </w:r>
      <w:r w:rsidRPr="00DC57A8">
        <w:fldChar w:fldCharType="begin" w:fldLock="1"/>
      </w:r>
      <w:r w:rsidRPr="00DC57A8">
        <w:instrText>ADDIN CSL_CITATION {"citationItems":[{"id":"ITEM-1","itemData":{"DOI":"10.1016/S0191-8141(00)00042-0","ISSN":"01918141","abstract":"Experiments performed to high strains in simple shear are necessary to resolve many important problems in rock deformation, including the simulation of non-coaxial deformation, the exploration of the influence of strain on rheology, and the development of mineral segregation, dynamic recrystallisation, and other aspects of microstructure. Using a new torsion system we are able to simulate both the high strains and the simple shear style commonly observed in naturally deformed rocks, and to make accurate measurements of shear stress, strain and strain rate at high temperatures and pressures. The torsion system, which is described briefly, is based on a standard gas-medium high-pressure high-temperature triaxial deformation machine to which has been added an additional module allowing rotary shear of a cylindrical specimen. In this paper, we discuss procedures for carrying out torsion tests and we analyse the mechanics of torsional deformation. We show how to extract information about the rheological parameters from the torque-twist data, and how to deal with the problems posed by the variation of strain within a cylindrical specimen. Procedures for microstructural studies are also set out. Finally, some results on calcite rocks are given to illustrate the application of torsion tests. (C) 2000 Elsevier Science Ltd. All rights reserved.","author":[{"dropping-particle":"","family":"Paterson","given":"M. S.","non-dropping-particle":"","parse-names":false,"suffix":""},{"dropping-particle":"","family":"Olgaard","given":"D. L.","non-dropping-particle":"","parse-names":false,"suffix":""}],"container-title":"Journal of Structural Geology","id":"ITEM-1","issue":"9","issued":{"date-parts":[["2000"]]},"page":"1341-1358","title":"Rock deformation tests to large shear strains in torsion","type":"article-journal","volume":"22"},"uris":["http://www.mendeley.com/documents/?uuid=a4374a70-6a7d-4c0b-a7ef-61bf0e00fefc"]}],"mendeley":{"formattedCitation":"(Paterson &amp; Olgaard, 2000)","plainTextFormattedCitation":"(Paterson &amp; Olgaard, 2000)","previouslyFormattedCitation":"(Paterson &amp; Olgaard, 2000)"},"properties":{"noteIndex":0},"schema":"https://github.com/citation-style-language/schema/raw/master/csl-citation.json"}</w:instrText>
      </w:r>
      <w:r w:rsidRPr="00DC57A8">
        <w:fldChar w:fldCharType="separate"/>
      </w:r>
      <w:r w:rsidRPr="00DC57A8">
        <w:rPr>
          <w:noProof/>
        </w:rPr>
        <w:t>(Paterson &amp; Olgaard, 2000)</w:t>
      </w:r>
      <w:r w:rsidRPr="00DC57A8">
        <w:fldChar w:fldCharType="end"/>
      </w:r>
      <w:r w:rsidRPr="00DC57A8">
        <w:t xml:space="preserve">, the multiples of uniform distribution (MUD) range for each pole figure shown in Figure </w:t>
      </w:r>
      <w:r w:rsidR="00EB54E6">
        <w:t>2.</w:t>
      </w:r>
      <w:r w:rsidRPr="00DC57A8">
        <w:t xml:space="preserve">3, and M-index values relevant to each experiment that was analyzed with EBSD.  </w:t>
      </w:r>
    </w:p>
    <w:p w14:paraId="22703A8A" w14:textId="4BE5236F" w:rsidR="00DC57A8" w:rsidRPr="006709E2" w:rsidRDefault="002060AF" w:rsidP="006709E2">
      <w:pPr>
        <w:pStyle w:val="Style1"/>
        <w:spacing w:before="0" w:line="360" w:lineRule="auto"/>
      </w:pPr>
      <w:bookmarkStart w:id="91" w:name="_Toc109036162"/>
      <w:r w:rsidRPr="006709E2">
        <w:t xml:space="preserve">5.2.1 </w:t>
      </w:r>
      <w:r w:rsidR="00DC57A8" w:rsidRPr="006709E2">
        <w:t>Olivine trends</w:t>
      </w:r>
      <w:bookmarkEnd w:id="91"/>
    </w:p>
    <w:p w14:paraId="46828990" w14:textId="3F81DB24" w:rsidR="00DC57A8" w:rsidRPr="00DC57A8" w:rsidRDefault="00DC57A8" w:rsidP="00DC57A8">
      <w:pPr>
        <w:spacing w:line="360" w:lineRule="auto"/>
        <w:ind w:firstLine="720"/>
      </w:pPr>
      <w:r w:rsidRPr="00DC57A8">
        <w:t>Olivine CPOs for (100), (010), and (001) were used to compare to the fabric-types outlined in Figure 1 of Bernard et al. (2019). In the low strain 10:90 ilm</w:t>
      </w:r>
      <w:proofErr w:type="gramStart"/>
      <w:r w:rsidRPr="00DC57A8">
        <w:t>40:SCO</w:t>
      </w:r>
      <w:proofErr w:type="gramEnd"/>
      <w:r w:rsidRPr="00DC57A8">
        <w:t xml:space="preserve"> sample, LMO-002, fabric development is weak in all planes, but most pronounced in the (010). In the high strain 10:90 ilm</w:t>
      </w:r>
      <w:proofErr w:type="gramStart"/>
      <w:r w:rsidRPr="00DC57A8">
        <w:t>40:SCO</w:t>
      </w:r>
      <w:proofErr w:type="gramEnd"/>
      <w:r w:rsidRPr="00DC57A8">
        <w:t xml:space="preserve"> sample, LMO-003, fabric development is strongest in the (010) plane parallel to the shear direction and is also evident in (100) normal to the shear direction. The grain geometry of both 10:90 samples is shown in grain area and aspect ratio maps in Supplemental Figure </w:t>
      </w:r>
      <w:r w:rsidR="00EB54E6">
        <w:t>2.</w:t>
      </w:r>
      <w:r w:rsidRPr="00DC57A8">
        <w:t xml:space="preserve">6, with ilmenite and olivine in separate maps. The higher strain sample appears to show higher grain elongation in the direction of shear for ilmenite, while grain shape is less elongate in the low strain sample. This visual interpretation is not seen between histograms of the two samples </w:t>
      </w:r>
      <w:r w:rsidRPr="00DC57A8">
        <w:lastRenderedPageBreak/>
        <w:t>aspect ratios. Based on the M-index for both 10:90 samples, fabric development is stronger in SCO with higher accumulated strain, and in samples with higher percentages of SCO.</w:t>
      </w:r>
    </w:p>
    <w:p w14:paraId="18E43374" w14:textId="45697066" w:rsidR="00DC57A8" w:rsidRPr="00DC57A8" w:rsidRDefault="00DC57A8" w:rsidP="00DC57A8">
      <w:pPr>
        <w:spacing w:line="360" w:lineRule="auto"/>
        <w:ind w:firstLine="720"/>
      </w:pPr>
      <w:r w:rsidRPr="00DC57A8">
        <w:t xml:space="preserve">Based on total accumulated strain (γ/ε), the olivine containing samples run on EBSD show increasingly defined CPOs especially in the [010] axes. Girdling can also be seen in the [100] and [001] axes CPO, as shown in Figure </w:t>
      </w:r>
      <w:r w:rsidR="00EB54E6">
        <w:t>2.</w:t>
      </w:r>
      <w:r w:rsidRPr="00DC57A8">
        <w:t>3. Between the 10:90 ilm</w:t>
      </w:r>
      <w:proofErr w:type="gramStart"/>
      <w:r w:rsidRPr="00DC57A8">
        <w:t>40:SCO</w:t>
      </w:r>
      <w:proofErr w:type="gramEnd"/>
      <w:r w:rsidRPr="00DC57A8">
        <w:t xml:space="preserve"> and lower proportion SCO samples, the (010) plane rotates around the C-axis by approximately 45° to 90°.  </w:t>
      </w:r>
    </w:p>
    <w:p w14:paraId="0596B054" w14:textId="7E45650C" w:rsidR="00DC57A8" w:rsidRPr="006709E2" w:rsidRDefault="002060AF" w:rsidP="006709E2">
      <w:pPr>
        <w:pStyle w:val="Style1"/>
        <w:spacing w:before="0" w:line="360" w:lineRule="auto"/>
      </w:pPr>
      <w:bookmarkStart w:id="92" w:name="_Toc109036163"/>
      <w:r w:rsidRPr="006709E2">
        <w:t xml:space="preserve">5.2.2 </w:t>
      </w:r>
      <w:r w:rsidR="00DC57A8" w:rsidRPr="006709E2">
        <w:t>Ilmenite trends</w:t>
      </w:r>
      <w:bookmarkEnd w:id="92"/>
    </w:p>
    <w:p w14:paraId="00F72910" w14:textId="086DF28F" w:rsidR="00DC57A8" w:rsidRPr="00DC57A8" w:rsidRDefault="00DC57A8" w:rsidP="00DC57A8">
      <w:pPr>
        <w:spacing w:line="360" w:lineRule="auto"/>
        <w:ind w:firstLine="720"/>
      </w:pPr>
      <w:r w:rsidRPr="00DC57A8">
        <w:t xml:space="preserve">To compare the orientation trends of ilmenite, c-axis, basal-plane was plotted in CPOs based on recent studies of ilmenite inclusions and single crystals </w:t>
      </w:r>
      <w:r w:rsidRPr="00DC57A8">
        <w:fldChar w:fldCharType="begin" w:fldLock="1"/>
      </w:r>
      <w:r w:rsidRPr="00DC57A8">
        <w:instrText>ADDIN CSL_CITATION {"citationItems":[{"id":"ITEM-1","itemData":{"DOI":"10.1007/s00269-020-01122-6","ISBN":"0026902001","ISSN":"14322021","abstract":"We performed deformation experiments on dry natural single crystals of magnetite and ilmenite to determine the rheological behavior of these oxide minerals as a function of temperature, orientation, and oxygen fugacity. Samples were deformed at temperatures of 825–1150 </w:instrText>
      </w:r>
      <w:r w:rsidRPr="00DC57A8">
        <w:rPr>
          <w:rFonts w:ascii="Cambria Math" w:hAnsi="Cambria Math" w:cs="Cambria Math"/>
        </w:rPr>
        <w:instrText>∘</w:instrText>
      </w:r>
      <w:r w:rsidRPr="00DC57A8">
        <w:instrText>C to axial strains of up to 15–24% under approximately constant stress conditions up to 120 MPa in a dead-load-type creep rig at ambient pressure in a controlled gas atmosphere. Oxygen fugacity ranged from 10- 9.4 to 10- 4 atm. Ilmenite creep was insensitive to oxygen fugacity, while magnetite displayed a strong, non-monotonic oxygen fugacity dependence, with creep rates varying as fO2-0.7 and fO20.4 at more reducing and more oxidizing conditions, respectively. Dislocation creep rates of magnetite single crystals were weakly dependent on crystallographic orientation with stress exponents that varied between 2.8 and 4.3 (mean 3.5 ± 0.4). Magnetite compressed parallel to &lt;100&gt;, &lt;110&gt;, and &lt;111&gt; axes exhibited apparent activation energies of 315±5, 345±30, and 290±5 kJ/mol, respectively. We estimated fO2-independent magnetite activation energies of 715 ± 150, 725 ± 145, and 690 ± 150 kJ/mol for &lt;100&gt;, &lt;110&gt;, and &lt;111&gt; orientations, respectively, in the region of negative fO2-dependence. Ilmenite single crystals were compressed parallel, normal, and inclined to the c-axis. Stress exponents of 3.4, 4.3, and 3.9 indicate dislocation creep with activation energies of 420 ± 35, 345 ± 30, and 360 ± 40 kJ/mol, respectively, for these orientations. Mechanical anisotropy in ilmenite is notably higher than in magnetite, as expected from its lower crystal symmetry. Constitutive equations were formulated for ilmenite and magnetite creep.","author":[{"dropping-particle":"","family":"Till","given":"J. L.","non-dropping-particle":"","parse-names":false,"suffix":""},{"dropping-particle":"","family":"Rybacki","given":"E.","non-dropping-particle":"","parse-names":false,"suffix":""}],"container-title":"Physics and Chemistry of Minerals","id":"ITEM-1","issue":"12","issued":{"date-parts":[["2020"]]},"page":"1-16","publisher":"Springer Berlin Heidelberg","title":"High-temperature creep of magnetite and ilmenite single crystals","type":"article-journal","volume":"47"},"uris":["http://www.mendeley.com/documents/?uuid=51568837-4777-4002-aba8-3fab03c85077"]},{"id":"ITEM-2","itemData":{"DOI":"10.2138/am-2016-5442","ISSN":"19453027","abstract":"Crystallographic orientation relationships (CORs) between mineral inclusions and their hosts could potentially deliver information about inclusion formation processes and conditions. Most previous studies are based on small numbers of analyses. This paper uses EBSD to study host-inclusion CORs in an inclusion-rich Permian metapegmatite garnet (Koralpe region, Eastern Alps, Austria), demonstrating the importance of large data sets and of EBSD in particular for the analysis of CORs. The distribution of measured orientations reflects host garnet point group symmetry for 89% of inclusions analyzed (total N = 530). Each inclusion phase (rutile, corundum, and ilmenite) shows at least three different CORs to host garnet. \"Statistical\" CORs are introduced to describe distributions of inclusion orientations that have one or two degrees of freedom with respect to the host, but still reflect host crystal symmetry. Two end-member characteristics of statistical CORs are distinguished: rotation and dispersion. Most statistical CORs observed show a mixture of both. Each inclusion phase shows at least one statistical COR. Multiple coexisting CORs and statistical CORs are not restricted to rutile. Re-examination of previous garnet-rutile COR studies in light of the new results indicates that COR information may have been overlooked when using small data sets. Variation in COR parameters correlates with broad differences in assumed metamorphic conditions for new and literature samples, suggesting that petrogenetic information may be available if COR formation can be understood. The favorability of the detected CORs cannot be explained by a simple model involving minimization of misfit between lattice planes, implying that other interface properties or the inclusion formation mechanism are important controls on COR development.","author":[{"dropping-particle":"","family":"Griffiths","given":"Thomas A.","non-dropping-particle":"","parse-names":false,"suffix":""},{"dropping-particle":"","family":"Habler","given":"Gerlinde","non-dropping-particle":"","parse-names":false,"suffix":""},{"dropping-particle":"","family":"Abart","given":"Rainer","non-dropping-particle":"","parse-names":false,"suffix":""}],"container-title":"American Mineralogist","id":"ITEM-2","issue":"3","issued":{"date-parts":[["2016"]]},"page":"690-705","title":"Crystallographic orientation relationships in host-inclusion systems: New insights from large EBSD data sets","type":"article-journal","volume":"101"},"uris":["http://www.mendeley.com/documents/?uuid=4cbae636-139c-4fde-9d02-7b4c270062d8"]}],"mendeley":{"formattedCitation":"(Griffiths et al., 2016; J. L. Till &amp; Rybacki, 2020)","plainTextFormattedCitation":"(Griffiths et al., 2016; J. L. Till &amp; Rybacki, 2020)","previouslyFormattedCitation":"(Griffiths et al., 2016; J. L. Till &amp; Rybacki, 2020)"},"properties":{"noteIndex":0},"schema":"https://github.com/citation-style-language/schema/raw/master/csl-citation.json"}</w:instrText>
      </w:r>
      <w:r w:rsidRPr="00DC57A8">
        <w:fldChar w:fldCharType="separate"/>
      </w:r>
      <w:r w:rsidRPr="00DC57A8">
        <w:rPr>
          <w:noProof/>
        </w:rPr>
        <w:t>(Griffiths et al., 2016; J. L. Till &amp; Rybacki, 2020)</w:t>
      </w:r>
      <w:r w:rsidRPr="00DC57A8">
        <w:fldChar w:fldCharType="end"/>
      </w:r>
      <w:r w:rsidRPr="00DC57A8">
        <w:t xml:space="preserve">. Comparison of the basal plane orientation (0001) of ilmenite in all samples that were analyzed with EBSD shows CPO strengthening for the samples with 25% - 100% ilmenite. As seen in column one of Figure </w:t>
      </w:r>
      <w:r w:rsidR="00EB54E6">
        <w:t>2.</w:t>
      </w:r>
      <w:r w:rsidRPr="00DC57A8">
        <w:t xml:space="preserve">3, sample LMO-001 shows well defined poles in the (0001) plane. For comparison between samples, the same multiples of uniform distribution (MUD) color scale </w:t>
      </w:r>
      <w:proofErr w:type="gramStart"/>
      <w:r w:rsidRPr="00DC57A8">
        <w:t>was</w:t>
      </w:r>
      <w:proofErr w:type="gramEnd"/>
      <w:r w:rsidRPr="00DC57A8">
        <w:t xml:space="preserve"> used between 0 and 5, but the maximum for LMO-001 was much greater than all other samples when plotted individually, at 19, and the MUD range for all sample pole figures can be found in Table 2.3. While some fabric development occurs in ilmenite (0001) between the low- and high-strain samples of 10:90 ilm</w:t>
      </w:r>
      <w:proofErr w:type="gramStart"/>
      <w:r w:rsidRPr="00DC57A8">
        <w:t>40:SCO</w:t>
      </w:r>
      <w:proofErr w:type="gramEnd"/>
      <w:r w:rsidRPr="00DC57A8">
        <w:t xml:space="preserve">, the CPO is significantly less pronounced than in similar total strain samples with higher ilm40 contents, as seen in the M-index values listed in Table 2.3. </w:t>
      </w:r>
    </w:p>
    <w:p w14:paraId="24EEF42D" w14:textId="77777777" w:rsidR="00DC57A8" w:rsidRPr="00DC57A8" w:rsidRDefault="00DC57A8" w:rsidP="00DC57A8">
      <w:pPr>
        <w:spacing w:line="360" w:lineRule="auto"/>
        <w:ind w:firstLine="720"/>
      </w:pPr>
      <w:r w:rsidRPr="00DC57A8">
        <w:t xml:space="preserve">The transition in M-index values for ilmenite between 25:72 and 10:90 could signify a shift in dominant rheology of the system from ilm40 to SCO between those values. With decreasing volume percentages of ilmenite, below 25%, the deformation may be rapidly taken up in the stronger phase. This observation necessitates more experiments in the volume fraction ilm40 range of 25% to 0% </w:t>
      </w:r>
      <w:proofErr w:type="gramStart"/>
      <w:r w:rsidRPr="00DC57A8">
        <w:t>in order to</w:t>
      </w:r>
      <w:proofErr w:type="gramEnd"/>
      <w:r w:rsidRPr="00DC57A8">
        <w:t xml:space="preserve"> quantify the transition between ilm40 to SCO dominated aggregate rheology. </w:t>
      </w:r>
    </w:p>
    <w:p w14:paraId="7E1A2003" w14:textId="5AC821B8" w:rsidR="00DC57A8" w:rsidRPr="002060AF" w:rsidRDefault="002060AF" w:rsidP="002060AF">
      <w:pPr>
        <w:pStyle w:val="Heading2"/>
      </w:pPr>
      <w:bookmarkStart w:id="93" w:name="_Toc109036164"/>
      <w:r>
        <w:lastRenderedPageBreak/>
        <w:t xml:space="preserve">6. </w:t>
      </w:r>
      <w:r w:rsidR="00DC57A8" w:rsidRPr="00DC57A8">
        <w:t>Summary and Conclusions</w:t>
      </w:r>
      <w:bookmarkEnd w:id="93"/>
    </w:p>
    <w:p w14:paraId="4B4B0B3D" w14:textId="77777777" w:rsidR="00DC57A8" w:rsidRPr="00DC57A8" w:rsidRDefault="00DC57A8" w:rsidP="00DC57A8">
      <w:pPr>
        <w:spacing w:line="360" w:lineRule="auto"/>
        <w:ind w:firstLine="720"/>
      </w:pPr>
      <w:r w:rsidRPr="00DC57A8">
        <w:t>Based on the mechanical data results of samples LMO-001, LMO-002, LMO-003, LMO-004, LMO-005, LMO-010, and LMO-011, combined with the EBSD data from LMO-001, LMO-002, LMO-003, LMO-004 and LMO-005, there is no clear preference to point to for refining an ilm</w:t>
      </w:r>
      <w:proofErr w:type="gramStart"/>
      <w:r w:rsidRPr="00DC57A8">
        <w:t>40:SCO</w:t>
      </w:r>
      <w:proofErr w:type="gramEnd"/>
      <w:r w:rsidRPr="00DC57A8">
        <w:t xml:space="preserve"> aggregate flow law to represent the rheology of the system. With an increased density of mechanical data at ilm</w:t>
      </w:r>
      <w:proofErr w:type="gramStart"/>
      <w:r w:rsidRPr="00DC57A8">
        <w:t>40:SCO</w:t>
      </w:r>
      <w:proofErr w:type="gramEnd"/>
      <w:r w:rsidRPr="00DC57A8">
        <w:t xml:space="preserve"> ratios between 50:50 and 0:100, it should be possible to move towards determining the dominant phase controlling deformation, and possibly parameterizing an aggregate flow law. Future work, including analyses the C</w:t>
      </w:r>
      <w:r w:rsidRPr="00DC57A8">
        <w:rPr>
          <w:vertAlign w:val="subscript"/>
        </w:rPr>
        <w:t>OH</w:t>
      </w:r>
      <w:r w:rsidRPr="00DC57A8">
        <w:t xml:space="preserve"> of SCO used in these experiments using FTIR and refinement of the experimental setup to allow for longer deformation without thermocouple failure, would give better resolution in the trend of the mixing rheology. </w:t>
      </w:r>
    </w:p>
    <w:p w14:paraId="18FAF3DC" w14:textId="77777777" w:rsidR="00DC57A8" w:rsidRPr="00DC57A8" w:rsidRDefault="00DC57A8" w:rsidP="00DC57A8">
      <w:pPr>
        <w:spacing w:line="360" w:lineRule="auto"/>
        <w:ind w:firstLine="720"/>
      </w:pPr>
      <w:r w:rsidRPr="00DC57A8">
        <w:t xml:space="preserve">Based on the EBSD analyses of the spectrum of aggregate ratios, the development of strong CPOs in ilmenite appears to decay at an ilmenite content less than 25%. This is seen in the ilmenite (0001) CPOs for both 10:90 experiments, where, despite significant differences between total accumulated strain, there is only a small change in the M-index values, compared to the samples with higher volume fractions of ilmenite.  </w:t>
      </w:r>
    </w:p>
    <w:p w14:paraId="6E6A0A72" w14:textId="77777777" w:rsidR="00DC57A8" w:rsidRPr="00DC57A8" w:rsidRDefault="00DC57A8" w:rsidP="00DC57A8">
      <w:pPr>
        <w:spacing w:line="360" w:lineRule="auto"/>
        <w:ind w:firstLine="720"/>
      </w:pPr>
      <w:r w:rsidRPr="00DC57A8">
        <w:t>The results of the Griggs-apparatus experiments and corresponding microstructural analysis of select samples in this study lead us to the following conclusions:</w:t>
      </w:r>
    </w:p>
    <w:p w14:paraId="751FBB36" w14:textId="77777777" w:rsidR="00DC57A8" w:rsidRPr="00DC57A8" w:rsidRDefault="00DC57A8" w:rsidP="00DC57A8">
      <w:pPr>
        <w:numPr>
          <w:ilvl w:val="0"/>
          <w:numId w:val="18"/>
        </w:numPr>
        <w:spacing w:after="160" w:line="360" w:lineRule="auto"/>
      </w:pPr>
      <w:r w:rsidRPr="00DC57A8">
        <w:t xml:space="preserve">the aggregate flow law model of Tullis et al., (1991) could be a good first order approximation of the strength of ilm40 and SCO aggregate rocks in shear, given more refinement on the end-member flow </w:t>
      </w:r>
      <w:proofErr w:type="gramStart"/>
      <w:r w:rsidRPr="00DC57A8">
        <w:t>laws;</w:t>
      </w:r>
      <w:proofErr w:type="gramEnd"/>
    </w:p>
    <w:p w14:paraId="5D5DF3F0" w14:textId="77777777" w:rsidR="00DC57A8" w:rsidRPr="00DC57A8" w:rsidRDefault="00DC57A8" w:rsidP="00DC57A8">
      <w:pPr>
        <w:numPr>
          <w:ilvl w:val="0"/>
          <w:numId w:val="18"/>
        </w:numPr>
        <w:spacing w:after="160" w:line="360" w:lineRule="auto"/>
      </w:pPr>
      <w:r w:rsidRPr="00DC57A8">
        <w:t>shear deformation of samples causes weakening compared to axial compression constrained flow laws in both ilm40 and SCO, as had been observed by previous studies.</w:t>
      </w:r>
    </w:p>
    <w:p w14:paraId="7864189F" w14:textId="77777777" w:rsidR="00DC57A8" w:rsidRPr="00DC57A8" w:rsidRDefault="00DC57A8" w:rsidP="00DC57A8">
      <w:pPr>
        <w:spacing w:line="360" w:lineRule="auto"/>
        <w:ind w:firstLine="720"/>
      </w:pPr>
      <w:r w:rsidRPr="00DC57A8">
        <w:t xml:space="preserve">Further experiments in the aggregate ratios of 50:50 to 0:100 could help to constrain a robust aggregate flow law and inform future work on material strength in mantle-relevant conditions. </w:t>
      </w:r>
    </w:p>
    <w:p w14:paraId="211ACDCD" w14:textId="77777777" w:rsidR="00323A92" w:rsidRPr="00AC3D41" w:rsidRDefault="00323A92" w:rsidP="00323A92">
      <w:pPr>
        <w:pStyle w:val="Heading2"/>
        <w:spacing w:line="360" w:lineRule="auto"/>
      </w:pPr>
      <w:bookmarkStart w:id="94" w:name="_Toc109036165"/>
      <w:r>
        <w:lastRenderedPageBreak/>
        <w:t xml:space="preserve">7. </w:t>
      </w:r>
      <w:r w:rsidRPr="00AC3D41">
        <w:t>Acknowledgments, Samples, and Data</w:t>
      </w:r>
      <w:bookmarkEnd w:id="94"/>
    </w:p>
    <w:p w14:paraId="3A8DC34D" w14:textId="482A1429" w:rsidR="00DC57A8" w:rsidRDefault="00323A92" w:rsidP="00C165AD">
      <w:pPr>
        <w:pStyle w:val="BodyTextFirstIndent"/>
        <w:spacing w:line="360" w:lineRule="auto"/>
        <w:sectPr w:rsidR="00DC57A8" w:rsidSect="009F28D1">
          <w:pgSz w:w="12240" w:h="15840"/>
          <w:pgMar w:top="1440" w:right="1440" w:bottom="1440" w:left="1440" w:header="720" w:footer="1440" w:gutter="0"/>
          <w:cols w:space="720"/>
          <w:docGrid w:linePitch="360"/>
        </w:sectPr>
      </w:pPr>
      <w:r>
        <w:t>This project was funded by a Solar Systems Workings NASA Grant 80NSSC18K0249 to GH (PI), ND (Co-PI) &amp; YL (Co-PI). We would like to acknowledge the invaluable assistance of Eric Burdette and Ningli Zhao during experimental work at Brown Universit</w:t>
      </w:r>
      <w:r w:rsidR="00C165AD">
        <w:t>y.</w:t>
      </w:r>
    </w:p>
    <w:p w14:paraId="034887C5" w14:textId="7BD487FD" w:rsidR="004738DA" w:rsidRPr="004738DA" w:rsidRDefault="00DA4466" w:rsidP="00EB54E6">
      <w:pPr>
        <w:pStyle w:val="Heading2"/>
        <w:spacing w:line="360" w:lineRule="auto"/>
      </w:pPr>
      <w:bookmarkStart w:id="95" w:name="_Toc109036166"/>
      <w:bookmarkEnd w:id="61"/>
      <w:bookmarkEnd w:id="62"/>
      <w:r w:rsidRPr="00C14FC8">
        <w:lastRenderedPageBreak/>
        <w:t>References</w:t>
      </w:r>
      <w:bookmarkEnd w:id="95"/>
    </w:p>
    <w:bookmarkStart w:id="96" w:name="_Hlk92126454"/>
    <w:p w14:paraId="2553BE03" w14:textId="77777777" w:rsidR="00323A92" w:rsidRPr="00323A92" w:rsidRDefault="00323A92" w:rsidP="00EB54E6">
      <w:pPr>
        <w:widowControl w:val="0"/>
        <w:autoSpaceDE w:val="0"/>
        <w:autoSpaceDN w:val="0"/>
        <w:adjustRightInd w:val="0"/>
        <w:spacing w:line="360" w:lineRule="auto"/>
        <w:ind w:left="480" w:hanging="480"/>
        <w:rPr>
          <w:noProof/>
        </w:rPr>
      </w:pPr>
      <w:r w:rsidRPr="00323A92">
        <w:fldChar w:fldCharType="begin" w:fldLock="1"/>
      </w:r>
      <w:r w:rsidRPr="00323A92">
        <w:instrText xml:space="preserve">ADDIN Mendeley Bibliography CSL_BIBLIOGRAPHY </w:instrText>
      </w:r>
      <w:r w:rsidRPr="00323A92">
        <w:fldChar w:fldCharType="separate"/>
      </w:r>
      <w:r w:rsidRPr="00323A92">
        <w:rPr>
          <w:noProof/>
        </w:rPr>
        <w:t xml:space="preserve">Andersen, D. J., &amp; Lindsley, D. H. (1979). The olivine-ilmenite thermometer. </w:t>
      </w:r>
      <w:r w:rsidRPr="00323A92">
        <w:rPr>
          <w:i/>
          <w:iCs/>
          <w:noProof/>
        </w:rPr>
        <w:t>Lunar Planetary Science Conference</w:t>
      </w:r>
      <w:r w:rsidRPr="00323A92">
        <w:rPr>
          <w:noProof/>
        </w:rPr>
        <w:t xml:space="preserve">, </w:t>
      </w:r>
      <w:r w:rsidRPr="00323A92">
        <w:rPr>
          <w:i/>
          <w:iCs/>
          <w:noProof/>
        </w:rPr>
        <w:t>10</w:t>
      </w:r>
      <w:r w:rsidRPr="00323A92">
        <w:rPr>
          <w:noProof/>
        </w:rPr>
        <w:t>, 493–507. https://doi.org/1979LPSC...10..493A</w:t>
      </w:r>
    </w:p>
    <w:p w14:paraId="18AD4FA2"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Bachmann, F., Hielscher, R., &amp; Schaeben, H. (2011). Grain detection from 2d and 3d EBSD data-Specification of the MTEX algorithm. </w:t>
      </w:r>
      <w:r w:rsidRPr="00323A92">
        <w:rPr>
          <w:i/>
          <w:iCs/>
          <w:noProof/>
        </w:rPr>
        <w:t>Ultramicroscopy</w:t>
      </w:r>
      <w:r w:rsidRPr="00323A92">
        <w:rPr>
          <w:noProof/>
        </w:rPr>
        <w:t xml:space="preserve">, </w:t>
      </w:r>
      <w:r w:rsidRPr="00323A92">
        <w:rPr>
          <w:i/>
          <w:iCs/>
          <w:noProof/>
        </w:rPr>
        <w:t>111</w:t>
      </w:r>
      <w:r w:rsidRPr="00323A92">
        <w:rPr>
          <w:noProof/>
        </w:rPr>
        <w:t>(12), 1720–1733. https://doi.org/10.1016/j.ultramic.2011.08.002</w:t>
      </w:r>
    </w:p>
    <w:p w14:paraId="4BD4CBD3"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Bell, D. R., Rossman, G. R., Maldener, J., Endisch, D., &amp; Rauch, F. (2003). Hydroxide in olivine: A quantitative determination of the absolute amount and calibration of the IR spectrum. </w:t>
      </w:r>
      <w:r w:rsidRPr="00323A92">
        <w:rPr>
          <w:i/>
          <w:iCs/>
          <w:noProof/>
        </w:rPr>
        <w:t>Journal of Geophysical Research: Solid Earth</w:t>
      </w:r>
      <w:r w:rsidRPr="00323A92">
        <w:rPr>
          <w:noProof/>
        </w:rPr>
        <w:t xml:space="preserve">, </w:t>
      </w:r>
      <w:r w:rsidRPr="00323A92">
        <w:rPr>
          <w:i/>
          <w:iCs/>
          <w:noProof/>
        </w:rPr>
        <w:t>108</w:t>
      </w:r>
      <w:r w:rsidRPr="00323A92">
        <w:rPr>
          <w:noProof/>
        </w:rPr>
        <w:t>(B2), 1–9. https://doi.org/10.1029/2001jb000679</w:t>
      </w:r>
    </w:p>
    <w:p w14:paraId="3D9C2C8D"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Bernard, R. E., Behr, W. M., Becker, T. W., &amp; Young, D. J. (2019). Relationships Between Olivine CPO and Deformation Parameters in Naturally Deformed Rocks and Implications for Mantle Seismic Anisotropy. </w:t>
      </w:r>
      <w:r w:rsidRPr="00323A92">
        <w:rPr>
          <w:i/>
          <w:iCs/>
          <w:noProof/>
        </w:rPr>
        <w:t>Geochemistry, Geophysics, Geosystems</w:t>
      </w:r>
      <w:r w:rsidRPr="00323A92">
        <w:rPr>
          <w:noProof/>
        </w:rPr>
        <w:t>. https://doi.org/10.1029/2019gc008289</w:t>
      </w:r>
    </w:p>
    <w:p w14:paraId="2B660154"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Bevillard, B., Richard, G., &amp; Raimbourg, H. (2019). Rock Strength and Texture Evolution During Deformation in the Earth’s Ductile Lithosphere: A Two-Phase Thermodynamics Model. </w:t>
      </w:r>
      <w:r w:rsidRPr="00323A92">
        <w:rPr>
          <w:i/>
          <w:iCs/>
          <w:noProof/>
        </w:rPr>
        <w:t>Geochemistry, Geophysics, Geosystems</w:t>
      </w:r>
      <w:r w:rsidRPr="00323A92">
        <w:rPr>
          <w:noProof/>
        </w:rPr>
        <w:t xml:space="preserve">, </w:t>
      </w:r>
      <w:r w:rsidRPr="00323A92">
        <w:rPr>
          <w:i/>
          <w:iCs/>
          <w:noProof/>
        </w:rPr>
        <w:t>20</w:t>
      </w:r>
      <w:r w:rsidRPr="00323A92">
        <w:rPr>
          <w:noProof/>
        </w:rPr>
        <w:t>(2), 1095–1137. https://doi.org/10.1029/2018GC007881</w:t>
      </w:r>
    </w:p>
    <w:p w14:paraId="034DC0C5"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Dygert, N., Hirth, G., &amp; Liang, Y. (2016). A flow law for ilmenite in dislocation creep: Implications for lunar cumulate mantle overturn. </w:t>
      </w:r>
      <w:r w:rsidRPr="00323A92">
        <w:rPr>
          <w:i/>
          <w:iCs/>
          <w:noProof/>
        </w:rPr>
        <w:t>Geophysical Research Letters</w:t>
      </w:r>
      <w:r w:rsidRPr="00323A92">
        <w:rPr>
          <w:noProof/>
        </w:rPr>
        <w:t xml:space="preserve">, </w:t>
      </w:r>
      <w:r w:rsidRPr="00323A92">
        <w:rPr>
          <w:i/>
          <w:iCs/>
          <w:noProof/>
        </w:rPr>
        <w:t>43</w:t>
      </w:r>
      <w:r w:rsidRPr="00323A92">
        <w:rPr>
          <w:noProof/>
        </w:rPr>
        <w:t>(2), 532–540. https://doi.org/10.1002/2015GL066546</w:t>
      </w:r>
    </w:p>
    <w:p w14:paraId="58E90375"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Faul, U. H., Cline, C. J., David, E. C., Berry, A. J., &amp; Jackson, I. (2016). Titanium-hydroxyl defect-controlled rheology of the Earth’s upper mantle. </w:t>
      </w:r>
      <w:r w:rsidRPr="00323A92">
        <w:rPr>
          <w:i/>
          <w:iCs/>
          <w:noProof/>
        </w:rPr>
        <w:t>Earth and Planetary Science Letters</w:t>
      </w:r>
      <w:r w:rsidRPr="00323A92">
        <w:rPr>
          <w:noProof/>
        </w:rPr>
        <w:t xml:space="preserve">, </w:t>
      </w:r>
      <w:r w:rsidRPr="00323A92">
        <w:rPr>
          <w:i/>
          <w:iCs/>
          <w:noProof/>
        </w:rPr>
        <w:t>452</w:t>
      </w:r>
      <w:r w:rsidRPr="00323A92">
        <w:rPr>
          <w:noProof/>
        </w:rPr>
        <w:t>, 227–237. https://doi.org/10.1016/j.epsl.2016.07.016</w:t>
      </w:r>
    </w:p>
    <w:p w14:paraId="7E367AB1"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Goetze, C., &amp; Poirier, J. P. (1978). The mechanisms of creep in olivine. </w:t>
      </w:r>
      <w:r w:rsidRPr="00323A92">
        <w:rPr>
          <w:i/>
          <w:iCs/>
          <w:noProof/>
        </w:rPr>
        <w:t>Philosophical Transactions of the Royal Society of London. Series A, Mathematical and Physical Sciences</w:t>
      </w:r>
      <w:r w:rsidRPr="00323A92">
        <w:rPr>
          <w:noProof/>
        </w:rPr>
        <w:t xml:space="preserve">, </w:t>
      </w:r>
      <w:r w:rsidRPr="00323A92">
        <w:rPr>
          <w:i/>
          <w:iCs/>
          <w:noProof/>
        </w:rPr>
        <w:t>288</w:t>
      </w:r>
      <w:r w:rsidRPr="00323A92">
        <w:rPr>
          <w:noProof/>
        </w:rPr>
        <w:t>(1350), 99–119. https://doi.org/10.1098/rsta.1978.0008</w:t>
      </w:r>
    </w:p>
    <w:p w14:paraId="0B0DCB52"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Gonçalves, C. C., Gonçalves, L., &amp; Hirth, G. (2015). The effects of quartz recrystallization and reaction on weak phase interconnection, strain localization and </w:t>
      </w:r>
      <w:r w:rsidRPr="00323A92">
        <w:rPr>
          <w:noProof/>
        </w:rPr>
        <w:lastRenderedPageBreak/>
        <w:t xml:space="preserve">evolution of microstructure. </w:t>
      </w:r>
      <w:r w:rsidRPr="00323A92">
        <w:rPr>
          <w:i/>
          <w:iCs/>
          <w:noProof/>
        </w:rPr>
        <w:t>Journal of Structural Geology</w:t>
      </w:r>
      <w:r w:rsidRPr="00323A92">
        <w:rPr>
          <w:noProof/>
        </w:rPr>
        <w:t xml:space="preserve">, </w:t>
      </w:r>
      <w:r w:rsidRPr="00323A92">
        <w:rPr>
          <w:i/>
          <w:iCs/>
          <w:noProof/>
        </w:rPr>
        <w:t>71</w:t>
      </w:r>
      <w:r w:rsidRPr="00323A92">
        <w:rPr>
          <w:noProof/>
        </w:rPr>
        <w:t>, 24–40. https://doi.org/10.1016/j.jsg.2014.11.010</w:t>
      </w:r>
    </w:p>
    <w:p w14:paraId="2B3DB55F"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Griffiths, T. A., Habler, G., &amp; Abart, R. (2016). Crystallographic orientation relationships in host-inclusion systems: New insights from large EBSD data sets. </w:t>
      </w:r>
      <w:r w:rsidRPr="00323A92">
        <w:rPr>
          <w:i/>
          <w:iCs/>
          <w:noProof/>
        </w:rPr>
        <w:t>American Mineralogist</w:t>
      </w:r>
      <w:r w:rsidRPr="00323A92">
        <w:rPr>
          <w:noProof/>
        </w:rPr>
        <w:t xml:space="preserve">, </w:t>
      </w:r>
      <w:r w:rsidRPr="00323A92">
        <w:rPr>
          <w:i/>
          <w:iCs/>
          <w:noProof/>
        </w:rPr>
        <w:t>101</w:t>
      </w:r>
      <w:r w:rsidRPr="00323A92">
        <w:rPr>
          <w:noProof/>
        </w:rPr>
        <w:t>(3), 690–705. https://doi.org/10.2138/am-2016-5442</w:t>
      </w:r>
    </w:p>
    <w:p w14:paraId="7963DA45"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Handy, M. R. (1990). The solid-state flow of polymineralic rocks. </w:t>
      </w:r>
      <w:r w:rsidRPr="00323A92">
        <w:rPr>
          <w:i/>
          <w:iCs/>
          <w:noProof/>
        </w:rPr>
        <w:t>Journal of Geophysical Research</w:t>
      </w:r>
      <w:r w:rsidRPr="00323A92">
        <w:rPr>
          <w:noProof/>
        </w:rPr>
        <w:t xml:space="preserve">, </w:t>
      </w:r>
      <w:r w:rsidRPr="00323A92">
        <w:rPr>
          <w:i/>
          <w:iCs/>
          <w:noProof/>
        </w:rPr>
        <w:t>95</w:t>
      </w:r>
      <w:r w:rsidRPr="00323A92">
        <w:rPr>
          <w:noProof/>
        </w:rPr>
        <w:t>(B6), 8647. https://doi.org/10.1029/JB095iB06p08647</w:t>
      </w:r>
    </w:p>
    <w:p w14:paraId="06B98454"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Handy, M. R. (1994). Flow laws for rocks containing two non-linear viscous phases: A phenomenological approach. </w:t>
      </w:r>
      <w:r w:rsidRPr="00323A92">
        <w:rPr>
          <w:i/>
          <w:iCs/>
          <w:noProof/>
        </w:rPr>
        <w:t>Journal of Structural Geology</w:t>
      </w:r>
      <w:r w:rsidRPr="00323A92">
        <w:rPr>
          <w:noProof/>
        </w:rPr>
        <w:t xml:space="preserve">, </w:t>
      </w:r>
      <w:r w:rsidRPr="00323A92">
        <w:rPr>
          <w:i/>
          <w:iCs/>
          <w:noProof/>
        </w:rPr>
        <w:t>16</w:t>
      </w:r>
      <w:r w:rsidRPr="00323A92">
        <w:rPr>
          <w:noProof/>
        </w:rPr>
        <w:t>(3), 287–301. https://doi.org/10.1016/0191-8141(94)90035-3</w:t>
      </w:r>
    </w:p>
    <w:p w14:paraId="1616365A"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Hansen, L. N., Zimmerman, M. E., &amp; Kohlstedt, D. L. (2011). Grain boundary sliding in San Carlos olivine: Flow law parameters and crystallographic-preferred orientation. </w:t>
      </w:r>
      <w:r w:rsidRPr="00323A92">
        <w:rPr>
          <w:i/>
          <w:iCs/>
          <w:noProof/>
        </w:rPr>
        <w:t>Journal of Geophysical Research: Solid Earth</w:t>
      </w:r>
      <w:r w:rsidRPr="00323A92">
        <w:rPr>
          <w:noProof/>
        </w:rPr>
        <w:t xml:space="preserve">, </w:t>
      </w:r>
      <w:r w:rsidRPr="00323A92">
        <w:rPr>
          <w:i/>
          <w:iCs/>
          <w:noProof/>
        </w:rPr>
        <w:t>116</w:t>
      </w:r>
      <w:r w:rsidRPr="00323A92">
        <w:rPr>
          <w:noProof/>
        </w:rPr>
        <w:t>(8), 1–16. https://doi.org/10.1029/2011JB008220</w:t>
      </w:r>
    </w:p>
    <w:p w14:paraId="6D2FD822"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Herwegh, M., Linckens, J., Ebert, A., Berger, A., &amp; Brodhag, S. H. (2011). The role of second phases for controlling microstructural evolution in polymineralic rocks: A review. </w:t>
      </w:r>
      <w:r w:rsidRPr="00323A92">
        <w:rPr>
          <w:i/>
          <w:iCs/>
          <w:noProof/>
        </w:rPr>
        <w:t>Journal of Structural Geology</w:t>
      </w:r>
      <w:r w:rsidRPr="00323A92">
        <w:rPr>
          <w:noProof/>
        </w:rPr>
        <w:t xml:space="preserve">, </w:t>
      </w:r>
      <w:r w:rsidRPr="00323A92">
        <w:rPr>
          <w:i/>
          <w:iCs/>
          <w:noProof/>
        </w:rPr>
        <w:t>33</w:t>
      </w:r>
      <w:r w:rsidRPr="00323A92">
        <w:rPr>
          <w:noProof/>
        </w:rPr>
        <w:t>(12), 1728–1750. https://doi.org/10.1016/j.jsg.2011.08.011</w:t>
      </w:r>
    </w:p>
    <w:p w14:paraId="5F838E74"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Hirth, G., &amp; Kohlstedt, D. L. (2003). Rheology of the upper mantle and the mantle wedge: A view from the experimentalists. In J. M. Eiler (Ed.), </w:t>
      </w:r>
      <w:r w:rsidRPr="00323A92">
        <w:rPr>
          <w:i/>
          <w:iCs/>
          <w:noProof/>
        </w:rPr>
        <w:t>Inside the Subduction Factory, Volume 138</w:t>
      </w:r>
      <w:r w:rsidRPr="00323A92">
        <w:rPr>
          <w:noProof/>
        </w:rPr>
        <w:t xml:space="preserve"> (pp. 83–105). American Geophysical Union. https://doi.org/10.1029/138GM06</w:t>
      </w:r>
    </w:p>
    <w:p w14:paraId="54FCECF4"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Holyoke-III, C. W. (2005). Strain weakening in crustal and upper mantle lithologies: processes and consequences. </w:t>
      </w:r>
      <w:r w:rsidRPr="00323A92">
        <w:rPr>
          <w:i/>
          <w:iCs/>
          <w:noProof/>
        </w:rPr>
        <w:t>Ph.D. Dissertation</w:t>
      </w:r>
      <w:r w:rsidRPr="00323A92">
        <w:rPr>
          <w:noProof/>
        </w:rPr>
        <w:t>, (May), 1–243. Retrieved from http://proquest.umi.com/pdf/ed318d8c64123dcc26a142066ba3e138/1314663180//share4/pqimage/pqirs101v/201108291942/40887/26838/out.pdf%5Cnpapers3://publication/uuid/CBCF8467-87D4-4C90-A046-0B6521715B07</w:t>
      </w:r>
    </w:p>
    <w:p w14:paraId="061B2D4D"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Huet, B., Yamato, P., &amp; Grasemann, B. (2014). The Minimized Power Geometric model: An analytical mixing model for calculating polyphase rock viscosities consistent with experimental data. </w:t>
      </w:r>
      <w:r w:rsidRPr="00323A92">
        <w:rPr>
          <w:i/>
          <w:iCs/>
          <w:noProof/>
        </w:rPr>
        <w:t>Journal of Geophysical Research: Solid Earth</w:t>
      </w:r>
      <w:r w:rsidRPr="00323A92">
        <w:rPr>
          <w:noProof/>
        </w:rPr>
        <w:t xml:space="preserve">, </w:t>
      </w:r>
      <w:r w:rsidRPr="00323A92">
        <w:rPr>
          <w:i/>
          <w:iCs/>
          <w:noProof/>
        </w:rPr>
        <w:t>119</w:t>
      </w:r>
      <w:r w:rsidRPr="00323A92">
        <w:rPr>
          <w:noProof/>
        </w:rPr>
        <w:t>(4), 3897–</w:t>
      </w:r>
      <w:r w:rsidRPr="00323A92">
        <w:rPr>
          <w:noProof/>
        </w:rPr>
        <w:lastRenderedPageBreak/>
        <w:t>3924. https://doi.org/10.1002/2013JB010453</w:t>
      </w:r>
    </w:p>
    <w:p w14:paraId="5BA5A296"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Jordan, P. G. (1987). The deformational behaviour of bimineralic limestone-halite aggregates. </w:t>
      </w:r>
      <w:r w:rsidRPr="00323A92">
        <w:rPr>
          <w:i/>
          <w:iCs/>
          <w:noProof/>
        </w:rPr>
        <w:t>Tectonophysics</w:t>
      </w:r>
      <w:r w:rsidRPr="00323A92">
        <w:rPr>
          <w:noProof/>
        </w:rPr>
        <w:t xml:space="preserve">, </w:t>
      </w:r>
      <w:r w:rsidRPr="00323A92">
        <w:rPr>
          <w:i/>
          <w:iCs/>
          <w:noProof/>
        </w:rPr>
        <w:t>135</w:t>
      </w:r>
      <w:r w:rsidRPr="00323A92">
        <w:rPr>
          <w:noProof/>
        </w:rPr>
        <w:t>(1–3), 185–197. https://doi.org/10.1016/0040-1951(87)90160-0</w:t>
      </w:r>
    </w:p>
    <w:p w14:paraId="7C5B367F"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Jung, H., &amp; Karato S. (2001). Water-Induced Fabric Transitions in Olivine. </w:t>
      </w:r>
      <w:r w:rsidRPr="00323A92">
        <w:rPr>
          <w:i/>
          <w:iCs/>
          <w:noProof/>
        </w:rPr>
        <w:t>Science</w:t>
      </w:r>
      <w:r w:rsidRPr="00323A92">
        <w:rPr>
          <w:noProof/>
        </w:rPr>
        <w:t xml:space="preserve">, </w:t>
      </w:r>
      <w:r w:rsidRPr="00323A92">
        <w:rPr>
          <w:i/>
          <w:iCs/>
          <w:noProof/>
        </w:rPr>
        <w:t>293</w:t>
      </w:r>
      <w:r w:rsidRPr="00323A92">
        <w:rPr>
          <w:noProof/>
        </w:rPr>
        <w:t>(5534), 1460–1463. https://doi.org/10.1126/science.1062235</w:t>
      </w:r>
    </w:p>
    <w:p w14:paraId="52469674"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Kohlstedt, D. L., &amp; Goetze, C. (1974). Low-stress high-temperature creep in olivine single crystals. </w:t>
      </w:r>
      <w:r w:rsidRPr="00323A92">
        <w:rPr>
          <w:i/>
          <w:iCs/>
          <w:noProof/>
        </w:rPr>
        <w:t>Journal of Geophysical Research</w:t>
      </w:r>
      <w:r w:rsidRPr="00323A92">
        <w:rPr>
          <w:noProof/>
        </w:rPr>
        <w:t xml:space="preserve">, </w:t>
      </w:r>
      <w:r w:rsidRPr="00323A92">
        <w:rPr>
          <w:i/>
          <w:iCs/>
          <w:noProof/>
        </w:rPr>
        <w:t>79</w:t>
      </w:r>
      <w:r w:rsidRPr="00323A92">
        <w:rPr>
          <w:noProof/>
        </w:rPr>
        <w:t>(14), 2045–2051. https://doi.org/10.1029/jb079i014p02045</w:t>
      </w:r>
    </w:p>
    <w:p w14:paraId="7906C4C4"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Paterson, M. S., &amp; Olgaard, D. L. (2000). Rock deformation tests to large shear strains in torsion. </w:t>
      </w:r>
      <w:r w:rsidRPr="00323A92">
        <w:rPr>
          <w:i/>
          <w:iCs/>
          <w:noProof/>
        </w:rPr>
        <w:t>Journal of Structural Geology</w:t>
      </w:r>
      <w:r w:rsidRPr="00323A92">
        <w:rPr>
          <w:noProof/>
        </w:rPr>
        <w:t xml:space="preserve">, </w:t>
      </w:r>
      <w:r w:rsidRPr="00323A92">
        <w:rPr>
          <w:i/>
          <w:iCs/>
          <w:noProof/>
        </w:rPr>
        <w:t>22</w:t>
      </w:r>
      <w:r w:rsidRPr="00323A92">
        <w:rPr>
          <w:noProof/>
        </w:rPr>
        <w:t>(9), 1341–1358. https://doi.org/10.1016/S0191-8141(00)00042-0</w:t>
      </w:r>
    </w:p>
    <w:p w14:paraId="13B7913C"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Peč, M. (2010). RIG : a MATLAB TM program for evaluation of mechanical data from experimental apparatuses.</w:t>
      </w:r>
    </w:p>
    <w:p w14:paraId="044B725B"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Platt, J. P. (2015). Rheology of two-phase systems: A microphysical and observational approach. </w:t>
      </w:r>
      <w:r w:rsidRPr="00323A92">
        <w:rPr>
          <w:i/>
          <w:iCs/>
          <w:noProof/>
        </w:rPr>
        <w:t>Journal of Structural Geology</w:t>
      </w:r>
      <w:r w:rsidRPr="00323A92">
        <w:rPr>
          <w:noProof/>
        </w:rPr>
        <w:t xml:space="preserve">, </w:t>
      </w:r>
      <w:r w:rsidRPr="00323A92">
        <w:rPr>
          <w:i/>
          <w:iCs/>
          <w:noProof/>
        </w:rPr>
        <w:t>77</w:t>
      </w:r>
      <w:r w:rsidRPr="00323A92">
        <w:rPr>
          <w:noProof/>
        </w:rPr>
        <w:t>, 213–227. https://doi.org/10.1016/j.jsg.2015.05.003</w:t>
      </w:r>
    </w:p>
    <w:p w14:paraId="5D6ED271"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Post, R. L. (1977). High-temperature creep of Mt. Burnet Dunite. </w:t>
      </w:r>
      <w:r w:rsidRPr="00323A92">
        <w:rPr>
          <w:i/>
          <w:iCs/>
          <w:noProof/>
        </w:rPr>
        <w:t>Tectonophysics</w:t>
      </w:r>
      <w:r w:rsidRPr="00323A92">
        <w:rPr>
          <w:noProof/>
        </w:rPr>
        <w:t xml:space="preserve">, </w:t>
      </w:r>
      <w:r w:rsidRPr="00323A92">
        <w:rPr>
          <w:i/>
          <w:iCs/>
          <w:noProof/>
        </w:rPr>
        <w:t>42</w:t>
      </w:r>
      <w:r w:rsidRPr="00323A92">
        <w:rPr>
          <w:noProof/>
        </w:rPr>
        <w:t>(2–4), 75–110. https://doi.org/10.1016/0040-1951(77)90162-7</w:t>
      </w:r>
    </w:p>
    <w:p w14:paraId="7F8C1A87"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Skemer, P., Katayama, I., Jiang, Z., &amp; Karato, S. I. (2005). The misorientation index: Development of a new method for calculating the strength of lattice-preferred orientation. </w:t>
      </w:r>
      <w:r w:rsidRPr="00323A92">
        <w:rPr>
          <w:i/>
          <w:iCs/>
          <w:noProof/>
        </w:rPr>
        <w:t>Tectonophysics</w:t>
      </w:r>
      <w:r w:rsidRPr="00323A92">
        <w:rPr>
          <w:noProof/>
        </w:rPr>
        <w:t xml:space="preserve">, </w:t>
      </w:r>
      <w:r w:rsidRPr="00323A92">
        <w:rPr>
          <w:i/>
          <w:iCs/>
          <w:noProof/>
        </w:rPr>
        <w:t>411</w:t>
      </w:r>
      <w:r w:rsidRPr="00323A92">
        <w:rPr>
          <w:noProof/>
        </w:rPr>
        <w:t>(1–4), 157–167. https://doi.org/10.1016/j.tecto.2005.08.023</w:t>
      </w:r>
    </w:p>
    <w:p w14:paraId="3CE2B94F"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Stipp, M., Stünitz, H., Heilbronner, R., &amp; Schmid, S. M. (2002). Dynamic recrystallization of quartz: Correlation between natural and experimental conditions. </w:t>
      </w:r>
      <w:r w:rsidRPr="00323A92">
        <w:rPr>
          <w:i/>
          <w:iCs/>
          <w:noProof/>
        </w:rPr>
        <w:t>Geological Society Special Publication</w:t>
      </w:r>
      <w:r w:rsidRPr="00323A92">
        <w:rPr>
          <w:noProof/>
        </w:rPr>
        <w:t xml:space="preserve">, </w:t>
      </w:r>
      <w:r w:rsidRPr="00323A92">
        <w:rPr>
          <w:i/>
          <w:iCs/>
          <w:noProof/>
        </w:rPr>
        <w:t>200</w:t>
      </w:r>
      <w:r w:rsidRPr="00323A92">
        <w:rPr>
          <w:noProof/>
        </w:rPr>
        <w:t>(October 2002), 171–190. https://doi.org/10.1144/GSL.SP.2001.200.01.11</w:t>
      </w:r>
    </w:p>
    <w:p w14:paraId="60EBE6BC"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Thacker, C., Liang, Y., Peng, Q., &amp; Hess, P. (2009). The stability and major element partitioning of ilmenite and armalcolite during lunar cumulate mantle overturn. </w:t>
      </w:r>
      <w:r w:rsidRPr="00323A92">
        <w:rPr>
          <w:i/>
          <w:iCs/>
          <w:noProof/>
        </w:rPr>
        <w:t>Geochimica et Cosmochimica Acta</w:t>
      </w:r>
      <w:r w:rsidRPr="00323A92">
        <w:rPr>
          <w:noProof/>
        </w:rPr>
        <w:t xml:space="preserve">, </w:t>
      </w:r>
      <w:r w:rsidRPr="00323A92">
        <w:rPr>
          <w:i/>
          <w:iCs/>
          <w:noProof/>
        </w:rPr>
        <w:t>73</w:t>
      </w:r>
      <w:r w:rsidRPr="00323A92">
        <w:rPr>
          <w:noProof/>
        </w:rPr>
        <w:t xml:space="preserve">(3), 820–836. </w:t>
      </w:r>
      <w:r w:rsidRPr="00323A92">
        <w:rPr>
          <w:noProof/>
        </w:rPr>
        <w:lastRenderedPageBreak/>
        <w:t>https://doi.org/10.1016/j.gca.2008.10.038</w:t>
      </w:r>
    </w:p>
    <w:p w14:paraId="54FFAEBC"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Till, J., &amp; Moskowitz, B. (2013). Magnetite deformation mechanism maps for better prediction of strain partitioning. </w:t>
      </w:r>
      <w:r w:rsidRPr="00323A92">
        <w:rPr>
          <w:i/>
          <w:iCs/>
          <w:noProof/>
        </w:rPr>
        <w:t>Geophysical Research Letters</w:t>
      </w:r>
      <w:r w:rsidRPr="00323A92">
        <w:rPr>
          <w:noProof/>
        </w:rPr>
        <w:t xml:space="preserve">, </w:t>
      </w:r>
      <w:r w:rsidRPr="00323A92">
        <w:rPr>
          <w:i/>
          <w:iCs/>
          <w:noProof/>
        </w:rPr>
        <w:t>40</w:t>
      </w:r>
      <w:r w:rsidRPr="00323A92">
        <w:rPr>
          <w:noProof/>
        </w:rPr>
        <w:t>(4), 697–702. https://doi.org/10.1002/grl.50170</w:t>
      </w:r>
    </w:p>
    <w:p w14:paraId="6FDF4679"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Till, J. L., &amp; Rybacki, E. (2020). High-temperature creep of magnetite and ilmenite single crystals. </w:t>
      </w:r>
      <w:r w:rsidRPr="00323A92">
        <w:rPr>
          <w:i/>
          <w:iCs/>
          <w:noProof/>
        </w:rPr>
        <w:t>Physics and Chemistry of Minerals</w:t>
      </w:r>
      <w:r w:rsidRPr="00323A92">
        <w:rPr>
          <w:noProof/>
        </w:rPr>
        <w:t xml:space="preserve">, </w:t>
      </w:r>
      <w:r w:rsidRPr="00323A92">
        <w:rPr>
          <w:i/>
          <w:iCs/>
          <w:noProof/>
        </w:rPr>
        <w:t>47</w:t>
      </w:r>
      <w:r w:rsidRPr="00323A92">
        <w:rPr>
          <w:noProof/>
        </w:rPr>
        <w:t>(12), 1–16. https://doi.org/10.1007/s00269-020-01122-6</w:t>
      </w:r>
    </w:p>
    <w:p w14:paraId="639F8A8A"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Tokle, L., Hirth, G., &amp; Behr, W. M. (2019). Flow laws and fabric transitions in wet quartzite. </w:t>
      </w:r>
      <w:r w:rsidRPr="00323A92">
        <w:rPr>
          <w:i/>
          <w:iCs/>
          <w:noProof/>
        </w:rPr>
        <w:t>Earth and Planetary Science Letters</w:t>
      </w:r>
      <w:r w:rsidRPr="00323A92">
        <w:rPr>
          <w:noProof/>
        </w:rPr>
        <w:t xml:space="preserve">, </w:t>
      </w:r>
      <w:r w:rsidRPr="00323A92">
        <w:rPr>
          <w:i/>
          <w:iCs/>
          <w:noProof/>
        </w:rPr>
        <w:t>505</w:t>
      </w:r>
      <w:r w:rsidRPr="00323A92">
        <w:rPr>
          <w:noProof/>
        </w:rPr>
        <w:t>, 152–161. https://doi.org/10.1016/j.epsl.2018.10.017</w:t>
      </w:r>
    </w:p>
    <w:p w14:paraId="7A92B043"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Tokle, L., Hirth, G., Liang, Y., Raterron, P., &amp; Dygert, N. (2021). The Effect of Pressure and Mg</w:t>
      </w:r>
      <w:r w:rsidRPr="00323A92">
        <w:rPr>
          <w:rFonts w:ascii="Cambria Math" w:hAnsi="Cambria Math" w:cs="Cambria Math"/>
          <w:noProof/>
        </w:rPr>
        <w:t>‐</w:t>
      </w:r>
      <w:r w:rsidRPr="00323A92">
        <w:rPr>
          <w:noProof/>
        </w:rPr>
        <w:t xml:space="preserve">Content on Ilmenite Rheology: Implications for Lunar Cumulate Mantle Overturn. </w:t>
      </w:r>
      <w:r w:rsidRPr="00323A92">
        <w:rPr>
          <w:i/>
          <w:iCs/>
          <w:noProof/>
        </w:rPr>
        <w:t>Journal of Geophysical Research: Planets</w:t>
      </w:r>
      <w:r w:rsidRPr="00323A92">
        <w:rPr>
          <w:noProof/>
        </w:rPr>
        <w:t xml:space="preserve">, </w:t>
      </w:r>
      <w:r w:rsidRPr="00323A92">
        <w:rPr>
          <w:i/>
          <w:iCs/>
          <w:noProof/>
        </w:rPr>
        <w:t>126</w:t>
      </w:r>
      <w:r w:rsidRPr="00323A92">
        <w:rPr>
          <w:noProof/>
        </w:rPr>
        <w:t>(1), 1–21. https://doi.org/10.1029/2020JE006494</w:t>
      </w:r>
    </w:p>
    <w:p w14:paraId="6880FC43"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Tullis, J., &amp; Wenk, H. R. (1994). Effect of muscovite on the strength and lattice preferred orientations of experimentally deformed quartz aggregates. </w:t>
      </w:r>
      <w:r w:rsidRPr="00323A92">
        <w:rPr>
          <w:i/>
          <w:iCs/>
          <w:noProof/>
        </w:rPr>
        <w:t>Materials Science and Engineering A</w:t>
      </w:r>
      <w:r w:rsidRPr="00323A92">
        <w:rPr>
          <w:noProof/>
        </w:rPr>
        <w:t xml:space="preserve">, </w:t>
      </w:r>
      <w:r w:rsidRPr="00323A92">
        <w:rPr>
          <w:i/>
          <w:iCs/>
          <w:noProof/>
        </w:rPr>
        <w:t>175</w:t>
      </w:r>
      <w:r w:rsidRPr="00323A92">
        <w:rPr>
          <w:noProof/>
        </w:rPr>
        <w:t>(1–2), 209–220. https://doi.org/10.1016/0921-5093(94)91060-X</w:t>
      </w:r>
    </w:p>
    <w:p w14:paraId="375A9558"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Tullis, T. E., Horowitz, F. G., &amp; Tullis, J. (1991). Flow laws of polyphase aggregates from end-member flow laws. </w:t>
      </w:r>
      <w:r w:rsidRPr="00323A92">
        <w:rPr>
          <w:i/>
          <w:iCs/>
          <w:noProof/>
        </w:rPr>
        <w:t>Journal of Geophysical Research</w:t>
      </w:r>
      <w:r w:rsidRPr="00323A92">
        <w:rPr>
          <w:noProof/>
        </w:rPr>
        <w:t xml:space="preserve">, </w:t>
      </w:r>
      <w:r w:rsidRPr="00323A92">
        <w:rPr>
          <w:i/>
          <w:iCs/>
          <w:noProof/>
        </w:rPr>
        <w:t>96</w:t>
      </w:r>
      <w:r w:rsidRPr="00323A92">
        <w:rPr>
          <w:noProof/>
        </w:rPr>
        <w:t>(B5), 8081–8096. https://doi.org/10.1029/90JB02491</w:t>
      </w:r>
    </w:p>
    <w:p w14:paraId="2920263D" w14:textId="77777777" w:rsidR="00323A92" w:rsidRPr="00323A92" w:rsidRDefault="00323A92" w:rsidP="00EB54E6">
      <w:pPr>
        <w:widowControl w:val="0"/>
        <w:autoSpaceDE w:val="0"/>
        <w:autoSpaceDN w:val="0"/>
        <w:adjustRightInd w:val="0"/>
        <w:spacing w:line="360" w:lineRule="auto"/>
        <w:ind w:left="480" w:hanging="480"/>
        <w:rPr>
          <w:noProof/>
        </w:rPr>
      </w:pPr>
      <w:r w:rsidRPr="00323A92">
        <w:rPr>
          <w:noProof/>
        </w:rPr>
        <w:t xml:space="preserve">Zhao, N., Hirth, G., Cooper, R. F., Kruckenberg, S. C., &amp; Cukjati, J. (2019). Low viscosity of mantle rocks linked to phase boundary sliding. </w:t>
      </w:r>
      <w:r w:rsidRPr="00323A92">
        <w:rPr>
          <w:i/>
          <w:iCs/>
          <w:noProof/>
        </w:rPr>
        <w:t>Earth and Planetary Science Letters</w:t>
      </w:r>
      <w:r w:rsidRPr="00323A92">
        <w:rPr>
          <w:noProof/>
        </w:rPr>
        <w:t xml:space="preserve">, </w:t>
      </w:r>
      <w:r w:rsidRPr="00323A92">
        <w:rPr>
          <w:i/>
          <w:iCs/>
          <w:noProof/>
        </w:rPr>
        <w:t>517</w:t>
      </w:r>
      <w:r w:rsidRPr="00323A92">
        <w:rPr>
          <w:noProof/>
        </w:rPr>
        <w:t>, 83–94. https://doi.org/10.1016/j.epsl.2019.04.019</w:t>
      </w:r>
    </w:p>
    <w:p w14:paraId="3706544E" w14:textId="17A0FCDA" w:rsidR="00D07316" w:rsidRPr="00C165AD" w:rsidRDefault="00323A92" w:rsidP="00C165AD">
      <w:pPr>
        <w:widowControl w:val="0"/>
        <w:autoSpaceDE w:val="0"/>
        <w:autoSpaceDN w:val="0"/>
        <w:adjustRightInd w:val="0"/>
        <w:spacing w:line="360" w:lineRule="auto"/>
        <w:ind w:left="480" w:hanging="480"/>
        <w:rPr>
          <w:bCs/>
          <w:kern w:val="28"/>
        </w:rPr>
        <w:sectPr w:rsidR="00D07316" w:rsidRPr="00C165AD" w:rsidSect="009F28D1">
          <w:pgSz w:w="12240" w:h="15840"/>
          <w:pgMar w:top="1440" w:right="1440" w:bottom="1440" w:left="1440" w:header="720" w:footer="1440" w:gutter="0"/>
          <w:cols w:space="720"/>
          <w:docGrid w:linePitch="360"/>
        </w:sectPr>
      </w:pPr>
      <w:r w:rsidRPr="00323A92">
        <w:rPr>
          <w:noProof/>
        </w:rPr>
        <w:t xml:space="preserve">Zhao, Y. H., Zimmerman, M. E., &amp; Kohlstedt, D. L. (2009). Effect of iron content on the creep behavior of olivine: 1. Anhydrous conditions. </w:t>
      </w:r>
      <w:r w:rsidRPr="00323A92">
        <w:rPr>
          <w:i/>
          <w:iCs/>
          <w:noProof/>
        </w:rPr>
        <w:t>Earth and Planetary Science Letters</w:t>
      </w:r>
      <w:r w:rsidRPr="00323A92">
        <w:rPr>
          <w:noProof/>
        </w:rPr>
        <w:t xml:space="preserve">, </w:t>
      </w:r>
      <w:r w:rsidRPr="00323A92">
        <w:rPr>
          <w:i/>
          <w:iCs/>
          <w:noProof/>
        </w:rPr>
        <w:t>287</w:t>
      </w:r>
      <w:r w:rsidRPr="00323A92">
        <w:rPr>
          <w:noProof/>
        </w:rPr>
        <w:t>(1–2), 229–240. https://doi.org/10.1016/j.epsl.2009.08.006</w:t>
      </w:r>
      <w:r w:rsidRPr="00323A92">
        <w:fldChar w:fldCharType="end"/>
      </w:r>
    </w:p>
    <w:p w14:paraId="4E21E8A0" w14:textId="343614E7" w:rsidR="007E7EE5" w:rsidRDefault="007E7EE5" w:rsidP="007E7EE5">
      <w:pPr>
        <w:pStyle w:val="Heading2"/>
      </w:pPr>
      <w:bookmarkStart w:id="97" w:name="_Toc109036167"/>
      <w:r>
        <w:lastRenderedPageBreak/>
        <w:t>Appendix</w:t>
      </w:r>
      <w:bookmarkEnd w:id="97"/>
    </w:p>
    <w:p w14:paraId="0A0A2685" w14:textId="4B3D52D0" w:rsidR="00D07316" w:rsidRDefault="007E7EE5" w:rsidP="003424B9">
      <w:pPr>
        <w:pStyle w:val="Heading2"/>
        <w:jc w:val="left"/>
        <w:rPr>
          <w:i/>
          <w:sz w:val="24"/>
          <w:bdr w:val="none" w:sz="0" w:space="0" w:color="auto" w:frame="1"/>
        </w:rPr>
      </w:pPr>
      <w:bookmarkStart w:id="98" w:name="_Toc109036168"/>
      <w:r w:rsidRPr="00D07316">
        <w:rPr>
          <w:i/>
          <w:sz w:val="24"/>
          <w:bdr w:val="none" w:sz="0" w:space="0" w:color="auto" w:frame="1"/>
        </w:rPr>
        <w:t xml:space="preserve">Appendix 1. Supplemental </w:t>
      </w:r>
      <w:r w:rsidR="00323A92">
        <w:rPr>
          <w:i/>
          <w:sz w:val="24"/>
          <w:bdr w:val="none" w:sz="0" w:space="0" w:color="auto" w:frame="1"/>
        </w:rPr>
        <w:t>Figure</w:t>
      </w:r>
      <w:bookmarkEnd w:id="98"/>
    </w:p>
    <w:p w14:paraId="47713A41" w14:textId="77777777" w:rsidR="002060AF" w:rsidRDefault="00323A92" w:rsidP="002060AF">
      <w:pPr>
        <w:keepNext/>
      </w:pPr>
      <w:r w:rsidRPr="007159A3">
        <w:rPr>
          <w:rFonts w:ascii="Times New Roman" w:hAnsi="Times New Roman" w:cs="Times New Roman"/>
          <w:noProof/>
        </w:rPr>
        <w:drawing>
          <wp:inline distT="0" distB="0" distL="0" distR="0" wp14:anchorId="4EAC4F0C" wp14:editId="703BB616">
            <wp:extent cx="8035925" cy="1605280"/>
            <wp:effectExtent l="0" t="0" r="0" b="0"/>
            <wp:docPr id="26" name="Picture 25" descr="Diagram&#10;&#10;Description automatically generated with medium confidence">
              <a:extLst xmlns:a="http://schemas.openxmlformats.org/drawingml/2006/main">
                <a:ext uri="{FF2B5EF4-FFF2-40B4-BE49-F238E27FC236}">
                  <a16:creationId xmlns:a16="http://schemas.microsoft.com/office/drawing/2014/main" id="{B70E7220-6AA6-C94D-4133-4D70D70B0F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Diagram&#10;&#10;Description automatically generated with medium confidence">
                      <a:extLst>
                        <a:ext uri="{FF2B5EF4-FFF2-40B4-BE49-F238E27FC236}">
                          <a16:creationId xmlns:a16="http://schemas.microsoft.com/office/drawing/2014/main" id="{B70E7220-6AA6-C94D-4133-4D70D70B0F3F}"/>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035925" cy="1605280"/>
                    </a:xfrm>
                    <a:prstGeom prst="rect">
                      <a:avLst/>
                    </a:prstGeom>
                  </pic:spPr>
                </pic:pic>
              </a:graphicData>
            </a:graphic>
          </wp:inline>
        </w:drawing>
      </w:r>
    </w:p>
    <w:p w14:paraId="08DD1273" w14:textId="7A2C0B2D" w:rsidR="00D07316" w:rsidRPr="002060AF" w:rsidRDefault="002060AF" w:rsidP="002060AF">
      <w:pPr>
        <w:pStyle w:val="Caption"/>
        <w:rPr>
          <w:b w:val="0"/>
          <w:bCs w:val="0"/>
        </w:rPr>
        <w:sectPr w:rsidR="00D07316" w:rsidRPr="002060AF" w:rsidSect="0071663C">
          <w:pgSz w:w="15840" w:h="12240" w:orient="landscape"/>
          <w:pgMar w:top="1440" w:right="1440" w:bottom="1440" w:left="1440" w:header="720" w:footer="1440" w:gutter="0"/>
          <w:cols w:space="720"/>
          <w:docGrid w:linePitch="360"/>
        </w:sectPr>
      </w:pPr>
      <w:r w:rsidRPr="002060AF">
        <w:rPr>
          <w:b w:val="0"/>
          <w:bCs w:val="0"/>
          <w:sz w:val="20"/>
          <w:szCs w:val="20"/>
        </w:rPr>
        <w:t xml:space="preserve">Figure </w:t>
      </w:r>
      <w:r w:rsidR="006709E2">
        <w:rPr>
          <w:b w:val="0"/>
          <w:bCs w:val="0"/>
          <w:sz w:val="20"/>
          <w:szCs w:val="20"/>
        </w:rPr>
        <w:t>2</w:t>
      </w:r>
      <w:r w:rsidRPr="002060AF">
        <w:rPr>
          <w:b w:val="0"/>
          <w:bCs w:val="0"/>
          <w:sz w:val="20"/>
          <w:szCs w:val="20"/>
        </w:rPr>
        <w:t>.</w:t>
      </w:r>
      <w:r w:rsidR="00D2773F">
        <w:rPr>
          <w:b w:val="0"/>
          <w:bCs w:val="0"/>
          <w:sz w:val="20"/>
          <w:szCs w:val="20"/>
        </w:rPr>
        <w:t>6</w:t>
      </w:r>
      <w:r w:rsidRPr="002060AF">
        <w:rPr>
          <w:b w:val="0"/>
          <w:bCs w:val="0"/>
          <w:sz w:val="20"/>
          <w:szCs w:val="20"/>
        </w:rPr>
        <w:t>. Grain maps for ilm40 and SCO for samples LMO-001, LMO-002, LMO-003, LMO-004, &amp; LMO-005, with color scaling for grain area (top) and aspect ratio (bottom) based on a 10-degree misorientation in grain data from EBSD.</w:t>
      </w:r>
    </w:p>
    <w:p w14:paraId="4EC1D85B" w14:textId="1610FDC8" w:rsidR="002267FF" w:rsidRDefault="00CD5044" w:rsidP="00C165AD">
      <w:pPr>
        <w:pStyle w:val="Heading1"/>
        <w:sectPr w:rsidR="002267FF" w:rsidSect="00E57B17">
          <w:type w:val="continuous"/>
          <w:pgSz w:w="12240" w:h="15840" w:code="1"/>
          <w:pgMar w:top="1440" w:right="1440" w:bottom="1440" w:left="1440" w:header="720" w:footer="1440" w:gutter="0"/>
          <w:cols w:space="720"/>
          <w:noEndnote/>
          <w:docGrid w:linePitch="360"/>
        </w:sectPr>
      </w:pPr>
      <w:bookmarkStart w:id="99" w:name="_Toc109036169"/>
      <w:bookmarkEnd w:id="96"/>
      <w:r>
        <w:rPr>
          <w:caps w:val="0"/>
        </w:rPr>
        <w:lastRenderedPageBreak/>
        <w:t xml:space="preserve">Chapter 3: </w:t>
      </w:r>
      <w:r w:rsidR="00DD4898" w:rsidRPr="007F3870">
        <w:rPr>
          <w:caps w:val="0"/>
        </w:rPr>
        <w:t>Building Carbon minerals: Application of geoscience learning materials to the Tennessee Academic Standards for Science for Chemistry I for use in public school classrooms</w:t>
      </w:r>
      <w:bookmarkEnd w:id="99"/>
      <w:r w:rsidR="00852220" w:rsidRPr="00E92F51">
        <w:rPr>
          <w:caps w:val="0"/>
        </w:rPr>
        <w:t xml:space="preserve"> </w:t>
      </w:r>
    </w:p>
    <w:p w14:paraId="04AF6C64" w14:textId="65F7CDB1" w:rsidR="00DD4898" w:rsidRDefault="00DD4898" w:rsidP="00363146">
      <w:pPr>
        <w:spacing w:line="360" w:lineRule="auto"/>
        <w:ind w:firstLine="360"/>
      </w:pPr>
      <w:bookmarkStart w:id="100" w:name="_Toc289175843"/>
      <w:r>
        <w:lastRenderedPageBreak/>
        <w:t xml:space="preserve">A version of this </w:t>
      </w:r>
      <w:r w:rsidRPr="005E54E2">
        <w:t xml:space="preserve">chapter </w:t>
      </w:r>
      <w:r>
        <w:t xml:space="preserve">is in the final stages of preparation for submission to the journal </w:t>
      </w:r>
      <w:r>
        <w:rPr>
          <w:i/>
          <w:iCs/>
        </w:rPr>
        <w:t>The Science Teacher</w:t>
      </w:r>
      <w:r>
        <w:t xml:space="preserve"> by Nadine Lynne Grambling, Stephanie K. Drumheller, and Kristin T. Rearden.</w:t>
      </w:r>
    </w:p>
    <w:p w14:paraId="554018D9" w14:textId="51C20765" w:rsidR="00DD4898" w:rsidRPr="00DD4898" w:rsidRDefault="00DD4898" w:rsidP="00056273">
      <w:pPr>
        <w:spacing w:line="360" w:lineRule="auto"/>
        <w:ind w:firstLine="360"/>
      </w:pPr>
      <w:r>
        <w:t>Nadine Lynne Grambling led conceptualization, writing, and development of this article. Stephanie K. Drumheller supervised the direction of this article and led revisions. Kristin T. Rearden assur</w:t>
      </w:r>
      <w:r w:rsidR="004417AB">
        <w:t>ed</w:t>
      </w:r>
      <w:r>
        <w:t xml:space="preserve"> the content aligned with State of Tennessee education standards and assisted in revisions.</w:t>
      </w:r>
    </w:p>
    <w:p w14:paraId="2D883468" w14:textId="182BBB36" w:rsidR="00BC74D3" w:rsidRPr="00F74E4E" w:rsidRDefault="00BC74D3" w:rsidP="00056273">
      <w:pPr>
        <w:pStyle w:val="Heading2"/>
        <w:spacing w:line="360" w:lineRule="auto"/>
      </w:pPr>
      <w:bookmarkStart w:id="101" w:name="_Toc109036170"/>
      <w:r w:rsidRPr="00F74E4E">
        <w:t>Abstract</w:t>
      </w:r>
      <w:bookmarkEnd w:id="101"/>
      <w:r w:rsidRPr="00F74E4E">
        <w:tab/>
      </w:r>
    </w:p>
    <w:p w14:paraId="41AA3101" w14:textId="195CC670" w:rsidR="008813E5" w:rsidRDefault="004417AB" w:rsidP="00056273">
      <w:pPr>
        <w:spacing w:line="360" w:lineRule="auto"/>
        <w:ind w:firstLine="360"/>
      </w:pPr>
      <w:r>
        <w:t>Native minerals refer to natural materials that form repeating crystalline structures from a single element of the periodic table. One element with two widely known native minerals is carbon, forming the mineral graphite at relatively low temperatures and pressures, and diamond at much higher temperatures and pressures, such as those seen deep in the Earth. Most secondary school students will be aware of both minerals, which provides a fantastic opportunity to discuss the relationships between crystal structure, atomic bonds, phase changes, physical properties of materials and the interior structure of the Earth.</w:t>
      </w:r>
    </w:p>
    <w:p w14:paraId="29F608E7" w14:textId="35884F66" w:rsidR="008813E5" w:rsidRDefault="008813E5" w:rsidP="00056273">
      <w:pPr>
        <w:pStyle w:val="Heading2"/>
        <w:spacing w:line="360" w:lineRule="auto"/>
      </w:pPr>
      <w:bookmarkStart w:id="102" w:name="_Toc109036171"/>
      <w:r>
        <w:t>1. Introduction</w:t>
      </w:r>
      <w:bookmarkEnd w:id="102"/>
    </w:p>
    <w:p w14:paraId="78357BCF" w14:textId="38C7D9B5" w:rsidR="001F765A" w:rsidRDefault="001F765A" w:rsidP="00363146">
      <w:pPr>
        <w:spacing w:line="360" w:lineRule="auto"/>
        <w:ind w:firstLine="360"/>
      </w:pPr>
      <w:r>
        <w:t xml:space="preserve">The Tennessee Academic Standards for Science (referred to henceforth as “the standards”) were published in 2018, based on the Next Generation Science Standards (NGSS) which integrate the concepts set forth in A Framework for K-12 Science Education from the National Research Council (“A Framework for K-12 Science Education: Practices, Crosscutting Concepts, and Core Ideas,” 2012; NGSS Lead States, 2017; Tennessee Department of Education, 2018). The Tennessee standards are split in to four disciplinary core ides (DCIs): Physical Sciences (PS), Life Sciences (LS), Earth and Space Sciences (ESS) and Engineering, Technology, and Applications of Science (ETS). They also integrate seven crosscutting concepts of: patterns; cause and effect; scale, proportion, and quantity; systems and system models; energy and matter; structure and function of systems; and stability and change of systems. These </w:t>
      </w:r>
      <w:r>
        <w:lastRenderedPageBreak/>
        <w:t xml:space="preserve">crosscutting relationships are written to connect between the sciences across all grade levels. </w:t>
      </w:r>
    </w:p>
    <w:p w14:paraId="4FCA7089" w14:textId="6E9AF071" w:rsidR="001F765A" w:rsidRDefault="001F765A" w:rsidP="00363146">
      <w:pPr>
        <w:spacing w:line="360" w:lineRule="auto"/>
        <w:ind w:firstLine="360"/>
      </w:pPr>
      <w:r>
        <w:t xml:space="preserve">At the high school level, students are required to take three years of science courses: 1 biology credit, 1 physics or chemistry credit, and 1 additional credit of lab science from LS, PS, or ESS. The final required ESS coursework in the standards is in grade 8, with eight total across ESS1, ESS2, &amp; ESS3. While students have the option to choose ESS classes in high school, this depends on course availability, and teaching expertise of educators. To integrate ESS concepts into the high school curriculum, a group of investigators at the University of Tennessee Knoxville have been awarded funds to create lesson plans with materials for distribution, “Lessons-In-A-Box”, through the Knox County Public Library System. These lesson plans use the standards for physics, chemistry and/or biology to aid educators in teaching Earth sciences concepts as they relate to their courses specific DCIs. </w:t>
      </w:r>
    </w:p>
    <w:p w14:paraId="5B45FA0F" w14:textId="63FE4579" w:rsidR="001F765A" w:rsidRPr="001F765A" w:rsidRDefault="001F765A" w:rsidP="00D1460E">
      <w:pPr>
        <w:spacing w:line="360" w:lineRule="auto"/>
        <w:ind w:firstLine="360"/>
      </w:pPr>
      <w:r>
        <w:t xml:space="preserve">The following lesson plan write up is aimed at CHEM1 or CHEM2 classrooms, covering the standards listed in Table </w:t>
      </w:r>
      <w:r w:rsidR="00FA73CD">
        <w:t>3</w:t>
      </w:r>
      <w:r>
        <w:t xml:space="preserve">.1. CHEM1.PS3.2 and CHEM2.PS1.3 are highlighted with bold and italic formatting in Table </w:t>
      </w:r>
      <w:r w:rsidR="00FA73CD">
        <w:t>3</w:t>
      </w:r>
      <w:r>
        <w:t>.1 to signify that they are the two most relevant standards covered in the lesson.</w:t>
      </w:r>
    </w:p>
    <w:p w14:paraId="215B7BE3" w14:textId="2E016DC0" w:rsidR="00BC74D3" w:rsidRDefault="008813E5" w:rsidP="00056273">
      <w:pPr>
        <w:pStyle w:val="Heading2"/>
        <w:spacing w:line="360" w:lineRule="auto"/>
      </w:pPr>
      <w:bookmarkStart w:id="103" w:name="_Toc109036172"/>
      <w:bookmarkStart w:id="104" w:name="_Hlk103595935"/>
      <w:r>
        <w:t>2</w:t>
      </w:r>
      <w:r w:rsidR="00586653">
        <w:t xml:space="preserve">. </w:t>
      </w:r>
      <w:r w:rsidR="004417AB">
        <w:t>Background</w:t>
      </w:r>
      <w:bookmarkEnd w:id="103"/>
    </w:p>
    <w:p w14:paraId="631E7EF7" w14:textId="4410031C" w:rsidR="00DB7EE9" w:rsidRDefault="004417AB" w:rsidP="00C165AD">
      <w:pPr>
        <w:spacing w:line="360" w:lineRule="auto"/>
        <w:ind w:firstLine="360"/>
      </w:pPr>
      <w:bookmarkStart w:id="105" w:name="_Hlk96511279"/>
      <w:r>
        <w:t xml:space="preserve">When asked where diamonds come from, most of the population will think of coal being buried deep in the Earth to become the gems that are popular in jewelry and industrial applications. While the idea of dinosaurs becoming diamonds can be fun in concept, the youngest diamonds we see on Earth’s surface today are almost 1 billion years old, an age older than the appearance of terrestrial plants and animals in the fossil record </w:t>
      </w:r>
      <w:r>
        <w:fldChar w:fldCharType="begin" w:fldLock="1"/>
      </w:r>
      <w:r>
        <w:instrText>ADDIN CSL_CITATION {"citationItems":[{"id":"ITEM-1","itemData":{"DOI":"10.1016/0925-9635(93)90034-Y","ISSN":"09259635","abstract":"Radiogenic isotopes in syngenetic inclusions in diamond indicate a very ancient origin for those belonging to the peridotitic paragenesis (3.2-3.3 Ga), whereas eclogitic diamonds have genesis ages ranging between 1.67 and 0.99 Ga. These ages are distinctly older than those of the volcanic rocks which brought diamonds to the surface. Most diamonds form at depths of about 150 km, but the presence of rare majorite and magnesiowustite inclusions extends this depth of origin to between 150-450 km and up to 670 km respectively. With the deeper diamonds, convective forces or magma plumes in the mobile asthenosphere probably provide the initial transportation to the shallower levels. © 1993.","author":[{"dropping-particle":"","family":"Harris","given":"J. W.","non-dropping-particle":"","parse-names":false,"suffix":""}],"container-title":"Diamond and Related Materials","id":"ITEM-1","issue":"2-4","issued":{"date-parts":[["1993"]]},"page":"75-79","title":"The geology of diamond: Time and depth profiles from inclusions","type":"article-journal","volume":"2"},"uris":["http://www.mendeley.com/documents/?uuid=f9acb4a3-bcb0-4403-914b-36c2bc8c4d1d"]}],"mendeley":{"formattedCitation":"(Harris, 1993)","plainTextFormattedCitation":"(Harris, 1993)","previouslyFormattedCitation":"(Harris, 1993)"},"properties":{"noteIndex":0},"schema":"https://github.com/citation-style-language/schema/raw/master/csl-citation.json"}</w:instrText>
      </w:r>
      <w:r>
        <w:fldChar w:fldCharType="separate"/>
      </w:r>
      <w:r w:rsidRPr="006A4FDE">
        <w:rPr>
          <w:noProof/>
        </w:rPr>
        <w:t>(Harris, 1993)</w:t>
      </w:r>
      <w:r>
        <w:fldChar w:fldCharType="end"/>
      </w:r>
      <w:r>
        <w:t xml:space="preserve">. It is much more likely that diamonds originate from carbon that has spent its entire history deep within the Earth, first seeing the surface in the form we see now </w:t>
      </w:r>
      <w:r>
        <w:fldChar w:fldCharType="begin" w:fldLock="1"/>
      </w:r>
      <w:r>
        <w:instrText>ADDIN CSL_CITATION {"citationItems":[{"id":"ITEM-1","itemData":{"DOI":"10.1016/0925-9635(93)90034-Y","ISSN":"09259635","abstract":"Radiogenic isotopes in syngenetic inclusions in diamond indicate a very ancient origin for those belonging to the peridotitic paragenesis (3.2-3.3 Ga), whereas eclogitic diamonds have genesis ages ranging between 1.67 and 0.99 Ga. These ages are distinctly older than those of the volcanic rocks which brought diamonds to the surface. Most diamonds form at depths of about 150 km, but the presence of rare majorite and magnesiowustite inclusions extends this depth of origin to between 150-450 km and up to 670 km respectively. With the deeper diamonds, convective forces or magma plumes in the mobile asthenosphere probably provide the initial transportation to the shallower levels. © 1993.","author":[{"dropping-particle":"","family":"Harris","given":"J. W.","non-dropping-particle":"","parse-names":false,"suffix":""}],"container-title":"Diamond and Related Materials","id":"ITEM-1","issue":"2-4","issued":{"date-parts":[["1993"]]},"page":"75-79","title":"The geology of diamond: Time and depth profiles from inclusions","type":"article-journal","volume":"2"},"uris":["http://www.mendeley.com/documents/?uuid=f9acb4a3-bcb0-4403-914b-36c2bc8c4d1d"]}],"mendeley":{"formattedCitation":"(Harris, 1993)","plainTextFormattedCitation":"(Harris, 1993)","previouslyFormattedCitation":"(Harris, 1993)"},"properties":{"noteIndex":0},"schema":"https://github.com/citation-style-language/schema/raw/master/csl-citation.json"}</w:instrText>
      </w:r>
      <w:r>
        <w:fldChar w:fldCharType="separate"/>
      </w:r>
      <w:r w:rsidRPr="00E166D6">
        <w:rPr>
          <w:noProof/>
        </w:rPr>
        <w:t>(Harris, 1993)</w:t>
      </w:r>
      <w:r>
        <w:fldChar w:fldCharType="end"/>
      </w:r>
      <w:r>
        <w:t xml:space="preserve">. The more likely product of coal being heated and confined is another </w:t>
      </w:r>
      <w:proofErr w:type="spellStart"/>
      <w:r>
        <w:t>well known</w:t>
      </w:r>
      <w:proofErr w:type="spellEnd"/>
      <w:r>
        <w:t xml:space="preserve"> mineral: graphite.</w:t>
      </w:r>
    </w:p>
    <w:p w14:paraId="48C1B790" w14:textId="54854F9B" w:rsidR="00164D4C" w:rsidRDefault="004417AB" w:rsidP="00DB7EE9">
      <w:pPr>
        <w:spacing w:line="360" w:lineRule="auto"/>
        <w:ind w:firstLine="360"/>
      </w:pPr>
      <w:r>
        <w:t xml:space="preserve">This activity asks students to think about what happens to materials as they move through the layers of the Earth, from the surface to the core. Students will compare the </w:t>
      </w:r>
    </w:p>
    <w:p w14:paraId="194BDBC1" w14:textId="77777777" w:rsidR="00164D4C" w:rsidRDefault="00164D4C">
      <w:r>
        <w:br w:type="page"/>
      </w:r>
    </w:p>
    <w:p w14:paraId="6AD98945" w14:textId="77777777" w:rsidR="00164D4C" w:rsidRDefault="00164D4C">
      <w:pPr>
        <w:sectPr w:rsidR="00164D4C" w:rsidSect="0071477D">
          <w:pgSz w:w="12240" w:h="15840" w:code="1"/>
          <w:pgMar w:top="1440" w:right="1440" w:bottom="1440" w:left="1440" w:header="720" w:footer="1440" w:gutter="0"/>
          <w:cols w:space="720"/>
          <w:noEndnote/>
          <w:docGrid w:linePitch="360"/>
        </w:sectPr>
      </w:pPr>
    </w:p>
    <w:p w14:paraId="556CA1D2" w14:textId="77777777" w:rsidR="00164D4C" w:rsidRDefault="00164D4C" w:rsidP="00164D4C">
      <w:pPr>
        <w:pStyle w:val="Caption"/>
      </w:pPr>
      <w:bookmarkStart w:id="106" w:name="_Toc109398947"/>
      <w:r w:rsidRPr="00DB7EE9">
        <w:rPr>
          <w:b w:val="0"/>
          <w:bCs w:val="0"/>
          <w:sz w:val="20"/>
          <w:szCs w:val="20"/>
        </w:rPr>
        <w:lastRenderedPageBreak/>
        <w:t xml:space="preserve">Table </w:t>
      </w:r>
      <w:r>
        <w:rPr>
          <w:b w:val="0"/>
          <w:bCs w:val="0"/>
          <w:sz w:val="20"/>
          <w:szCs w:val="20"/>
        </w:rPr>
        <w:t>3</w:t>
      </w:r>
      <w:r w:rsidRPr="00DB7EE9">
        <w:rPr>
          <w:b w:val="0"/>
          <w:bCs w:val="0"/>
          <w:sz w:val="20"/>
          <w:szCs w:val="20"/>
        </w:rPr>
        <w:t>.</w:t>
      </w:r>
      <w:r w:rsidRPr="00DB7EE9">
        <w:rPr>
          <w:b w:val="0"/>
          <w:bCs w:val="0"/>
          <w:sz w:val="20"/>
          <w:szCs w:val="20"/>
        </w:rPr>
        <w:fldChar w:fldCharType="begin"/>
      </w:r>
      <w:r w:rsidRPr="00DB7EE9">
        <w:rPr>
          <w:b w:val="0"/>
          <w:bCs w:val="0"/>
          <w:sz w:val="20"/>
          <w:szCs w:val="20"/>
        </w:rPr>
        <w:instrText xml:space="preserve"> SEQ Table \* ARABIC \s 1 </w:instrText>
      </w:r>
      <w:r w:rsidRPr="00DB7EE9">
        <w:rPr>
          <w:b w:val="0"/>
          <w:bCs w:val="0"/>
          <w:sz w:val="20"/>
          <w:szCs w:val="20"/>
        </w:rPr>
        <w:fldChar w:fldCharType="separate"/>
      </w:r>
      <w:r w:rsidRPr="00DB7EE9">
        <w:rPr>
          <w:b w:val="0"/>
          <w:bCs w:val="0"/>
          <w:noProof/>
          <w:sz w:val="20"/>
          <w:szCs w:val="20"/>
        </w:rPr>
        <w:t>1</w:t>
      </w:r>
      <w:r w:rsidRPr="00DB7EE9">
        <w:rPr>
          <w:b w:val="0"/>
          <w:bCs w:val="0"/>
          <w:sz w:val="20"/>
          <w:szCs w:val="20"/>
        </w:rPr>
        <w:fldChar w:fldCharType="end"/>
      </w:r>
      <w:r w:rsidRPr="00DB7EE9">
        <w:rPr>
          <w:b w:val="0"/>
          <w:bCs w:val="0"/>
          <w:sz w:val="20"/>
          <w:szCs w:val="20"/>
        </w:rPr>
        <w:t>.</w:t>
      </w:r>
      <w:r w:rsidRPr="00DB7EE9">
        <w:rPr>
          <w:b w:val="0"/>
          <w:bCs w:val="0"/>
          <w:sz w:val="16"/>
          <w:szCs w:val="16"/>
        </w:rPr>
        <w:t xml:space="preserve"> </w:t>
      </w:r>
      <w:r w:rsidRPr="001F765A">
        <w:rPr>
          <w:b w:val="0"/>
          <w:bCs w:val="0"/>
          <w:sz w:val="20"/>
          <w:szCs w:val="20"/>
        </w:rPr>
        <w:t>Standards relevant to "Building Carbon Minerals" lesson plan</w:t>
      </w:r>
      <w:bookmarkEnd w:id="106"/>
    </w:p>
    <w:tbl>
      <w:tblPr>
        <w:tblStyle w:val="TableGrid"/>
        <w:tblW w:w="13068" w:type="dxa"/>
        <w:tblLook w:val="04A0" w:firstRow="1" w:lastRow="0" w:firstColumn="1" w:lastColumn="0" w:noHBand="0" w:noVBand="1"/>
      </w:tblPr>
      <w:tblGrid>
        <w:gridCol w:w="1190"/>
        <w:gridCol w:w="804"/>
        <w:gridCol w:w="1324"/>
        <w:gridCol w:w="9750"/>
      </w:tblGrid>
      <w:tr w:rsidR="00164D4C" w:rsidRPr="001F765A" w14:paraId="2DE82E56" w14:textId="77777777" w:rsidTr="00164D4C">
        <w:tc>
          <w:tcPr>
            <w:tcW w:w="1190" w:type="dxa"/>
            <w:tcBorders>
              <w:top w:val="single" w:sz="4" w:space="0" w:color="auto"/>
              <w:left w:val="single" w:sz="4" w:space="0" w:color="auto"/>
              <w:bottom w:val="single" w:sz="4" w:space="0" w:color="auto"/>
              <w:right w:val="single" w:sz="4" w:space="0" w:color="auto"/>
            </w:tcBorders>
            <w:vAlign w:val="center"/>
            <w:hideMark/>
          </w:tcPr>
          <w:p w14:paraId="4388DBA4" w14:textId="77777777" w:rsidR="00164D4C" w:rsidRPr="001F765A" w:rsidRDefault="00164D4C" w:rsidP="00EC27DE">
            <w:r w:rsidRPr="001F765A">
              <w:t>Course</w:t>
            </w:r>
          </w:p>
        </w:tc>
        <w:tc>
          <w:tcPr>
            <w:tcW w:w="804" w:type="dxa"/>
            <w:tcBorders>
              <w:top w:val="single" w:sz="4" w:space="0" w:color="auto"/>
              <w:left w:val="single" w:sz="4" w:space="0" w:color="auto"/>
              <w:bottom w:val="single" w:sz="4" w:space="0" w:color="auto"/>
              <w:right w:val="single" w:sz="4" w:space="0" w:color="auto"/>
            </w:tcBorders>
            <w:vAlign w:val="center"/>
            <w:hideMark/>
          </w:tcPr>
          <w:p w14:paraId="745F010F" w14:textId="77777777" w:rsidR="00164D4C" w:rsidRPr="001F765A" w:rsidRDefault="00164D4C" w:rsidP="00EC27DE">
            <w:r w:rsidRPr="001F765A">
              <w:t>DCI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7BB89E85" w14:textId="77777777" w:rsidR="00164D4C" w:rsidRPr="001F765A" w:rsidRDefault="00164D4C" w:rsidP="00EC27DE">
            <w:r w:rsidRPr="001F765A">
              <w:t>Standard</w:t>
            </w:r>
          </w:p>
        </w:tc>
        <w:tc>
          <w:tcPr>
            <w:tcW w:w="9750" w:type="dxa"/>
            <w:tcBorders>
              <w:top w:val="single" w:sz="4" w:space="0" w:color="auto"/>
              <w:left w:val="single" w:sz="4" w:space="0" w:color="auto"/>
              <w:bottom w:val="single" w:sz="4" w:space="0" w:color="auto"/>
              <w:right w:val="single" w:sz="4" w:space="0" w:color="auto"/>
            </w:tcBorders>
          </w:tcPr>
          <w:p w14:paraId="74A6611B" w14:textId="77777777" w:rsidR="00164D4C" w:rsidRPr="001F765A" w:rsidRDefault="00164D4C" w:rsidP="00EC27DE">
            <w:pPr>
              <w:ind w:firstLine="360"/>
            </w:pPr>
          </w:p>
        </w:tc>
      </w:tr>
      <w:tr w:rsidR="00164D4C" w:rsidRPr="001F765A" w14:paraId="2E7B8D76" w14:textId="77777777" w:rsidTr="00164D4C">
        <w:tc>
          <w:tcPr>
            <w:tcW w:w="1190" w:type="dxa"/>
            <w:vMerge w:val="restart"/>
            <w:tcBorders>
              <w:top w:val="single" w:sz="4" w:space="0" w:color="auto"/>
              <w:left w:val="single" w:sz="4" w:space="0" w:color="auto"/>
              <w:bottom w:val="single" w:sz="4" w:space="0" w:color="auto"/>
              <w:right w:val="single" w:sz="4" w:space="0" w:color="auto"/>
            </w:tcBorders>
            <w:vAlign w:val="center"/>
            <w:hideMark/>
          </w:tcPr>
          <w:p w14:paraId="3F4677E1" w14:textId="77777777" w:rsidR="00164D4C" w:rsidRPr="00164D4C" w:rsidRDefault="00164D4C" w:rsidP="00EC27DE">
            <w:pPr>
              <w:rPr>
                <w:sz w:val="22"/>
                <w:szCs w:val="22"/>
              </w:rPr>
            </w:pPr>
            <w:r w:rsidRPr="00164D4C">
              <w:rPr>
                <w:sz w:val="22"/>
                <w:szCs w:val="22"/>
              </w:rPr>
              <w:t>CHEM1</w:t>
            </w:r>
          </w:p>
        </w:tc>
        <w:tc>
          <w:tcPr>
            <w:tcW w:w="804" w:type="dxa"/>
            <w:tcBorders>
              <w:top w:val="single" w:sz="4" w:space="0" w:color="auto"/>
              <w:left w:val="single" w:sz="4" w:space="0" w:color="auto"/>
              <w:bottom w:val="single" w:sz="4" w:space="0" w:color="auto"/>
              <w:right w:val="single" w:sz="4" w:space="0" w:color="auto"/>
            </w:tcBorders>
            <w:vAlign w:val="center"/>
            <w:hideMark/>
          </w:tcPr>
          <w:p w14:paraId="0D71B607" w14:textId="77777777" w:rsidR="00164D4C" w:rsidRPr="00164D4C" w:rsidRDefault="00164D4C" w:rsidP="00EC27DE">
            <w:pPr>
              <w:rPr>
                <w:sz w:val="22"/>
                <w:szCs w:val="22"/>
              </w:rPr>
            </w:pPr>
            <w:r w:rsidRPr="00164D4C">
              <w:rPr>
                <w:sz w:val="22"/>
                <w:szCs w:val="22"/>
              </w:rPr>
              <w:t>PS1</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E60E25D" w14:textId="77777777" w:rsidR="00164D4C" w:rsidRPr="00164D4C" w:rsidRDefault="00164D4C" w:rsidP="00164D4C">
            <w:pPr>
              <w:jc w:val="center"/>
              <w:rPr>
                <w:sz w:val="22"/>
                <w:szCs w:val="22"/>
              </w:rPr>
            </w:pPr>
            <w:r w:rsidRPr="00164D4C">
              <w:rPr>
                <w:sz w:val="22"/>
                <w:szCs w:val="22"/>
              </w:rPr>
              <w:t>12</w:t>
            </w:r>
          </w:p>
        </w:tc>
        <w:tc>
          <w:tcPr>
            <w:tcW w:w="9750" w:type="dxa"/>
            <w:tcBorders>
              <w:top w:val="single" w:sz="4" w:space="0" w:color="auto"/>
              <w:left w:val="single" w:sz="4" w:space="0" w:color="auto"/>
              <w:bottom w:val="single" w:sz="4" w:space="0" w:color="auto"/>
              <w:right w:val="single" w:sz="4" w:space="0" w:color="auto"/>
            </w:tcBorders>
            <w:hideMark/>
          </w:tcPr>
          <w:p w14:paraId="45D8EFFD" w14:textId="77777777" w:rsidR="00164D4C" w:rsidRPr="00164D4C" w:rsidRDefault="00164D4C" w:rsidP="00EC27DE">
            <w:pPr>
              <w:rPr>
                <w:sz w:val="22"/>
                <w:szCs w:val="22"/>
              </w:rPr>
            </w:pPr>
            <w:r w:rsidRPr="00164D4C">
              <w:rPr>
                <w:sz w:val="22"/>
                <w:szCs w:val="22"/>
              </w:rPr>
              <w:t xml:space="preserve">Explain the origin and organization of the Periodic Table. Predict chemical and physical properties of main group elements (reactivity, number of subatomic particles, ion charge, ionization energy, atomic radius, and electronegativity) based on location on the periodic table. Construct an argument to describe how the quantum mechanical model of the atom (e.g., patterns of valence and inner electrons) defines periodic properties. Use the periodic table to draw </w:t>
            </w:r>
            <w:proofErr w:type="gramStart"/>
            <w:r w:rsidRPr="00164D4C">
              <w:rPr>
                <w:sz w:val="22"/>
                <w:szCs w:val="22"/>
              </w:rPr>
              <w:t>Lewis</w:t>
            </w:r>
            <w:proofErr w:type="gramEnd"/>
            <w:r w:rsidRPr="00164D4C">
              <w:rPr>
                <w:sz w:val="22"/>
                <w:szCs w:val="22"/>
              </w:rPr>
              <w:t xml:space="preserve"> dot structures and show understanding of orbital notations through drawing and interpreting graphical representations (i.e., arrows representing electrons in an orbital).</w:t>
            </w:r>
          </w:p>
        </w:tc>
      </w:tr>
      <w:tr w:rsidR="00164D4C" w:rsidRPr="001F765A" w14:paraId="4D731C6E" w14:textId="77777777" w:rsidTr="00164D4C">
        <w:tc>
          <w:tcPr>
            <w:tcW w:w="1190" w:type="dxa"/>
            <w:vMerge/>
            <w:tcBorders>
              <w:top w:val="single" w:sz="4" w:space="0" w:color="auto"/>
              <w:left w:val="single" w:sz="4" w:space="0" w:color="auto"/>
              <w:bottom w:val="single" w:sz="4" w:space="0" w:color="auto"/>
              <w:right w:val="single" w:sz="4" w:space="0" w:color="auto"/>
            </w:tcBorders>
            <w:vAlign w:val="center"/>
            <w:hideMark/>
          </w:tcPr>
          <w:p w14:paraId="54EEA575" w14:textId="77777777" w:rsidR="00164D4C" w:rsidRPr="00164D4C" w:rsidRDefault="00164D4C" w:rsidP="00EC27DE">
            <w:pPr>
              <w:ind w:firstLine="360"/>
              <w:rPr>
                <w:sz w:val="22"/>
                <w:szCs w:val="22"/>
              </w:rPr>
            </w:pPr>
          </w:p>
        </w:tc>
        <w:tc>
          <w:tcPr>
            <w:tcW w:w="804" w:type="dxa"/>
            <w:tcBorders>
              <w:top w:val="single" w:sz="4" w:space="0" w:color="auto"/>
              <w:left w:val="single" w:sz="4" w:space="0" w:color="auto"/>
              <w:bottom w:val="single" w:sz="4" w:space="0" w:color="auto"/>
              <w:right w:val="single" w:sz="4" w:space="0" w:color="auto"/>
            </w:tcBorders>
            <w:vAlign w:val="center"/>
            <w:hideMark/>
          </w:tcPr>
          <w:p w14:paraId="624E5F2E" w14:textId="77777777" w:rsidR="00164D4C" w:rsidRPr="00164D4C" w:rsidRDefault="00164D4C" w:rsidP="00EC27DE">
            <w:pPr>
              <w:rPr>
                <w:sz w:val="22"/>
                <w:szCs w:val="22"/>
              </w:rPr>
            </w:pPr>
            <w:r w:rsidRPr="00164D4C">
              <w:rPr>
                <w:sz w:val="22"/>
                <w:szCs w:val="22"/>
              </w:rPr>
              <w:t>PS2</w:t>
            </w:r>
          </w:p>
        </w:tc>
        <w:tc>
          <w:tcPr>
            <w:tcW w:w="1324" w:type="dxa"/>
            <w:tcBorders>
              <w:top w:val="single" w:sz="4" w:space="0" w:color="auto"/>
              <w:left w:val="single" w:sz="4" w:space="0" w:color="auto"/>
              <w:bottom w:val="single" w:sz="4" w:space="0" w:color="auto"/>
              <w:right w:val="single" w:sz="4" w:space="0" w:color="auto"/>
            </w:tcBorders>
            <w:vAlign w:val="center"/>
            <w:hideMark/>
          </w:tcPr>
          <w:p w14:paraId="73A65434" w14:textId="77777777" w:rsidR="00164D4C" w:rsidRPr="00164D4C" w:rsidRDefault="00164D4C" w:rsidP="00164D4C">
            <w:pPr>
              <w:jc w:val="center"/>
              <w:rPr>
                <w:sz w:val="22"/>
                <w:szCs w:val="22"/>
              </w:rPr>
            </w:pPr>
            <w:r w:rsidRPr="00164D4C">
              <w:rPr>
                <w:sz w:val="22"/>
                <w:szCs w:val="22"/>
              </w:rPr>
              <w:t>2</w:t>
            </w:r>
          </w:p>
        </w:tc>
        <w:tc>
          <w:tcPr>
            <w:tcW w:w="9750" w:type="dxa"/>
            <w:tcBorders>
              <w:top w:val="single" w:sz="4" w:space="0" w:color="auto"/>
              <w:left w:val="single" w:sz="4" w:space="0" w:color="auto"/>
              <w:bottom w:val="single" w:sz="4" w:space="0" w:color="auto"/>
              <w:right w:val="single" w:sz="4" w:space="0" w:color="auto"/>
            </w:tcBorders>
            <w:hideMark/>
          </w:tcPr>
          <w:p w14:paraId="4EF94FB1" w14:textId="77777777" w:rsidR="00164D4C" w:rsidRPr="00164D4C" w:rsidRDefault="00164D4C" w:rsidP="00EC27DE">
            <w:pPr>
              <w:rPr>
                <w:sz w:val="22"/>
                <w:szCs w:val="22"/>
              </w:rPr>
            </w:pPr>
            <w:r w:rsidRPr="00164D4C">
              <w:rPr>
                <w:sz w:val="22"/>
                <w:szCs w:val="22"/>
              </w:rPr>
              <w:t>Understand that intermolecular forces created by the unequal distribution of charge result in varying degrees of attraction between molecules. Compare and contrast the intermolecular forces (hydrogen bonding, dipole-dipole bonding, and London dispersion forces) within different types of simple substances (only those following the octet rule) and predict and explain their effect on chemical and physical properties of those substances using models or graphical representations.</w:t>
            </w:r>
          </w:p>
        </w:tc>
      </w:tr>
      <w:tr w:rsidR="00164D4C" w:rsidRPr="001F765A" w14:paraId="4AF3941E" w14:textId="77777777" w:rsidTr="00164D4C">
        <w:tc>
          <w:tcPr>
            <w:tcW w:w="1190" w:type="dxa"/>
            <w:vMerge/>
            <w:tcBorders>
              <w:top w:val="single" w:sz="4" w:space="0" w:color="auto"/>
              <w:left w:val="single" w:sz="4" w:space="0" w:color="auto"/>
              <w:bottom w:val="single" w:sz="4" w:space="0" w:color="auto"/>
              <w:right w:val="single" w:sz="4" w:space="0" w:color="auto"/>
            </w:tcBorders>
            <w:vAlign w:val="center"/>
            <w:hideMark/>
          </w:tcPr>
          <w:p w14:paraId="54168DB6" w14:textId="77777777" w:rsidR="00164D4C" w:rsidRPr="00164D4C" w:rsidRDefault="00164D4C" w:rsidP="00EC27DE">
            <w:pPr>
              <w:ind w:firstLine="360"/>
              <w:rPr>
                <w:sz w:val="22"/>
                <w:szCs w:val="22"/>
              </w:rPr>
            </w:pPr>
          </w:p>
        </w:tc>
        <w:tc>
          <w:tcPr>
            <w:tcW w:w="804" w:type="dxa"/>
            <w:vMerge w:val="restart"/>
            <w:tcBorders>
              <w:top w:val="single" w:sz="4" w:space="0" w:color="auto"/>
              <w:left w:val="single" w:sz="4" w:space="0" w:color="auto"/>
              <w:bottom w:val="single" w:sz="4" w:space="0" w:color="auto"/>
              <w:right w:val="single" w:sz="4" w:space="0" w:color="auto"/>
            </w:tcBorders>
            <w:vAlign w:val="center"/>
            <w:hideMark/>
          </w:tcPr>
          <w:p w14:paraId="00477296" w14:textId="77777777" w:rsidR="00164D4C" w:rsidRPr="00164D4C" w:rsidRDefault="00164D4C" w:rsidP="00EC27DE">
            <w:pPr>
              <w:rPr>
                <w:sz w:val="22"/>
                <w:szCs w:val="22"/>
              </w:rPr>
            </w:pPr>
            <w:r w:rsidRPr="00164D4C">
              <w:rPr>
                <w:sz w:val="22"/>
                <w:szCs w:val="22"/>
              </w:rPr>
              <w:t>PS3</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0039472" w14:textId="77777777" w:rsidR="00164D4C" w:rsidRPr="00164D4C" w:rsidRDefault="00164D4C" w:rsidP="00164D4C">
            <w:pPr>
              <w:jc w:val="center"/>
              <w:rPr>
                <w:sz w:val="22"/>
                <w:szCs w:val="22"/>
              </w:rPr>
            </w:pPr>
            <w:r w:rsidRPr="00164D4C">
              <w:rPr>
                <w:sz w:val="22"/>
                <w:szCs w:val="22"/>
              </w:rPr>
              <w:t>1</w:t>
            </w:r>
          </w:p>
        </w:tc>
        <w:tc>
          <w:tcPr>
            <w:tcW w:w="9750" w:type="dxa"/>
            <w:tcBorders>
              <w:top w:val="single" w:sz="4" w:space="0" w:color="auto"/>
              <w:left w:val="single" w:sz="4" w:space="0" w:color="auto"/>
              <w:bottom w:val="single" w:sz="4" w:space="0" w:color="auto"/>
              <w:right w:val="single" w:sz="4" w:space="0" w:color="auto"/>
            </w:tcBorders>
            <w:hideMark/>
          </w:tcPr>
          <w:p w14:paraId="3462BCD9" w14:textId="77777777" w:rsidR="00164D4C" w:rsidRPr="00164D4C" w:rsidRDefault="00164D4C" w:rsidP="00EC27DE">
            <w:pPr>
              <w:rPr>
                <w:sz w:val="22"/>
                <w:szCs w:val="22"/>
              </w:rPr>
            </w:pPr>
            <w:r w:rsidRPr="00164D4C">
              <w:rPr>
                <w:sz w:val="22"/>
                <w:szCs w:val="22"/>
              </w:rPr>
              <w:t>Contrast the concepts of temperature and heat in macroscopic and microscopic terms. Understand that thermal energy is a form of energy and temperature is a measure of average kinetic energy of a group of particles.</w:t>
            </w:r>
          </w:p>
        </w:tc>
      </w:tr>
      <w:tr w:rsidR="00164D4C" w:rsidRPr="001F765A" w14:paraId="3EF29B67" w14:textId="77777777" w:rsidTr="00164D4C">
        <w:trPr>
          <w:trHeight w:val="269"/>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D862114" w14:textId="77777777" w:rsidR="00164D4C" w:rsidRPr="00164D4C" w:rsidRDefault="00164D4C" w:rsidP="00EC27DE">
            <w:pPr>
              <w:ind w:firstLine="360"/>
              <w:rPr>
                <w:sz w:val="22"/>
                <w:szCs w:val="22"/>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1DB008D5" w14:textId="77777777" w:rsidR="00164D4C" w:rsidRPr="00164D4C" w:rsidRDefault="00164D4C" w:rsidP="00EC27DE">
            <w:pPr>
              <w:ind w:firstLine="360"/>
              <w:rPr>
                <w:sz w:val="22"/>
                <w:szCs w:val="22"/>
              </w:rPr>
            </w:pPr>
          </w:p>
        </w:tc>
        <w:tc>
          <w:tcPr>
            <w:tcW w:w="1324" w:type="dxa"/>
            <w:tcBorders>
              <w:top w:val="single" w:sz="4" w:space="0" w:color="auto"/>
              <w:left w:val="single" w:sz="4" w:space="0" w:color="auto"/>
              <w:bottom w:val="single" w:sz="4" w:space="0" w:color="auto"/>
              <w:right w:val="single" w:sz="4" w:space="0" w:color="auto"/>
            </w:tcBorders>
            <w:vAlign w:val="center"/>
            <w:hideMark/>
          </w:tcPr>
          <w:p w14:paraId="054FA3EE" w14:textId="77777777" w:rsidR="00164D4C" w:rsidRPr="00164D4C" w:rsidRDefault="00164D4C" w:rsidP="00164D4C">
            <w:pPr>
              <w:jc w:val="center"/>
              <w:rPr>
                <w:b/>
                <w:bCs/>
                <w:i/>
                <w:iCs/>
                <w:sz w:val="22"/>
                <w:szCs w:val="22"/>
              </w:rPr>
            </w:pPr>
            <w:r w:rsidRPr="00164D4C">
              <w:rPr>
                <w:b/>
                <w:bCs/>
                <w:i/>
                <w:iCs/>
                <w:sz w:val="22"/>
                <w:szCs w:val="22"/>
              </w:rPr>
              <w:t>2</w:t>
            </w:r>
          </w:p>
        </w:tc>
        <w:tc>
          <w:tcPr>
            <w:tcW w:w="9750" w:type="dxa"/>
            <w:tcBorders>
              <w:top w:val="single" w:sz="4" w:space="0" w:color="auto"/>
              <w:left w:val="single" w:sz="4" w:space="0" w:color="auto"/>
              <w:bottom w:val="single" w:sz="4" w:space="0" w:color="auto"/>
              <w:right w:val="single" w:sz="4" w:space="0" w:color="auto"/>
            </w:tcBorders>
            <w:hideMark/>
          </w:tcPr>
          <w:p w14:paraId="5B509F0D" w14:textId="77777777" w:rsidR="00164D4C" w:rsidRPr="00164D4C" w:rsidRDefault="00164D4C" w:rsidP="00EC27DE">
            <w:pPr>
              <w:rPr>
                <w:b/>
                <w:bCs/>
                <w:i/>
                <w:iCs/>
                <w:sz w:val="22"/>
                <w:szCs w:val="22"/>
              </w:rPr>
            </w:pPr>
            <w:r w:rsidRPr="00164D4C">
              <w:rPr>
                <w:b/>
                <w:bCs/>
                <w:i/>
                <w:iCs/>
                <w:sz w:val="22"/>
                <w:szCs w:val="22"/>
              </w:rPr>
              <w:t xml:space="preserve">Draw and interpret heating and cooling curves and phase diagrams. Analyze the energy changes involved in calorimetry by using the law of conservation of energy quantitatively (use of q = </w:t>
            </w:r>
            <w:proofErr w:type="spellStart"/>
            <w:r w:rsidRPr="00164D4C">
              <w:rPr>
                <w:b/>
                <w:bCs/>
                <w:i/>
                <w:iCs/>
                <w:sz w:val="22"/>
                <w:szCs w:val="22"/>
              </w:rPr>
              <w:t>mcΔT</w:t>
            </w:r>
            <w:proofErr w:type="spellEnd"/>
            <w:r w:rsidRPr="00164D4C">
              <w:rPr>
                <w:b/>
                <w:bCs/>
                <w:i/>
                <w:iCs/>
                <w:sz w:val="22"/>
                <w:szCs w:val="22"/>
              </w:rPr>
              <w:t>) and qualitatively.</w:t>
            </w:r>
          </w:p>
        </w:tc>
      </w:tr>
      <w:tr w:rsidR="00164D4C" w:rsidRPr="001F765A" w14:paraId="51CA348A" w14:textId="77777777" w:rsidTr="00164D4C">
        <w:trPr>
          <w:trHeight w:val="269"/>
        </w:trPr>
        <w:tc>
          <w:tcPr>
            <w:tcW w:w="1190" w:type="dxa"/>
            <w:tcBorders>
              <w:top w:val="single" w:sz="4" w:space="0" w:color="auto"/>
              <w:left w:val="single" w:sz="4" w:space="0" w:color="auto"/>
              <w:bottom w:val="single" w:sz="4" w:space="0" w:color="auto"/>
              <w:right w:val="single" w:sz="4" w:space="0" w:color="auto"/>
            </w:tcBorders>
            <w:vAlign w:val="center"/>
          </w:tcPr>
          <w:p w14:paraId="33BF1751" w14:textId="07C5625F" w:rsidR="00164D4C" w:rsidRPr="00164D4C" w:rsidRDefault="00164D4C" w:rsidP="00164D4C">
            <w:pPr>
              <w:rPr>
                <w:sz w:val="22"/>
                <w:szCs w:val="22"/>
              </w:rPr>
            </w:pPr>
            <w:r w:rsidRPr="00164D4C">
              <w:rPr>
                <w:sz w:val="22"/>
                <w:szCs w:val="22"/>
              </w:rPr>
              <w:t>CHEM2</w:t>
            </w:r>
          </w:p>
        </w:tc>
        <w:tc>
          <w:tcPr>
            <w:tcW w:w="804" w:type="dxa"/>
            <w:tcBorders>
              <w:top w:val="single" w:sz="4" w:space="0" w:color="auto"/>
              <w:left w:val="single" w:sz="4" w:space="0" w:color="auto"/>
              <w:bottom w:val="single" w:sz="4" w:space="0" w:color="auto"/>
              <w:right w:val="single" w:sz="4" w:space="0" w:color="auto"/>
            </w:tcBorders>
            <w:vAlign w:val="center"/>
          </w:tcPr>
          <w:p w14:paraId="44EE5E09" w14:textId="3A5B94DB" w:rsidR="00164D4C" w:rsidRPr="00164D4C" w:rsidRDefault="00164D4C" w:rsidP="00164D4C">
            <w:pPr>
              <w:rPr>
                <w:sz w:val="22"/>
                <w:szCs w:val="22"/>
              </w:rPr>
            </w:pPr>
            <w:r w:rsidRPr="00164D4C">
              <w:rPr>
                <w:sz w:val="22"/>
                <w:szCs w:val="22"/>
              </w:rPr>
              <w:t>PS1</w:t>
            </w:r>
          </w:p>
        </w:tc>
        <w:tc>
          <w:tcPr>
            <w:tcW w:w="1324" w:type="dxa"/>
            <w:tcBorders>
              <w:top w:val="single" w:sz="4" w:space="0" w:color="auto"/>
              <w:left w:val="single" w:sz="4" w:space="0" w:color="auto"/>
              <w:bottom w:val="single" w:sz="4" w:space="0" w:color="auto"/>
              <w:right w:val="single" w:sz="4" w:space="0" w:color="auto"/>
            </w:tcBorders>
            <w:vAlign w:val="center"/>
          </w:tcPr>
          <w:p w14:paraId="079A506C" w14:textId="666A64D2" w:rsidR="00164D4C" w:rsidRPr="00164D4C" w:rsidRDefault="00164D4C" w:rsidP="00164D4C">
            <w:pPr>
              <w:jc w:val="center"/>
              <w:rPr>
                <w:b/>
                <w:bCs/>
                <w:i/>
                <w:iCs/>
                <w:sz w:val="22"/>
                <w:szCs w:val="22"/>
              </w:rPr>
            </w:pPr>
            <w:r w:rsidRPr="00164D4C">
              <w:rPr>
                <w:b/>
                <w:bCs/>
                <w:i/>
                <w:iCs/>
                <w:sz w:val="22"/>
                <w:szCs w:val="22"/>
              </w:rPr>
              <w:t>3</w:t>
            </w:r>
          </w:p>
        </w:tc>
        <w:tc>
          <w:tcPr>
            <w:tcW w:w="9750" w:type="dxa"/>
            <w:tcBorders>
              <w:top w:val="single" w:sz="4" w:space="0" w:color="auto"/>
              <w:left w:val="single" w:sz="4" w:space="0" w:color="auto"/>
              <w:bottom w:val="single" w:sz="4" w:space="0" w:color="auto"/>
              <w:right w:val="single" w:sz="4" w:space="0" w:color="auto"/>
            </w:tcBorders>
          </w:tcPr>
          <w:p w14:paraId="460BE7D8" w14:textId="1AAAC3F4" w:rsidR="00164D4C" w:rsidRPr="00164D4C" w:rsidRDefault="00164D4C" w:rsidP="00164D4C">
            <w:pPr>
              <w:rPr>
                <w:b/>
                <w:bCs/>
                <w:i/>
                <w:iCs/>
                <w:sz w:val="22"/>
                <w:szCs w:val="22"/>
              </w:rPr>
            </w:pPr>
            <w:r w:rsidRPr="00164D4C">
              <w:rPr>
                <w:b/>
                <w:bCs/>
                <w:i/>
                <w:iCs/>
                <w:sz w:val="22"/>
                <w:szCs w:val="22"/>
              </w:rPr>
              <w:t>Compare and contrast crystalline and amorphous solids with respect to particle arrangement, strength of bonds, melting and boiling points, bulk density, and conductivity; provide examples of each type. 10. Obtain, evaluate, and communicate information about how carbon’s structure and function are used and have influenced society.</w:t>
            </w:r>
          </w:p>
        </w:tc>
      </w:tr>
      <w:tr w:rsidR="00164D4C" w:rsidRPr="001F765A" w14:paraId="70E72F97" w14:textId="77777777" w:rsidTr="00164D4C">
        <w:trPr>
          <w:trHeight w:val="269"/>
        </w:trPr>
        <w:tc>
          <w:tcPr>
            <w:tcW w:w="1190" w:type="dxa"/>
            <w:tcBorders>
              <w:top w:val="single" w:sz="4" w:space="0" w:color="auto"/>
              <w:left w:val="single" w:sz="4" w:space="0" w:color="auto"/>
              <w:bottom w:val="single" w:sz="4" w:space="0" w:color="auto"/>
              <w:right w:val="single" w:sz="4" w:space="0" w:color="auto"/>
            </w:tcBorders>
            <w:vAlign w:val="center"/>
          </w:tcPr>
          <w:p w14:paraId="21FEC5A0" w14:textId="77777777" w:rsidR="00164D4C" w:rsidRPr="00164D4C" w:rsidRDefault="00164D4C" w:rsidP="00164D4C">
            <w:pPr>
              <w:ind w:firstLine="360"/>
              <w:rPr>
                <w:sz w:val="22"/>
                <w:szCs w:val="22"/>
              </w:rPr>
            </w:pPr>
          </w:p>
        </w:tc>
        <w:tc>
          <w:tcPr>
            <w:tcW w:w="804" w:type="dxa"/>
            <w:tcBorders>
              <w:top w:val="single" w:sz="4" w:space="0" w:color="auto"/>
              <w:left w:val="single" w:sz="4" w:space="0" w:color="auto"/>
              <w:bottom w:val="single" w:sz="4" w:space="0" w:color="auto"/>
              <w:right w:val="single" w:sz="4" w:space="0" w:color="auto"/>
            </w:tcBorders>
            <w:vAlign w:val="center"/>
          </w:tcPr>
          <w:p w14:paraId="45F04E7C" w14:textId="242C1E31" w:rsidR="00164D4C" w:rsidRPr="00164D4C" w:rsidRDefault="00164D4C" w:rsidP="00164D4C">
            <w:pPr>
              <w:rPr>
                <w:sz w:val="22"/>
                <w:szCs w:val="22"/>
              </w:rPr>
            </w:pPr>
            <w:r w:rsidRPr="00164D4C">
              <w:rPr>
                <w:sz w:val="22"/>
                <w:szCs w:val="22"/>
              </w:rPr>
              <w:t>PS2</w:t>
            </w:r>
          </w:p>
        </w:tc>
        <w:tc>
          <w:tcPr>
            <w:tcW w:w="1324" w:type="dxa"/>
            <w:tcBorders>
              <w:top w:val="single" w:sz="4" w:space="0" w:color="auto"/>
              <w:left w:val="single" w:sz="4" w:space="0" w:color="auto"/>
              <w:bottom w:val="single" w:sz="4" w:space="0" w:color="auto"/>
              <w:right w:val="single" w:sz="4" w:space="0" w:color="auto"/>
            </w:tcBorders>
            <w:vAlign w:val="center"/>
          </w:tcPr>
          <w:p w14:paraId="2EFFD034" w14:textId="4B8EFA44" w:rsidR="00164D4C" w:rsidRPr="00164D4C" w:rsidRDefault="00164D4C" w:rsidP="00164D4C">
            <w:pPr>
              <w:jc w:val="center"/>
              <w:rPr>
                <w:b/>
                <w:bCs/>
                <w:i/>
                <w:iCs/>
                <w:sz w:val="22"/>
                <w:szCs w:val="22"/>
              </w:rPr>
            </w:pPr>
            <w:r w:rsidRPr="00164D4C">
              <w:rPr>
                <w:sz w:val="22"/>
                <w:szCs w:val="22"/>
              </w:rPr>
              <w:t>1</w:t>
            </w:r>
          </w:p>
        </w:tc>
        <w:tc>
          <w:tcPr>
            <w:tcW w:w="9750" w:type="dxa"/>
            <w:tcBorders>
              <w:top w:val="single" w:sz="4" w:space="0" w:color="auto"/>
              <w:left w:val="single" w:sz="4" w:space="0" w:color="auto"/>
              <w:bottom w:val="single" w:sz="4" w:space="0" w:color="auto"/>
              <w:right w:val="single" w:sz="4" w:space="0" w:color="auto"/>
            </w:tcBorders>
          </w:tcPr>
          <w:p w14:paraId="26E3169C" w14:textId="4723F2F2" w:rsidR="00164D4C" w:rsidRPr="00164D4C" w:rsidRDefault="00164D4C" w:rsidP="00164D4C">
            <w:pPr>
              <w:rPr>
                <w:b/>
                <w:bCs/>
                <w:i/>
                <w:iCs/>
                <w:sz w:val="22"/>
                <w:szCs w:val="22"/>
              </w:rPr>
            </w:pPr>
            <w:r w:rsidRPr="00164D4C">
              <w:rPr>
                <w:sz w:val="22"/>
                <w:szCs w:val="22"/>
              </w:rPr>
              <w:t xml:space="preserve">Plan and </w:t>
            </w:r>
            <w:proofErr w:type="gramStart"/>
            <w:r w:rsidRPr="00164D4C">
              <w:rPr>
                <w:sz w:val="22"/>
                <w:szCs w:val="22"/>
              </w:rPr>
              <w:t>conduct an investigation</w:t>
            </w:r>
            <w:proofErr w:type="gramEnd"/>
            <w:r w:rsidRPr="00164D4C">
              <w:rPr>
                <w:sz w:val="22"/>
                <w:szCs w:val="22"/>
              </w:rPr>
              <w:t xml:space="preserve"> to compare the properties of the different types of intermolecular forces in pure substances and in components of a mixture.</w:t>
            </w:r>
          </w:p>
        </w:tc>
      </w:tr>
      <w:tr w:rsidR="00164D4C" w:rsidRPr="001F765A" w14:paraId="2E6C1525" w14:textId="77777777" w:rsidTr="00164D4C">
        <w:trPr>
          <w:trHeight w:val="269"/>
        </w:trPr>
        <w:tc>
          <w:tcPr>
            <w:tcW w:w="1190" w:type="dxa"/>
            <w:tcBorders>
              <w:top w:val="single" w:sz="4" w:space="0" w:color="auto"/>
              <w:left w:val="single" w:sz="4" w:space="0" w:color="auto"/>
              <w:bottom w:val="single" w:sz="4" w:space="0" w:color="auto"/>
              <w:right w:val="single" w:sz="4" w:space="0" w:color="auto"/>
            </w:tcBorders>
            <w:vAlign w:val="center"/>
          </w:tcPr>
          <w:p w14:paraId="26FF1A83" w14:textId="77777777" w:rsidR="00164D4C" w:rsidRPr="00164D4C" w:rsidRDefault="00164D4C" w:rsidP="00164D4C">
            <w:pPr>
              <w:ind w:firstLine="360"/>
              <w:rPr>
                <w:sz w:val="22"/>
                <w:szCs w:val="22"/>
              </w:rPr>
            </w:pPr>
          </w:p>
        </w:tc>
        <w:tc>
          <w:tcPr>
            <w:tcW w:w="804" w:type="dxa"/>
            <w:tcBorders>
              <w:top w:val="single" w:sz="4" w:space="0" w:color="auto"/>
              <w:left w:val="single" w:sz="4" w:space="0" w:color="auto"/>
              <w:bottom w:val="single" w:sz="4" w:space="0" w:color="auto"/>
              <w:right w:val="single" w:sz="4" w:space="0" w:color="auto"/>
            </w:tcBorders>
            <w:vAlign w:val="center"/>
          </w:tcPr>
          <w:p w14:paraId="23A8D23B" w14:textId="77777777" w:rsidR="00164D4C" w:rsidRPr="00164D4C" w:rsidRDefault="00164D4C" w:rsidP="00164D4C">
            <w:pPr>
              <w:ind w:firstLine="360"/>
              <w:rPr>
                <w:sz w:val="22"/>
                <w:szCs w:val="22"/>
              </w:rPr>
            </w:pPr>
          </w:p>
        </w:tc>
        <w:tc>
          <w:tcPr>
            <w:tcW w:w="1324" w:type="dxa"/>
            <w:tcBorders>
              <w:top w:val="single" w:sz="4" w:space="0" w:color="auto"/>
              <w:left w:val="single" w:sz="4" w:space="0" w:color="auto"/>
              <w:bottom w:val="single" w:sz="4" w:space="0" w:color="auto"/>
              <w:right w:val="single" w:sz="4" w:space="0" w:color="auto"/>
            </w:tcBorders>
            <w:vAlign w:val="center"/>
          </w:tcPr>
          <w:p w14:paraId="1E95F595" w14:textId="492C0B80" w:rsidR="00164D4C" w:rsidRPr="00164D4C" w:rsidRDefault="00164D4C" w:rsidP="00164D4C">
            <w:pPr>
              <w:jc w:val="center"/>
              <w:rPr>
                <w:b/>
                <w:bCs/>
                <w:i/>
                <w:iCs/>
                <w:sz w:val="22"/>
                <w:szCs w:val="22"/>
              </w:rPr>
            </w:pPr>
            <w:r w:rsidRPr="00164D4C">
              <w:rPr>
                <w:sz w:val="22"/>
                <w:szCs w:val="22"/>
              </w:rPr>
              <w:t>2</w:t>
            </w:r>
          </w:p>
        </w:tc>
        <w:tc>
          <w:tcPr>
            <w:tcW w:w="9750" w:type="dxa"/>
            <w:tcBorders>
              <w:top w:val="single" w:sz="4" w:space="0" w:color="auto"/>
              <w:left w:val="single" w:sz="4" w:space="0" w:color="auto"/>
              <w:bottom w:val="single" w:sz="4" w:space="0" w:color="auto"/>
              <w:right w:val="single" w:sz="4" w:space="0" w:color="auto"/>
            </w:tcBorders>
          </w:tcPr>
          <w:p w14:paraId="79FB07ED" w14:textId="39C20252" w:rsidR="00164D4C" w:rsidRPr="00164D4C" w:rsidRDefault="00164D4C" w:rsidP="00164D4C">
            <w:pPr>
              <w:rPr>
                <w:b/>
                <w:bCs/>
                <w:i/>
                <w:iCs/>
                <w:sz w:val="22"/>
                <w:szCs w:val="22"/>
              </w:rPr>
            </w:pPr>
            <w:r w:rsidRPr="00164D4C">
              <w:rPr>
                <w:sz w:val="22"/>
                <w:szCs w:val="22"/>
              </w:rPr>
              <w:t>Make predictions regarding the relative magnitudes of the forces acting within collections of interacting molecules based on the distribution of electrons within the molecules and types of intermolecular forces through which the molecules interact.</w:t>
            </w:r>
          </w:p>
        </w:tc>
      </w:tr>
    </w:tbl>
    <w:p w14:paraId="4A204F0C" w14:textId="0E3A4AEA" w:rsidR="00164D4C" w:rsidRDefault="00164D4C">
      <w:r>
        <w:br w:type="page"/>
      </w:r>
    </w:p>
    <w:p w14:paraId="7F89F719" w14:textId="77777777" w:rsidR="00164D4C" w:rsidRDefault="00164D4C" w:rsidP="002060AF">
      <w:pPr>
        <w:spacing w:line="360" w:lineRule="auto"/>
        <w:sectPr w:rsidR="00164D4C" w:rsidSect="00164D4C">
          <w:pgSz w:w="15840" w:h="12240" w:orient="landscape" w:code="1"/>
          <w:pgMar w:top="1440" w:right="1440" w:bottom="1440" w:left="1440" w:header="720" w:footer="1440" w:gutter="0"/>
          <w:cols w:space="720"/>
          <w:noEndnote/>
          <w:docGrid w:linePitch="360"/>
        </w:sectPr>
      </w:pPr>
    </w:p>
    <w:p w14:paraId="330B554A" w14:textId="37B732A8" w:rsidR="004417AB" w:rsidRDefault="004417AB" w:rsidP="002060AF">
      <w:pPr>
        <w:spacing w:line="360" w:lineRule="auto"/>
      </w:pPr>
      <w:r>
        <w:lastRenderedPageBreak/>
        <w:t xml:space="preserve">pressures and temperatures seen at different depths below Earth’s surface to a phase diagram for carbon, which shows solid-solid phase transitions. After making conceptual assessments of available data, students can use materials to build 3-dimensional representations of the crystal lattices for graphite and diamond. These models allow students to visualize the changes in bond angles between the two minerals, helping to physically connect the nanoscopic effects of pressure and temperature on atomic arrangements and geometries in crystal lattices. </w:t>
      </w:r>
    </w:p>
    <w:p w14:paraId="708E81FC" w14:textId="2474218D" w:rsidR="004417AB" w:rsidRDefault="008813E5" w:rsidP="00056273">
      <w:pPr>
        <w:pStyle w:val="Heading2"/>
        <w:spacing w:line="360" w:lineRule="auto"/>
      </w:pPr>
      <w:bookmarkStart w:id="107" w:name="_Toc109036173"/>
      <w:r>
        <w:t>3</w:t>
      </w:r>
      <w:r w:rsidR="00586653">
        <w:t xml:space="preserve">. </w:t>
      </w:r>
      <w:r w:rsidR="004417AB">
        <w:t>Layering the Earth</w:t>
      </w:r>
      <w:bookmarkEnd w:id="107"/>
    </w:p>
    <w:p w14:paraId="50C73748" w14:textId="2EB8B1E0" w:rsidR="004417AB" w:rsidRDefault="004417AB" w:rsidP="00363146">
      <w:pPr>
        <w:spacing w:line="360" w:lineRule="auto"/>
        <w:ind w:firstLine="360"/>
      </w:pPr>
      <w:r>
        <w:t>Start the lesson by discussing the interior structure of the Earth. Depending on their backgrounds, students may know the layers based on the chemical structure [</w:t>
      </w:r>
      <w:r w:rsidRPr="00C81239">
        <w:rPr>
          <w:i/>
          <w:iCs/>
        </w:rPr>
        <w:t>Crust &gt; Mantle &gt; Outer Core &gt; Inner Core</w:t>
      </w:r>
      <w:r>
        <w:t>] or physical structure [</w:t>
      </w:r>
      <w:r w:rsidRPr="00C81239">
        <w:rPr>
          <w:i/>
          <w:iCs/>
        </w:rPr>
        <w:t>Lithosphere &gt; Asthenosphere &gt; Mantle &gt; Outer Core &gt; Inner Core</w:t>
      </w:r>
      <w:r>
        <w:t xml:space="preserve">] but their familiarity with the names of layers may range widely depending on the interpretation of the middle school Earth’s Systems Performance Expectation Code (MS-ESS2-1, MS-ESS2-2 &amp; MS-ESS2-3, </w:t>
      </w:r>
      <w:r>
        <w:fldChar w:fldCharType="begin" w:fldLock="1"/>
      </w:r>
      <w:r>
        <w:instrText>ADDIN CSL_CITATION {"citationItems":[{"id":"ITEM-1","itemData":{"abstract":"At the beginning of the NGSS development process, in order to eliminate potential redundancy, seek an appropriate grain size, and seek natural connections among the Disciplinary Core Ideas (DCIs) identified within the Framework for K-12 Science Education, the writers arranged the DCIs into topics around which to develop the standards. This structure provided the original basis of the standards, and is preferred by many states. However, the coding structure of individual performance expectations reflects the DCI arrangement in the Framework. Due to the fact that the NGSS progress toward end-of-high school core ideas, the standards may be rearranged in any order within a grade level.","author":[{"dropping-particle":"","family":"NGSS Lead States","given":"","non-dropping-particle":"","parse-names":false,"suffix":""}],"id":"ITEM-1","issue":"September","issued":{"date-parts":[["2017"]]},"page":"1-103","title":"DCI Arrangements of the Next Generation Science Standards Table of Contents","type":"article-journal"},"uris":["http://www.mendeley.com/documents/?uuid=882dc6de-7f5c-4ba8-9a30-34eb69e1d72c"]}],"mendeley":{"formattedCitation":"(NGSS Lead States, 2017)","plainTextFormattedCitation":"(NGSS Lead States, 2017)","previouslyFormattedCitation":"(NGSS Lead States, 2017)"},"properties":{"noteIndex":0},"schema":"https://github.com/citation-style-language/schema/raw/master/csl-citation.json"}</w:instrText>
      </w:r>
      <w:r>
        <w:fldChar w:fldCharType="separate"/>
      </w:r>
      <w:r w:rsidRPr="00A3014D">
        <w:rPr>
          <w:noProof/>
        </w:rPr>
        <w:t>(NGSS Lead States, 2017)</w:t>
      </w:r>
      <w:r>
        <w:fldChar w:fldCharType="end"/>
      </w:r>
      <w:r>
        <w:t>). For this lesson, I have written materials using the chemical structure [</w:t>
      </w:r>
      <w:r w:rsidRPr="000B22AD">
        <w:rPr>
          <w:i/>
          <w:iCs/>
        </w:rPr>
        <w:t>Crust &gt; Mantle &gt; Outer Core &gt; Inner Core</w:t>
      </w:r>
      <w:r>
        <w:t xml:space="preserve">] with the aim of distribution of materials to secondary chemistry classrooms where physical properties are not the focus. </w:t>
      </w:r>
    </w:p>
    <w:p w14:paraId="2438E0E0" w14:textId="77777777" w:rsidR="007E347D" w:rsidRDefault="004417AB" w:rsidP="007E347D">
      <w:pPr>
        <w:spacing w:line="360" w:lineRule="auto"/>
        <w:ind w:firstLine="360"/>
      </w:pPr>
      <w:r>
        <w:t xml:space="preserve">Scientists can estimate the pressure and temperature values deep in the Earth based on many previous studies, such as changes in seismic waves from earthquakes through different layers </w:t>
      </w:r>
      <w:r>
        <w:fldChar w:fldCharType="begin" w:fldLock="1"/>
      </w:r>
      <w:r>
        <w:instrText>ADDIN CSL_CITATION {"citationItems":[{"id":"ITEM-1","itemData":{"DOI":"10.1785/gssrl.78.6.671","ISSN":"0895-0695","author":[{"dropping-particle":"","family":"Herak","given":"D.","non-dropping-particle":"","parse-names":false,"suffix":""},{"dropping-particle":"","family":"Herak","given":"M.","non-dropping-particle":"","parse-names":false,"suffix":""}],"container-title":"Seismological Research Letters","id":"ITEM-1","issue":"6","issued":{"date-parts":[["2007","11","1"]]},"page":"671-674","title":"Andrija Mohorovicic (1857-1936)--On the occasion of the 150th anniversary of his birth","type":"article-journal","volume":"78"},"uris":["http://www.mendeley.com/documents/?uuid=b2418a11-eb6c-451f-a872-453ed3f0321b"]}],"mendeley":{"formattedCitation":"(Herak &amp; Herak, 2007)","manualFormatting":"(e.g. Herak &amp; Herak, 2007)","plainTextFormattedCitation":"(Herak &amp; Herak, 2007)","previouslyFormattedCitation":"(Herak &amp; Herak, 2007)"},"properties":{"noteIndex":0},"schema":"https://github.com/citation-style-language/schema/raw/master/csl-citation.json"}</w:instrText>
      </w:r>
      <w:r>
        <w:fldChar w:fldCharType="separate"/>
      </w:r>
      <w:r w:rsidRPr="004472B8">
        <w:rPr>
          <w:noProof/>
        </w:rPr>
        <w:t>(</w:t>
      </w:r>
      <w:r>
        <w:rPr>
          <w:noProof/>
        </w:rPr>
        <w:t xml:space="preserve">e.g. </w:t>
      </w:r>
      <w:r w:rsidRPr="004472B8">
        <w:rPr>
          <w:noProof/>
        </w:rPr>
        <w:t>Herak &amp; Herak, 2007)</w:t>
      </w:r>
      <w:r>
        <w:fldChar w:fldCharType="end"/>
      </w:r>
      <w:r>
        <w:t xml:space="preserve">, attempts at deep drilling into the crust </w:t>
      </w:r>
      <w:r>
        <w:fldChar w:fldCharType="begin" w:fldLock="1"/>
      </w:r>
      <w:r>
        <w:instrText>ADDIN CSL_CITATION {"citationItems":[{"id":"ITEM-1","itemData":{"DOI":"10.1038/scientificamerican0459-41","ISSN":"0036-8733","author":[{"dropping-particle":"","family":"Bascom","given":"Willard","non-dropping-particle":"","parse-names":false,"suffix":""}],"container-title":"Scientific American","id":"ITEM-1","issue":"4","issued":{"date-parts":[["1959"]]},"page":"41-49","title":"The Mohole","type":"article-journal","volume":"200"},"uris":["http://www.mendeley.com/documents/?uuid=06790787-75e2-475f-8100-3fe19fa88e58"]}],"mendeley":{"formattedCitation":"(Bascom, 1959)","manualFormatting":"(e.g. Bascom, 1959)","plainTextFormattedCitation":"(Bascom, 1959)","previouslyFormattedCitation":"(Bascom, 1959)"},"properties":{"noteIndex":0},"schema":"https://github.com/citation-style-language/schema/raw/master/csl-citation.json"}</w:instrText>
      </w:r>
      <w:r>
        <w:fldChar w:fldCharType="separate"/>
      </w:r>
      <w:r w:rsidRPr="00A63A52">
        <w:rPr>
          <w:noProof/>
        </w:rPr>
        <w:t>(</w:t>
      </w:r>
      <w:r>
        <w:rPr>
          <w:noProof/>
        </w:rPr>
        <w:t xml:space="preserve">e.g. </w:t>
      </w:r>
      <w:r w:rsidRPr="00A63A52">
        <w:rPr>
          <w:noProof/>
        </w:rPr>
        <w:t>Bascom, 1959)</w:t>
      </w:r>
      <w:r>
        <w:fldChar w:fldCharType="end"/>
      </w:r>
      <w:r>
        <w:t xml:space="preserve"> and lab experiments on rocks and minerals </w:t>
      </w:r>
      <w:r>
        <w:fldChar w:fldCharType="begin" w:fldLock="1"/>
      </w:r>
      <w:r>
        <w:instrText xml:space="preserve">ADDIN CSL_CITATION {"citationItems":[{"id":"ITEM-1","itemData":{"DOI":"10.1126/science.aaj2165","ISSN":"10959203","PMID":"28254939","abstract":"Decompression of hot mantle rock upwelling beneath oceanic spreading centers causes it to exceed the melting point (solidus), producing magmas that ascend to form basaltic crust </w:instrText>
      </w:r>
      <w:r>
        <w:rPr>
          <w:rFonts w:ascii="Cambria Math" w:hAnsi="Cambria Math" w:cs="Cambria Math"/>
        </w:rPr>
        <w:instrText>∼</w:instrText>
      </w:r>
      <w:r>
        <w:instrText xml:space="preserve">6 to 7 kilometers thick. The oceanic upper mantle contains </w:instrText>
      </w:r>
      <w:r>
        <w:rPr>
          <w:rFonts w:ascii="Cambria Math" w:hAnsi="Cambria Math" w:cs="Cambria Math"/>
        </w:rPr>
        <w:instrText>∼</w:instrText>
      </w:r>
      <w:r>
        <w:instrText>50 to 200 micrograms per gram of water (H2O) dissolved in nominally anhydrous minerals, which - relative to its low concentration - has a disproportionate effect on the solidus that has not been quantified experimentally. Here, we present results from an experimental determination of the peridotite solidus containing known amounts of dissolved hydrogen. Our data reveal that the H2O-undersaturated peridotite solidus is hotter than previously thought. Reconciling geophysical observations of the melting regime beneath the East Pacific Rise with our experimental results requires that existing estimates for the oceanic upper mantle potential temperature be adjusted upward by about 60°C.","author":[{"dropping-particle":"","family":"Sarafian","given":"Emily","non-dropping-particle":"","parse-names":false,"suffix":""},{"dropping-particle":"","family":"Gaetani","given":"Glenn A.","non-dropping-particle":"","parse-names":false,"suffix":""},{"dropping-particle":"","family":"Hauri","given":"Erik H.","non-dropping-particle":"","parse-names":false,"suffix":""},{"dropping-particle":"","family":"Sarafian","given":"Adam R.","non-dropping-particle":"","parse-names":false,"suffix":""}],"container-title":"Science","id":"ITEM-1","issue":"6328","issued":{"date-parts":[["2017"]]},"page":"942-945","title":"Experimental constraints on the damp peridotite solidus and oceanic mantle potential temperature","type":"article-journal","volume":"355"},"uris":["http://www.mendeley.com/documents/?uuid=db52eb6f-a421-478b-bf28-38e372f3038f"]}],"mendeley":{"formattedCitation":"(Sarafian et al., 2017)","manualFormatting":"(e.g. Sarafian et al., 2017)","plainTextFormattedCitation":"(Sarafian et al., 2017)","previouslyFormattedCitation":"(Sarafian et al., 2017)"},"properties":{"noteIndex":0},"schema":"https://github.com/citation-style-language/schema/raw/master/csl-citation.json"}</w:instrText>
      </w:r>
      <w:r>
        <w:fldChar w:fldCharType="separate"/>
      </w:r>
      <w:r>
        <w:rPr>
          <w:noProof/>
        </w:rPr>
        <w:t xml:space="preserve">(e.g. </w:t>
      </w:r>
      <w:r w:rsidRPr="00DA6FB4">
        <w:rPr>
          <w:noProof/>
        </w:rPr>
        <w:t>Sarafian et al., 2017)</w:t>
      </w:r>
      <w:r>
        <w:fldChar w:fldCharType="end"/>
      </w:r>
      <w:r>
        <w:t xml:space="preserve">. Table </w:t>
      </w:r>
      <w:r w:rsidR="0029587E">
        <w:t>3.</w:t>
      </w:r>
      <w:r>
        <w:t xml:space="preserve">1 provides useful numerical values to view in comparison to visual relationships in Figure </w:t>
      </w:r>
      <w:r w:rsidR="0029587E">
        <w:t>3.</w:t>
      </w:r>
      <w:r>
        <w:t xml:space="preserve">1, which plots ranges of temperatures and pressures with depth from the surface </w:t>
      </w:r>
      <w:r>
        <w:fldChar w:fldCharType="begin" w:fldLock="1"/>
      </w:r>
      <w:r>
        <w:instrText>ADDIN CSL_CITATION {"citationItems":[{"id":"ITEM-1","itemData":{"ISBN":"978-0073369402","author":[{"dropping-particle":"","family":"Carlson","given":"Diane H.","non-dropping-particle":"","parse-names":false,"suffix":""},{"dropping-particle":"","family":"Plummer","given":"Charles C.","non-dropping-particle":"","parse-names":false,"suffix":""},{"dropping-particle":"","family":"Hammersley","given":"Lisa","non-dropping-particle":"","parse-names":false,"suffix":""}],"edition":"14","id":"ITEM-1","issued":{"date-parts":[["2010"]]},"number-of-pages":"645","publisher":"McGraw-Hill","publisher-place":"New York, NY","title":"Physical Geology Earth Revealed","type":"book"},"uris":["http://www.mendeley.com/documents/?uuid=b05f6672-9ea4-47ca-b7a7-aff614203467"]}],"mendeley":{"formattedCitation":"(Carlson et al., 2010)","manualFormatting":"(based on Carlson et al., 2010)","plainTextFormattedCitation":"(Carlson et al., 2010)","previouslyFormattedCitation":"(Carlson et al., 2010)"},"properties":{"noteIndex":0},"schema":"https://github.com/citation-style-language/schema/raw/master/csl-citation.json"}</w:instrText>
      </w:r>
      <w:r>
        <w:fldChar w:fldCharType="separate"/>
      </w:r>
      <w:r w:rsidRPr="00FC6FB4">
        <w:rPr>
          <w:noProof/>
        </w:rPr>
        <w:t>(</w:t>
      </w:r>
      <w:r>
        <w:rPr>
          <w:noProof/>
        </w:rPr>
        <w:t xml:space="preserve">based on </w:t>
      </w:r>
      <w:r w:rsidRPr="00FC6FB4">
        <w:rPr>
          <w:noProof/>
        </w:rPr>
        <w:t>Carlson et al., 2010)</w:t>
      </w:r>
      <w:r>
        <w:fldChar w:fldCharType="end"/>
      </w:r>
      <w:r>
        <w:t xml:space="preserve">. </w:t>
      </w:r>
    </w:p>
    <w:p w14:paraId="3DBDF1B6" w14:textId="47B75AE8" w:rsidR="00164D4C" w:rsidRDefault="004417AB" w:rsidP="007E347D">
      <w:pPr>
        <w:spacing w:line="360" w:lineRule="auto"/>
        <w:ind w:firstLine="360"/>
      </w:pPr>
      <w:r>
        <w:t xml:space="preserve">After discussing Earth’s layers and their range of physical parameters, you can discuss the major chemical composition of each layer using Table </w:t>
      </w:r>
      <w:r w:rsidR="0029587E">
        <w:t>3.</w:t>
      </w:r>
      <w:r w:rsidR="00164D4C">
        <w:t>2</w:t>
      </w:r>
      <w:r>
        <w:t xml:space="preserve">. This compares the major minerals and materials of each layer of the Earth, including the chemical </w:t>
      </w:r>
      <w:r w:rsidR="00164D4C">
        <w:br w:type="page"/>
      </w:r>
    </w:p>
    <w:p w14:paraId="49F6812C" w14:textId="77777777" w:rsidR="00164D4C" w:rsidRDefault="00164D4C" w:rsidP="00164D4C">
      <w:pPr>
        <w:keepNext/>
        <w:jc w:val="center"/>
      </w:pPr>
      <w:r w:rsidRPr="0071477D">
        <w:rPr>
          <w:noProof/>
        </w:rPr>
        <w:lastRenderedPageBreak/>
        <w:drawing>
          <wp:inline distT="0" distB="0" distL="0" distR="0" wp14:anchorId="21B3F2DF" wp14:editId="0F791827">
            <wp:extent cx="5943600" cy="3277870"/>
            <wp:effectExtent l="0" t="0" r="0" b="0"/>
            <wp:docPr id="5" name="Picture 4" descr="Timeline&#10;&#10;Description automatically generated">
              <a:extLst xmlns:a="http://schemas.openxmlformats.org/drawingml/2006/main">
                <a:ext uri="{FF2B5EF4-FFF2-40B4-BE49-F238E27FC236}">
                  <a16:creationId xmlns:a16="http://schemas.microsoft.com/office/drawing/2014/main" id="{B416FD57-5D41-AA45-85A7-E45D509D75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imeline&#10;&#10;Description automatically generated">
                      <a:extLst>
                        <a:ext uri="{FF2B5EF4-FFF2-40B4-BE49-F238E27FC236}">
                          <a16:creationId xmlns:a16="http://schemas.microsoft.com/office/drawing/2014/main" id="{B416FD57-5D41-AA45-85A7-E45D509D7574}"/>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277870"/>
                    </a:xfrm>
                    <a:prstGeom prst="rect">
                      <a:avLst/>
                    </a:prstGeom>
                  </pic:spPr>
                </pic:pic>
              </a:graphicData>
            </a:graphic>
          </wp:inline>
        </w:drawing>
      </w:r>
    </w:p>
    <w:p w14:paraId="10C6478F" w14:textId="14CEDE7E" w:rsidR="00164D4C" w:rsidRPr="0071477D" w:rsidRDefault="00164D4C" w:rsidP="00164D4C">
      <w:pPr>
        <w:pStyle w:val="Caption"/>
        <w:rPr>
          <w:b w:val="0"/>
          <w:bCs w:val="0"/>
          <w:sz w:val="20"/>
          <w:szCs w:val="20"/>
        </w:rPr>
      </w:pPr>
      <w:bookmarkStart w:id="108" w:name="_Toc109738678"/>
      <w:r w:rsidRPr="0071477D">
        <w:rPr>
          <w:b w:val="0"/>
          <w:bCs w:val="0"/>
          <w:sz w:val="20"/>
          <w:szCs w:val="20"/>
        </w:rPr>
        <w:t xml:space="preserve">Figure </w:t>
      </w:r>
      <w:r>
        <w:rPr>
          <w:b w:val="0"/>
          <w:bCs w:val="0"/>
          <w:sz w:val="20"/>
          <w:szCs w:val="20"/>
        </w:rPr>
        <w:t>3</w:t>
      </w:r>
      <w:r w:rsidRPr="0071477D">
        <w:rPr>
          <w:b w:val="0"/>
          <w:bCs w:val="0"/>
          <w:sz w:val="20"/>
          <w:szCs w:val="20"/>
        </w:rPr>
        <w:t>.</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1</w:t>
      </w:r>
      <w:r>
        <w:rPr>
          <w:b w:val="0"/>
          <w:bCs w:val="0"/>
          <w:sz w:val="20"/>
          <w:szCs w:val="20"/>
        </w:rPr>
        <w:fldChar w:fldCharType="end"/>
      </w:r>
      <w:r w:rsidRPr="0071477D">
        <w:rPr>
          <w:b w:val="0"/>
          <w:bCs w:val="0"/>
          <w:sz w:val="20"/>
          <w:szCs w:val="20"/>
        </w:rPr>
        <w:t>. Depth into the Earth in kilometers (km) versus Temperature in Kelvin (A) and Pressure in gigapascals (GPa) (B). The average boundary thickness of the Upper Mantle, Mantle Transition Zone, Lower Mantle, D double prime (D”) layer, Outer Core and Inner Core are shown by dashed lines.</w:t>
      </w:r>
      <w:bookmarkEnd w:id="108"/>
      <w:r w:rsidRPr="0071477D">
        <w:rPr>
          <w:b w:val="0"/>
          <w:bCs w:val="0"/>
          <w:sz w:val="20"/>
          <w:szCs w:val="20"/>
        </w:rPr>
        <w:t xml:space="preserve">  </w:t>
      </w:r>
    </w:p>
    <w:p w14:paraId="53344F46" w14:textId="3E168100" w:rsidR="00164D4C" w:rsidRDefault="00164D4C">
      <w:r>
        <w:br w:type="page"/>
      </w:r>
    </w:p>
    <w:p w14:paraId="0BDFE717" w14:textId="4F7412C4" w:rsidR="00164D4C" w:rsidRPr="0071477D" w:rsidRDefault="00164D4C" w:rsidP="00164D4C">
      <w:pPr>
        <w:pStyle w:val="Caption"/>
        <w:rPr>
          <w:b w:val="0"/>
          <w:bCs w:val="0"/>
          <w:sz w:val="20"/>
          <w:szCs w:val="20"/>
        </w:rPr>
      </w:pPr>
      <w:bookmarkStart w:id="109" w:name="_Toc109398948"/>
      <w:r w:rsidRPr="0071477D">
        <w:rPr>
          <w:b w:val="0"/>
          <w:bCs w:val="0"/>
          <w:sz w:val="20"/>
          <w:szCs w:val="20"/>
        </w:rPr>
        <w:lastRenderedPageBreak/>
        <w:t xml:space="preserve">Table </w:t>
      </w:r>
      <w:r>
        <w:rPr>
          <w:b w:val="0"/>
          <w:bCs w:val="0"/>
          <w:sz w:val="20"/>
          <w:szCs w:val="20"/>
        </w:rPr>
        <w:t>3.</w:t>
      </w:r>
      <w:r>
        <w:rPr>
          <w:b w:val="0"/>
          <w:bCs w:val="0"/>
          <w:sz w:val="20"/>
          <w:szCs w:val="20"/>
        </w:rPr>
        <w:fldChar w:fldCharType="begin"/>
      </w:r>
      <w:r>
        <w:rPr>
          <w:b w:val="0"/>
          <w:bCs w:val="0"/>
          <w:sz w:val="20"/>
          <w:szCs w:val="20"/>
        </w:rPr>
        <w:instrText xml:space="preserve"> SEQ Table \* ARABIC \s 1 </w:instrText>
      </w:r>
      <w:r>
        <w:rPr>
          <w:b w:val="0"/>
          <w:bCs w:val="0"/>
          <w:sz w:val="20"/>
          <w:szCs w:val="20"/>
        </w:rPr>
        <w:fldChar w:fldCharType="separate"/>
      </w:r>
      <w:r>
        <w:rPr>
          <w:b w:val="0"/>
          <w:bCs w:val="0"/>
          <w:noProof/>
          <w:sz w:val="20"/>
          <w:szCs w:val="20"/>
        </w:rPr>
        <w:t>2</w:t>
      </w:r>
      <w:r>
        <w:rPr>
          <w:b w:val="0"/>
          <w:bCs w:val="0"/>
          <w:sz w:val="20"/>
          <w:szCs w:val="20"/>
        </w:rPr>
        <w:fldChar w:fldCharType="end"/>
      </w:r>
      <w:r w:rsidRPr="0071477D">
        <w:rPr>
          <w:b w:val="0"/>
          <w:bCs w:val="0"/>
          <w:sz w:val="20"/>
          <w:szCs w:val="20"/>
        </w:rPr>
        <w:t>. Layers of the Earth, depths from the surface, and their major mineralogy.</w:t>
      </w:r>
      <w:bookmarkEnd w:id="109"/>
    </w:p>
    <w:tbl>
      <w:tblPr>
        <w:tblW w:w="8840" w:type="dxa"/>
        <w:tblCellMar>
          <w:left w:w="0" w:type="dxa"/>
          <w:right w:w="0" w:type="dxa"/>
        </w:tblCellMar>
        <w:tblLook w:val="04A0" w:firstRow="1" w:lastRow="0" w:firstColumn="1" w:lastColumn="0" w:noHBand="0" w:noVBand="1"/>
      </w:tblPr>
      <w:tblGrid>
        <w:gridCol w:w="1905"/>
        <w:gridCol w:w="6935"/>
      </w:tblGrid>
      <w:tr w:rsidR="00164D4C" w:rsidRPr="0071477D" w14:paraId="1FF06C9C" w14:textId="77777777" w:rsidTr="00EC27DE">
        <w:trPr>
          <w:trHeight w:val="315"/>
        </w:trPr>
        <w:tc>
          <w:tcPr>
            <w:tcW w:w="19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B125BD" w14:textId="77777777" w:rsidR="00164D4C" w:rsidRPr="0071477D" w:rsidRDefault="00164D4C" w:rsidP="00EC27DE">
            <w:r w:rsidRPr="0071477D">
              <w:rPr>
                <w:b/>
                <w:bCs/>
              </w:rPr>
              <w:t>Region (depths)</w:t>
            </w:r>
          </w:p>
        </w:tc>
        <w:tc>
          <w:tcPr>
            <w:tcW w:w="693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0188F8" w14:textId="77777777" w:rsidR="00164D4C" w:rsidRPr="0071477D" w:rsidRDefault="00164D4C" w:rsidP="00EC27DE">
            <w:r w:rsidRPr="0071477D">
              <w:rPr>
                <w:b/>
                <w:bCs/>
              </w:rPr>
              <w:t>Mineralogy</w:t>
            </w:r>
          </w:p>
        </w:tc>
      </w:tr>
      <w:tr w:rsidR="00164D4C" w:rsidRPr="0071477D" w14:paraId="11DDE119" w14:textId="77777777" w:rsidTr="00EC27DE">
        <w:trPr>
          <w:trHeight w:val="300"/>
        </w:trPr>
        <w:tc>
          <w:tcPr>
            <w:tcW w:w="19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5836055" w14:textId="77777777" w:rsidR="00164D4C" w:rsidRPr="0071477D" w:rsidRDefault="00164D4C" w:rsidP="00EC27DE">
            <w:r w:rsidRPr="0071477D">
              <w:rPr>
                <w:b/>
                <w:bCs/>
              </w:rPr>
              <w:t>Crust (average depth 40 km)</w:t>
            </w:r>
          </w:p>
        </w:tc>
        <w:tc>
          <w:tcPr>
            <w:tcW w:w="6935" w:type="dxa"/>
            <w:tcBorders>
              <w:top w:val="single" w:sz="8" w:space="0" w:color="000000"/>
              <w:left w:val="single" w:sz="8" w:space="0" w:color="000000"/>
              <w:bottom w:val="nil"/>
              <w:right w:val="single" w:sz="8" w:space="0" w:color="000000"/>
            </w:tcBorders>
            <w:shd w:val="clear" w:color="auto" w:fill="auto"/>
            <w:tcMar>
              <w:top w:w="15" w:type="dxa"/>
              <w:left w:w="270" w:type="dxa"/>
              <w:bottom w:w="0" w:type="dxa"/>
              <w:right w:w="15" w:type="dxa"/>
            </w:tcMar>
            <w:vAlign w:val="center"/>
            <w:hideMark/>
          </w:tcPr>
          <w:p w14:paraId="7C13778A" w14:textId="77777777" w:rsidR="00164D4C" w:rsidRPr="0071477D" w:rsidRDefault="00164D4C" w:rsidP="00164D4C">
            <w:pPr>
              <w:numPr>
                <w:ilvl w:val="0"/>
                <w:numId w:val="11"/>
              </w:numPr>
              <w:tabs>
                <w:tab w:val="clear" w:pos="720"/>
                <w:tab w:val="num" w:pos="271"/>
              </w:tabs>
              <w:ind w:left="271" w:hanging="270"/>
            </w:pPr>
            <w:r w:rsidRPr="0071477D">
              <w:t>Feldspar [KAlSi</w:t>
            </w:r>
            <w:r w:rsidRPr="0071477D">
              <w:rPr>
                <w:vertAlign w:val="subscript"/>
              </w:rPr>
              <w:t>3</w:t>
            </w:r>
            <w:r w:rsidRPr="0071477D">
              <w:t>O</w:t>
            </w:r>
            <w:r w:rsidRPr="0071477D">
              <w:rPr>
                <w:vertAlign w:val="subscript"/>
              </w:rPr>
              <w:t>8</w:t>
            </w:r>
            <w:r w:rsidRPr="0071477D">
              <w:t> – NaAlSi</w:t>
            </w:r>
            <w:r w:rsidRPr="0071477D">
              <w:rPr>
                <w:vertAlign w:val="subscript"/>
              </w:rPr>
              <w:t>3</w:t>
            </w:r>
            <w:r w:rsidRPr="0071477D">
              <w:t>O</w:t>
            </w:r>
            <w:r w:rsidRPr="0071477D">
              <w:rPr>
                <w:vertAlign w:val="subscript"/>
              </w:rPr>
              <w:t>8</w:t>
            </w:r>
            <w:r w:rsidRPr="0071477D">
              <w:t> – CaAl</w:t>
            </w:r>
            <w:r w:rsidRPr="0071477D">
              <w:rPr>
                <w:vertAlign w:val="subscript"/>
              </w:rPr>
              <w:t>2</w:t>
            </w:r>
            <w:r w:rsidRPr="0071477D">
              <w:t>Si</w:t>
            </w:r>
            <w:r w:rsidRPr="0071477D">
              <w:rPr>
                <w:vertAlign w:val="subscript"/>
              </w:rPr>
              <w:t>2</w:t>
            </w:r>
            <w:r w:rsidRPr="0071477D">
              <w:t>O</w:t>
            </w:r>
            <w:r w:rsidRPr="0071477D">
              <w:rPr>
                <w:vertAlign w:val="subscript"/>
              </w:rPr>
              <w:t>8</w:t>
            </w:r>
            <w:r w:rsidRPr="0071477D">
              <w:t xml:space="preserve">], </w:t>
            </w:r>
          </w:p>
        </w:tc>
      </w:tr>
      <w:tr w:rsidR="00164D4C" w:rsidRPr="0071477D" w14:paraId="6B2BEDDD" w14:textId="77777777" w:rsidTr="00EC27DE">
        <w:trPr>
          <w:trHeight w:val="315"/>
        </w:trPr>
        <w:tc>
          <w:tcPr>
            <w:tcW w:w="1905" w:type="dxa"/>
            <w:vMerge/>
            <w:tcBorders>
              <w:top w:val="single" w:sz="8" w:space="0" w:color="000000"/>
              <w:left w:val="single" w:sz="8" w:space="0" w:color="000000"/>
              <w:bottom w:val="single" w:sz="8" w:space="0" w:color="000000"/>
              <w:right w:val="single" w:sz="8" w:space="0" w:color="000000"/>
            </w:tcBorders>
            <w:vAlign w:val="center"/>
            <w:hideMark/>
          </w:tcPr>
          <w:p w14:paraId="08112838" w14:textId="77777777" w:rsidR="00164D4C" w:rsidRPr="0071477D" w:rsidRDefault="00164D4C" w:rsidP="00EC27DE"/>
        </w:tc>
        <w:tc>
          <w:tcPr>
            <w:tcW w:w="6935" w:type="dxa"/>
            <w:tcBorders>
              <w:top w:val="nil"/>
              <w:left w:val="single" w:sz="8" w:space="0" w:color="000000"/>
              <w:bottom w:val="single" w:sz="8" w:space="0" w:color="000000"/>
              <w:right w:val="single" w:sz="8" w:space="0" w:color="000000"/>
            </w:tcBorders>
            <w:shd w:val="clear" w:color="auto" w:fill="auto"/>
            <w:tcMar>
              <w:top w:w="15" w:type="dxa"/>
              <w:left w:w="270" w:type="dxa"/>
              <w:bottom w:w="0" w:type="dxa"/>
              <w:right w:w="15" w:type="dxa"/>
            </w:tcMar>
            <w:vAlign w:val="center"/>
            <w:hideMark/>
          </w:tcPr>
          <w:p w14:paraId="15409F4C" w14:textId="77777777" w:rsidR="00164D4C" w:rsidRPr="0071477D" w:rsidRDefault="00164D4C" w:rsidP="00164D4C">
            <w:pPr>
              <w:numPr>
                <w:ilvl w:val="0"/>
                <w:numId w:val="11"/>
              </w:numPr>
              <w:tabs>
                <w:tab w:val="clear" w:pos="720"/>
                <w:tab w:val="num" w:pos="271"/>
              </w:tabs>
              <w:ind w:left="271" w:hanging="270"/>
            </w:pPr>
            <w:r w:rsidRPr="0071477D">
              <w:t>Quartz [SiO</w:t>
            </w:r>
            <w:r w:rsidRPr="0071477D">
              <w:rPr>
                <w:vertAlign w:val="subscript"/>
              </w:rPr>
              <w:t>2</w:t>
            </w:r>
            <w:r w:rsidRPr="0071477D">
              <w:t>]</w:t>
            </w:r>
          </w:p>
        </w:tc>
      </w:tr>
      <w:tr w:rsidR="00164D4C" w:rsidRPr="0071477D" w14:paraId="5F44234D" w14:textId="77777777" w:rsidTr="00EC27DE">
        <w:trPr>
          <w:trHeight w:val="300"/>
        </w:trPr>
        <w:tc>
          <w:tcPr>
            <w:tcW w:w="19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512D86" w14:textId="77777777" w:rsidR="00164D4C" w:rsidRPr="0071477D" w:rsidRDefault="00164D4C" w:rsidP="00EC27DE">
            <w:r w:rsidRPr="0071477D">
              <w:rPr>
                <w:b/>
                <w:bCs/>
              </w:rPr>
              <w:t>Upper mantle (410-40 km)</w:t>
            </w:r>
          </w:p>
        </w:tc>
        <w:tc>
          <w:tcPr>
            <w:tcW w:w="6935" w:type="dxa"/>
            <w:tcBorders>
              <w:top w:val="single" w:sz="8" w:space="0" w:color="000000"/>
              <w:left w:val="single" w:sz="8" w:space="0" w:color="000000"/>
              <w:bottom w:val="nil"/>
              <w:right w:val="single" w:sz="8" w:space="0" w:color="000000"/>
            </w:tcBorders>
            <w:shd w:val="clear" w:color="auto" w:fill="auto"/>
            <w:tcMar>
              <w:top w:w="15" w:type="dxa"/>
              <w:left w:w="270" w:type="dxa"/>
              <w:bottom w:w="0" w:type="dxa"/>
              <w:right w:w="15" w:type="dxa"/>
            </w:tcMar>
            <w:vAlign w:val="center"/>
            <w:hideMark/>
          </w:tcPr>
          <w:p w14:paraId="384C396F" w14:textId="77777777" w:rsidR="00164D4C" w:rsidRPr="0071477D" w:rsidRDefault="00164D4C" w:rsidP="00164D4C">
            <w:pPr>
              <w:numPr>
                <w:ilvl w:val="0"/>
                <w:numId w:val="12"/>
              </w:numPr>
              <w:tabs>
                <w:tab w:val="clear" w:pos="720"/>
                <w:tab w:val="num" w:pos="271"/>
              </w:tabs>
              <w:ind w:left="271" w:hanging="270"/>
            </w:pPr>
            <w:r w:rsidRPr="0071477D">
              <w:t>Olivine [Fe</w:t>
            </w:r>
            <w:r w:rsidRPr="0071477D">
              <w:rPr>
                <w:vertAlign w:val="subscript"/>
              </w:rPr>
              <w:t>2</w:t>
            </w:r>
            <w:r w:rsidRPr="0071477D">
              <w:t>SiO</w:t>
            </w:r>
            <w:r w:rsidRPr="0071477D">
              <w:rPr>
                <w:vertAlign w:val="subscript"/>
              </w:rPr>
              <w:t>4</w:t>
            </w:r>
            <w:r w:rsidRPr="0071477D">
              <w:t xml:space="preserve">], </w:t>
            </w:r>
          </w:p>
        </w:tc>
      </w:tr>
      <w:tr w:rsidR="00164D4C" w:rsidRPr="0071477D" w14:paraId="14630BE9" w14:textId="77777777" w:rsidTr="00EC27DE">
        <w:trPr>
          <w:trHeight w:val="300"/>
        </w:trPr>
        <w:tc>
          <w:tcPr>
            <w:tcW w:w="1905" w:type="dxa"/>
            <w:vMerge/>
            <w:tcBorders>
              <w:top w:val="single" w:sz="8" w:space="0" w:color="000000"/>
              <w:left w:val="single" w:sz="8" w:space="0" w:color="000000"/>
              <w:bottom w:val="single" w:sz="8" w:space="0" w:color="000000"/>
              <w:right w:val="single" w:sz="8" w:space="0" w:color="000000"/>
            </w:tcBorders>
            <w:vAlign w:val="center"/>
            <w:hideMark/>
          </w:tcPr>
          <w:p w14:paraId="540B21DB" w14:textId="77777777" w:rsidR="00164D4C" w:rsidRPr="0071477D" w:rsidRDefault="00164D4C" w:rsidP="00EC27DE"/>
        </w:tc>
        <w:tc>
          <w:tcPr>
            <w:tcW w:w="6935" w:type="dxa"/>
            <w:tcBorders>
              <w:top w:val="nil"/>
              <w:left w:val="single" w:sz="8" w:space="0" w:color="000000"/>
              <w:bottom w:val="nil"/>
              <w:right w:val="single" w:sz="8" w:space="0" w:color="000000"/>
            </w:tcBorders>
            <w:shd w:val="clear" w:color="auto" w:fill="auto"/>
            <w:tcMar>
              <w:top w:w="15" w:type="dxa"/>
              <w:left w:w="270" w:type="dxa"/>
              <w:bottom w:w="0" w:type="dxa"/>
              <w:right w:w="15" w:type="dxa"/>
            </w:tcMar>
            <w:vAlign w:val="center"/>
            <w:hideMark/>
          </w:tcPr>
          <w:p w14:paraId="4A1EA314" w14:textId="77777777" w:rsidR="00164D4C" w:rsidRPr="0071477D" w:rsidRDefault="00164D4C" w:rsidP="00164D4C">
            <w:pPr>
              <w:numPr>
                <w:ilvl w:val="0"/>
                <w:numId w:val="12"/>
              </w:numPr>
              <w:tabs>
                <w:tab w:val="clear" w:pos="720"/>
                <w:tab w:val="num" w:pos="271"/>
              </w:tabs>
              <w:ind w:left="271" w:hanging="270"/>
            </w:pPr>
            <w:r w:rsidRPr="0071477D">
              <w:rPr>
                <w:lang w:val="it-IT"/>
              </w:rPr>
              <w:t>Pyroxene [(Ca,Na,Fe,Mg)(Cr,Al,Fe,Mg,Co,Mn,Sc,Ti,V,Fe)(Si,Al)</w:t>
            </w:r>
            <w:r w:rsidRPr="0071477D">
              <w:rPr>
                <w:vertAlign w:val="subscript"/>
                <w:lang w:val="it-IT"/>
              </w:rPr>
              <w:t>2</w:t>
            </w:r>
            <w:r w:rsidRPr="0071477D">
              <w:rPr>
                <w:lang w:val="it-IT"/>
              </w:rPr>
              <w:t>O</w:t>
            </w:r>
            <w:r w:rsidRPr="0071477D">
              <w:rPr>
                <w:vertAlign w:val="subscript"/>
                <w:lang w:val="it-IT"/>
              </w:rPr>
              <w:t>6</w:t>
            </w:r>
            <w:r w:rsidRPr="0071477D">
              <w:rPr>
                <w:lang w:val="it-IT"/>
              </w:rPr>
              <w:t>],</w:t>
            </w:r>
          </w:p>
        </w:tc>
      </w:tr>
      <w:tr w:rsidR="00164D4C" w:rsidRPr="0071477D" w14:paraId="724118C5" w14:textId="77777777" w:rsidTr="00EC27DE">
        <w:trPr>
          <w:trHeight w:val="300"/>
        </w:trPr>
        <w:tc>
          <w:tcPr>
            <w:tcW w:w="1905" w:type="dxa"/>
            <w:vMerge/>
            <w:tcBorders>
              <w:top w:val="single" w:sz="8" w:space="0" w:color="000000"/>
              <w:left w:val="single" w:sz="8" w:space="0" w:color="000000"/>
              <w:bottom w:val="single" w:sz="8" w:space="0" w:color="000000"/>
              <w:right w:val="single" w:sz="8" w:space="0" w:color="000000"/>
            </w:tcBorders>
            <w:vAlign w:val="center"/>
            <w:hideMark/>
          </w:tcPr>
          <w:p w14:paraId="36CCB4B9" w14:textId="77777777" w:rsidR="00164D4C" w:rsidRPr="0071477D" w:rsidRDefault="00164D4C" w:rsidP="00EC27DE"/>
        </w:tc>
        <w:tc>
          <w:tcPr>
            <w:tcW w:w="6935" w:type="dxa"/>
            <w:tcBorders>
              <w:top w:val="nil"/>
              <w:left w:val="single" w:sz="8" w:space="0" w:color="000000"/>
              <w:bottom w:val="nil"/>
              <w:right w:val="single" w:sz="8" w:space="0" w:color="000000"/>
            </w:tcBorders>
            <w:shd w:val="clear" w:color="auto" w:fill="auto"/>
            <w:tcMar>
              <w:top w:w="15" w:type="dxa"/>
              <w:left w:w="270" w:type="dxa"/>
              <w:bottom w:w="0" w:type="dxa"/>
              <w:right w:w="15" w:type="dxa"/>
            </w:tcMar>
            <w:vAlign w:val="center"/>
            <w:hideMark/>
          </w:tcPr>
          <w:p w14:paraId="663DF732" w14:textId="77777777" w:rsidR="00164D4C" w:rsidRPr="0071477D" w:rsidRDefault="00164D4C" w:rsidP="00164D4C">
            <w:pPr>
              <w:numPr>
                <w:ilvl w:val="0"/>
                <w:numId w:val="12"/>
              </w:numPr>
              <w:tabs>
                <w:tab w:val="clear" w:pos="720"/>
                <w:tab w:val="num" w:pos="271"/>
              </w:tabs>
              <w:ind w:left="271" w:hanging="270"/>
            </w:pPr>
            <w:r w:rsidRPr="0071477D">
              <w:t>Garnet [Fe</w:t>
            </w:r>
            <w:r w:rsidRPr="0071477D">
              <w:rPr>
                <w:vertAlign w:val="subscript"/>
              </w:rPr>
              <w:t>3</w:t>
            </w:r>
            <w:r w:rsidRPr="0071477D">
              <w:t>Al</w:t>
            </w:r>
            <w:r w:rsidRPr="0071477D">
              <w:rPr>
                <w:vertAlign w:val="subscript"/>
              </w:rPr>
              <w:t>2</w:t>
            </w:r>
            <w:r w:rsidRPr="0071477D">
              <w:t>Si</w:t>
            </w:r>
            <w:r w:rsidRPr="0071477D">
              <w:rPr>
                <w:vertAlign w:val="subscript"/>
              </w:rPr>
              <w:t>3</w:t>
            </w:r>
            <w:r w:rsidRPr="0071477D">
              <w:t>O</w:t>
            </w:r>
            <w:r w:rsidRPr="0071477D">
              <w:rPr>
                <w:vertAlign w:val="subscript"/>
              </w:rPr>
              <w:t>12</w:t>
            </w:r>
            <w:r w:rsidRPr="0071477D">
              <w:t xml:space="preserve">], </w:t>
            </w:r>
          </w:p>
        </w:tc>
      </w:tr>
      <w:tr w:rsidR="00164D4C" w:rsidRPr="0071477D" w14:paraId="1C15621B" w14:textId="77777777" w:rsidTr="00EC27DE">
        <w:trPr>
          <w:trHeight w:val="315"/>
        </w:trPr>
        <w:tc>
          <w:tcPr>
            <w:tcW w:w="1905" w:type="dxa"/>
            <w:vMerge/>
            <w:tcBorders>
              <w:top w:val="single" w:sz="8" w:space="0" w:color="000000"/>
              <w:left w:val="single" w:sz="8" w:space="0" w:color="000000"/>
              <w:bottom w:val="single" w:sz="8" w:space="0" w:color="000000"/>
              <w:right w:val="single" w:sz="8" w:space="0" w:color="000000"/>
            </w:tcBorders>
            <w:vAlign w:val="center"/>
            <w:hideMark/>
          </w:tcPr>
          <w:p w14:paraId="46603514" w14:textId="77777777" w:rsidR="00164D4C" w:rsidRPr="0071477D" w:rsidRDefault="00164D4C" w:rsidP="00EC27DE"/>
        </w:tc>
        <w:tc>
          <w:tcPr>
            <w:tcW w:w="6935" w:type="dxa"/>
            <w:tcBorders>
              <w:top w:val="nil"/>
              <w:left w:val="single" w:sz="8" w:space="0" w:color="000000"/>
              <w:bottom w:val="single" w:sz="8" w:space="0" w:color="000000"/>
              <w:right w:val="single" w:sz="8" w:space="0" w:color="000000"/>
            </w:tcBorders>
            <w:shd w:val="clear" w:color="auto" w:fill="auto"/>
            <w:tcMar>
              <w:top w:w="15" w:type="dxa"/>
              <w:left w:w="270" w:type="dxa"/>
              <w:bottom w:w="0" w:type="dxa"/>
              <w:right w:w="15" w:type="dxa"/>
            </w:tcMar>
            <w:vAlign w:val="center"/>
            <w:hideMark/>
          </w:tcPr>
          <w:p w14:paraId="73E10F50" w14:textId="77777777" w:rsidR="00164D4C" w:rsidRPr="0071477D" w:rsidRDefault="00164D4C" w:rsidP="00164D4C">
            <w:pPr>
              <w:numPr>
                <w:ilvl w:val="0"/>
                <w:numId w:val="12"/>
              </w:numPr>
              <w:tabs>
                <w:tab w:val="clear" w:pos="720"/>
                <w:tab w:val="num" w:pos="271"/>
              </w:tabs>
              <w:ind w:left="271" w:hanging="270"/>
            </w:pPr>
            <w:r w:rsidRPr="0071477D">
              <w:t>Spinel [</w:t>
            </w:r>
            <w:proofErr w:type="spellStart"/>
            <w:r w:rsidRPr="0071477D">
              <w:t>MgAl</w:t>
            </w:r>
            <w:r w:rsidRPr="0071477D">
              <w:rPr>
                <w:rFonts w:ascii="Cambria Math" w:hAnsi="Cambria Math" w:cs="Cambria Math"/>
              </w:rPr>
              <w:t>₂</w:t>
            </w:r>
            <w:r w:rsidRPr="0071477D">
              <w:t>O</w:t>
            </w:r>
            <w:proofErr w:type="spellEnd"/>
            <w:r w:rsidRPr="0071477D">
              <w:rPr>
                <w:rFonts w:ascii="Cambria Math" w:hAnsi="Cambria Math" w:cs="Cambria Math"/>
              </w:rPr>
              <w:t>₄</w:t>
            </w:r>
            <w:r w:rsidRPr="0071477D">
              <w:t>]</w:t>
            </w:r>
          </w:p>
        </w:tc>
      </w:tr>
      <w:tr w:rsidR="00164D4C" w:rsidRPr="0071477D" w14:paraId="478F2A89" w14:textId="77777777" w:rsidTr="00EC27DE">
        <w:trPr>
          <w:trHeight w:val="300"/>
        </w:trPr>
        <w:tc>
          <w:tcPr>
            <w:tcW w:w="19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616AF7" w14:textId="77777777" w:rsidR="00164D4C" w:rsidRPr="0071477D" w:rsidRDefault="00164D4C" w:rsidP="00EC27DE">
            <w:r w:rsidRPr="0071477D">
              <w:rPr>
                <w:b/>
                <w:bCs/>
              </w:rPr>
              <w:t>Transition zone (670-410 km)</w:t>
            </w:r>
          </w:p>
        </w:tc>
        <w:tc>
          <w:tcPr>
            <w:tcW w:w="6935" w:type="dxa"/>
            <w:tcBorders>
              <w:top w:val="single" w:sz="8" w:space="0" w:color="000000"/>
              <w:left w:val="single" w:sz="8" w:space="0" w:color="000000"/>
              <w:bottom w:val="nil"/>
              <w:right w:val="single" w:sz="8" w:space="0" w:color="000000"/>
            </w:tcBorders>
            <w:shd w:val="clear" w:color="auto" w:fill="auto"/>
            <w:tcMar>
              <w:top w:w="15" w:type="dxa"/>
              <w:left w:w="270" w:type="dxa"/>
              <w:bottom w:w="0" w:type="dxa"/>
              <w:right w:w="15" w:type="dxa"/>
            </w:tcMar>
            <w:vAlign w:val="center"/>
            <w:hideMark/>
          </w:tcPr>
          <w:p w14:paraId="635178AB" w14:textId="77777777" w:rsidR="00164D4C" w:rsidRPr="0071477D" w:rsidRDefault="00164D4C" w:rsidP="00164D4C">
            <w:pPr>
              <w:numPr>
                <w:ilvl w:val="0"/>
                <w:numId w:val="13"/>
              </w:numPr>
              <w:tabs>
                <w:tab w:val="clear" w:pos="720"/>
                <w:tab w:val="num" w:pos="271"/>
              </w:tabs>
              <w:ind w:left="271" w:hanging="270"/>
            </w:pPr>
            <w:r w:rsidRPr="0071477D">
              <w:t>Structures with both SiO</w:t>
            </w:r>
            <w:r w:rsidRPr="0071477D">
              <w:rPr>
                <w:vertAlign w:val="subscript"/>
              </w:rPr>
              <w:t>4</w:t>
            </w:r>
            <w:r w:rsidRPr="0071477D">
              <w:t> and SiO</w:t>
            </w:r>
            <w:r w:rsidRPr="0071477D">
              <w:rPr>
                <w:vertAlign w:val="subscript"/>
              </w:rPr>
              <w:t>6</w:t>
            </w:r>
            <w:r w:rsidRPr="0071477D">
              <w:t xml:space="preserve"> groups, </w:t>
            </w:r>
          </w:p>
        </w:tc>
      </w:tr>
      <w:tr w:rsidR="00164D4C" w:rsidRPr="0071477D" w14:paraId="118987EA" w14:textId="77777777" w:rsidTr="00EC27DE">
        <w:trPr>
          <w:trHeight w:val="315"/>
        </w:trPr>
        <w:tc>
          <w:tcPr>
            <w:tcW w:w="1905" w:type="dxa"/>
            <w:vMerge/>
            <w:tcBorders>
              <w:top w:val="single" w:sz="8" w:space="0" w:color="000000"/>
              <w:left w:val="single" w:sz="8" w:space="0" w:color="000000"/>
              <w:bottom w:val="single" w:sz="8" w:space="0" w:color="000000"/>
              <w:right w:val="single" w:sz="8" w:space="0" w:color="000000"/>
            </w:tcBorders>
            <w:vAlign w:val="center"/>
            <w:hideMark/>
          </w:tcPr>
          <w:p w14:paraId="5A5FB19E" w14:textId="77777777" w:rsidR="00164D4C" w:rsidRPr="0071477D" w:rsidRDefault="00164D4C" w:rsidP="00EC27DE"/>
        </w:tc>
        <w:tc>
          <w:tcPr>
            <w:tcW w:w="6935" w:type="dxa"/>
            <w:tcBorders>
              <w:top w:val="nil"/>
              <w:left w:val="single" w:sz="8" w:space="0" w:color="000000"/>
              <w:bottom w:val="single" w:sz="8" w:space="0" w:color="000000"/>
              <w:right w:val="single" w:sz="8" w:space="0" w:color="000000"/>
            </w:tcBorders>
            <w:shd w:val="clear" w:color="auto" w:fill="auto"/>
            <w:tcMar>
              <w:top w:w="15" w:type="dxa"/>
              <w:left w:w="945" w:type="dxa"/>
              <w:bottom w:w="0" w:type="dxa"/>
              <w:right w:w="15" w:type="dxa"/>
            </w:tcMar>
            <w:vAlign w:val="center"/>
            <w:hideMark/>
          </w:tcPr>
          <w:p w14:paraId="242DF129" w14:textId="77777777" w:rsidR="00164D4C" w:rsidRPr="0071477D" w:rsidRDefault="00164D4C" w:rsidP="00164D4C">
            <w:pPr>
              <w:numPr>
                <w:ilvl w:val="0"/>
                <w:numId w:val="14"/>
              </w:numPr>
              <w:tabs>
                <w:tab w:val="clear" w:pos="720"/>
                <w:tab w:val="num" w:pos="-44"/>
                <w:tab w:val="num" w:pos="0"/>
              </w:tabs>
              <w:ind w:left="0" w:hanging="404"/>
            </w:pPr>
            <w:r w:rsidRPr="0071477D">
              <w:rPr>
                <w:lang w:val="sv-SE"/>
              </w:rPr>
              <w:t>e.g., majorite garnet [Mg</w:t>
            </w:r>
            <w:r w:rsidRPr="0071477D">
              <w:rPr>
                <w:vertAlign w:val="subscript"/>
                <w:lang w:val="sv-SE"/>
              </w:rPr>
              <w:t>3</w:t>
            </w:r>
            <w:r w:rsidRPr="0071477D">
              <w:rPr>
                <w:lang w:val="sv-SE"/>
              </w:rPr>
              <w:t>(MgSi)(SiO</w:t>
            </w:r>
            <w:r w:rsidRPr="0071477D">
              <w:rPr>
                <w:vertAlign w:val="subscript"/>
                <w:lang w:val="sv-SE"/>
              </w:rPr>
              <w:t>4</w:t>
            </w:r>
            <w:r w:rsidRPr="0071477D">
              <w:rPr>
                <w:lang w:val="sv-SE"/>
              </w:rPr>
              <w:t>)</w:t>
            </w:r>
            <w:r w:rsidRPr="0071477D">
              <w:rPr>
                <w:vertAlign w:val="subscript"/>
                <w:lang w:val="sv-SE"/>
              </w:rPr>
              <w:t>3</w:t>
            </w:r>
            <w:r w:rsidRPr="0071477D">
              <w:rPr>
                <w:lang w:val="sv-SE"/>
              </w:rPr>
              <w:t>]</w:t>
            </w:r>
          </w:p>
        </w:tc>
      </w:tr>
      <w:tr w:rsidR="00164D4C" w:rsidRPr="0071477D" w14:paraId="76C7DBEE" w14:textId="77777777" w:rsidTr="00EC27DE">
        <w:trPr>
          <w:trHeight w:val="300"/>
        </w:trPr>
        <w:tc>
          <w:tcPr>
            <w:tcW w:w="19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2FE390" w14:textId="77777777" w:rsidR="00164D4C" w:rsidRPr="0071477D" w:rsidRDefault="00164D4C" w:rsidP="00EC27DE">
            <w:r w:rsidRPr="0071477D">
              <w:rPr>
                <w:b/>
                <w:bCs/>
              </w:rPr>
              <w:t>Lower mantle (2891-670 km)</w:t>
            </w:r>
          </w:p>
        </w:tc>
        <w:tc>
          <w:tcPr>
            <w:tcW w:w="6935" w:type="dxa"/>
            <w:tcBorders>
              <w:top w:val="single" w:sz="8" w:space="0" w:color="000000"/>
              <w:left w:val="single" w:sz="8" w:space="0" w:color="000000"/>
              <w:bottom w:val="nil"/>
              <w:right w:val="single" w:sz="8" w:space="0" w:color="000000"/>
            </w:tcBorders>
            <w:shd w:val="clear" w:color="auto" w:fill="auto"/>
            <w:tcMar>
              <w:top w:w="15" w:type="dxa"/>
              <w:left w:w="270" w:type="dxa"/>
              <w:bottom w:w="0" w:type="dxa"/>
              <w:right w:w="15" w:type="dxa"/>
            </w:tcMar>
            <w:vAlign w:val="center"/>
            <w:hideMark/>
          </w:tcPr>
          <w:p w14:paraId="1C39F710" w14:textId="77777777" w:rsidR="00164D4C" w:rsidRPr="0071477D" w:rsidRDefault="00164D4C" w:rsidP="00164D4C">
            <w:pPr>
              <w:numPr>
                <w:ilvl w:val="0"/>
                <w:numId w:val="15"/>
              </w:numPr>
              <w:tabs>
                <w:tab w:val="clear" w:pos="720"/>
                <w:tab w:val="num" w:pos="271"/>
              </w:tabs>
              <w:ind w:left="271" w:hanging="270"/>
            </w:pPr>
            <w:proofErr w:type="spellStart"/>
            <w:r w:rsidRPr="0071477D">
              <w:t>Magnesio-wüstite</w:t>
            </w:r>
            <w:proofErr w:type="spellEnd"/>
            <w:r w:rsidRPr="0071477D">
              <w:t xml:space="preserve"> [(</w:t>
            </w:r>
            <w:proofErr w:type="spellStart"/>
            <w:proofErr w:type="gramStart"/>
            <w:r w:rsidRPr="0071477D">
              <w:t>Mg,Fe</w:t>
            </w:r>
            <w:proofErr w:type="spellEnd"/>
            <w:proofErr w:type="gramEnd"/>
            <w:r w:rsidRPr="0071477D">
              <w:t xml:space="preserve">)O], </w:t>
            </w:r>
          </w:p>
        </w:tc>
      </w:tr>
      <w:tr w:rsidR="00164D4C" w:rsidRPr="0071477D" w14:paraId="075425CE" w14:textId="77777777" w:rsidTr="00EC27DE">
        <w:trPr>
          <w:trHeight w:val="300"/>
        </w:trPr>
        <w:tc>
          <w:tcPr>
            <w:tcW w:w="1905" w:type="dxa"/>
            <w:vMerge/>
            <w:tcBorders>
              <w:top w:val="single" w:sz="8" w:space="0" w:color="000000"/>
              <w:left w:val="single" w:sz="8" w:space="0" w:color="000000"/>
              <w:bottom w:val="single" w:sz="8" w:space="0" w:color="000000"/>
              <w:right w:val="single" w:sz="8" w:space="0" w:color="000000"/>
            </w:tcBorders>
            <w:vAlign w:val="center"/>
            <w:hideMark/>
          </w:tcPr>
          <w:p w14:paraId="6C4D1F5C" w14:textId="77777777" w:rsidR="00164D4C" w:rsidRPr="0071477D" w:rsidRDefault="00164D4C" w:rsidP="00EC27DE"/>
        </w:tc>
        <w:tc>
          <w:tcPr>
            <w:tcW w:w="6935" w:type="dxa"/>
            <w:tcBorders>
              <w:top w:val="nil"/>
              <w:left w:val="single" w:sz="8" w:space="0" w:color="000000"/>
              <w:bottom w:val="nil"/>
              <w:right w:val="single" w:sz="8" w:space="0" w:color="000000"/>
            </w:tcBorders>
            <w:shd w:val="clear" w:color="auto" w:fill="auto"/>
            <w:tcMar>
              <w:top w:w="15" w:type="dxa"/>
              <w:left w:w="270" w:type="dxa"/>
              <w:bottom w:w="0" w:type="dxa"/>
              <w:right w:w="15" w:type="dxa"/>
            </w:tcMar>
            <w:vAlign w:val="center"/>
            <w:hideMark/>
          </w:tcPr>
          <w:p w14:paraId="65B90DD2" w14:textId="77777777" w:rsidR="00164D4C" w:rsidRPr="0071477D" w:rsidRDefault="00164D4C" w:rsidP="00164D4C">
            <w:pPr>
              <w:numPr>
                <w:ilvl w:val="0"/>
                <w:numId w:val="15"/>
              </w:numPr>
              <w:tabs>
                <w:tab w:val="clear" w:pos="720"/>
                <w:tab w:val="num" w:pos="271"/>
              </w:tabs>
              <w:ind w:left="271" w:hanging="270"/>
            </w:pPr>
            <w:r w:rsidRPr="0071477D">
              <w:t>Magnesium silicate perovskite [(</w:t>
            </w:r>
            <w:proofErr w:type="spellStart"/>
            <w:proofErr w:type="gramStart"/>
            <w:r w:rsidRPr="0071477D">
              <w:t>Mg,Fe</w:t>
            </w:r>
            <w:proofErr w:type="spellEnd"/>
            <w:proofErr w:type="gramEnd"/>
            <w:r w:rsidRPr="0071477D">
              <w:t>)SiO</w:t>
            </w:r>
            <w:r w:rsidRPr="0071477D">
              <w:rPr>
                <w:vertAlign w:val="subscript"/>
              </w:rPr>
              <w:t>3</w:t>
            </w:r>
            <w:r w:rsidRPr="0071477D">
              <w:t xml:space="preserve">], </w:t>
            </w:r>
          </w:p>
        </w:tc>
      </w:tr>
      <w:tr w:rsidR="00164D4C" w:rsidRPr="0071477D" w14:paraId="71D5C36D" w14:textId="77777777" w:rsidTr="00EC27DE">
        <w:trPr>
          <w:trHeight w:val="315"/>
        </w:trPr>
        <w:tc>
          <w:tcPr>
            <w:tcW w:w="1905" w:type="dxa"/>
            <w:vMerge/>
            <w:tcBorders>
              <w:top w:val="single" w:sz="8" w:space="0" w:color="000000"/>
              <w:left w:val="single" w:sz="8" w:space="0" w:color="000000"/>
              <w:bottom w:val="single" w:sz="8" w:space="0" w:color="000000"/>
              <w:right w:val="single" w:sz="8" w:space="0" w:color="000000"/>
            </w:tcBorders>
            <w:vAlign w:val="center"/>
            <w:hideMark/>
          </w:tcPr>
          <w:p w14:paraId="423B149F" w14:textId="77777777" w:rsidR="00164D4C" w:rsidRPr="0071477D" w:rsidRDefault="00164D4C" w:rsidP="00EC27DE"/>
        </w:tc>
        <w:tc>
          <w:tcPr>
            <w:tcW w:w="6935" w:type="dxa"/>
            <w:tcBorders>
              <w:top w:val="nil"/>
              <w:left w:val="single" w:sz="8" w:space="0" w:color="000000"/>
              <w:bottom w:val="single" w:sz="8" w:space="0" w:color="000000"/>
              <w:right w:val="single" w:sz="8" w:space="0" w:color="000000"/>
            </w:tcBorders>
            <w:shd w:val="clear" w:color="auto" w:fill="auto"/>
            <w:tcMar>
              <w:top w:w="15" w:type="dxa"/>
              <w:left w:w="270" w:type="dxa"/>
              <w:bottom w:w="0" w:type="dxa"/>
              <w:right w:w="15" w:type="dxa"/>
            </w:tcMar>
            <w:vAlign w:val="center"/>
            <w:hideMark/>
          </w:tcPr>
          <w:p w14:paraId="6F92E7DC" w14:textId="77777777" w:rsidR="00164D4C" w:rsidRPr="0071477D" w:rsidRDefault="00164D4C" w:rsidP="00164D4C">
            <w:pPr>
              <w:numPr>
                <w:ilvl w:val="0"/>
                <w:numId w:val="15"/>
              </w:numPr>
              <w:tabs>
                <w:tab w:val="clear" w:pos="720"/>
                <w:tab w:val="num" w:pos="271"/>
              </w:tabs>
              <w:ind w:left="271" w:hanging="270"/>
            </w:pPr>
            <w:r w:rsidRPr="0071477D">
              <w:t>Stishovite [(SiO</w:t>
            </w:r>
            <w:r w:rsidRPr="0071477D">
              <w:rPr>
                <w:vertAlign w:val="subscript"/>
              </w:rPr>
              <w:t>2</w:t>
            </w:r>
            <w:r w:rsidRPr="0071477D">
              <w:t>)]</w:t>
            </w:r>
          </w:p>
        </w:tc>
      </w:tr>
      <w:tr w:rsidR="00164D4C" w:rsidRPr="0071477D" w14:paraId="69160553" w14:textId="77777777" w:rsidTr="00EC27DE">
        <w:trPr>
          <w:trHeight w:val="315"/>
        </w:trPr>
        <w:tc>
          <w:tcPr>
            <w:tcW w:w="19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B72B01" w14:textId="77777777" w:rsidR="00164D4C" w:rsidRPr="0071477D" w:rsidRDefault="00164D4C" w:rsidP="00EC27DE">
            <w:r w:rsidRPr="0071477D">
              <w:rPr>
                <w:b/>
                <w:bCs/>
              </w:rPr>
              <w:t>Outer core (5150- 2891 km)</w:t>
            </w:r>
          </w:p>
        </w:tc>
        <w:tc>
          <w:tcPr>
            <w:tcW w:w="6935" w:type="dxa"/>
            <w:tcBorders>
              <w:top w:val="single" w:sz="8" w:space="0" w:color="000000"/>
              <w:left w:val="single" w:sz="8" w:space="0" w:color="000000"/>
              <w:bottom w:val="single" w:sz="8" w:space="0" w:color="000000"/>
              <w:right w:val="single" w:sz="8" w:space="0" w:color="000000"/>
            </w:tcBorders>
            <w:shd w:val="clear" w:color="auto" w:fill="auto"/>
            <w:tcMar>
              <w:top w:w="15" w:type="dxa"/>
              <w:left w:w="270" w:type="dxa"/>
              <w:bottom w:w="0" w:type="dxa"/>
              <w:right w:w="15" w:type="dxa"/>
            </w:tcMar>
            <w:vAlign w:val="center"/>
            <w:hideMark/>
          </w:tcPr>
          <w:p w14:paraId="7DF98952" w14:textId="77777777" w:rsidR="00164D4C" w:rsidRPr="0071477D" w:rsidRDefault="00164D4C" w:rsidP="00164D4C">
            <w:pPr>
              <w:numPr>
                <w:ilvl w:val="0"/>
                <w:numId w:val="16"/>
              </w:numPr>
              <w:tabs>
                <w:tab w:val="clear" w:pos="720"/>
                <w:tab w:val="num" w:pos="271"/>
              </w:tabs>
              <w:ind w:left="271" w:hanging="270"/>
            </w:pPr>
            <w:r w:rsidRPr="0071477D">
              <w:t>Liquid iron</w:t>
            </w:r>
          </w:p>
        </w:tc>
      </w:tr>
      <w:tr w:rsidR="00164D4C" w:rsidRPr="0071477D" w14:paraId="15C46030" w14:textId="77777777" w:rsidTr="00EC27DE">
        <w:trPr>
          <w:trHeight w:val="307"/>
        </w:trPr>
        <w:tc>
          <w:tcPr>
            <w:tcW w:w="19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D728C8" w14:textId="77777777" w:rsidR="00164D4C" w:rsidRPr="0071477D" w:rsidRDefault="00164D4C" w:rsidP="00EC27DE">
            <w:r w:rsidRPr="0071477D">
              <w:rPr>
                <w:b/>
                <w:bCs/>
              </w:rPr>
              <w:t>Inner core (6371-5150 km)</w:t>
            </w:r>
          </w:p>
        </w:tc>
        <w:tc>
          <w:tcPr>
            <w:tcW w:w="6935" w:type="dxa"/>
            <w:tcBorders>
              <w:top w:val="single" w:sz="8" w:space="0" w:color="000000"/>
              <w:left w:val="single" w:sz="8" w:space="0" w:color="000000"/>
              <w:bottom w:val="single" w:sz="8" w:space="0" w:color="000000"/>
              <w:right w:val="single" w:sz="8" w:space="0" w:color="000000"/>
            </w:tcBorders>
            <w:shd w:val="clear" w:color="auto" w:fill="auto"/>
            <w:tcMar>
              <w:top w:w="15" w:type="dxa"/>
              <w:left w:w="270" w:type="dxa"/>
              <w:bottom w:w="0" w:type="dxa"/>
              <w:right w:w="15" w:type="dxa"/>
            </w:tcMar>
            <w:vAlign w:val="center"/>
            <w:hideMark/>
          </w:tcPr>
          <w:p w14:paraId="35443C26" w14:textId="77777777" w:rsidR="00164D4C" w:rsidRPr="0071477D" w:rsidRDefault="00164D4C" w:rsidP="00164D4C">
            <w:pPr>
              <w:numPr>
                <w:ilvl w:val="0"/>
                <w:numId w:val="17"/>
              </w:numPr>
              <w:tabs>
                <w:tab w:val="clear" w:pos="720"/>
                <w:tab w:val="num" w:pos="271"/>
              </w:tabs>
              <w:ind w:left="271" w:hanging="270"/>
            </w:pPr>
            <w:r w:rsidRPr="0071477D">
              <w:t>Hexagonal Close-Packed (HCP) iron</w:t>
            </w:r>
          </w:p>
        </w:tc>
      </w:tr>
    </w:tbl>
    <w:p w14:paraId="005FC3F5" w14:textId="77777777" w:rsidR="00DB7EE9" w:rsidRDefault="00DB7EE9" w:rsidP="007E347D">
      <w:pPr>
        <w:spacing w:line="360" w:lineRule="auto"/>
        <w:ind w:firstLine="360"/>
      </w:pPr>
    </w:p>
    <w:p w14:paraId="299087AB" w14:textId="77777777" w:rsidR="00DB7EE9" w:rsidRDefault="00DB7EE9">
      <w:r>
        <w:br w:type="page"/>
      </w:r>
    </w:p>
    <w:p w14:paraId="3B9BAE79" w14:textId="54AE4C9C" w:rsidR="007E347D" w:rsidRDefault="004417AB" w:rsidP="00DB7EE9">
      <w:pPr>
        <w:spacing w:line="360" w:lineRule="auto"/>
      </w:pPr>
      <w:r>
        <w:lastRenderedPageBreak/>
        <w:t xml:space="preserve">formulas and phase information when relevant. One interesting point that might be brought up by students is that Carbon is not a major element in any layer within the </w:t>
      </w:r>
    </w:p>
    <w:p w14:paraId="3E198FBB" w14:textId="0089AF9C" w:rsidR="004417AB" w:rsidRDefault="004417AB" w:rsidP="00DB7EE9">
      <w:pPr>
        <w:spacing w:line="360" w:lineRule="auto"/>
      </w:pPr>
      <w:r>
        <w:t>Earth, and this is true, but it is also very important to the history of the Earth and the existence of life!</w:t>
      </w:r>
      <w:r w:rsidR="00F33D4D" w:rsidRPr="00F33D4D">
        <w:t xml:space="preserve"> </w:t>
      </w:r>
    </w:p>
    <w:p w14:paraId="4479DEA4" w14:textId="1421AEA2" w:rsidR="00F33D4D" w:rsidRPr="00F33D4D" w:rsidRDefault="008813E5" w:rsidP="00056273">
      <w:pPr>
        <w:pStyle w:val="Heading2"/>
        <w:spacing w:line="360" w:lineRule="auto"/>
      </w:pPr>
      <w:bookmarkStart w:id="110" w:name="_Toc109036174"/>
      <w:r>
        <w:t>4</w:t>
      </w:r>
      <w:r w:rsidR="00586653">
        <w:t xml:space="preserve">. </w:t>
      </w:r>
      <w:r w:rsidR="004417AB">
        <w:t>Carbon: Phases with Relation to Earth</w:t>
      </w:r>
      <w:bookmarkEnd w:id="110"/>
    </w:p>
    <w:p w14:paraId="53A2F6BF" w14:textId="3B91C845" w:rsidR="004417AB" w:rsidRDefault="004417AB" w:rsidP="007E347D">
      <w:pPr>
        <w:spacing w:line="360" w:lineRule="auto"/>
        <w:ind w:firstLine="360"/>
      </w:pPr>
      <w:r>
        <w:t xml:space="preserve">Now is a great time to introduce the carbon phase diagram (Figure </w:t>
      </w:r>
      <w:r w:rsidR="0029587E">
        <w:t>3.</w:t>
      </w:r>
      <w:r>
        <w:t xml:space="preserve">2). I have included two versions here, one with an overlay of relevant pressure and temperature values of different depths into the Earth, as given in Table </w:t>
      </w:r>
      <w:r w:rsidR="0029587E">
        <w:t>3.</w:t>
      </w:r>
      <w:r w:rsidR="00164D4C">
        <w:t>3</w:t>
      </w:r>
      <w:r>
        <w:t xml:space="preserve">. If students have a copy of Table </w:t>
      </w:r>
      <w:r w:rsidR="0029587E">
        <w:t>3.</w:t>
      </w:r>
      <w:r w:rsidR="00164D4C">
        <w:t>3</w:t>
      </w:r>
      <w:r>
        <w:t xml:space="preserve"> available to them, providing Figure </w:t>
      </w:r>
      <w:r w:rsidR="0029587E">
        <w:t>3.</w:t>
      </w:r>
      <w:r>
        <w:t xml:space="preserve">2a can give them the chance to think through the change of physical properties with depth. If Table </w:t>
      </w:r>
      <w:r w:rsidR="00F66C2B">
        <w:t>3.</w:t>
      </w:r>
      <w:r w:rsidR="00164D4C">
        <w:t>3</w:t>
      </w:r>
      <w:r>
        <w:t xml:space="preserve"> is not simultaneously available, such as being used in a slideshow presentation when handouts are unavailable, Figure </w:t>
      </w:r>
      <w:r w:rsidR="0029587E">
        <w:t>3.</w:t>
      </w:r>
      <w:r>
        <w:t xml:space="preserve">2b will be helpful for group discussion. It may be important to note that the Y axis of the plot is in logarithmic scale, which makes the depth points seem to get closer and closer together as you get closer to the core of the Earth. </w:t>
      </w:r>
    </w:p>
    <w:p w14:paraId="39F6DA3C" w14:textId="7E8CB1D7" w:rsidR="004417AB" w:rsidRDefault="004417AB" w:rsidP="00363146">
      <w:pPr>
        <w:spacing w:line="360" w:lineRule="auto"/>
        <w:ind w:firstLine="360"/>
      </w:pPr>
      <w:r>
        <w:t xml:space="preserve">Either as small groups, or a whole class, ask students to name which phases of elemental carbon we should find in the Earth. Have them predict, in combination with Figure </w:t>
      </w:r>
      <w:r w:rsidR="0029587E">
        <w:t>3.</w:t>
      </w:r>
      <w:r>
        <w:t xml:space="preserve">1, which layers of the Earth would contain which phases, based solely on the pressures and temperatures at those depths. </w:t>
      </w:r>
    </w:p>
    <w:p w14:paraId="00058510" w14:textId="424F6BC0" w:rsidR="00F33D4D" w:rsidRDefault="004417AB" w:rsidP="00056273">
      <w:pPr>
        <w:spacing w:line="360" w:lineRule="auto"/>
        <w:ind w:firstLine="360"/>
      </w:pPr>
      <w:r>
        <w:t xml:space="preserve">Now you can reintroduce Table </w:t>
      </w:r>
      <w:r w:rsidR="0029587E">
        <w:t>3.</w:t>
      </w:r>
      <w:r w:rsidR="00164D4C">
        <w:t>2</w:t>
      </w:r>
      <w:r>
        <w:t>, which shows the major phases present in the different layers of the Earth. While we have already acknowledged that carbon is not a constituent element in any of the layers, we can consider the properties of the other phases to rule out the presence of elemental carbon minerals, specifically in the inner and outer core. While the pressures and temperatures predicted for those layers of the</w:t>
      </w:r>
      <w:r w:rsidR="008813E5">
        <w:t xml:space="preserve"> </w:t>
      </w:r>
      <w:r w:rsidR="00F33D4D">
        <w:t xml:space="preserve">Earth fall within the phase diagram for carbon, the composition of the inner and outer core are unlikely to provide a hospitable environment to a crystalline carbon phase. </w:t>
      </w:r>
    </w:p>
    <w:p w14:paraId="04A72218" w14:textId="77777777" w:rsidR="00164D4C" w:rsidRDefault="00F33D4D" w:rsidP="007E347D">
      <w:pPr>
        <w:spacing w:line="360" w:lineRule="auto"/>
      </w:pPr>
      <w:r>
        <w:t>Some relevant information on Earth System’s concepts, along with their prompting questions are contained in the Pre-Activity rows of Table 3.</w:t>
      </w:r>
      <w:r w:rsidR="00FA73CD">
        <w:t>4</w:t>
      </w:r>
      <w:r>
        <w:t xml:space="preserve">. It is important to review the qualifications of a mineral and native mineral with students when thinking about the </w:t>
      </w:r>
      <w:r w:rsidR="006709E2">
        <w:t xml:space="preserve">chemical layers of the Earth in relation to diamond and graphite. Figure 3.3, based on Figure 4.6 from </w:t>
      </w:r>
      <w:r w:rsidR="006709E2">
        <w:rPr>
          <w:i/>
          <w:iCs/>
        </w:rPr>
        <w:t>Deep Carbon</w:t>
      </w:r>
      <w:r w:rsidR="006709E2">
        <w:t xml:space="preserve">, shows different areas of diamond formation, along with </w:t>
      </w:r>
      <w:r w:rsidR="00164D4C">
        <w:br w:type="page"/>
      </w:r>
    </w:p>
    <w:p w14:paraId="51CCE480" w14:textId="77777777" w:rsidR="00164D4C" w:rsidRDefault="00164D4C" w:rsidP="00164D4C">
      <w:pPr>
        <w:keepNext/>
        <w:jc w:val="center"/>
      </w:pPr>
      <w:r>
        <w:rPr>
          <w:noProof/>
        </w:rPr>
        <w:lastRenderedPageBreak/>
        <w:drawing>
          <wp:inline distT="0" distB="0" distL="0" distR="0" wp14:anchorId="5150A514" wp14:editId="1DD9D053">
            <wp:extent cx="5943600" cy="2681605"/>
            <wp:effectExtent l="0" t="0" r="0" b="4445"/>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681605"/>
                    </a:xfrm>
                    <a:prstGeom prst="rect">
                      <a:avLst/>
                    </a:prstGeom>
                  </pic:spPr>
                </pic:pic>
              </a:graphicData>
            </a:graphic>
          </wp:inline>
        </w:drawing>
      </w:r>
    </w:p>
    <w:p w14:paraId="3C66DD9D" w14:textId="0ABBEB35" w:rsidR="00164D4C" w:rsidRDefault="00164D4C" w:rsidP="00164D4C">
      <w:pPr>
        <w:pStyle w:val="Caption"/>
        <w:rPr>
          <w:b w:val="0"/>
          <w:bCs w:val="0"/>
          <w:sz w:val="20"/>
          <w:szCs w:val="20"/>
        </w:rPr>
      </w:pPr>
      <w:bookmarkStart w:id="111" w:name="_Toc109738679"/>
      <w:r w:rsidRPr="00F33D4D">
        <w:rPr>
          <w:b w:val="0"/>
          <w:bCs w:val="0"/>
          <w:sz w:val="20"/>
          <w:szCs w:val="20"/>
        </w:rPr>
        <w:t xml:space="preserve">Figure </w:t>
      </w:r>
      <w:r>
        <w:rPr>
          <w:b w:val="0"/>
          <w:bCs w:val="0"/>
          <w:sz w:val="20"/>
          <w:szCs w:val="20"/>
        </w:rPr>
        <w:t>3</w:t>
      </w:r>
      <w:r w:rsidRPr="00F33D4D">
        <w:rPr>
          <w:b w:val="0"/>
          <w:bCs w:val="0"/>
          <w:sz w:val="20"/>
          <w:szCs w:val="20"/>
        </w:rPr>
        <w:t>.</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2</w:t>
      </w:r>
      <w:r>
        <w:rPr>
          <w:b w:val="0"/>
          <w:bCs w:val="0"/>
          <w:sz w:val="20"/>
          <w:szCs w:val="20"/>
        </w:rPr>
        <w:fldChar w:fldCharType="end"/>
      </w:r>
      <w:r w:rsidRPr="00F33D4D">
        <w:rPr>
          <w:b w:val="0"/>
          <w:bCs w:val="0"/>
          <w:sz w:val="20"/>
          <w:szCs w:val="20"/>
        </w:rPr>
        <w:t>.</w:t>
      </w:r>
      <w:r w:rsidRPr="00F33D4D">
        <w:rPr>
          <w:rFonts w:asciiTheme="minorHAnsi" w:eastAsiaTheme="minorEastAsia" w:hAnsi="Calibri" w:cstheme="minorBidi"/>
          <w:b w:val="0"/>
          <w:bCs w:val="0"/>
          <w:color w:val="000000" w:themeColor="text1"/>
          <w:kern w:val="24"/>
          <w:sz w:val="28"/>
          <w:szCs w:val="28"/>
        </w:rPr>
        <w:t xml:space="preserve"> </w:t>
      </w:r>
      <w:r w:rsidRPr="00F33D4D">
        <w:rPr>
          <w:b w:val="0"/>
          <w:bCs w:val="0"/>
          <w:sz w:val="20"/>
          <w:szCs w:val="20"/>
        </w:rPr>
        <w:t>Carbon phase diagram for Earth-relevant conditions. Plot A shows just the phase diagram while plot B has an overlay of the pressure-temperature path through the Earth based on Table 3.1.</w:t>
      </w:r>
      <w:bookmarkEnd w:id="111"/>
    </w:p>
    <w:p w14:paraId="6EA1C83C" w14:textId="77777777" w:rsidR="00164D4C" w:rsidRDefault="00164D4C">
      <w:r>
        <w:br w:type="page"/>
      </w:r>
    </w:p>
    <w:p w14:paraId="4F8B9A03" w14:textId="77777777" w:rsidR="00164D4C" w:rsidRDefault="00164D4C" w:rsidP="007E347D">
      <w:pPr>
        <w:spacing w:line="360" w:lineRule="auto"/>
        <w:sectPr w:rsidR="00164D4C" w:rsidSect="0071477D">
          <w:pgSz w:w="12240" w:h="15840" w:code="1"/>
          <w:pgMar w:top="1440" w:right="1440" w:bottom="1440" w:left="1440" w:header="720" w:footer="1440" w:gutter="0"/>
          <w:cols w:space="720"/>
          <w:noEndnote/>
          <w:docGrid w:linePitch="360"/>
        </w:sectPr>
      </w:pPr>
    </w:p>
    <w:p w14:paraId="7ECB9D68" w14:textId="4E6CFE46" w:rsidR="00164D4C" w:rsidRPr="00CC5EC8" w:rsidRDefault="00164D4C" w:rsidP="00164D4C">
      <w:pPr>
        <w:pStyle w:val="Caption"/>
        <w:rPr>
          <w:b w:val="0"/>
          <w:bCs w:val="0"/>
          <w:sz w:val="20"/>
          <w:szCs w:val="20"/>
        </w:rPr>
      </w:pPr>
      <w:r w:rsidRPr="0071477D">
        <w:rPr>
          <w:b w:val="0"/>
          <w:bCs w:val="0"/>
          <w:sz w:val="20"/>
          <w:szCs w:val="20"/>
        </w:rPr>
        <w:lastRenderedPageBreak/>
        <w:t xml:space="preserve">Table </w:t>
      </w:r>
      <w:r>
        <w:rPr>
          <w:b w:val="0"/>
          <w:bCs w:val="0"/>
          <w:sz w:val="20"/>
          <w:szCs w:val="20"/>
        </w:rPr>
        <w:t>3.</w:t>
      </w:r>
      <w:r>
        <w:rPr>
          <w:b w:val="0"/>
          <w:bCs w:val="0"/>
          <w:sz w:val="20"/>
          <w:szCs w:val="20"/>
        </w:rPr>
        <w:fldChar w:fldCharType="begin"/>
      </w:r>
      <w:r>
        <w:rPr>
          <w:b w:val="0"/>
          <w:bCs w:val="0"/>
          <w:sz w:val="20"/>
          <w:szCs w:val="20"/>
        </w:rPr>
        <w:instrText xml:space="preserve"> SEQ Table \* ARABIC \s 1 </w:instrText>
      </w:r>
      <w:r>
        <w:rPr>
          <w:b w:val="0"/>
          <w:bCs w:val="0"/>
          <w:sz w:val="20"/>
          <w:szCs w:val="20"/>
        </w:rPr>
        <w:fldChar w:fldCharType="separate"/>
      </w:r>
      <w:r>
        <w:rPr>
          <w:b w:val="0"/>
          <w:bCs w:val="0"/>
          <w:noProof/>
          <w:sz w:val="20"/>
          <w:szCs w:val="20"/>
        </w:rPr>
        <w:t>3</w:t>
      </w:r>
      <w:r>
        <w:rPr>
          <w:b w:val="0"/>
          <w:bCs w:val="0"/>
          <w:sz w:val="20"/>
          <w:szCs w:val="20"/>
        </w:rPr>
        <w:fldChar w:fldCharType="end"/>
      </w:r>
      <w:r w:rsidRPr="0071477D">
        <w:rPr>
          <w:b w:val="0"/>
          <w:bCs w:val="0"/>
          <w:sz w:val="20"/>
          <w:szCs w:val="20"/>
        </w:rPr>
        <w:t xml:space="preserve">. </w:t>
      </w:r>
      <w:r w:rsidRPr="00CC5EC8">
        <w:rPr>
          <w:b w:val="0"/>
          <w:bCs w:val="0"/>
          <w:sz w:val="20"/>
          <w:szCs w:val="20"/>
        </w:rPr>
        <w:t>Pressure and temperature at different locations within the Earth with distance from the center of Earth and distance from the surface of Earth.</w:t>
      </w:r>
    </w:p>
    <w:tbl>
      <w:tblPr>
        <w:tblW w:w="9226" w:type="dxa"/>
        <w:tblInd w:w="226" w:type="dxa"/>
        <w:tblCellMar>
          <w:left w:w="0" w:type="dxa"/>
          <w:right w:w="0" w:type="dxa"/>
        </w:tblCellMar>
        <w:tblLook w:val="0600" w:firstRow="0" w:lastRow="0" w:firstColumn="0" w:lastColumn="0" w:noHBand="1" w:noVBand="1"/>
      </w:tblPr>
      <w:tblGrid>
        <w:gridCol w:w="2746"/>
        <w:gridCol w:w="3240"/>
        <w:gridCol w:w="1530"/>
        <w:gridCol w:w="1710"/>
      </w:tblGrid>
      <w:tr w:rsidR="00164D4C" w:rsidRPr="00CC5EC8" w14:paraId="37153450" w14:textId="77777777" w:rsidTr="00EC27DE">
        <w:trPr>
          <w:trHeight w:val="92"/>
        </w:trPr>
        <w:tc>
          <w:tcPr>
            <w:tcW w:w="9226" w:type="dxa"/>
            <w:gridSpan w:val="4"/>
            <w:tcBorders>
              <w:top w:val="single" w:sz="8" w:space="0" w:color="000000"/>
              <w:left w:val="single" w:sz="8" w:space="0" w:color="000000"/>
              <w:bottom w:val="single" w:sz="8" w:space="0" w:color="000000"/>
              <w:right w:val="single" w:sz="8" w:space="0" w:color="000000"/>
            </w:tcBorders>
            <w:shd w:val="clear" w:color="auto" w:fill="auto"/>
            <w:tcMar>
              <w:top w:w="113" w:type="dxa"/>
              <w:left w:w="226" w:type="dxa"/>
              <w:bottom w:w="113" w:type="dxa"/>
              <w:right w:w="226" w:type="dxa"/>
            </w:tcMar>
            <w:vAlign w:val="center"/>
            <w:hideMark/>
          </w:tcPr>
          <w:p w14:paraId="6462A307" w14:textId="77777777" w:rsidR="00164D4C" w:rsidRPr="00CC5EC8" w:rsidRDefault="00164D4C" w:rsidP="00EC27DE">
            <w:pPr>
              <w:ind w:firstLine="360"/>
              <w:jc w:val="center"/>
            </w:pPr>
            <w:r w:rsidRPr="00CC5EC8">
              <w:t>The Geotherm</w:t>
            </w:r>
          </w:p>
        </w:tc>
      </w:tr>
      <w:tr w:rsidR="00164D4C" w:rsidRPr="00CC5EC8" w14:paraId="42541A1A" w14:textId="77777777" w:rsidTr="00EC27DE">
        <w:trPr>
          <w:trHeight w:val="637"/>
        </w:trPr>
        <w:tc>
          <w:tcPr>
            <w:tcW w:w="2746" w:type="dxa"/>
            <w:tcBorders>
              <w:top w:val="single" w:sz="8" w:space="0" w:color="000000"/>
              <w:left w:val="single" w:sz="8" w:space="0" w:color="000000"/>
              <w:bottom w:val="single" w:sz="8" w:space="0" w:color="000000"/>
              <w:right w:val="single" w:sz="4" w:space="0" w:color="000000"/>
            </w:tcBorders>
            <w:shd w:val="clear" w:color="auto" w:fill="auto"/>
            <w:tcMar>
              <w:top w:w="11" w:type="dxa"/>
              <w:left w:w="11" w:type="dxa"/>
              <w:bottom w:w="0" w:type="dxa"/>
              <w:right w:w="11" w:type="dxa"/>
            </w:tcMar>
            <w:vAlign w:val="center"/>
            <w:hideMark/>
          </w:tcPr>
          <w:p w14:paraId="4384A2B3" w14:textId="77777777" w:rsidR="00164D4C" w:rsidRPr="00CC5EC8" w:rsidRDefault="00164D4C" w:rsidP="00EC27DE">
            <w:pPr>
              <w:jc w:val="center"/>
            </w:pPr>
            <w:r w:rsidRPr="00CC5EC8">
              <w:t>Distance from the center of the Earth (km)</w:t>
            </w:r>
          </w:p>
        </w:tc>
        <w:tc>
          <w:tcPr>
            <w:tcW w:w="3240" w:type="dxa"/>
            <w:tcBorders>
              <w:top w:val="single" w:sz="8" w:space="0" w:color="000000"/>
              <w:left w:val="single" w:sz="4" w:space="0" w:color="000000"/>
              <w:bottom w:val="single" w:sz="8" w:space="0" w:color="000000"/>
              <w:right w:val="single" w:sz="4" w:space="0" w:color="000000"/>
            </w:tcBorders>
            <w:shd w:val="clear" w:color="auto" w:fill="auto"/>
            <w:tcMar>
              <w:top w:w="11" w:type="dxa"/>
              <w:left w:w="11" w:type="dxa"/>
              <w:bottom w:w="0" w:type="dxa"/>
              <w:right w:w="11" w:type="dxa"/>
            </w:tcMar>
            <w:vAlign w:val="center"/>
            <w:hideMark/>
          </w:tcPr>
          <w:p w14:paraId="52628B5C" w14:textId="77777777" w:rsidR="00164D4C" w:rsidRPr="00CC5EC8" w:rsidRDefault="00164D4C" w:rsidP="00EC27DE">
            <w:pPr>
              <w:jc w:val="center"/>
            </w:pPr>
            <w:r w:rsidRPr="00CC5EC8">
              <w:t>Distance from the surface of the Earth</w:t>
            </w:r>
            <w:r>
              <w:t xml:space="preserve"> </w:t>
            </w:r>
            <w:r w:rsidRPr="00CC5EC8">
              <w:t>(km)</w:t>
            </w:r>
          </w:p>
        </w:tc>
        <w:tc>
          <w:tcPr>
            <w:tcW w:w="1530" w:type="dxa"/>
            <w:tcBorders>
              <w:top w:val="single" w:sz="8" w:space="0" w:color="000000"/>
              <w:left w:val="single" w:sz="4" w:space="0" w:color="000000"/>
              <w:bottom w:val="single" w:sz="8" w:space="0" w:color="000000"/>
              <w:right w:val="single" w:sz="4" w:space="0" w:color="000000"/>
            </w:tcBorders>
            <w:shd w:val="clear" w:color="auto" w:fill="auto"/>
            <w:tcMar>
              <w:top w:w="11" w:type="dxa"/>
              <w:left w:w="11" w:type="dxa"/>
              <w:bottom w:w="0" w:type="dxa"/>
              <w:right w:w="11" w:type="dxa"/>
            </w:tcMar>
            <w:vAlign w:val="center"/>
            <w:hideMark/>
          </w:tcPr>
          <w:p w14:paraId="29893C90" w14:textId="77777777" w:rsidR="00164D4C" w:rsidRPr="00CC5EC8" w:rsidRDefault="00164D4C" w:rsidP="00EC27DE">
            <w:pPr>
              <w:jc w:val="center"/>
            </w:pPr>
            <w:r w:rsidRPr="00CC5EC8">
              <w:t>Pressure (GPa)</w:t>
            </w:r>
          </w:p>
        </w:tc>
        <w:tc>
          <w:tcPr>
            <w:tcW w:w="1710" w:type="dxa"/>
            <w:tcBorders>
              <w:top w:val="single" w:sz="8" w:space="0" w:color="000000"/>
              <w:left w:val="single" w:sz="4"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10E5289F" w14:textId="77777777" w:rsidR="00164D4C" w:rsidRPr="00CC5EC8" w:rsidRDefault="00164D4C" w:rsidP="00EC27DE">
            <w:pPr>
              <w:jc w:val="center"/>
            </w:pPr>
            <w:r w:rsidRPr="00CC5EC8">
              <w:t>Temperature (K)</w:t>
            </w:r>
          </w:p>
        </w:tc>
      </w:tr>
      <w:tr w:rsidR="00164D4C" w:rsidRPr="00CC5EC8" w14:paraId="5AC3A1C8" w14:textId="77777777" w:rsidTr="00EC27DE">
        <w:trPr>
          <w:trHeight w:val="209"/>
        </w:trPr>
        <w:tc>
          <w:tcPr>
            <w:tcW w:w="2746" w:type="dxa"/>
            <w:tcBorders>
              <w:top w:val="single" w:sz="8"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F7A3615" w14:textId="77777777" w:rsidR="00164D4C" w:rsidRPr="00CC5EC8" w:rsidRDefault="00164D4C" w:rsidP="00EC27DE">
            <w:pPr>
              <w:ind w:firstLine="360"/>
              <w:jc w:val="center"/>
            </w:pPr>
            <w:r w:rsidRPr="00CC5EC8">
              <w:t>6371</w:t>
            </w:r>
          </w:p>
        </w:tc>
        <w:tc>
          <w:tcPr>
            <w:tcW w:w="3240" w:type="dxa"/>
            <w:tcBorders>
              <w:top w:val="single" w:sz="8"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E7986E9" w14:textId="77777777" w:rsidR="00164D4C" w:rsidRPr="00CC5EC8" w:rsidRDefault="00164D4C" w:rsidP="00EC27DE">
            <w:pPr>
              <w:ind w:firstLine="360"/>
              <w:jc w:val="center"/>
            </w:pPr>
            <w:r w:rsidRPr="00CC5EC8">
              <w:t>0</w:t>
            </w:r>
          </w:p>
        </w:tc>
        <w:tc>
          <w:tcPr>
            <w:tcW w:w="1530" w:type="dxa"/>
            <w:tcBorders>
              <w:top w:val="single" w:sz="8"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7399D32" w14:textId="77777777" w:rsidR="00164D4C" w:rsidRPr="00CC5EC8" w:rsidRDefault="00164D4C" w:rsidP="00EC27DE">
            <w:pPr>
              <w:ind w:firstLine="360"/>
              <w:jc w:val="center"/>
            </w:pPr>
            <w:r w:rsidRPr="00CC5EC8">
              <w:t>0.0</w:t>
            </w:r>
          </w:p>
        </w:tc>
        <w:tc>
          <w:tcPr>
            <w:tcW w:w="1710" w:type="dxa"/>
            <w:tcBorders>
              <w:top w:val="single" w:sz="8"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18504715" w14:textId="77777777" w:rsidR="00164D4C" w:rsidRPr="00CC5EC8" w:rsidRDefault="00164D4C" w:rsidP="00EC27DE">
            <w:pPr>
              <w:ind w:firstLine="360"/>
              <w:jc w:val="center"/>
            </w:pPr>
            <w:r w:rsidRPr="00CC5EC8">
              <w:t>300</w:t>
            </w:r>
          </w:p>
        </w:tc>
      </w:tr>
      <w:tr w:rsidR="00164D4C" w:rsidRPr="00CC5EC8" w14:paraId="31F69BE7"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E22557E" w14:textId="77777777" w:rsidR="00164D4C" w:rsidRPr="00CC5EC8" w:rsidRDefault="00164D4C" w:rsidP="00EC27DE">
            <w:pPr>
              <w:ind w:firstLine="360"/>
              <w:jc w:val="center"/>
            </w:pPr>
            <w:r w:rsidRPr="00CC5EC8">
              <w:t>6368</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6368277" w14:textId="77777777" w:rsidR="00164D4C" w:rsidRPr="00CC5EC8" w:rsidRDefault="00164D4C" w:rsidP="00EC27DE">
            <w:pPr>
              <w:ind w:firstLine="360"/>
              <w:jc w:val="center"/>
            </w:pPr>
            <w:r w:rsidRPr="00CC5EC8">
              <w:t>3</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437D1D8" w14:textId="77777777" w:rsidR="00164D4C" w:rsidRPr="00CC5EC8" w:rsidRDefault="00164D4C" w:rsidP="00EC27DE">
            <w:pPr>
              <w:ind w:firstLine="360"/>
              <w:jc w:val="center"/>
            </w:pPr>
            <w:r w:rsidRPr="00CC5EC8">
              <w:t>0.3</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3C7A114D" w14:textId="77777777" w:rsidR="00164D4C" w:rsidRPr="00CC5EC8" w:rsidRDefault="00164D4C" w:rsidP="00EC27DE">
            <w:pPr>
              <w:ind w:firstLine="360"/>
              <w:jc w:val="center"/>
            </w:pPr>
            <w:r w:rsidRPr="00CC5EC8">
              <w:t>366</w:t>
            </w:r>
          </w:p>
        </w:tc>
      </w:tr>
      <w:tr w:rsidR="00164D4C" w:rsidRPr="00CC5EC8" w14:paraId="497773CC"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CC7BA18" w14:textId="77777777" w:rsidR="00164D4C" w:rsidRPr="00CC5EC8" w:rsidRDefault="00164D4C" w:rsidP="00EC27DE">
            <w:pPr>
              <w:ind w:firstLine="360"/>
              <w:jc w:val="center"/>
            </w:pPr>
            <w:r w:rsidRPr="00CC5EC8">
              <w:t>6356</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53B0800" w14:textId="77777777" w:rsidR="00164D4C" w:rsidRPr="00CC5EC8" w:rsidRDefault="00164D4C" w:rsidP="00EC27DE">
            <w:pPr>
              <w:ind w:firstLine="360"/>
              <w:jc w:val="center"/>
            </w:pPr>
            <w:r w:rsidRPr="00CC5EC8">
              <w:t>15</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4AEEDAB" w14:textId="77777777" w:rsidR="00164D4C" w:rsidRPr="00CC5EC8" w:rsidRDefault="00164D4C" w:rsidP="00EC27DE">
            <w:pPr>
              <w:ind w:firstLine="360"/>
              <w:jc w:val="center"/>
            </w:pPr>
            <w:r w:rsidRPr="00CC5EC8">
              <w:t>0.3</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75E0BB1E" w14:textId="77777777" w:rsidR="00164D4C" w:rsidRPr="00CC5EC8" w:rsidRDefault="00164D4C" w:rsidP="00EC27DE">
            <w:pPr>
              <w:ind w:firstLine="360"/>
              <w:jc w:val="center"/>
            </w:pPr>
            <w:r w:rsidRPr="00CC5EC8">
              <w:t>630</w:t>
            </w:r>
          </w:p>
        </w:tc>
      </w:tr>
      <w:tr w:rsidR="00164D4C" w:rsidRPr="00CC5EC8" w14:paraId="0A70AF56"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6A2235E" w14:textId="77777777" w:rsidR="00164D4C" w:rsidRPr="00CC5EC8" w:rsidRDefault="00164D4C" w:rsidP="00EC27DE">
            <w:pPr>
              <w:ind w:firstLine="360"/>
              <w:jc w:val="center"/>
            </w:pPr>
            <w:r w:rsidRPr="00CC5EC8">
              <w:t>6347</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53380DA" w14:textId="77777777" w:rsidR="00164D4C" w:rsidRPr="00CC5EC8" w:rsidRDefault="00164D4C" w:rsidP="00EC27DE">
            <w:pPr>
              <w:ind w:firstLine="360"/>
              <w:jc w:val="center"/>
            </w:pPr>
            <w:r w:rsidRPr="00CC5EC8">
              <w:t>24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3E2EB68" w14:textId="77777777" w:rsidR="00164D4C" w:rsidRPr="00CC5EC8" w:rsidRDefault="00164D4C" w:rsidP="00EC27DE">
            <w:pPr>
              <w:ind w:firstLine="360"/>
              <w:jc w:val="center"/>
            </w:pPr>
            <w:r w:rsidRPr="00CC5EC8">
              <w:t>0.6</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636DE82B" w14:textId="77777777" w:rsidR="00164D4C" w:rsidRPr="00CC5EC8" w:rsidRDefault="00164D4C" w:rsidP="00EC27DE">
            <w:pPr>
              <w:ind w:firstLine="360"/>
              <w:jc w:val="center"/>
            </w:pPr>
            <w:r w:rsidRPr="00CC5EC8">
              <w:t>743</w:t>
            </w:r>
          </w:p>
        </w:tc>
      </w:tr>
      <w:tr w:rsidR="00164D4C" w:rsidRPr="00CC5EC8" w14:paraId="18AC5A72"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003376F" w14:textId="77777777" w:rsidR="00164D4C" w:rsidRPr="00CC5EC8" w:rsidRDefault="00164D4C" w:rsidP="00EC27DE">
            <w:pPr>
              <w:ind w:firstLine="360"/>
              <w:jc w:val="center"/>
            </w:pPr>
            <w:r w:rsidRPr="00CC5EC8">
              <w:t>6331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67251DA" w14:textId="77777777" w:rsidR="00164D4C" w:rsidRPr="00CC5EC8" w:rsidRDefault="00164D4C" w:rsidP="00EC27DE">
            <w:pPr>
              <w:ind w:firstLine="360"/>
              <w:jc w:val="center"/>
            </w:pPr>
            <w:r w:rsidRPr="00CC5EC8">
              <w:t>40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ABAD855" w14:textId="77777777" w:rsidR="00164D4C" w:rsidRPr="00CC5EC8" w:rsidRDefault="00164D4C" w:rsidP="00EC27DE">
            <w:pPr>
              <w:ind w:firstLine="360"/>
              <w:jc w:val="center"/>
            </w:pPr>
            <w:r w:rsidRPr="00CC5EC8">
              <w:t>1.1</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4D0A214D" w14:textId="77777777" w:rsidR="00164D4C" w:rsidRPr="00CC5EC8" w:rsidRDefault="00164D4C" w:rsidP="00EC27DE">
            <w:pPr>
              <w:ind w:firstLine="360"/>
              <w:jc w:val="center"/>
            </w:pPr>
            <w:r w:rsidRPr="00CC5EC8">
              <w:t>930</w:t>
            </w:r>
          </w:p>
        </w:tc>
      </w:tr>
      <w:tr w:rsidR="00164D4C" w:rsidRPr="00CC5EC8" w14:paraId="5F761EAB"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716883B" w14:textId="77777777" w:rsidR="00164D4C" w:rsidRPr="00CC5EC8" w:rsidRDefault="00164D4C" w:rsidP="00EC27DE">
            <w:pPr>
              <w:ind w:firstLine="360"/>
              <w:jc w:val="center"/>
            </w:pPr>
            <w:r w:rsidRPr="00CC5EC8">
              <w:t>6291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674F77B" w14:textId="77777777" w:rsidR="00164D4C" w:rsidRPr="00CC5EC8" w:rsidRDefault="00164D4C" w:rsidP="00EC27DE">
            <w:pPr>
              <w:ind w:firstLine="360"/>
              <w:jc w:val="center"/>
            </w:pPr>
            <w:r w:rsidRPr="00CC5EC8">
              <w:t>80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046FE6D" w14:textId="77777777" w:rsidR="00164D4C" w:rsidRPr="00CC5EC8" w:rsidRDefault="00164D4C" w:rsidP="00EC27DE">
            <w:pPr>
              <w:ind w:firstLine="360"/>
              <w:jc w:val="center"/>
            </w:pPr>
            <w:r w:rsidRPr="00CC5EC8">
              <w:t>2.5</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6E9B8625" w14:textId="77777777" w:rsidR="00164D4C" w:rsidRPr="00CC5EC8" w:rsidRDefault="00164D4C" w:rsidP="00EC27DE">
            <w:pPr>
              <w:ind w:firstLine="360"/>
              <w:jc w:val="center"/>
            </w:pPr>
            <w:r w:rsidRPr="00CC5EC8">
              <w:t>1155</w:t>
            </w:r>
          </w:p>
        </w:tc>
      </w:tr>
      <w:tr w:rsidR="00164D4C" w:rsidRPr="00CC5EC8" w14:paraId="5A1D3FCF"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1836F3F" w14:textId="77777777" w:rsidR="00164D4C" w:rsidRPr="00CC5EC8" w:rsidRDefault="00164D4C" w:rsidP="00EC27DE">
            <w:pPr>
              <w:ind w:firstLine="360"/>
              <w:jc w:val="center"/>
            </w:pPr>
            <w:r w:rsidRPr="00CC5EC8">
              <w:t>6221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A4F97A8" w14:textId="77777777" w:rsidR="00164D4C" w:rsidRPr="00CC5EC8" w:rsidRDefault="00164D4C" w:rsidP="00EC27DE">
            <w:pPr>
              <w:ind w:firstLine="360"/>
              <w:jc w:val="center"/>
            </w:pPr>
            <w:r w:rsidRPr="00CC5EC8">
              <w:t>150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A79E4B8" w14:textId="77777777" w:rsidR="00164D4C" w:rsidRPr="00CC5EC8" w:rsidRDefault="00164D4C" w:rsidP="00EC27DE">
            <w:pPr>
              <w:ind w:firstLine="360"/>
              <w:jc w:val="center"/>
            </w:pPr>
            <w:r w:rsidRPr="00CC5EC8">
              <w:t>4.8</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514834C5" w14:textId="77777777" w:rsidR="00164D4C" w:rsidRPr="00CC5EC8" w:rsidRDefault="00164D4C" w:rsidP="00EC27DE">
            <w:pPr>
              <w:ind w:firstLine="360"/>
              <w:jc w:val="center"/>
            </w:pPr>
            <w:r w:rsidRPr="00CC5EC8">
              <w:t>1550</w:t>
            </w:r>
          </w:p>
        </w:tc>
      </w:tr>
      <w:tr w:rsidR="00164D4C" w:rsidRPr="00CC5EC8" w14:paraId="6D7730C6"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F25C4A9" w14:textId="77777777" w:rsidR="00164D4C" w:rsidRPr="00CC5EC8" w:rsidRDefault="00164D4C" w:rsidP="00EC27DE">
            <w:pPr>
              <w:ind w:firstLine="360"/>
              <w:jc w:val="center"/>
            </w:pPr>
            <w:r w:rsidRPr="00CC5EC8">
              <w:t>6151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6F666C7" w14:textId="77777777" w:rsidR="00164D4C" w:rsidRPr="00CC5EC8" w:rsidRDefault="00164D4C" w:rsidP="00EC27DE">
            <w:pPr>
              <w:ind w:firstLine="360"/>
              <w:jc w:val="center"/>
            </w:pPr>
            <w:r w:rsidRPr="00CC5EC8">
              <w:t>220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5D1C2E6" w14:textId="77777777" w:rsidR="00164D4C" w:rsidRPr="00CC5EC8" w:rsidRDefault="00164D4C" w:rsidP="00EC27DE">
            <w:pPr>
              <w:ind w:firstLine="360"/>
              <w:jc w:val="center"/>
            </w:pPr>
            <w:r w:rsidRPr="00CC5EC8">
              <w:t>7.1</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1B2ECCE5" w14:textId="77777777" w:rsidR="00164D4C" w:rsidRPr="00CC5EC8" w:rsidRDefault="00164D4C" w:rsidP="00EC27DE">
            <w:pPr>
              <w:ind w:firstLine="360"/>
              <w:jc w:val="center"/>
            </w:pPr>
            <w:r w:rsidRPr="00CC5EC8">
              <w:t>1622</w:t>
            </w:r>
          </w:p>
        </w:tc>
      </w:tr>
      <w:tr w:rsidR="00164D4C" w:rsidRPr="00CC5EC8" w14:paraId="210B4867"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09715FE" w14:textId="77777777" w:rsidR="00164D4C" w:rsidRPr="00CC5EC8" w:rsidRDefault="00164D4C" w:rsidP="00EC27DE">
            <w:pPr>
              <w:ind w:firstLine="360"/>
              <w:jc w:val="center"/>
            </w:pPr>
            <w:r w:rsidRPr="00CC5EC8">
              <w:t>6061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F3360B5" w14:textId="77777777" w:rsidR="00164D4C" w:rsidRPr="00CC5EC8" w:rsidRDefault="00164D4C" w:rsidP="00EC27DE">
            <w:pPr>
              <w:ind w:firstLine="360"/>
              <w:jc w:val="center"/>
            </w:pPr>
            <w:r w:rsidRPr="00CC5EC8">
              <w:t>310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111B268" w14:textId="77777777" w:rsidR="00164D4C" w:rsidRPr="00CC5EC8" w:rsidRDefault="00164D4C" w:rsidP="00EC27DE">
            <w:pPr>
              <w:ind w:firstLine="360"/>
              <w:jc w:val="center"/>
            </w:pPr>
            <w:r w:rsidRPr="00CC5EC8">
              <w:t>10.2</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5EF61187" w14:textId="77777777" w:rsidR="00164D4C" w:rsidRPr="00CC5EC8" w:rsidRDefault="00164D4C" w:rsidP="00EC27DE">
            <w:pPr>
              <w:ind w:firstLine="360"/>
              <w:jc w:val="center"/>
            </w:pPr>
            <w:r w:rsidRPr="00CC5EC8">
              <w:t>1714</w:t>
            </w:r>
          </w:p>
        </w:tc>
      </w:tr>
      <w:tr w:rsidR="00164D4C" w:rsidRPr="00CC5EC8" w14:paraId="7D86A817"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8E56186" w14:textId="77777777" w:rsidR="00164D4C" w:rsidRPr="00CC5EC8" w:rsidRDefault="00164D4C" w:rsidP="00EC27DE">
            <w:pPr>
              <w:ind w:firstLine="360"/>
              <w:jc w:val="center"/>
            </w:pPr>
            <w:r w:rsidRPr="00CC5EC8">
              <w:t>6016</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2DB1DCF" w14:textId="77777777" w:rsidR="00164D4C" w:rsidRPr="00CC5EC8" w:rsidRDefault="00164D4C" w:rsidP="00EC27DE">
            <w:pPr>
              <w:ind w:firstLine="360"/>
              <w:jc w:val="center"/>
            </w:pPr>
            <w:r w:rsidRPr="00CC5EC8">
              <w:t>355</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B1356A8" w14:textId="77777777" w:rsidR="00164D4C" w:rsidRPr="00CC5EC8" w:rsidRDefault="00164D4C" w:rsidP="00EC27DE">
            <w:pPr>
              <w:ind w:firstLine="360"/>
              <w:jc w:val="center"/>
            </w:pPr>
            <w:r w:rsidRPr="00CC5EC8">
              <w:t>10.8</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3FF0374F" w14:textId="77777777" w:rsidR="00164D4C" w:rsidRPr="00CC5EC8" w:rsidRDefault="00164D4C" w:rsidP="00EC27DE">
            <w:pPr>
              <w:ind w:firstLine="360"/>
              <w:jc w:val="center"/>
            </w:pPr>
            <w:r w:rsidRPr="00CC5EC8">
              <w:t>1750</w:t>
            </w:r>
          </w:p>
        </w:tc>
      </w:tr>
      <w:tr w:rsidR="00164D4C" w:rsidRPr="00CC5EC8" w14:paraId="186E1612"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1EB64C1" w14:textId="77777777" w:rsidR="00164D4C" w:rsidRPr="00CC5EC8" w:rsidRDefault="00164D4C" w:rsidP="00EC27DE">
            <w:pPr>
              <w:ind w:firstLine="360"/>
              <w:jc w:val="center"/>
            </w:pPr>
            <w:r w:rsidRPr="00CC5EC8">
              <w:t>5971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E851742" w14:textId="77777777" w:rsidR="00164D4C" w:rsidRPr="00CC5EC8" w:rsidRDefault="00164D4C" w:rsidP="00EC27DE">
            <w:pPr>
              <w:ind w:firstLine="360"/>
              <w:jc w:val="center"/>
            </w:pPr>
            <w:r w:rsidRPr="00CC5EC8">
              <w:t>400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2D9FBF8" w14:textId="77777777" w:rsidR="00164D4C" w:rsidRPr="00CC5EC8" w:rsidRDefault="00164D4C" w:rsidP="00EC27DE">
            <w:pPr>
              <w:ind w:firstLine="360"/>
              <w:jc w:val="center"/>
            </w:pPr>
            <w:r w:rsidRPr="00CC5EC8">
              <w:t>13.4</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3FA42D63" w14:textId="77777777" w:rsidR="00164D4C" w:rsidRPr="00CC5EC8" w:rsidRDefault="00164D4C" w:rsidP="00EC27DE">
            <w:pPr>
              <w:ind w:firstLine="360"/>
              <w:jc w:val="center"/>
            </w:pPr>
            <w:r w:rsidRPr="00CC5EC8">
              <w:t>1779</w:t>
            </w:r>
          </w:p>
        </w:tc>
      </w:tr>
      <w:tr w:rsidR="00164D4C" w:rsidRPr="00CC5EC8" w14:paraId="2269A628"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251619E" w14:textId="77777777" w:rsidR="00164D4C" w:rsidRPr="00CC5EC8" w:rsidRDefault="00164D4C" w:rsidP="00EC27DE">
            <w:pPr>
              <w:ind w:firstLine="360"/>
              <w:jc w:val="center"/>
            </w:pPr>
            <w:r w:rsidRPr="00CC5EC8">
              <w:t>5871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71AC344" w14:textId="77777777" w:rsidR="00164D4C" w:rsidRPr="00CC5EC8" w:rsidRDefault="00164D4C" w:rsidP="00EC27DE">
            <w:pPr>
              <w:ind w:firstLine="360"/>
              <w:jc w:val="center"/>
            </w:pPr>
            <w:r w:rsidRPr="00CC5EC8">
              <w:t>500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8C1CB83" w14:textId="77777777" w:rsidR="00164D4C" w:rsidRPr="00CC5EC8" w:rsidRDefault="00164D4C" w:rsidP="00EC27DE">
            <w:pPr>
              <w:ind w:firstLine="360"/>
              <w:jc w:val="center"/>
            </w:pPr>
            <w:r w:rsidRPr="00CC5EC8">
              <w:t>17.1</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3DA94931" w14:textId="77777777" w:rsidR="00164D4C" w:rsidRPr="00CC5EC8" w:rsidRDefault="00164D4C" w:rsidP="00EC27DE">
            <w:pPr>
              <w:ind w:firstLine="360"/>
              <w:jc w:val="center"/>
            </w:pPr>
            <w:r w:rsidRPr="00CC5EC8">
              <w:t>1842</w:t>
            </w:r>
          </w:p>
        </w:tc>
      </w:tr>
      <w:tr w:rsidR="00164D4C" w:rsidRPr="00CC5EC8" w14:paraId="6AF0FB7D"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A181FB4" w14:textId="77777777" w:rsidR="00164D4C" w:rsidRPr="00CC5EC8" w:rsidRDefault="00164D4C" w:rsidP="00EC27DE">
            <w:pPr>
              <w:ind w:firstLine="360"/>
              <w:jc w:val="center"/>
            </w:pPr>
            <w:r w:rsidRPr="00CC5EC8">
              <w:t>5771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A8507B2" w14:textId="77777777" w:rsidR="00164D4C" w:rsidRPr="00CC5EC8" w:rsidRDefault="00164D4C" w:rsidP="00EC27DE">
            <w:pPr>
              <w:ind w:firstLine="360"/>
              <w:jc w:val="center"/>
            </w:pPr>
            <w:r w:rsidRPr="00CC5EC8">
              <w:t>600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C850031" w14:textId="77777777" w:rsidR="00164D4C" w:rsidRPr="00CC5EC8" w:rsidRDefault="00164D4C" w:rsidP="00EC27DE">
            <w:pPr>
              <w:ind w:firstLine="360"/>
              <w:jc w:val="center"/>
            </w:pPr>
            <w:r w:rsidRPr="00CC5EC8">
              <w:t>21.0</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1565516A" w14:textId="77777777" w:rsidR="00164D4C" w:rsidRPr="00CC5EC8" w:rsidRDefault="00164D4C" w:rsidP="00EC27DE">
            <w:pPr>
              <w:ind w:firstLine="360"/>
              <w:jc w:val="center"/>
            </w:pPr>
            <w:r w:rsidRPr="00CC5EC8">
              <w:t>1906</w:t>
            </w:r>
          </w:p>
        </w:tc>
      </w:tr>
      <w:tr w:rsidR="00164D4C" w:rsidRPr="00CC5EC8" w14:paraId="1E9B4611"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9ECDC27" w14:textId="77777777" w:rsidR="00164D4C" w:rsidRPr="00CC5EC8" w:rsidRDefault="00164D4C" w:rsidP="00EC27DE">
            <w:pPr>
              <w:ind w:firstLine="360"/>
              <w:jc w:val="center"/>
            </w:pPr>
            <w:r w:rsidRPr="00CC5EC8">
              <w:t>5701</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EC693D1" w14:textId="77777777" w:rsidR="00164D4C" w:rsidRPr="00CC5EC8" w:rsidRDefault="00164D4C" w:rsidP="00EC27DE">
            <w:pPr>
              <w:ind w:firstLine="360"/>
              <w:jc w:val="center"/>
            </w:pPr>
            <w:r w:rsidRPr="00CC5EC8">
              <w:t>670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32195FD" w14:textId="77777777" w:rsidR="00164D4C" w:rsidRPr="00CC5EC8" w:rsidRDefault="00164D4C" w:rsidP="00EC27DE">
            <w:pPr>
              <w:ind w:firstLine="360"/>
              <w:jc w:val="center"/>
            </w:pPr>
            <w:r w:rsidRPr="00CC5EC8">
              <w:t>23.8</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2A83D551" w14:textId="77777777" w:rsidR="00164D4C" w:rsidRPr="00CC5EC8" w:rsidRDefault="00164D4C" w:rsidP="00EC27DE">
            <w:pPr>
              <w:ind w:firstLine="360"/>
              <w:jc w:val="center"/>
            </w:pPr>
            <w:r w:rsidRPr="00CC5EC8">
              <w:t>1950</w:t>
            </w:r>
          </w:p>
        </w:tc>
      </w:tr>
      <w:tr w:rsidR="00164D4C" w:rsidRPr="00CC5EC8" w14:paraId="499DBF2D"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5DBB226" w14:textId="77777777" w:rsidR="00164D4C" w:rsidRPr="00CC5EC8" w:rsidRDefault="00164D4C" w:rsidP="00EC27DE">
            <w:pPr>
              <w:ind w:firstLine="360"/>
              <w:jc w:val="center"/>
            </w:pPr>
            <w:r w:rsidRPr="00CC5EC8">
              <w:t>5600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84E2995" w14:textId="77777777" w:rsidR="00164D4C" w:rsidRPr="00CC5EC8" w:rsidRDefault="00164D4C" w:rsidP="00EC27DE">
            <w:pPr>
              <w:ind w:firstLine="360"/>
              <w:jc w:val="center"/>
            </w:pPr>
            <w:r w:rsidRPr="00CC5EC8">
              <w:t>771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99E0170" w14:textId="77777777" w:rsidR="00164D4C" w:rsidRPr="00CC5EC8" w:rsidRDefault="00164D4C" w:rsidP="00EC27DE">
            <w:pPr>
              <w:ind w:firstLine="360"/>
              <w:jc w:val="center"/>
            </w:pPr>
            <w:r w:rsidRPr="00CC5EC8">
              <w:t>28.3</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0DA9E408" w14:textId="77777777" w:rsidR="00164D4C" w:rsidRPr="00CC5EC8" w:rsidRDefault="00164D4C" w:rsidP="00EC27DE">
            <w:pPr>
              <w:ind w:firstLine="360"/>
              <w:jc w:val="center"/>
            </w:pPr>
            <w:r w:rsidRPr="00CC5EC8">
              <w:t>2003</w:t>
            </w:r>
          </w:p>
        </w:tc>
      </w:tr>
      <w:tr w:rsidR="00164D4C" w:rsidRPr="00CC5EC8" w14:paraId="036E33BF"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3BC0AFF" w14:textId="77777777" w:rsidR="00164D4C" w:rsidRPr="00CC5EC8" w:rsidRDefault="00164D4C" w:rsidP="00EC27DE">
            <w:pPr>
              <w:ind w:firstLine="360"/>
              <w:jc w:val="center"/>
            </w:pPr>
            <w:r w:rsidRPr="00CC5EC8">
              <w:t>5400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FFEB6D3" w14:textId="77777777" w:rsidR="00164D4C" w:rsidRPr="00CC5EC8" w:rsidRDefault="00164D4C" w:rsidP="00EC27DE">
            <w:pPr>
              <w:ind w:firstLine="360"/>
              <w:jc w:val="center"/>
            </w:pPr>
            <w:r w:rsidRPr="00CC5EC8">
              <w:t>971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9B87C7F" w14:textId="77777777" w:rsidR="00164D4C" w:rsidRPr="00CC5EC8" w:rsidRDefault="00164D4C" w:rsidP="00EC27DE">
            <w:pPr>
              <w:ind w:firstLine="360"/>
              <w:jc w:val="center"/>
            </w:pPr>
            <w:r w:rsidRPr="00CC5EC8">
              <w:t>37.3</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058CBE53" w14:textId="77777777" w:rsidR="00164D4C" w:rsidRPr="00CC5EC8" w:rsidRDefault="00164D4C" w:rsidP="00EC27DE">
            <w:pPr>
              <w:ind w:firstLine="360"/>
              <w:jc w:val="center"/>
            </w:pPr>
            <w:r w:rsidRPr="00CC5EC8">
              <w:t>2109</w:t>
            </w:r>
          </w:p>
        </w:tc>
      </w:tr>
      <w:tr w:rsidR="00164D4C" w:rsidRPr="00CC5EC8" w14:paraId="4B46036D"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5C3E5B4" w14:textId="77777777" w:rsidR="00164D4C" w:rsidRPr="00CC5EC8" w:rsidRDefault="00164D4C" w:rsidP="00EC27DE">
            <w:pPr>
              <w:ind w:firstLine="360"/>
              <w:jc w:val="center"/>
            </w:pPr>
            <w:r w:rsidRPr="00CC5EC8">
              <w:t>5200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74FF086" w14:textId="77777777" w:rsidR="00164D4C" w:rsidRPr="00CC5EC8" w:rsidRDefault="00164D4C" w:rsidP="00EC27DE">
            <w:pPr>
              <w:ind w:firstLine="360"/>
              <w:jc w:val="center"/>
            </w:pPr>
            <w:r w:rsidRPr="00CC5EC8">
              <w:t>1171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0CB1F1F" w14:textId="77777777" w:rsidR="00164D4C" w:rsidRPr="00CC5EC8" w:rsidRDefault="00164D4C" w:rsidP="00EC27DE">
            <w:pPr>
              <w:ind w:firstLine="360"/>
              <w:jc w:val="center"/>
            </w:pPr>
            <w:r w:rsidRPr="00CC5EC8">
              <w:t>46.5</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5B75A4F4" w14:textId="77777777" w:rsidR="00164D4C" w:rsidRPr="00CC5EC8" w:rsidRDefault="00164D4C" w:rsidP="00EC27DE">
            <w:pPr>
              <w:ind w:firstLine="360"/>
              <w:jc w:val="center"/>
            </w:pPr>
            <w:r w:rsidRPr="00CC5EC8">
              <w:t>2211</w:t>
            </w:r>
          </w:p>
        </w:tc>
      </w:tr>
      <w:tr w:rsidR="00164D4C" w:rsidRPr="00CC5EC8" w14:paraId="510220B3"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7FE3DD2" w14:textId="77777777" w:rsidR="00164D4C" w:rsidRPr="00CC5EC8" w:rsidRDefault="00164D4C" w:rsidP="00EC27DE">
            <w:pPr>
              <w:ind w:firstLine="360"/>
              <w:jc w:val="center"/>
            </w:pPr>
            <w:r w:rsidRPr="00CC5EC8">
              <w:t>5000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F96773B" w14:textId="77777777" w:rsidR="00164D4C" w:rsidRPr="00CC5EC8" w:rsidRDefault="00164D4C" w:rsidP="00EC27DE">
            <w:pPr>
              <w:ind w:firstLine="360"/>
              <w:jc w:val="center"/>
            </w:pPr>
            <w:r w:rsidRPr="00CC5EC8">
              <w:t>1371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A68F962" w14:textId="77777777" w:rsidR="00164D4C" w:rsidRPr="00CC5EC8" w:rsidRDefault="00164D4C" w:rsidP="00EC27DE">
            <w:pPr>
              <w:ind w:firstLine="360"/>
              <w:jc w:val="center"/>
            </w:pPr>
            <w:r w:rsidRPr="00CC5EC8">
              <w:t>55.9</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08341479" w14:textId="77777777" w:rsidR="00164D4C" w:rsidRPr="00CC5EC8" w:rsidRDefault="00164D4C" w:rsidP="00EC27DE">
            <w:pPr>
              <w:ind w:firstLine="360"/>
              <w:jc w:val="center"/>
            </w:pPr>
            <w:r w:rsidRPr="00CC5EC8">
              <w:t>2313</w:t>
            </w:r>
          </w:p>
        </w:tc>
      </w:tr>
      <w:tr w:rsidR="00164D4C" w:rsidRPr="00CC5EC8" w14:paraId="4E2C5EB1"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9AD5C73" w14:textId="77777777" w:rsidR="00164D4C" w:rsidRPr="00CC5EC8" w:rsidRDefault="00164D4C" w:rsidP="00EC27DE">
            <w:pPr>
              <w:ind w:firstLine="360"/>
              <w:jc w:val="center"/>
            </w:pPr>
            <w:r w:rsidRPr="00CC5EC8">
              <w:t>4800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AC0976B" w14:textId="77777777" w:rsidR="00164D4C" w:rsidRPr="00CC5EC8" w:rsidRDefault="00164D4C" w:rsidP="00EC27DE">
            <w:pPr>
              <w:ind w:firstLine="360"/>
              <w:jc w:val="center"/>
            </w:pPr>
            <w:r w:rsidRPr="00CC5EC8">
              <w:t>1571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97DD66F" w14:textId="77777777" w:rsidR="00164D4C" w:rsidRPr="00CC5EC8" w:rsidRDefault="00164D4C" w:rsidP="00EC27DE">
            <w:pPr>
              <w:ind w:firstLine="360"/>
              <w:jc w:val="center"/>
            </w:pPr>
            <w:r w:rsidRPr="00CC5EC8">
              <w:t>65.5</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6B98561C" w14:textId="77777777" w:rsidR="00164D4C" w:rsidRPr="00CC5EC8" w:rsidRDefault="00164D4C" w:rsidP="00EC27DE">
            <w:pPr>
              <w:ind w:firstLine="360"/>
              <w:jc w:val="center"/>
            </w:pPr>
            <w:r w:rsidRPr="00CC5EC8">
              <w:t>2411</w:t>
            </w:r>
          </w:p>
        </w:tc>
      </w:tr>
      <w:tr w:rsidR="00164D4C" w:rsidRPr="00CC5EC8" w14:paraId="68A1A754" w14:textId="77777777" w:rsidTr="00EC27DE">
        <w:trPr>
          <w:trHeight w:val="212"/>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7398325" w14:textId="77777777" w:rsidR="00164D4C" w:rsidRPr="00CC5EC8" w:rsidRDefault="00164D4C" w:rsidP="00EC27DE">
            <w:pPr>
              <w:ind w:firstLine="360"/>
              <w:jc w:val="center"/>
            </w:pPr>
            <w:r w:rsidRPr="00CC5EC8">
              <w:t>4600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468E9ED" w14:textId="77777777" w:rsidR="00164D4C" w:rsidRPr="00CC5EC8" w:rsidRDefault="00164D4C" w:rsidP="00EC27DE">
            <w:pPr>
              <w:ind w:firstLine="360"/>
              <w:jc w:val="center"/>
            </w:pPr>
            <w:r w:rsidRPr="00CC5EC8">
              <w:t>1771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7E2E784" w14:textId="77777777" w:rsidR="00164D4C" w:rsidRPr="00CC5EC8" w:rsidRDefault="00164D4C" w:rsidP="00EC27DE">
            <w:pPr>
              <w:ind w:firstLine="360"/>
              <w:jc w:val="center"/>
            </w:pPr>
            <w:r w:rsidRPr="00CC5EC8">
              <w:t>75.4</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76D87231" w14:textId="77777777" w:rsidR="00164D4C" w:rsidRPr="00CC5EC8" w:rsidRDefault="00164D4C" w:rsidP="00EC27DE">
            <w:pPr>
              <w:ind w:firstLine="360"/>
              <w:jc w:val="center"/>
            </w:pPr>
            <w:r w:rsidRPr="00CC5EC8">
              <w:t>2509</w:t>
            </w:r>
          </w:p>
        </w:tc>
      </w:tr>
      <w:tr w:rsidR="00164D4C" w:rsidRPr="00CC5EC8" w14:paraId="7BAF189A"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C9D2027" w14:textId="77777777" w:rsidR="00164D4C" w:rsidRPr="00CC5EC8" w:rsidRDefault="00164D4C" w:rsidP="00EC27DE">
            <w:pPr>
              <w:ind w:firstLine="360"/>
              <w:jc w:val="center"/>
            </w:pPr>
            <w:r w:rsidRPr="00CC5EC8">
              <w:t>4400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2E73B74" w14:textId="77777777" w:rsidR="00164D4C" w:rsidRPr="00CC5EC8" w:rsidRDefault="00164D4C" w:rsidP="00EC27DE">
            <w:pPr>
              <w:ind w:firstLine="360"/>
              <w:jc w:val="center"/>
            </w:pPr>
            <w:r w:rsidRPr="00CC5EC8">
              <w:t>1971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BE0AF54" w14:textId="77777777" w:rsidR="00164D4C" w:rsidRPr="00CC5EC8" w:rsidRDefault="00164D4C" w:rsidP="00EC27DE">
            <w:pPr>
              <w:ind w:firstLine="360"/>
              <w:jc w:val="center"/>
            </w:pPr>
            <w:r w:rsidRPr="00CC5EC8">
              <w:t>85.4</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45B2E95B" w14:textId="77777777" w:rsidR="00164D4C" w:rsidRPr="00CC5EC8" w:rsidRDefault="00164D4C" w:rsidP="00EC27DE">
            <w:pPr>
              <w:ind w:firstLine="360"/>
              <w:jc w:val="center"/>
            </w:pPr>
            <w:r w:rsidRPr="00CC5EC8">
              <w:t>2610</w:t>
            </w:r>
          </w:p>
        </w:tc>
      </w:tr>
      <w:tr w:rsidR="00164D4C" w:rsidRPr="00CC5EC8" w14:paraId="60C776F1"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74FD644" w14:textId="77777777" w:rsidR="00164D4C" w:rsidRPr="00CC5EC8" w:rsidRDefault="00164D4C" w:rsidP="00EC27DE">
            <w:pPr>
              <w:ind w:firstLine="360"/>
              <w:jc w:val="center"/>
            </w:pPr>
            <w:r w:rsidRPr="00CC5EC8">
              <w:t>4200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CDBAE2B" w14:textId="77777777" w:rsidR="00164D4C" w:rsidRPr="00CC5EC8" w:rsidRDefault="00164D4C" w:rsidP="00EC27DE">
            <w:pPr>
              <w:ind w:firstLine="360"/>
              <w:jc w:val="center"/>
            </w:pPr>
            <w:r w:rsidRPr="00CC5EC8">
              <w:t>2171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2B57BB1" w14:textId="77777777" w:rsidR="00164D4C" w:rsidRPr="00CC5EC8" w:rsidRDefault="00164D4C" w:rsidP="00EC27DE">
            <w:pPr>
              <w:ind w:firstLine="360"/>
              <w:jc w:val="center"/>
            </w:pPr>
            <w:r w:rsidRPr="00CC5EC8">
              <w:t>95.8</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7757077E" w14:textId="77777777" w:rsidR="00164D4C" w:rsidRPr="00CC5EC8" w:rsidRDefault="00164D4C" w:rsidP="00EC27DE">
            <w:pPr>
              <w:ind w:firstLine="360"/>
              <w:jc w:val="center"/>
            </w:pPr>
            <w:r w:rsidRPr="00CC5EC8">
              <w:t>2712</w:t>
            </w:r>
          </w:p>
        </w:tc>
      </w:tr>
      <w:tr w:rsidR="00164D4C" w:rsidRPr="00CC5EC8" w14:paraId="13103302" w14:textId="77777777" w:rsidTr="00EC27DE">
        <w:trPr>
          <w:trHeight w:val="209"/>
        </w:trPr>
        <w:tc>
          <w:tcPr>
            <w:tcW w:w="2746" w:type="dxa"/>
            <w:tcBorders>
              <w:top w:val="single" w:sz="4" w:space="0" w:color="000000"/>
              <w:left w:val="single" w:sz="8"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5F2AD34A" w14:textId="77777777" w:rsidR="00164D4C" w:rsidRPr="00CC5EC8" w:rsidRDefault="00164D4C" w:rsidP="00EC27DE">
            <w:pPr>
              <w:ind w:firstLine="360"/>
              <w:jc w:val="center"/>
            </w:pPr>
            <w:r w:rsidRPr="00CC5EC8">
              <w:t>4000</w:t>
            </w:r>
          </w:p>
        </w:tc>
        <w:tc>
          <w:tcPr>
            <w:tcW w:w="3240" w:type="dxa"/>
            <w:tcBorders>
              <w:top w:val="single" w:sz="4" w:space="0" w:color="000000"/>
              <w:left w:val="single" w:sz="4"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08F8B2A0" w14:textId="77777777" w:rsidR="00164D4C" w:rsidRPr="00CC5EC8" w:rsidRDefault="00164D4C" w:rsidP="00EC27DE">
            <w:pPr>
              <w:ind w:firstLine="360"/>
              <w:jc w:val="center"/>
            </w:pPr>
            <w:r w:rsidRPr="00CC5EC8">
              <w:t>2371</w:t>
            </w:r>
          </w:p>
        </w:tc>
        <w:tc>
          <w:tcPr>
            <w:tcW w:w="1530" w:type="dxa"/>
            <w:tcBorders>
              <w:top w:val="single" w:sz="4" w:space="0" w:color="000000"/>
              <w:left w:val="single" w:sz="4"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47E95773" w14:textId="77777777" w:rsidR="00164D4C" w:rsidRPr="00CC5EC8" w:rsidRDefault="00164D4C" w:rsidP="00EC27DE">
            <w:pPr>
              <w:ind w:firstLine="360"/>
              <w:jc w:val="center"/>
            </w:pPr>
            <w:r w:rsidRPr="00CC5EC8">
              <w:t>106.4</w:t>
            </w:r>
          </w:p>
        </w:tc>
        <w:tc>
          <w:tcPr>
            <w:tcW w:w="1710" w:type="dxa"/>
            <w:tcBorders>
              <w:top w:val="single" w:sz="4" w:space="0" w:color="000000"/>
              <w:left w:val="single" w:sz="4" w:space="0" w:color="000000"/>
              <w:bottom w:val="single" w:sz="4" w:space="0" w:color="auto"/>
              <w:right w:val="single" w:sz="8" w:space="0" w:color="000000"/>
            </w:tcBorders>
            <w:shd w:val="clear" w:color="auto" w:fill="auto"/>
            <w:tcMar>
              <w:top w:w="11" w:type="dxa"/>
              <w:left w:w="11" w:type="dxa"/>
              <w:bottom w:w="0" w:type="dxa"/>
              <w:right w:w="11" w:type="dxa"/>
            </w:tcMar>
            <w:vAlign w:val="center"/>
            <w:hideMark/>
          </w:tcPr>
          <w:p w14:paraId="5DCCC0E0" w14:textId="77777777" w:rsidR="00164D4C" w:rsidRPr="00CC5EC8" w:rsidRDefault="00164D4C" w:rsidP="00EC27DE">
            <w:pPr>
              <w:ind w:firstLine="360"/>
              <w:jc w:val="center"/>
            </w:pPr>
            <w:r w:rsidRPr="00CC5EC8">
              <w:t>2865</w:t>
            </w:r>
          </w:p>
        </w:tc>
      </w:tr>
      <w:tr w:rsidR="00164D4C" w:rsidRPr="00CC5EC8" w14:paraId="1143F316" w14:textId="77777777" w:rsidTr="00EC27DE">
        <w:trPr>
          <w:trHeight w:val="209"/>
        </w:trPr>
        <w:tc>
          <w:tcPr>
            <w:tcW w:w="2746" w:type="dxa"/>
            <w:tcBorders>
              <w:top w:val="single" w:sz="4" w:space="0" w:color="auto"/>
              <w:left w:val="single" w:sz="8"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6F81A133" w14:textId="77777777" w:rsidR="00164D4C" w:rsidRPr="00CC5EC8" w:rsidRDefault="00164D4C" w:rsidP="00EC27DE">
            <w:pPr>
              <w:ind w:firstLine="360"/>
              <w:jc w:val="center"/>
            </w:pPr>
            <w:r w:rsidRPr="00CC5EC8">
              <w:t>3800</w:t>
            </w:r>
          </w:p>
        </w:tc>
        <w:tc>
          <w:tcPr>
            <w:tcW w:w="3240" w:type="dxa"/>
            <w:tcBorders>
              <w:top w:val="single" w:sz="4" w:space="0" w:color="auto"/>
              <w:left w:val="single" w:sz="4"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5B121AAF" w14:textId="77777777" w:rsidR="00164D4C" w:rsidRPr="00CC5EC8" w:rsidRDefault="00164D4C" w:rsidP="00EC27DE">
            <w:pPr>
              <w:ind w:firstLine="360"/>
              <w:jc w:val="center"/>
            </w:pPr>
            <w:r w:rsidRPr="00CC5EC8">
              <w:t>2571</w:t>
            </w:r>
          </w:p>
        </w:tc>
        <w:tc>
          <w:tcPr>
            <w:tcW w:w="1530" w:type="dxa"/>
            <w:tcBorders>
              <w:top w:val="single" w:sz="4" w:space="0" w:color="auto"/>
              <w:left w:val="single" w:sz="4"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6096A0D6" w14:textId="77777777" w:rsidR="00164D4C" w:rsidRPr="00CC5EC8" w:rsidRDefault="00164D4C" w:rsidP="00EC27DE">
            <w:pPr>
              <w:ind w:firstLine="360"/>
              <w:jc w:val="center"/>
            </w:pPr>
            <w:r w:rsidRPr="00CC5EC8">
              <w:t>117.4</w:t>
            </w:r>
          </w:p>
        </w:tc>
        <w:tc>
          <w:tcPr>
            <w:tcW w:w="1710" w:type="dxa"/>
            <w:tcBorders>
              <w:top w:val="single" w:sz="4" w:space="0" w:color="auto"/>
              <w:left w:val="single" w:sz="4" w:space="0" w:color="000000"/>
              <w:bottom w:val="single" w:sz="4" w:space="0" w:color="auto"/>
              <w:right w:val="single" w:sz="8" w:space="0" w:color="000000"/>
            </w:tcBorders>
            <w:shd w:val="clear" w:color="auto" w:fill="auto"/>
            <w:tcMar>
              <w:top w:w="11" w:type="dxa"/>
              <w:left w:w="11" w:type="dxa"/>
              <w:bottom w:w="0" w:type="dxa"/>
              <w:right w:w="11" w:type="dxa"/>
            </w:tcMar>
            <w:vAlign w:val="center"/>
            <w:hideMark/>
          </w:tcPr>
          <w:p w14:paraId="0DA515DA" w14:textId="77777777" w:rsidR="00164D4C" w:rsidRPr="00CC5EC8" w:rsidRDefault="00164D4C" w:rsidP="00EC27DE">
            <w:pPr>
              <w:ind w:firstLine="360"/>
              <w:jc w:val="center"/>
            </w:pPr>
            <w:r w:rsidRPr="00CC5EC8">
              <w:t>3018</w:t>
            </w:r>
          </w:p>
        </w:tc>
      </w:tr>
      <w:tr w:rsidR="00164D4C" w:rsidRPr="00CC5EC8" w14:paraId="272478D9" w14:textId="77777777" w:rsidTr="00EC27DE">
        <w:trPr>
          <w:trHeight w:val="209"/>
        </w:trPr>
        <w:tc>
          <w:tcPr>
            <w:tcW w:w="2746" w:type="dxa"/>
            <w:tcBorders>
              <w:top w:val="single" w:sz="4" w:space="0" w:color="auto"/>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6D150E1" w14:textId="77777777" w:rsidR="00164D4C" w:rsidRPr="00CC5EC8" w:rsidRDefault="00164D4C" w:rsidP="00EC27DE">
            <w:pPr>
              <w:ind w:firstLine="360"/>
              <w:jc w:val="center"/>
            </w:pPr>
            <w:r w:rsidRPr="00CC5EC8">
              <w:t>3630</w:t>
            </w:r>
          </w:p>
        </w:tc>
        <w:tc>
          <w:tcPr>
            <w:tcW w:w="3240" w:type="dxa"/>
            <w:tcBorders>
              <w:top w:val="single" w:sz="4" w:space="0" w:color="auto"/>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718C94A" w14:textId="77777777" w:rsidR="00164D4C" w:rsidRPr="00CC5EC8" w:rsidRDefault="00164D4C" w:rsidP="00EC27DE">
            <w:pPr>
              <w:ind w:firstLine="360"/>
              <w:jc w:val="center"/>
            </w:pPr>
            <w:r w:rsidRPr="00CC5EC8">
              <w:t>2741</w:t>
            </w:r>
          </w:p>
        </w:tc>
        <w:tc>
          <w:tcPr>
            <w:tcW w:w="1530" w:type="dxa"/>
            <w:tcBorders>
              <w:top w:val="single" w:sz="4" w:space="0" w:color="auto"/>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CEEF7F8" w14:textId="77777777" w:rsidR="00164D4C" w:rsidRPr="00CC5EC8" w:rsidRDefault="00164D4C" w:rsidP="00EC27DE">
            <w:pPr>
              <w:ind w:firstLine="360"/>
              <w:jc w:val="center"/>
            </w:pPr>
            <w:r w:rsidRPr="00CC5EC8">
              <w:t>127.0</w:t>
            </w:r>
          </w:p>
        </w:tc>
        <w:tc>
          <w:tcPr>
            <w:tcW w:w="1710" w:type="dxa"/>
            <w:tcBorders>
              <w:top w:val="single" w:sz="4" w:space="0" w:color="auto"/>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26ABC800" w14:textId="77777777" w:rsidR="00164D4C" w:rsidRPr="00CC5EC8" w:rsidRDefault="00164D4C" w:rsidP="00EC27DE">
            <w:pPr>
              <w:ind w:firstLine="360"/>
              <w:jc w:val="center"/>
            </w:pPr>
            <w:r w:rsidRPr="00CC5EC8">
              <w:t>3564</w:t>
            </w:r>
          </w:p>
        </w:tc>
      </w:tr>
      <w:tr w:rsidR="00164D4C" w:rsidRPr="00CC5EC8" w14:paraId="50B4B046"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D3CF64C" w14:textId="77777777" w:rsidR="00164D4C" w:rsidRPr="00CC5EC8" w:rsidRDefault="00164D4C" w:rsidP="00EC27DE">
            <w:pPr>
              <w:ind w:firstLine="360"/>
              <w:jc w:val="center"/>
            </w:pPr>
            <w:r w:rsidRPr="00CC5EC8">
              <w:t>3600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6C196CD" w14:textId="77777777" w:rsidR="00164D4C" w:rsidRPr="00CC5EC8" w:rsidRDefault="00164D4C" w:rsidP="00EC27DE">
            <w:pPr>
              <w:ind w:firstLine="360"/>
              <w:jc w:val="center"/>
            </w:pPr>
            <w:r w:rsidRPr="00CC5EC8">
              <w:t>2771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BC32478" w14:textId="77777777" w:rsidR="00164D4C" w:rsidRPr="00CC5EC8" w:rsidRDefault="00164D4C" w:rsidP="00EC27DE">
            <w:pPr>
              <w:ind w:firstLine="360"/>
              <w:jc w:val="center"/>
            </w:pPr>
            <w:r w:rsidRPr="00CC5EC8">
              <w:t>128.7</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785ADBF1" w14:textId="77777777" w:rsidR="00164D4C" w:rsidRPr="00CC5EC8" w:rsidRDefault="00164D4C" w:rsidP="00EC27DE">
            <w:pPr>
              <w:ind w:firstLine="360"/>
              <w:jc w:val="center"/>
            </w:pPr>
            <w:r w:rsidRPr="00CC5EC8">
              <w:t>3601</w:t>
            </w:r>
          </w:p>
        </w:tc>
      </w:tr>
      <w:tr w:rsidR="00164D4C" w:rsidRPr="00CC5EC8" w14:paraId="07B676F8"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EDB53DB" w14:textId="77777777" w:rsidR="00164D4C" w:rsidRPr="00CC5EC8" w:rsidRDefault="00164D4C" w:rsidP="00EC27DE">
            <w:pPr>
              <w:ind w:firstLine="360"/>
              <w:jc w:val="center"/>
            </w:pPr>
            <w:r w:rsidRPr="00CC5EC8">
              <w:t>3480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F2CDE02" w14:textId="77777777" w:rsidR="00164D4C" w:rsidRPr="00CC5EC8" w:rsidRDefault="00164D4C" w:rsidP="00EC27DE">
            <w:pPr>
              <w:ind w:firstLine="360"/>
              <w:jc w:val="center"/>
            </w:pPr>
            <w:r w:rsidRPr="00CC5EC8">
              <w:t>2891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74DF0AE" w14:textId="77777777" w:rsidR="00164D4C" w:rsidRPr="00CC5EC8" w:rsidRDefault="00164D4C" w:rsidP="00EC27DE">
            <w:pPr>
              <w:ind w:firstLine="360"/>
              <w:jc w:val="center"/>
            </w:pPr>
            <w:r w:rsidRPr="00CC5EC8">
              <w:t>135.8</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04172A17" w14:textId="77777777" w:rsidR="00164D4C" w:rsidRPr="00CC5EC8" w:rsidRDefault="00164D4C" w:rsidP="00EC27DE">
            <w:pPr>
              <w:ind w:firstLine="360"/>
              <w:jc w:val="center"/>
            </w:pPr>
            <w:r w:rsidRPr="00CC5EC8">
              <w:t>3750</w:t>
            </w:r>
          </w:p>
        </w:tc>
      </w:tr>
      <w:tr w:rsidR="00164D4C" w:rsidRPr="00CC5EC8" w14:paraId="2C37B630"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DFECDEC" w14:textId="77777777" w:rsidR="00164D4C" w:rsidRPr="00CC5EC8" w:rsidRDefault="00164D4C" w:rsidP="00EC27DE">
            <w:pPr>
              <w:ind w:firstLine="360"/>
              <w:jc w:val="center"/>
            </w:pPr>
            <w:r w:rsidRPr="00CC5EC8">
              <w:t>3400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32EE207" w14:textId="77777777" w:rsidR="00164D4C" w:rsidRPr="00CC5EC8" w:rsidRDefault="00164D4C" w:rsidP="00EC27DE">
            <w:pPr>
              <w:ind w:firstLine="360"/>
              <w:jc w:val="center"/>
            </w:pPr>
            <w:r w:rsidRPr="00CC5EC8">
              <w:t>2971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8A1F3CC" w14:textId="77777777" w:rsidR="00164D4C" w:rsidRPr="00CC5EC8" w:rsidRDefault="00164D4C" w:rsidP="00EC27DE">
            <w:pPr>
              <w:ind w:firstLine="360"/>
              <w:jc w:val="center"/>
            </w:pPr>
            <w:r w:rsidRPr="00CC5EC8">
              <w:t>144.2</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681296FF" w14:textId="77777777" w:rsidR="00164D4C" w:rsidRPr="00CC5EC8" w:rsidRDefault="00164D4C" w:rsidP="00EC27DE">
            <w:pPr>
              <w:ind w:firstLine="360"/>
              <w:jc w:val="center"/>
            </w:pPr>
            <w:r w:rsidRPr="00CC5EC8">
              <w:t>3816</w:t>
            </w:r>
          </w:p>
        </w:tc>
      </w:tr>
      <w:tr w:rsidR="00164D4C" w:rsidRPr="00CC5EC8" w14:paraId="3C556241"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0552B72" w14:textId="77777777" w:rsidR="00164D4C" w:rsidRPr="00CC5EC8" w:rsidRDefault="00164D4C" w:rsidP="00EC27DE">
            <w:pPr>
              <w:ind w:firstLine="360"/>
              <w:jc w:val="center"/>
            </w:pPr>
            <w:r w:rsidRPr="00CC5EC8">
              <w:t>3200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E70B6B8" w14:textId="77777777" w:rsidR="00164D4C" w:rsidRPr="00CC5EC8" w:rsidRDefault="00164D4C" w:rsidP="00EC27DE">
            <w:pPr>
              <w:ind w:firstLine="360"/>
              <w:jc w:val="center"/>
            </w:pPr>
            <w:r w:rsidRPr="00CC5EC8">
              <w:t>3171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51E5F87" w14:textId="77777777" w:rsidR="00164D4C" w:rsidRPr="00CC5EC8" w:rsidRDefault="00164D4C" w:rsidP="00EC27DE">
            <w:pPr>
              <w:ind w:firstLine="360"/>
              <w:jc w:val="center"/>
            </w:pPr>
            <w:r w:rsidRPr="00CC5EC8">
              <w:t>165.1</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494377BD" w14:textId="77777777" w:rsidR="00164D4C" w:rsidRPr="00CC5EC8" w:rsidRDefault="00164D4C" w:rsidP="00EC27DE">
            <w:pPr>
              <w:ind w:firstLine="360"/>
              <w:jc w:val="center"/>
            </w:pPr>
            <w:r w:rsidRPr="00CC5EC8">
              <w:t>3981</w:t>
            </w:r>
          </w:p>
        </w:tc>
      </w:tr>
      <w:tr w:rsidR="00164D4C" w:rsidRPr="00CC5EC8" w14:paraId="7D787B0D"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2A7343A" w14:textId="77777777" w:rsidR="00164D4C" w:rsidRPr="00CC5EC8" w:rsidRDefault="00164D4C" w:rsidP="00EC27DE">
            <w:pPr>
              <w:ind w:firstLine="360"/>
              <w:jc w:val="center"/>
            </w:pPr>
            <w:r w:rsidRPr="00CC5EC8">
              <w:t>3000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38B5C07" w14:textId="77777777" w:rsidR="00164D4C" w:rsidRPr="00CC5EC8" w:rsidRDefault="00164D4C" w:rsidP="00EC27DE">
            <w:pPr>
              <w:ind w:firstLine="360"/>
              <w:jc w:val="center"/>
            </w:pPr>
            <w:r w:rsidRPr="00CC5EC8">
              <w:t>3371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45652E9" w14:textId="77777777" w:rsidR="00164D4C" w:rsidRPr="00CC5EC8" w:rsidRDefault="00164D4C" w:rsidP="00EC27DE">
            <w:pPr>
              <w:ind w:firstLine="360"/>
              <w:jc w:val="center"/>
            </w:pPr>
            <w:r w:rsidRPr="00CC5EC8">
              <w:t>185.6</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1EB76A5F" w14:textId="77777777" w:rsidR="00164D4C" w:rsidRPr="00CC5EC8" w:rsidRDefault="00164D4C" w:rsidP="00EC27DE">
            <w:pPr>
              <w:ind w:firstLine="360"/>
              <w:jc w:val="center"/>
            </w:pPr>
            <w:r w:rsidRPr="00CC5EC8">
              <w:t>4123</w:t>
            </w:r>
          </w:p>
        </w:tc>
      </w:tr>
      <w:tr w:rsidR="00164D4C" w:rsidRPr="00CC5EC8" w14:paraId="6C2B381B"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21598F0" w14:textId="77777777" w:rsidR="00164D4C" w:rsidRPr="00CC5EC8" w:rsidRDefault="00164D4C" w:rsidP="00EC27DE">
            <w:pPr>
              <w:ind w:firstLine="360"/>
              <w:jc w:val="center"/>
            </w:pPr>
            <w:r w:rsidRPr="00CC5EC8">
              <w:t>2800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198E25D" w14:textId="77777777" w:rsidR="00164D4C" w:rsidRPr="00CC5EC8" w:rsidRDefault="00164D4C" w:rsidP="00EC27DE">
            <w:pPr>
              <w:ind w:firstLine="360"/>
              <w:jc w:val="center"/>
            </w:pPr>
            <w:r w:rsidRPr="00CC5EC8">
              <w:t>3571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130E5F2" w14:textId="77777777" w:rsidR="00164D4C" w:rsidRPr="00CC5EC8" w:rsidRDefault="00164D4C" w:rsidP="00EC27DE">
            <w:pPr>
              <w:ind w:firstLine="360"/>
              <w:jc w:val="center"/>
            </w:pPr>
            <w:r w:rsidRPr="00CC5EC8">
              <w:t>205.6</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0BF25ECB" w14:textId="77777777" w:rsidR="00164D4C" w:rsidRPr="00CC5EC8" w:rsidRDefault="00164D4C" w:rsidP="00EC27DE">
            <w:pPr>
              <w:ind w:firstLine="360"/>
              <w:jc w:val="center"/>
            </w:pPr>
            <w:r w:rsidRPr="00CC5EC8">
              <w:t>4265</w:t>
            </w:r>
          </w:p>
        </w:tc>
      </w:tr>
      <w:tr w:rsidR="00164D4C" w:rsidRPr="00CC5EC8" w14:paraId="53637A59" w14:textId="77777777" w:rsidTr="00EC27DE">
        <w:trPr>
          <w:trHeight w:val="209"/>
        </w:trPr>
        <w:tc>
          <w:tcPr>
            <w:tcW w:w="2746" w:type="dxa"/>
            <w:tcBorders>
              <w:top w:val="single" w:sz="4" w:space="0" w:color="000000"/>
              <w:left w:val="single" w:sz="8"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51146403" w14:textId="77777777" w:rsidR="00164D4C" w:rsidRPr="00CC5EC8" w:rsidRDefault="00164D4C" w:rsidP="00EC27DE">
            <w:pPr>
              <w:ind w:firstLine="360"/>
              <w:jc w:val="center"/>
            </w:pPr>
            <w:r w:rsidRPr="00CC5EC8">
              <w:t>2600</w:t>
            </w:r>
          </w:p>
        </w:tc>
        <w:tc>
          <w:tcPr>
            <w:tcW w:w="3240" w:type="dxa"/>
            <w:tcBorders>
              <w:top w:val="single" w:sz="4" w:space="0" w:color="000000"/>
              <w:left w:val="single" w:sz="4"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164D98D7" w14:textId="77777777" w:rsidR="00164D4C" w:rsidRPr="00CC5EC8" w:rsidRDefault="00164D4C" w:rsidP="00EC27DE">
            <w:pPr>
              <w:ind w:firstLine="360"/>
              <w:jc w:val="center"/>
            </w:pPr>
            <w:r w:rsidRPr="00CC5EC8">
              <w:t>3771</w:t>
            </w:r>
          </w:p>
        </w:tc>
        <w:tc>
          <w:tcPr>
            <w:tcW w:w="1530" w:type="dxa"/>
            <w:tcBorders>
              <w:top w:val="single" w:sz="4" w:space="0" w:color="000000"/>
              <w:left w:val="single" w:sz="4" w:space="0" w:color="000000"/>
              <w:bottom w:val="single" w:sz="4" w:space="0" w:color="auto"/>
              <w:right w:val="single" w:sz="4" w:space="0" w:color="000000"/>
            </w:tcBorders>
            <w:shd w:val="clear" w:color="auto" w:fill="auto"/>
            <w:tcMar>
              <w:top w:w="11" w:type="dxa"/>
              <w:left w:w="11" w:type="dxa"/>
              <w:bottom w:w="0" w:type="dxa"/>
              <w:right w:w="11" w:type="dxa"/>
            </w:tcMar>
            <w:vAlign w:val="center"/>
            <w:hideMark/>
          </w:tcPr>
          <w:p w14:paraId="39ED2A1A" w14:textId="77777777" w:rsidR="00164D4C" w:rsidRPr="00CC5EC8" w:rsidRDefault="00164D4C" w:rsidP="00EC27DE">
            <w:pPr>
              <w:ind w:firstLine="360"/>
              <w:jc w:val="center"/>
            </w:pPr>
            <w:r w:rsidRPr="00CC5EC8">
              <w:t>224.9</w:t>
            </w:r>
          </w:p>
        </w:tc>
        <w:tc>
          <w:tcPr>
            <w:tcW w:w="1710" w:type="dxa"/>
            <w:tcBorders>
              <w:top w:val="single" w:sz="4" w:space="0" w:color="000000"/>
              <w:left w:val="single" w:sz="4" w:space="0" w:color="000000"/>
              <w:bottom w:val="single" w:sz="4" w:space="0" w:color="auto"/>
              <w:right w:val="single" w:sz="8" w:space="0" w:color="000000"/>
            </w:tcBorders>
            <w:shd w:val="clear" w:color="auto" w:fill="auto"/>
            <w:tcMar>
              <w:top w:w="11" w:type="dxa"/>
              <w:left w:w="11" w:type="dxa"/>
              <w:bottom w:w="0" w:type="dxa"/>
              <w:right w:w="11" w:type="dxa"/>
            </w:tcMar>
            <w:vAlign w:val="center"/>
            <w:hideMark/>
          </w:tcPr>
          <w:p w14:paraId="5A74F18C" w14:textId="77777777" w:rsidR="00164D4C" w:rsidRPr="00CC5EC8" w:rsidRDefault="00164D4C" w:rsidP="00EC27DE">
            <w:pPr>
              <w:ind w:firstLine="360"/>
              <w:jc w:val="center"/>
            </w:pPr>
            <w:r w:rsidRPr="00CC5EC8">
              <w:t>4383</w:t>
            </w:r>
          </w:p>
        </w:tc>
      </w:tr>
      <w:tr w:rsidR="00164D4C" w:rsidRPr="00CC5EC8" w14:paraId="7232D7F0" w14:textId="77777777" w:rsidTr="00EC27DE">
        <w:trPr>
          <w:trHeight w:val="209"/>
        </w:trPr>
        <w:tc>
          <w:tcPr>
            <w:tcW w:w="2746" w:type="dxa"/>
            <w:tcBorders>
              <w:top w:val="single" w:sz="4" w:space="0" w:color="auto"/>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A599727" w14:textId="77777777" w:rsidR="00164D4C" w:rsidRPr="00CC5EC8" w:rsidRDefault="00164D4C" w:rsidP="00EC27DE">
            <w:pPr>
              <w:ind w:firstLine="360"/>
              <w:jc w:val="center"/>
            </w:pPr>
            <w:r w:rsidRPr="00CC5EC8">
              <w:t>2400</w:t>
            </w:r>
          </w:p>
        </w:tc>
        <w:tc>
          <w:tcPr>
            <w:tcW w:w="3240" w:type="dxa"/>
            <w:tcBorders>
              <w:top w:val="single" w:sz="4" w:space="0" w:color="auto"/>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A087F72" w14:textId="77777777" w:rsidR="00164D4C" w:rsidRPr="00CC5EC8" w:rsidRDefault="00164D4C" w:rsidP="00EC27DE">
            <w:pPr>
              <w:ind w:firstLine="360"/>
              <w:jc w:val="center"/>
            </w:pPr>
            <w:r w:rsidRPr="00CC5EC8">
              <w:t>3971</w:t>
            </w:r>
          </w:p>
        </w:tc>
        <w:tc>
          <w:tcPr>
            <w:tcW w:w="1530" w:type="dxa"/>
            <w:tcBorders>
              <w:top w:val="single" w:sz="4" w:space="0" w:color="auto"/>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30E0ECE" w14:textId="77777777" w:rsidR="00164D4C" w:rsidRPr="00CC5EC8" w:rsidRDefault="00164D4C" w:rsidP="00EC27DE">
            <w:pPr>
              <w:ind w:firstLine="360"/>
              <w:jc w:val="center"/>
            </w:pPr>
            <w:r w:rsidRPr="00CC5EC8">
              <w:t>243.3</w:t>
            </w:r>
          </w:p>
        </w:tc>
        <w:tc>
          <w:tcPr>
            <w:tcW w:w="1710" w:type="dxa"/>
            <w:tcBorders>
              <w:top w:val="single" w:sz="4" w:space="0" w:color="auto"/>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0D5ADF3D" w14:textId="77777777" w:rsidR="00164D4C" w:rsidRPr="00CC5EC8" w:rsidRDefault="00164D4C" w:rsidP="00EC27DE">
            <w:pPr>
              <w:ind w:firstLine="360"/>
              <w:jc w:val="center"/>
            </w:pPr>
            <w:r w:rsidRPr="00CC5EC8">
              <w:t>4501</w:t>
            </w:r>
          </w:p>
        </w:tc>
      </w:tr>
      <w:tr w:rsidR="00164D4C" w:rsidRPr="00CC5EC8" w14:paraId="450149AE"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392F58B" w14:textId="77777777" w:rsidR="00164D4C" w:rsidRPr="00CC5EC8" w:rsidRDefault="00164D4C" w:rsidP="00EC27DE">
            <w:pPr>
              <w:ind w:firstLine="360"/>
              <w:jc w:val="center"/>
            </w:pPr>
            <w:r w:rsidRPr="00CC5EC8">
              <w:t>2200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7E2A9F0" w14:textId="77777777" w:rsidR="00164D4C" w:rsidRPr="00CC5EC8" w:rsidRDefault="00164D4C" w:rsidP="00EC27DE">
            <w:pPr>
              <w:ind w:firstLine="360"/>
              <w:jc w:val="center"/>
            </w:pPr>
            <w:r w:rsidRPr="00CC5EC8">
              <w:t>4171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D9E513A" w14:textId="77777777" w:rsidR="00164D4C" w:rsidRPr="00CC5EC8" w:rsidRDefault="00164D4C" w:rsidP="00EC27DE">
            <w:pPr>
              <w:ind w:firstLine="360"/>
              <w:jc w:val="center"/>
            </w:pPr>
            <w:r w:rsidRPr="00CC5EC8">
              <w:t>260.7</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2D9EED45" w14:textId="77777777" w:rsidR="00164D4C" w:rsidRPr="00CC5EC8" w:rsidRDefault="00164D4C" w:rsidP="00EC27DE">
            <w:pPr>
              <w:ind w:firstLine="360"/>
              <w:jc w:val="center"/>
            </w:pPr>
            <w:r w:rsidRPr="00CC5EC8">
              <w:t>4597</w:t>
            </w:r>
          </w:p>
        </w:tc>
      </w:tr>
      <w:tr w:rsidR="00164D4C" w:rsidRPr="00CC5EC8" w14:paraId="7C50F810" w14:textId="77777777" w:rsidTr="00164D4C">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D747B57" w14:textId="77777777" w:rsidR="00164D4C" w:rsidRPr="00CC5EC8" w:rsidRDefault="00164D4C" w:rsidP="00EC27DE">
            <w:pPr>
              <w:ind w:firstLine="360"/>
              <w:jc w:val="center"/>
            </w:pPr>
            <w:r w:rsidRPr="00CC5EC8">
              <w:t>2000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8AC9E5B" w14:textId="77777777" w:rsidR="00164D4C" w:rsidRPr="00CC5EC8" w:rsidRDefault="00164D4C" w:rsidP="00EC27DE">
            <w:pPr>
              <w:ind w:firstLine="360"/>
              <w:jc w:val="center"/>
            </w:pPr>
            <w:r w:rsidRPr="00CC5EC8">
              <w:t>4371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143FC85" w14:textId="77777777" w:rsidR="00164D4C" w:rsidRPr="00CC5EC8" w:rsidRDefault="00164D4C" w:rsidP="00EC27DE">
            <w:pPr>
              <w:ind w:firstLine="360"/>
              <w:jc w:val="center"/>
            </w:pPr>
            <w:r w:rsidRPr="00CC5EC8">
              <w:t>277.0</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583B76FF" w14:textId="77777777" w:rsidR="00164D4C" w:rsidRPr="00CC5EC8" w:rsidRDefault="00164D4C" w:rsidP="00EC27DE">
            <w:pPr>
              <w:ind w:firstLine="360"/>
              <w:jc w:val="center"/>
            </w:pPr>
            <w:r w:rsidRPr="00CC5EC8">
              <w:t>4693</w:t>
            </w:r>
          </w:p>
        </w:tc>
      </w:tr>
      <w:tr w:rsidR="00164D4C" w:rsidRPr="00CC5EC8" w14:paraId="41E3ABF5" w14:textId="77777777" w:rsidTr="00164D4C">
        <w:trPr>
          <w:trHeight w:val="209"/>
        </w:trPr>
        <w:tc>
          <w:tcPr>
            <w:tcW w:w="2746" w:type="dxa"/>
            <w:tcBorders>
              <w:top w:val="single" w:sz="4" w:space="0" w:color="000000"/>
            </w:tcBorders>
            <w:shd w:val="clear" w:color="auto" w:fill="auto"/>
            <w:tcMar>
              <w:top w:w="11" w:type="dxa"/>
              <w:left w:w="11" w:type="dxa"/>
              <w:bottom w:w="0" w:type="dxa"/>
              <w:right w:w="11" w:type="dxa"/>
            </w:tcMar>
            <w:vAlign w:val="center"/>
          </w:tcPr>
          <w:p w14:paraId="5DB8DF40" w14:textId="77777777" w:rsidR="00164D4C" w:rsidRPr="005C162B" w:rsidRDefault="00164D4C" w:rsidP="00EC27DE">
            <w:pPr>
              <w:ind w:firstLine="360"/>
              <w:jc w:val="center"/>
              <w:rPr>
                <w:sz w:val="20"/>
                <w:szCs w:val="20"/>
              </w:rPr>
            </w:pPr>
          </w:p>
        </w:tc>
        <w:tc>
          <w:tcPr>
            <w:tcW w:w="3240" w:type="dxa"/>
            <w:tcBorders>
              <w:top w:val="single" w:sz="4" w:space="0" w:color="000000"/>
              <w:left w:val="nil"/>
            </w:tcBorders>
            <w:shd w:val="clear" w:color="auto" w:fill="auto"/>
            <w:tcMar>
              <w:top w:w="11" w:type="dxa"/>
              <w:left w:w="11" w:type="dxa"/>
              <w:bottom w:w="0" w:type="dxa"/>
              <w:right w:w="11" w:type="dxa"/>
            </w:tcMar>
            <w:vAlign w:val="center"/>
          </w:tcPr>
          <w:p w14:paraId="18598746" w14:textId="77777777" w:rsidR="00164D4C" w:rsidRPr="00CC5EC8" w:rsidRDefault="00164D4C" w:rsidP="00EC27DE">
            <w:pPr>
              <w:ind w:firstLine="360"/>
              <w:jc w:val="center"/>
            </w:pPr>
          </w:p>
        </w:tc>
        <w:tc>
          <w:tcPr>
            <w:tcW w:w="1530" w:type="dxa"/>
            <w:tcBorders>
              <w:top w:val="single" w:sz="4" w:space="0" w:color="000000"/>
              <w:left w:val="nil"/>
            </w:tcBorders>
            <w:shd w:val="clear" w:color="auto" w:fill="auto"/>
            <w:tcMar>
              <w:top w:w="11" w:type="dxa"/>
              <w:left w:w="11" w:type="dxa"/>
              <w:bottom w:w="0" w:type="dxa"/>
              <w:right w:w="11" w:type="dxa"/>
            </w:tcMar>
            <w:vAlign w:val="center"/>
          </w:tcPr>
          <w:p w14:paraId="3DA746EC" w14:textId="77777777" w:rsidR="00164D4C" w:rsidRPr="00CC5EC8" w:rsidRDefault="00164D4C" w:rsidP="00EC27DE">
            <w:pPr>
              <w:ind w:firstLine="360"/>
              <w:jc w:val="center"/>
            </w:pPr>
          </w:p>
        </w:tc>
        <w:tc>
          <w:tcPr>
            <w:tcW w:w="1710" w:type="dxa"/>
            <w:tcBorders>
              <w:top w:val="single" w:sz="4" w:space="0" w:color="000000"/>
              <w:left w:val="nil"/>
            </w:tcBorders>
            <w:shd w:val="clear" w:color="auto" w:fill="auto"/>
            <w:tcMar>
              <w:top w:w="11" w:type="dxa"/>
              <w:left w:w="11" w:type="dxa"/>
              <w:bottom w:w="0" w:type="dxa"/>
              <w:right w:w="11" w:type="dxa"/>
            </w:tcMar>
            <w:vAlign w:val="center"/>
          </w:tcPr>
          <w:p w14:paraId="555891F1" w14:textId="77777777" w:rsidR="00164D4C" w:rsidRPr="00CC5EC8" w:rsidRDefault="00164D4C" w:rsidP="00EC27DE">
            <w:pPr>
              <w:ind w:firstLine="360"/>
              <w:jc w:val="center"/>
            </w:pPr>
          </w:p>
        </w:tc>
      </w:tr>
      <w:tr w:rsidR="00164D4C" w:rsidRPr="00CC5EC8" w14:paraId="2E106875" w14:textId="77777777" w:rsidTr="00164D4C">
        <w:trPr>
          <w:trHeight w:val="209"/>
        </w:trPr>
        <w:tc>
          <w:tcPr>
            <w:tcW w:w="2746" w:type="dxa"/>
            <w:tcBorders>
              <w:bottom w:val="single" w:sz="4" w:space="0" w:color="000000"/>
            </w:tcBorders>
            <w:shd w:val="clear" w:color="auto" w:fill="auto"/>
            <w:tcMar>
              <w:top w:w="11" w:type="dxa"/>
              <w:left w:w="11" w:type="dxa"/>
              <w:bottom w:w="0" w:type="dxa"/>
              <w:right w:w="11" w:type="dxa"/>
            </w:tcMar>
            <w:vAlign w:val="center"/>
          </w:tcPr>
          <w:p w14:paraId="49497F70" w14:textId="75534038" w:rsidR="00164D4C" w:rsidRPr="00CC5EC8" w:rsidRDefault="00164D4C" w:rsidP="00164D4C">
            <w:r w:rsidRPr="005C162B">
              <w:rPr>
                <w:sz w:val="20"/>
                <w:szCs w:val="20"/>
              </w:rPr>
              <w:lastRenderedPageBreak/>
              <w:t>Table 3.</w:t>
            </w:r>
            <w:r>
              <w:rPr>
                <w:sz w:val="20"/>
                <w:szCs w:val="20"/>
              </w:rPr>
              <w:t>3</w:t>
            </w:r>
            <w:r w:rsidRPr="005C162B">
              <w:rPr>
                <w:sz w:val="20"/>
                <w:szCs w:val="20"/>
              </w:rPr>
              <w:t xml:space="preserve"> Continued</w:t>
            </w:r>
          </w:p>
        </w:tc>
        <w:tc>
          <w:tcPr>
            <w:tcW w:w="3240" w:type="dxa"/>
            <w:tcBorders>
              <w:left w:val="nil"/>
              <w:bottom w:val="single" w:sz="4" w:space="0" w:color="000000"/>
            </w:tcBorders>
            <w:shd w:val="clear" w:color="auto" w:fill="auto"/>
            <w:tcMar>
              <w:top w:w="11" w:type="dxa"/>
              <w:left w:w="11" w:type="dxa"/>
              <w:bottom w:w="0" w:type="dxa"/>
              <w:right w:w="11" w:type="dxa"/>
            </w:tcMar>
            <w:vAlign w:val="center"/>
          </w:tcPr>
          <w:p w14:paraId="23AACED2" w14:textId="77777777" w:rsidR="00164D4C" w:rsidRPr="00CC5EC8" w:rsidRDefault="00164D4C" w:rsidP="00EC27DE">
            <w:pPr>
              <w:ind w:firstLine="360"/>
              <w:jc w:val="center"/>
            </w:pPr>
          </w:p>
        </w:tc>
        <w:tc>
          <w:tcPr>
            <w:tcW w:w="1530" w:type="dxa"/>
            <w:tcBorders>
              <w:left w:val="nil"/>
              <w:bottom w:val="single" w:sz="4" w:space="0" w:color="000000"/>
            </w:tcBorders>
            <w:shd w:val="clear" w:color="auto" w:fill="auto"/>
            <w:tcMar>
              <w:top w:w="11" w:type="dxa"/>
              <w:left w:w="11" w:type="dxa"/>
              <w:bottom w:w="0" w:type="dxa"/>
              <w:right w:w="11" w:type="dxa"/>
            </w:tcMar>
            <w:vAlign w:val="center"/>
          </w:tcPr>
          <w:p w14:paraId="6ACD0DAD" w14:textId="77777777" w:rsidR="00164D4C" w:rsidRPr="00CC5EC8" w:rsidRDefault="00164D4C" w:rsidP="00EC27DE">
            <w:pPr>
              <w:ind w:firstLine="360"/>
              <w:jc w:val="center"/>
            </w:pPr>
          </w:p>
        </w:tc>
        <w:tc>
          <w:tcPr>
            <w:tcW w:w="1710" w:type="dxa"/>
            <w:tcBorders>
              <w:left w:val="nil"/>
              <w:bottom w:val="single" w:sz="4" w:space="0" w:color="000000"/>
            </w:tcBorders>
            <w:shd w:val="clear" w:color="auto" w:fill="auto"/>
            <w:tcMar>
              <w:top w:w="11" w:type="dxa"/>
              <w:left w:w="11" w:type="dxa"/>
              <w:bottom w:w="0" w:type="dxa"/>
              <w:right w:w="11" w:type="dxa"/>
            </w:tcMar>
            <w:vAlign w:val="center"/>
          </w:tcPr>
          <w:p w14:paraId="57929950" w14:textId="77777777" w:rsidR="00164D4C" w:rsidRPr="00CC5EC8" w:rsidRDefault="00164D4C" w:rsidP="00EC27DE">
            <w:pPr>
              <w:ind w:firstLine="360"/>
              <w:jc w:val="center"/>
            </w:pPr>
          </w:p>
        </w:tc>
      </w:tr>
      <w:tr w:rsidR="00A37629" w:rsidRPr="00CC5EC8" w14:paraId="20DA5AB4"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tcPr>
          <w:p w14:paraId="78E04600" w14:textId="5B46F6DE" w:rsidR="00A37629" w:rsidRPr="00CC5EC8" w:rsidRDefault="00A37629" w:rsidP="00A37629">
            <w:pPr>
              <w:jc w:val="center"/>
            </w:pPr>
            <w:r w:rsidRPr="00CC5EC8">
              <w:t>Distance from the center of the Earth (km)</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tcPr>
          <w:p w14:paraId="4EEA7372" w14:textId="4C797B83" w:rsidR="00A37629" w:rsidRPr="00CC5EC8" w:rsidRDefault="00A37629" w:rsidP="00A37629">
            <w:pPr>
              <w:jc w:val="center"/>
            </w:pPr>
            <w:r w:rsidRPr="00CC5EC8">
              <w:t>Distance from the surface of the Earth</w:t>
            </w:r>
            <w:r>
              <w:t xml:space="preserve"> </w:t>
            </w:r>
            <w:r w:rsidRPr="00CC5EC8">
              <w:t>(km)</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tcPr>
          <w:p w14:paraId="135BC996" w14:textId="6B843AC3" w:rsidR="00A37629" w:rsidRPr="00CC5EC8" w:rsidRDefault="00A37629" w:rsidP="00A37629">
            <w:pPr>
              <w:jc w:val="center"/>
            </w:pPr>
            <w:r w:rsidRPr="00CC5EC8">
              <w:t>Pressure (GPa)</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tcPr>
          <w:p w14:paraId="43514BEB" w14:textId="4ACF3370" w:rsidR="00A37629" w:rsidRPr="00CC5EC8" w:rsidRDefault="00A37629" w:rsidP="00A37629">
            <w:pPr>
              <w:jc w:val="center"/>
            </w:pPr>
            <w:r w:rsidRPr="00CC5EC8">
              <w:t>Temperature (K)</w:t>
            </w:r>
          </w:p>
        </w:tc>
      </w:tr>
      <w:tr w:rsidR="00A37629" w:rsidRPr="00CC5EC8" w14:paraId="0D6F782B"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684148A" w14:textId="77777777" w:rsidR="00A37629" w:rsidRPr="00CC5EC8" w:rsidRDefault="00A37629" w:rsidP="00A37629">
            <w:pPr>
              <w:ind w:firstLine="360"/>
              <w:jc w:val="center"/>
            </w:pPr>
            <w:r w:rsidRPr="00CC5EC8">
              <w:t>1800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414C946" w14:textId="77777777" w:rsidR="00A37629" w:rsidRPr="00CC5EC8" w:rsidRDefault="00A37629" w:rsidP="00A37629">
            <w:pPr>
              <w:ind w:firstLine="360"/>
              <w:jc w:val="center"/>
            </w:pPr>
            <w:r w:rsidRPr="00CC5EC8">
              <w:t>4571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C7A65C9" w14:textId="77777777" w:rsidR="00A37629" w:rsidRPr="00CC5EC8" w:rsidRDefault="00A37629" w:rsidP="00A37629">
            <w:pPr>
              <w:ind w:firstLine="360"/>
              <w:jc w:val="center"/>
            </w:pPr>
            <w:r w:rsidRPr="00CC5EC8">
              <w:t>292.2</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3E9FA450" w14:textId="77777777" w:rsidR="00A37629" w:rsidRPr="00CC5EC8" w:rsidRDefault="00A37629" w:rsidP="00A37629">
            <w:pPr>
              <w:ind w:firstLine="360"/>
              <w:jc w:val="center"/>
            </w:pPr>
            <w:r w:rsidRPr="00CC5EC8">
              <w:t>4769</w:t>
            </w:r>
          </w:p>
        </w:tc>
      </w:tr>
      <w:tr w:rsidR="00A37629" w:rsidRPr="00CC5EC8" w14:paraId="7EB9D34C"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861BAB4" w14:textId="77777777" w:rsidR="00A37629" w:rsidRPr="00CC5EC8" w:rsidRDefault="00A37629" w:rsidP="00A37629">
            <w:pPr>
              <w:ind w:firstLine="360"/>
              <w:jc w:val="center"/>
            </w:pPr>
            <w:r w:rsidRPr="00CC5EC8">
              <w:t>1600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8443DE5" w14:textId="77777777" w:rsidR="00A37629" w:rsidRPr="00CC5EC8" w:rsidRDefault="00A37629" w:rsidP="00A37629">
            <w:pPr>
              <w:ind w:firstLine="360"/>
              <w:jc w:val="center"/>
            </w:pPr>
            <w:r w:rsidRPr="00CC5EC8">
              <w:t>4771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D073E00" w14:textId="77777777" w:rsidR="00A37629" w:rsidRPr="00CC5EC8" w:rsidRDefault="00A37629" w:rsidP="00A37629">
            <w:pPr>
              <w:ind w:firstLine="360"/>
              <w:jc w:val="center"/>
            </w:pPr>
            <w:r w:rsidRPr="00CC5EC8">
              <w:t>306.2</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79E26E99" w14:textId="77777777" w:rsidR="00A37629" w:rsidRPr="00CC5EC8" w:rsidRDefault="00A37629" w:rsidP="00A37629">
            <w:pPr>
              <w:ind w:firstLine="360"/>
              <w:jc w:val="center"/>
            </w:pPr>
            <w:r w:rsidRPr="00CC5EC8">
              <w:t>4846</w:t>
            </w:r>
          </w:p>
        </w:tc>
      </w:tr>
      <w:tr w:rsidR="00A37629" w:rsidRPr="00CC5EC8" w14:paraId="60651A3D"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9EC0438" w14:textId="77777777" w:rsidR="00A37629" w:rsidRPr="00CC5EC8" w:rsidRDefault="00A37629" w:rsidP="00A37629">
            <w:pPr>
              <w:ind w:firstLine="360"/>
              <w:jc w:val="center"/>
            </w:pPr>
            <w:r w:rsidRPr="00CC5EC8">
              <w:t>1400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E6AAAB1" w14:textId="77777777" w:rsidR="00A37629" w:rsidRPr="00CC5EC8" w:rsidRDefault="00A37629" w:rsidP="00A37629">
            <w:pPr>
              <w:ind w:firstLine="360"/>
              <w:jc w:val="center"/>
            </w:pPr>
            <w:r w:rsidRPr="00CC5EC8">
              <w:t>4971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D2313AE" w14:textId="77777777" w:rsidR="00A37629" w:rsidRPr="00CC5EC8" w:rsidRDefault="00A37629" w:rsidP="00A37629">
            <w:pPr>
              <w:ind w:firstLine="360"/>
              <w:jc w:val="center"/>
            </w:pPr>
            <w:r w:rsidRPr="00CC5EC8">
              <w:t>318.8</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55B6C9B5" w14:textId="77777777" w:rsidR="00A37629" w:rsidRPr="00CC5EC8" w:rsidRDefault="00A37629" w:rsidP="00A37629">
            <w:pPr>
              <w:ind w:firstLine="360"/>
              <w:jc w:val="center"/>
            </w:pPr>
            <w:r w:rsidRPr="00CC5EC8">
              <w:t>4907</w:t>
            </w:r>
          </w:p>
        </w:tc>
      </w:tr>
      <w:tr w:rsidR="00A37629" w:rsidRPr="00CC5EC8" w14:paraId="448C9812"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1AC8F2C" w14:textId="77777777" w:rsidR="00A37629" w:rsidRPr="00CC5EC8" w:rsidRDefault="00A37629" w:rsidP="00A37629">
            <w:pPr>
              <w:ind w:firstLine="360"/>
              <w:jc w:val="center"/>
            </w:pPr>
            <w:r w:rsidRPr="00CC5EC8">
              <w:t>1222</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3FD4BDF" w14:textId="77777777" w:rsidR="00A37629" w:rsidRPr="00CC5EC8" w:rsidRDefault="00A37629" w:rsidP="00A37629">
            <w:pPr>
              <w:ind w:firstLine="360"/>
              <w:jc w:val="center"/>
            </w:pPr>
            <w:r w:rsidRPr="00CC5EC8">
              <w:t>5150</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7548F63" w14:textId="77777777" w:rsidR="00A37629" w:rsidRPr="00CC5EC8" w:rsidRDefault="00A37629" w:rsidP="00A37629">
            <w:pPr>
              <w:ind w:firstLine="360"/>
              <w:jc w:val="center"/>
            </w:pPr>
            <w:r w:rsidRPr="00CC5EC8">
              <w:t>328.9</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620DC006" w14:textId="77777777" w:rsidR="00A37629" w:rsidRPr="00CC5EC8" w:rsidRDefault="00A37629" w:rsidP="00A37629">
            <w:pPr>
              <w:ind w:firstLine="360"/>
              <w:jc w:val="center"/>
            </w:pPr>
            <w:r w:rsidRPr="00CC5EC8">
              <w:t>4961</w:t>
            </w:r>
          </w:p>
        </w:tc>
      </w:tr>
      <w:tr w:rsidR="00A37629" w:rsidRPr="00CC5EC8" w14:paraId="12120A9B"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0B2C7F9" w14:textId="77777777" w:rsidR="00A37629" w:rsidRPr="00CC5EC8" w:rsidRDefault="00A37629" w:rsidP="00A37629">
            <w:pPr>
              <w:ind w:firstLine="360"/>
              <w:jc w:val="center"/>
            </w:pPr>
            <w:r w:rsidRPr="00CC5EC8">
              <w:t>1200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5AE88B4" w14:textId="77777777" w:rsidR="00A37629" w:rsidRPr="00CC5EC8" w:rsidRDefault="00A37629" w:rsidP="00A37629">
            <w:pPr>
              <w:ind w:firstLine="360"/>
              <w:jc w:val="center"/>
            </w:pPr>
            <w:r w:rsidRPr="00CC5EC8">
              <w:t>5171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3BF34C9" w14:textId="77777777" w:rsidR="00A37629" w:rsidRPr="00CC5EC8" w:rsidRDefault="00A37629" w:rsidP="00A37629">
            <w:pPr>
              <w:ind w:firstLine="360"/>
              <w:jc w:val="center"/>
            </w:pPr>
            <w:r w:rsidRPr="00CC5EC8">
              <w:t>330.1</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6958E33A" w14:textId="77777777" w:rsidR="00A37629" w:rsidRPr="00CC5EC8" w:rsidRDefault="00A37629" w:rsidP="00A37629">
            <w:pPr>
              <w:ind w:firstLine="360"/>
              <w:jc w:val="center"/>
            </w:pPr>
            <w:r w:rsidRPr="00CC5EC8">
              <w:t>4965</w:t>
            </w:r>
          </w:p>
        </w:tc>
      </w:tr>
      <w:tr w:rsidR="00A37629" w:rsidRPr="00CC5EC8" w14:paraId="152326DD"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92D8A50" w14:textId="77777777" w:rsidR="00A37629" w:rsidRPr="00CC5EC8" w:rsidRDefault="00A37629" w:rsidP="00A37629">
            <w:pPr>
              <w:ind w:firstLine="360"/>
              <w:jc w:val="center"/>
            </w:pPr>
            <w:r w:rsidRPr="00CC5EC8">
              <w:t>1000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3200D22" w14:textId="77777777" w:rsidR="00A37629" w:rsidRPr="00CC5EC8" w:rsidRDefault="00A37629" w:rsidP="00A37629">
            <w:pPr>
              <w:ind w:firstLine="360"/>
              <w:jc w:val="center"/>
            </w:pPr>
            <w:r w:rsidRPr="00CC5EC8">
              <w:t>5371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FA4A4AC" w14:textId="77777777" w:rsidR="00A37629" w:rsidRPr="00CC5EC8" w:rsidRDefault="00A37629" w:rsidP="00A37629">
            <w:pPr>
              <w:ind w:firstLine="360"/>
              <w:jc w:val="center"/>
            </w:pPr>
            <w:r w:rsidRPr="00CC5EC8">
              <w:t>340.2</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2A4E33BA" w14:textId="77777777" w:rsidR="00A37629" w:rsidRPr="00CC5EC8" w:rsidRDefault="00A37629" w:rsidP="00A37629">
            <w:pPr>
              <w:ind w:firstLine="360"/>
              <w:jc w:val="center"/>
            </w:pPr>
            <w:r w:rsidRPr="00CC5EC8">
              <w:t>5003</w:t>
            </w:r>
          </w:p>
        </w:tc>
      </w:tr>
      <w:tr w:rsidR="00A37629" w:rsidRPr="00CC5EC8" w14:paraId="542BCF3A"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09699EC" w14:textId="77777777" w:rsidR="00A37629" w:rsidRPr="00CC5EC8" w:rsidRDefault="00A37629" w:rsidP="00A37629">
            <w:pPr>
              <w:ind w:firstLine="360"/>
              <w:jc w:val="center"/>
            </w:pPr>
            <w:r w:rsidRPr="00CC5EC8">
              <w:t>800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C9B979A" w14:textId="77777777" w:rsidR="00A37629" w:rsidRPr="00CC5EC8" w:rsidRDefault="00A37629" w:rsidP="00A37629">
            <w:pPr>
              <w:ind w:firstLine="360"/>
              <w:jc w:val="center"/>
            </w:pPr>
            <w:r w:rsidRPr="00CC5EC8">
              <w:t>5571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813B082" w14:textId="77777777" w:rsidR="00A37629" w:rsidRPr="00CC5EC8" w:rsidRDefault="00A37629" w:rsidP="00A37629">
            <w:pPr>
              <w:ind w:firstLine="360"/>
              <w:jc w:val="center"/>
            </w:pPr>
            <w:r w:rsidRPr="00CC5EC8">
              <w:t>348.7</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56674E18" w14:textId="77777777" w:rsidR="00A37629" w:rsidRPr="00CC5EC8" w:rsidRDefault="00A37629" w:rsidP="00A37629">
            <w:pPr>
              <w:ind w:firstLine="360"/>
              <w:jc w:val="center"/>
            </w:pPr>
            <w:r w:rsidRPr="00CC5EC8">
              <w:t>5041</w:t>
            </w:r>
          </w:p>
        </w:tc>
      </w:tr>
      <w:tr w:rsidR="00A37629" w:rsidRPr="00CC5EC8" w14:paraId="3CECE811"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FB9BC1D" w14:textId="77777777" w:rsidR="00A37629" w:rsidRPr="00CC5EC8" w:rsidRDefault="00A37629" w:rsidP="00A37629">
            <w:pPr>
              <w:ind w:firstLine="360"/>
              <w:jc w:val="center"/>
            </w:pPr>
            <w:r w:rsidRPr="00CC5EC8">
              <w:t>600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372686D" w14:textId="77777777" w:rsidR="00A37629" w:rsidRPr="00CC5EC8" w:rsidRDefault="00A37629" w:rsidP="00A37629">
            <w:pPr>
              <w:ind w:firstLine="360"/>
              <w:jc w:val="center"/>
            </w:pPr>
            <w:r w:rsidRPr="00CC5EC8">
              <w:t>5771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71CC070" w14:textId="77777777" w:rsidR="00A37629" w:rsidRPr="00CC5EC8" w:rsidRDefault="00A37629" w:rsidP="00A37629">
            <w:pPr>
              <w:ind w:firstLine="360"/>
              <w:jc w:val="center"/>
            </w:pPr>
            <w:r w:rsidRPr="00CC5EC8">
              <w:t>355.3</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050F744A" w14:textId="77777777" w:rsidR="00A37629" w:rsidRPr="00CC5EC8" w:rsidRDefault="00A37629" w:rsidP="00A37629">
            <w:pPr>
              <w:ind w:firstLine="360"/>
              <w:jc w:val="center"/>
            </w:pPr>
            <w:r w:rsidRPr="00CC5EC8">
              <w:t>5064</w:t>
            </w:r>
          </w:p>
        </w:tc>
      </w:tr>
      <w:tr w:rsidR="00A37629" w:rsidRPr="00CC5EC8" w14:paraId="60BA3C09"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78F9BF4" w14:textId="77777777" w:rsidR="00A37629" w:rsidRPr="00CC5EC8" w:rsidRDefault="00A37629" w:rsidP="00A37629">
            <w:pPr>
              <w:ind w:firstLine="360"/>
              <w:jc w:val="center"/>
            </w:pPr>
            <w:r w:rsidRPr="00CC5EC8">
              <w:t>400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B5EE04C" w14:textId="77777777" w:rsidR="00A37629" w:rsidRPr="00CC5EC8" w:rsidRDefault="00A37629" w:rsidP="00A37629">
            <w:pPr>
              <w:ind w:firstLine="360"/>
              <w:jc w:val="center"/>
            </w:pPr>
            <w:r w:rsidRPr="00CC5EC8">
              <w:t>5971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1CF725D" w14:textId="77777777" w:rsidR="00A37629" w:rsidRPr="00CC5EC8" w:rsidRDefault="00A37629" w:rsidP="00A37629">
            <w:pPr>
              <w:ind w:firstLine="360"/>
              <w:jc w:val="center"/>
            </w:pPr>
            <w:r w:rsidRPr="00CC5EC8">
              <w:t>360.0</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1E6340D0" w14:textId="77777777" w:rsidR="00A37629" w:rsidRPr="00CC5EC8" w:rsidRDefault="00A37629" w:rsidP="00A37629">
            <w:pPr>
              <w:ind w:firstLine="360"/>
              <w:jc w:val="center"/>
            </w:pPr>
            <w:r w:rsidRPr="00CC5EC8">
              <w:t>5087</w:t>
            </w:r>
          </w:p>
        </w:tc>
      </w:tr>
      <w:tr w:rsidR="00A37629" w:rsidRPr="00CC5EC8" w14:paraId="2DD92E0E" w14:textId="77777777" w:rsidTr="00EC27DE">
        <w:trPr>
          <w:trHeight w:val="209"/>
        </w:trPr>
        <w:tc>
          <w:tcPr>
            <w:tcW w:w="2746" w:type="dxa"/>
            <w:tcBorders>
              <w:top w:val="single" w:sz="4" w:space="0" w:color="000000"/>
              <w:left w:val="single" w:sz="8"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39E0241" w14:textId="77777777" w:rsidR="00A37629" w:rsidRPr="00CC5EC8" w:rsidRDefault="00A37629" w:rsidP="00A37629">
            <w:pPr>
              <w:ind w:firstLine="360"/>
              <w:jc w:val="center"/>
            </w:pPr>
            <w:r w:rsidRPr="00CC5EC8">
              <w:t>200</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FC9616A" w14:textId="77777777" w:rsidR="00A37629" w:rsidRPr="00CC5EC8" w:rsidRDefault="00A37629" w:rsidP="00A37629">
            <w:pPr>
              <w:ind w:firstLine="360"/>
              <w:jc w:val="center"/>
            </w:pPr>
            <w:r w:rsidRPr="00CC5EC8">
              <w:t>6171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BAAE545" w14:textId="77777777" w:rsidR="00A37629" w:rsidRPr="00CC5EC8" w:rsidRDefault="00A37629" w:rsidP="00A37629">
            <w:pPr>
              <w:ind w:firstLine="360"/>
              <w:jc w:val="center"/>
            </w:pPr>
            <w:r w:rsidRPr="00CC5EC8">
              <w:t>362.9</w:t>
            </w:r>
          </w:p>
        </w:tc>
        <w:tc>
          <w:tcPr>
            <w:tcW w:w="1710" w:type="dxa"/>
            <w:tcBorders>
              <w:top w:val="single" w:sz="4" w:space="0" w:color="000000"/>
              <w:left w:val="single" w:sz="4" w:space="0" w:color="000000"/>
              <w:bottom w:val="single" w:sz="4" w:space="0" w:color="000000"/>
              <w:right w:val="single" w:sz="8" w:space="0" w:color="000000"/>
            </w:tcBorders>
            <w:shd w:val="clear" w:color="auto" w:fill="auto"/>
            <w:tcMar>
              <w:top w:w="11" w:type="dxa"/>
              <w:left w:w="11" w:type="dxa"/>
              <w:bottom w:w="0" w:type="dxa"/>
              <w:right w:w="11" w:type="dxa"/>
            </w:tcMar>
            <w:vAlign w:val="center"/>
            <w:hideMark/>
          </w:tcPr>
          <w:p w14:paraId="562A3FAA" w14:textId="77777777" w:rsidR="00A37629" w:rsidRPr="00CC5EC8" w:rsidRDefault="00A37629" w:rsidP="00A37629">
            <w:pPr>
              <w:ind w:firstLine="360"/>
              <w:jc w:val="center"/>
            </w:pPr>
            <w:r w:rsidRPr="00CC5EC8">
              <w:t>5119</w:t>
            </w:r>
          </w:p>
        </w:tc>
      </w:tr>
      <w:tr w:rsidR="00A37629" w:rsidRPr="00CC5EC8" w14:paraId="79467B34" w14:textId="77777777" w:rsidTr="00EC27DE">
        <w:trPr>
          <w:trHeight w:val="219"/>
        </w:trPr>
        <w:tc>
          <w:tcPr>
            <w:tcW w:w="2746" w:type="dxa"/>
            <w:tcBorders>
              <w:top w:val="single" w:sz="4" w:space="0" w:color="000000"/>
              <w:left w:val="single" w:sz="8" w:space="0" w:color="000000"/>
              <w:bottom w:val="single" w:sz="8" w:space="0" w:color="000000"/>
              <w:right w:val="single" w:sz="4" w:space="0" w:color="000000"/>
            </w:tcBorders>
            <w:shd w:val="clear" w:color="auto" w:fill="auto"/>
            <w:tcMar>
              <w:top w:w="11" w:type="dxa"/>
              <w:left w:w="11" w:type="dxa"/>
              <w:bottom w:w="0" w:type="dxa"/>
              <w:right w:w="11" w:type="dxa"/>
            </w:tcMar>
            <w:vAlign w:val="center"/>
            <w:hideMark/>
          </w:tcPr>
          <w:p w14:paraId="7FC8ABFE" w14:textId="77777777" w:rsidR="00A37629" w:rsidRPr="00CC5EC8" w:rsidRDefault="00A37629" w:rsidP="00A37629">
            <w:pPr>
              <w:ind w:firstLine="360"/>
              <w:jc w:val="center"/>
            </w:pPr>
            <w:r w:rsidRPr="00CC5EC8">
              <w:t>0</w:t>
            </w:r>
          </w:p>
        </w:tc>
        <w:tc>
          <w:tcPr>
            <w:tcW w:w="3240" w:type="dxa"/>
            <w:tcBorders>
              <w:top w:val="single" w:sz="4" w:space="0" w:color="000000"/>
              <w:left w:val="single" w:sz="4" w:space="0" w:color="000000"/>
              <w:bottom w:val="single" w:sz="8" w:space="0" w:color="000000"/>
              <w:right w:val="single" w:sz="4" w:space="0" w:color="000000"/>
            </w:tcBorders>
            <w:shd w:val="clear" w:color="auto" w:fill="auto"/>
            <w:tcMar>
              <w:top w:w="11" w:type="dxa"/>
              <w:left w:w="11" w:type="dxa"/>
              <w:bottom w:w="0" w:type="dxa"/>
              <w:right w:w="11" w:type="dxa"/>
            </w:tcMar>
            <w:vAlign w:val="center"/>
            <w:hideMark/>
          </w:tcPr>
          <w:p w14:paraId="507B3877" w14:textId="77777777" w:rsidR="00A37629" w:rsidRPr="00CC5EC8" w:rsidRDefault="00A37629" w:rsidP="00A37629">
            <w:pPr>
              <w:ind w:firstLine="360"/>
              <w:jc w:val="center"/>
            </w:pPr>
            <w:r w:rsidRPr="00CC5EC8">
              <w:t>6371</w:t>
            </w:r>
          </w:p>
        </w:tc>
        <w:tc>
          <w:tcPr>
            <w:tcW w:w="1530" w:type="dxa"/>
            <w:tcBorders>
              <w:top w:val="single" w:sz="4" w:space="0" w:color="000000"/>
              <w:left w:val="single" w:sz="4" w:space="0" w:color="000000"/>
              <w:bottom w:val="single" w:sz="8" w:space="0" w:color="000000"/>
              <w:right w:val="single" w:sz="4" w:space="0" w:color="000000"/>
            </w:tcBorders>
            <w:shd w:val="clear" w:color="auto" w:fill="auto"/>
            <w:tcMar>
              <w:top w:w="11" w:type="dxa"/>
              <w:left w:w="11" w:type="dxa"/>
              <w:bottom w:w="0" w:type="dxa"/>
              <w:right w:w="11" w:type="dxa"/>
            </w:tcMar>
            <w:vAlign w:val="center"/>
            <w:hideMark/>
          </w:tcPr>
          <w:p w14:paraId="22321D8D" w14:textId="77777777" w:rsidR="00A37629" w:rsidRPr="00CC5EC8" w:rsidRDefault="00A37629" w:rsidP="00A37629">
            <w:pPr>
              <w:ind w:firstLine="360"/>
              <w:jc w:val="center"/>
            </w:pPr>
            <w:r w:rsidRPr="00CC5EC8">
              <w:t>363.9</w:t>
            </w:r>
          </w:p>
        </w:tc>
        <w:tc>
          <w:tcPr>
            <w:tcW w:w="1710" w:type="dxa"/>
            <w:tcBorders>
              <w:top w:val="single" w:sz="4" w:space="0" w:color="000000"/>
              <w:left w:val="single" w:sz="4"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77A46869" w14:textId="77777777" w:rsidR="00A37629" w:rsidRPr="00CC5EC8" w:rsidRDefault="00A37629" w:rsidP="00A37629">
            <w:pPr>
              <w:ind w:firstLine="360"/>
              <w:jc w:val="center"/>
            </w:pPr>
            <w:r w:rsidRPr="00CC5EC8">
              <w:t>5151</w:t>
            </w:r>
          </w:p>
        </w:tc>
      </w:tr>
    </w:tbl>
    <w:p w14:paraId="78008295" w14:textId="77777777" w:rsidR="00337D2D" w:rsidRDefault="00337D2D" w:rsidP="007E347D">
      <w:pPr>
        <w:spacing w:line="360" w:lineRule="auto"/>
      </w:pPr>
    </w:p>
    <w:p w14:paraId="4ACFEFBF" w14:textId="77777777" w:rsidR="00337D2D" w:rsidRDefault="00337D2D">
      <w:r>
        <w:br w:type="page"/>
      </w:r>
    </w:p>
    <w:p w14:paraId="555412CB" w14:textId="77777777" w:rsidR="00337D2D" w:rsidRDefault="00337D2D" w:rsidP="00337D2D">
      <w:pPr>
        <w:pStyle w:val="Caption"/>
        <w:rPr>
          <w:b w:val="0"/>
          <w:bCs w:val="0"/>
          <w:sz w:val="20"/>
          <w:szCs w:val="20"/>
        </w:rPr>
        <w:sectPr w:rsidR="00337D2D" w:rsidSect="0071477D">
          <w:pgSz w:w="12240" w:h="15840" w:code="1"/>
          <w:pgMar w:top="1440" w:right="1440" w:bottom="1440" w:left="1440" w:header="720" w:footer="1440" w:gutter="0"/>
          <w:cols w:space="720"/>
          <w:noEndnote/>
          <w:docGrid w:linePitch="360"/>
        </w:sectPr>
      </w:pPr>
      <w:bookmarkStart w:id="112" w:name="_Toc109035965"/>
    </w:p>
    <w:p w14:paraId="67F4EB37" w14:textId="77777777" w:rsidR="00337D2D" w:rsidRPr="0071477D" w:rsidRDefault="00337D2D" w:rsidP="00337D2D">
      <w:pPr>
        <w:pStyle w:val="Caption"/>
        <w:rPr>
          <w:b w:val="0"/>
          <w:bCs w:val="0"/>
          <w:sz w:val="20"/>
          <w:szCs w:val="20"/>
        </w:rPr>
      </w:pPr>
      <w:r w:rsidRPr="0071477D">
        <w:rPr>
          <w:b w:val="0"/>
          <w:bCs w:val="0"/>
          <w:sz w:val="20"/>
          <w:szCs w:val="20"/>
        </w:rPr>
        <w:lastRenderedPageBreak/>
        <w:t xml:space="preserve">Table </w:t>
      </w:r>
      <w:r>
        <w:rPr>
          <w:b w:val="0"/>
          <w:bCs w:val="0"/>
          <w:sz w:val="20"/>
          <w:szCs w:val="20"/>
        </w:rPr>
        <w:t>3.</w:t>
      </w:r>
      <w:r>
        <w:rPr>
          <w:b w:val="0"/>
          <w:bCs w:val="0"/>
          <w:sz w:val="20"/>
          <w:szCs w:val="20"/>
        </w:rPr>
        <w:fldChar w:fldCharType="begin"/>
      </w:r>
      <w:r>
        <w:rPr>
          <w:b w:val="0"/>
          <w:bCs w:val="0"/>
          <w:sz w:val="20"/>
          <w:szCs w:val="20"/>
        </w:rPr>
        <w:instrText xml:space="preserve"> SEQ Table \* ARABIC \s 1 </w:instrText>
      </w:r>
      <w:r>
        <w:rPr>
          <w:b w:val="0"/>
          <w:bCs w:val="0"/>
          <w:sz w:val="20"/>
          <w:szCs w:val="20"/>
        </w:rPr>
        <w:fldChar w:fldCharType="separate"/>
      </w:r>
      <w:r>
        <w:rPr>
          <w:b w:val="0"/>
          <w:bCs w:val="0"/>
          <w:noProof/>
          <w:sz w:val="20"/>
          <w:szCs w:val="20"/>
        </w:rPr>
        <w:t>4</w:t>
      </w:r>
      <w:r>
        <w:rPr>
          <w:b w:val="0"/>
          <w:bCs w:val="0"/>
          <w:sz w:val="20"/>
          <w:szCs w:val="20"/>
        </w:rPr>
        <w:fldChar w:fldCharType="end"/>
      </w:r>
      <w:r w:rsidRPr="0071477D">
        <w:rPr>
          <w:b w:val="0"/>
          <w:bCs w:val="0"/>
          <w:sz w:val="20"/>
          <w:szCs w:val="20"/>
        </w:rPr>
        <w:t>. Possible discussion questions for different portions of classroom activity, with important discussion points listed in the right column.</w:t>
      </w:r>
      <w:bookmarkEnd w:id="112"/>
    </w:p>
    <w:tbl>
      <w:tblPr>
        <w:tblW w:w="13122" w:type="dxa"/>
        <w:tblCellMar>
          <w:left w:w="0" w:type="dxa"/>
          <w:right w:w="0" w:type="dxa"/>
        </w:tblCellMar>
        <w:tblLook w:val="0600" w:firstRow="0" w:lastRow="0" w:firstColumn="0" w:lastColumn="0" w:noHBand="1" w:noVBand="1"/>
      </w:tblPr>
      <w:tblGrid>
        <w:gridCol w:w="556"/>
        <w:gridCol w:w="4016"/>
        <w:gridCol w:w="8550"/>
      </w:tblGrid>
      <w:tr w:rsidR="00337D2D" w:rsidRPr="0071477D" w14:paraId="1A5DF53A" w14:textId="77777777" w:rsidTr="00EC27DE">
        <w:trPr>
          <w:trHeight w:val="227"/>
        </w:trPr>
        <w:tc>
          <w:tcPr>
            <w:tcW w:w="55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39F07F83" w14:textId="77777777" w:rsidR="00337D2D" w:rsidRPr="0071477D" w:rsidRDefault="00337D2D" w:rsidP="00EC27DE">
            <w:pPr>
              <w:rPr>
                <w:sz w:val="20"/>
                <w:szCs w:val="20"/>
              </w:rPr>
            </w:pPr>
            <w:r w:rsidRPr="0071477D">
              <w:rPr>
                <w:sz w:val="20"/>
                <w:szCs w:val="20"/>
              </w:rPr>
              <w:t>Step</w:t>
            </w: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5A5898F5" w14:textId="77777777" w:rsidR="00337D2D" w:rsidRPr="0071477D" w:rsidRDefault="00337D2D" w:rsidP="00EC27DE">
            <w:pPr>
              <w:rPr>
                <w:sz w:val="20"/>
                <w:szCs w:val="20"/>
              </w:rPr>
            </w:pPr>
            <w:r w:rsidRPr="0071477D">
              <w:rPr>
                <w:sz w:val="20"/>
                <w:szCs w:val="20"/>
              </w:rPr>
              <w:t>Question</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13F0DD14" w14:textId="77777777" w:rsidR="00337D2D" w:rsidRPr="0071477D" w:rsidRDefault="00337D2D" w:rsidP="00EC27DE">
            <w:pPr>
              <w:rPr>
                <w:sz w:val="20"/>
                <w:szCs w:val="20"/>
              </w:rPr>
            </w:pPr>
            <w:r w:rsidRPr="0071477D">
              <w:rPr>
                <w:sz w:val="20"/>
                <w:szCs w:val="20"/>
              </w:rPr>
              <w:t>Possible discussion points</w:t>
            </w:r>
          </w:p>
        </w:tc>
      </w:tr>
      <w:tr w:rsidR="00337D2D" w:rsidRPr="0071477D" w14:paraId="5D6F15C9" w14:textId="77777777" w:rsidTr="00EC27DE">
        <w:trPr>
          <w:trHeight w:val="440"/>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extDirection w:val="btLr"/>
            <w:vAlign w:val="center"/>
            <w:hideMark/>
          </w:tcPr>
          <w:p w14:paraId="219564F3" w14:textId="77777777" w:rsidR="00337D2D" w:rsidRPr="0071477D" w:rsidRDefault="00337D2D" w:rsidP="00EC27DE">
            <w:pPr>
              <w:rPr>
                <w:sz w:val="20"/>
                <w:szCs w:val="20"/>
              </w:rPr>
            </w:pPr>
            <w:r w:rsidRPr="0071477D">
              <w:rPr>
                <w:sz w:val="20"/>
                <w:szCs w:val="20"/>
              </w:rPr>
              <w:t>Pre-Activity</w:t>
            </w: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7B4E7E90" w14:textId="77777777" w:rsidR="00337D2D" w:rsidRPr="000F6EC6" w:rsidRDefault="00337D2D" w:rsidP="00EC27DE">
            <w:pPr>
              <w:rPr>
                <w:sz w:val="19"/>
                <w:szCs w:val="19"/>
              </w:rPr>
            </w:pPr>
            <w:r w:rsidRPr="000F6EC6">
              <w:rPr>
                <w:sz w:val="19"/>
                <w:szCs w:val="19"/>
              </w:rPr>
              <w:t>What is a mineral?</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0D5A54AC" w14:textId="77777777" w:rsidR="00337D2D" w:rsidRPr="000F6EC6" w:rsidRDefault="00337D2D" w:rsidP="00EC27DE">
            <w:pPr>
              <w:rPr>
                <w:sz w:val="19"/>
                <w:szCs w:val="19"/>
              </w:rPr>
            </w:pPr>
            <w:r w:rsidRPr="000F6EC6">
              <w:rPr>
                <w:sz w:val="19"/>
                <w:szCs w:val="19"/>
              </w:rPr>
              <w:t>Minerals are materials that meet five requirements. They are: 1) naturally occurring, 2) inorganic, 3) solids, 4) with a definite chemical composition, and 5) an ordered internal structure.</w:t>
            </w:r>
          </w:p>
        </w:tc>
      </w:tr>
      <w:tr w:rsidR="00337D2D" w:rsidRPr="0071477D" w14:paraId="15AB25E1" w14:textId="77777777" w:rsidTr="00EC27DE">
        <w:trPr>
          <w:trHeight w:val="20"/>
        </w:trPr>
        <w:tc>
          <w:tcPr>
            <w:tcW w:w="556" w:type="dxa"/>
            <w:vMerge/>
            <w:tcBorders>
              <w:top w:val="single" w:sz="4" w:space="0" w:color="000000"/>
              <w:left w:val="single" w:sz="4" w:space="0" w:color="000000"/>
              <w:bottom w:val="single" w:sz="4" w:space="0" w:color="000000"/>
              <w:right w:val="single" w:sz="4" w:space="0" w:color="000000"/>
            </w:tcBorders>
            <w:vAlign w:val="center"/>
            <w:hideMark/>
          </w:tcPr>
          <w:p w14:paraId="09A3AEEB" w14:textId="77777777" w:rsidR="00337D2D" w:rsidRPr="0071477D" w:rsidRDefault="00337D2D" w:rsidP="00EC27DE">
            <w:pPr>
              <w:rPr>
                <w:sz w:val="20"/>
                <w:szCs w:val="20"/>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677A1A40" w14:textId="77777777" w:rsidR="00337D2D" w:rsidRPr="000F6EC6" w:rsidRDefault="00337D2D" w:rsidP="00EC27DE">
            <w:pPr>
              <w:rPr>
                <w:sz w:val="19"/>
                <w:szCs w:val="19"/>
              </w:rPr>
            </w:pPr>
            <w:r w:rsidRPr="000F6EC6">
              <w:rPr>
                <w:sz w:val="19"/>
                <w:szCs w:val="19"/>
              </w:rPr>
              <w:t>What is a native mineral?</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524E01E2" w14:textId="77777777" w:rsidR="00337D2D" w:rsidRPr="000F6EC6" w:rsidRDefault="00337D2D" w:rsidP="00EC27DE">
            <w:pPr>
              <w:rPr>
                <w:sz w:val="19"/>
                <w:szCs w:val="19"/>
              </w:rPr>
            </w:pPr>
            <w:r w:rsidRPr="000F6EC6">
              <w:rPr>
                <w:sz w:val="19"/>
                <w:szCs w:val="19"/>
              </w:rPr>
              <w:t>A mineral composed of a single element</w:t>
            </w:r>
          </w:p>
        </w:tc>
      </w:tr>
      <w:tr w:rsidR="00337D2D" w:rsidRPr="0071477D" w14:paraId="2F0B7FD9" w14:textId="77777777" w:rsidTr="00EC27DE">
        <w:trPr>
          <w:trHeight w:val="20"/>
        </w:trPr>
        <w:tc>
          <w:tcPr>
            <w:tcW w:w="556" w:type="dxa"/>
            <w:vMerge/>
            <w:tcBorders>
              <w:top w:val="single" w:sz="4" w:space="0" w:color="000000"/>
              <w:left w:val="single" w:sz="4" w:space="0" w:color="000000"/>
              <w:bottom w:val="single" w:sz="4" w:space="0" w:color="000000"/>
              <w:right w:val="single" w:sz="4" w:space="0" w:color="000000"/>
            </w:tcBorders>
            <w:vAlign w:val="center"/>
            <w:hideMark/>
          </w:tcPr>
          <w:p w14:paraId="61D8D5FE" w14:textId="77777777" w:rsidR="00337D2D" w:rsidRPr="0071477D" w:rsidRDefault="00337D2D" w:rsidP="00EC27DE">
            <w:pPr>
              <w:rPr>
                <w:sz w:val="20"/>
                <w:szCs w:val="20"/>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56966663" w14:textId="77777777" w:rsidR="00337D2D" w:rsidRPr="000F6EC6" w:rsidRDefault="00337D2D" w:rsidP="00EC27DE">
            <w:pPr>
              <w:rPr>
                <w:sz w:val="19"/>
                <w:szCs w:val="19"/>
              </w:rPr>
            </w:pPr>
            <w:r w:rsidRPr="000F6EC6">
              <w:rPr>
                <w:sz w:val="19"/>
                <w:szCs w:val="19"/>
              </w:rPr>
              <w:t>What happens when solids experience a change in pressures and temperatures from those they formed at?</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62E2BA21" w14:textId="77777777" w:rsidR="00337D2D" w:rsidRPr="000F6EC6" w:rsidRDefault="00337D2D" w:rsidP="00EC27DE">
            <w:pPr>
              <w:rPr>
                <w:sz w:val="19"/>
                <w:szCs w:val="19"/>
              </w:rPr>
            </w:pPr>
            <w:r w:rsidRPr="000F6EC6">
              <w:rPr>
                <w:sz w:val="19"/>
                <w:szCs w:val="19"/>
              </w:rPr>
              <w:t>The solid reorders to a different solid. Bond lengths and geometry of the element(s) change.</w:t>
            </w:r>
          </w:p>
        </w:tc>
      </w:tr>
      <w:tr w:rsidR="00337D2D" w:rsidRPr="0071477D" w14:paraId="611A264C" w14:textId="77777777" w:rsidTr="00EC27DE">
        <w:trPr>
          <w:trHeight w:val="233"/>
        </w:trPr>
        <w:tc>
          <w:tcPr>
            <w:tcW w:w="556" w:type="dxa"/>
            <w:vMerge w:val="restart"/>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textDirection w:val="btLr"/>
            <w:vAlign w:val="center"/>
            <w:hideMark/>
          </w:tcPr>
          <w:p w14:paraId="673464F9" w14:textId="77777777" w:rsidR="00337D2D" w:rsidRPr="0071477D" w:rsidRDefault="00337D2D" w:rsidP="00EC27DE">
            <w:pPr>
              <w:rPr>
                <w:sz w:val="20"/>
                <w:szCs w:val="20"/>
              </w:rPr>
            </w:pPr>
            <w:r w:rsidRPr="0071477D">
              <w:rPr>
                <w:sz w:val="20"/>
                <w:szCs w:val="20"/>
              </w:rPr>
              <w:t>Group hypotheses</w:t>
            </w: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601286B0" w14:textId="77777777" w:rsidR="00337D2D" w:rsidRPr="000F6EC6" w:rsidRDefault="00337D2D" w:rsidP="00EC27DE">
            <w:pPr>
              <w:rPr>
                <w:sz w:val="19"/>
                <w:szCs w:val="19"/>
              </w:rPr>
            </w:pPr>
            <w:r w:rsidRPr="000F6EC6">
              <w:rPr>
                <w:sz w:val="19"/>
                <w:szCs w:val="19"/>
              </w:rPr>
              <w:t>Discuss with your team which phases of carbon you would expect to form in the Earth (below the surface) based on Figure 2 and the pressures and temperatures listed in Table 3.1 or shown in Figure 3.1?</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41C5ECCC" w14:textId="77777777" w:rsidR="00337D2D" w:rsidRPr="000F6EC6" w:rsidRDefault="00337D2D" w:rsidP="00EC27DE">
            <w:pPr>
              <w:rPr>
                <w:sz w:val="19"/>
                <w:szCs w:val="19"/>
              </w:rPr>
            </w:pPr>
            <w:r w:rsidRPr="000F6EC6">
              <w:rPr>
                <w:sz w:val="19"/>
                <w:szCs w:val="19"/>
              </w:rPr>
              <w:t>Figure 3.2b shows the P-T path of the Earth overlain on the phase diagram, which can aid in visualizing the phases of carbon that could be found in Earth.</w:t>
            </w:r>
          </w:p>
        </w:tc>
      </w:tr>
      <w:tr w:rsidR="00337D2D" w:rsidRPr="0071477D" w14:paraId="1ACF2F1E" w14:textId="77777777" w:rsidTr="00EC27DE">
        <w:trPr>
          <w:trHeight w:val="143"/>
        </w:trPr>
        <w:tc>
          <w:tcPr>
            <w:tcW w:w="556" w:type="dxa"/>
            <w:vMerge/>
            <w:tcBorders>
              <w:top w:val="single" w:sz="4" w:space="0" w:color="000000"/>
              <w:left w:val="single" w:sz="4" w:space="0" w:color="000000"/>
              <w:bottom w:val="single" w:sz="4" w:space="0" w:color="000000"/>
              <w:right w:val="single" w:sz="4" w:space="0" w:color="000000"/>
            </w:tcBorders>
            <w:vAlign w:val="center"/>
            <w:hideMark/>
          </w:tcPr>
          <w:p w14:paraId="433C29CB" w14:textId="77777777" w:rsidR="00337D2D" w:rsidRPr="0071477D" w:rsidRDefault="00337D2D" w:rsidP="00EC27DE">
            <w:pPr>
              <w:rPr>
                <w:sz w:val="20"/>
                <w:szCs w:val="20"/>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761C3812" w14:textId="77777777" w:rsidR="00337D2D" w:rsidRPr="000F6EC6" w:rsidRDefault="00337D2D" w:rsidP="00EC27DE">
            <w:pPr>
              <w:rPr>
                <w:sz w:val="19"/>
                <w:szCs w:val="19"/>
              </w:rPr>
            </w:pPr>
            <w:r w:rsidRPr="000F6EC6">
              <w:rPr>
                <w:sz w:val="19"/>
                <w:szCs w:val="19"/>
              </w:rPr>
              <w:t xml:space="preserve">Would you expect carbon minerals, </w:t>
            </w:r>
            <w:proofErr w:type="gramStart"/>
            <w:r w:rsidRPr="000F6EC6">
              <w:rPr>
                <w:sz w:val="19"/>
                <w:szCs w:val="19"/>
              </w:rPr>
              <w:t>graphite</w:t>
            </w:r>
            <w:proofErr w:type="gramEnd"/>
            <w:r w:rsidRPr="000F6EC6">
              <w:rPr>
                <w:sz w:val="19"/>
                <w:szCs w:val="19"/>
              </w:rPr>
              <w:t xml:space="preserve"> or diamond, to form in the inner or outer core?</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339FF6E3" w14:textId="77777777" w:rsidR="00337D2D" w:rsidRPr="000F6EC6" w:rsidRDefault="00337D2D" w:rsidP="00EC27DE">
            <w:pPr>
              <w:rPr>
                <w:sz w:val="19"/>
                <w:szCs w:val="19"/>
              </w:rPr>
            </w:pPr>
            <w:r w:rsidRPr="000F6EC6">
              <w:rPr>
                <w:sz w:val="19"/>
                <w:szCs w:val="19"/>
              </w:rPr>
              <w:t>Use Table 3.2 to discuss the phases present there and whether it would make sense to see any minerals in those layers.</w:t>
            </w:r>
          </w:p>
        </w:tc>
      </w:tr>
      <w:tr w:rsidR="00337D2D" w:rsidRPr="0071477D" w14:paraId="56F3DB6F" w14:textId="77777777" w:rsidTr="00EC27DE">
        <w:trPr>
          <w:trHeight w:val="20"/>
        </w:trPr>
        <w:tc>
          <w:tcPr>
            <w:tcW w:w="556" w:type="dxa"/>
            <w:vMerge/>
            <w:tcBorders>
              <w:top w:val="single" w:sz="4" w:space="0" w:color="000000"/>
              <w:left w:val="single" w:sz="4" w:space="0" w:color="000000"/>
              <w:bottom w:val="single" w:sz="4" w:space="0" w:color="000000"/>
              <w:right w:val="single" w:sz="4" w:space="0" w:color="000000"/>
            </w:tcBorders>
            <w:vAlign w:val="center"/>
            <w:hideMark/>
          </w:tcPr>
          <w:p w14:paraId="194F64C6" w14:textId="77777777" w:rsidR="00337D2D" w:rsidRPr="0071477D" w:rsidRDefault="00337D2D" w:rsidP="00EC27DE">
            <w:pPr>
              <w:rPr>
                <w:sz w:val="20"/>
                <w:szCs w:val="20"/>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15D9AF5D" w14:textId="77777777" w:rsidR="00337D2D" w:rsidRPr="000F6EC6" w:rsidRDefault="00337D2D" w:rsidP="00EC27DE">
            <w:pPr>
              <w:rPr>
                <w:sz w:val="19"/>
                <w:szCs w:val="19"/>
              </w:rPr>
            </w:pPr>
            <w:r w:rsidRPr="000F6EC6">
              <w:rPr>
                <w:sz w:val="19"/>
                <w:szCs w:val="19"/>
              </w:rPr>
              <w:t>Which layer(s) of Earth would you expect to find graphite forming in?</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5B29356F" w14:textId="77777777" w:rsidR="00337D2D" w:rsidRPr="000F6EC6" w:rsidRDefault="00337D2D" w:rsidP="00EC27DE">
            <w:pPr>
              <w:rPr>
                <w:sz w:val="19"/>
                <w:szCs w:val="19"/>
              </w:rPr>
            </w:pPr>
            <w:r w:rsidRPr="000F6EC6">
              <w:rPr>
                <w:sz w:val="19"/>
                <w:szCs w:val="19"/>
              </w:rPr>
              <w:t>Using Figures 3.1 &amp; 3.2 combined with Table 3.1, students should predict surface to the transition zone in the mantle, but most stable in the upper mantle.</w:t>
            </w:r>
          </w:p>
        </w:tc>
      </w:tr>
      <w:tr w:rsidR="00337D2D" w:rsidRPr="0071477D" w14:paraId="4E818510" w14:textId="77777777" w:rsidTr="00EC27DE">
        <w:trPr>
          <w:trHeight w:val="215"/>
        </w:trPr>
        <w:tc>
          <w:tcPr>
            <w:tcW w:w="556" w:type="dxa"/>
            <w:vMerge/>
            <w:tcBorders>
              <w:top w:val="single" w:sz="4" w:space="0" w:color="000000"/>
              <w:left w:val="single" w:sz="4" w:space="0" w:color="000000"/>
              <w:bottom w:val="single" w:sz="4" w:space="0" w:color="000000"/>
              <w:right w:val="single" w:sz="4" w:space="0" w:color="000000"/>
            </w:tcBorders>
            <w:vAlign w:val="center"/>
            <w:hideMark/>
          </w:tcPr>
          <w:p w14:paraId="643611AE" w14:textId="77777777" w:rsidR="00337D2D" w:rsidRPr="0071477D" w:rsidRDefault="00337D2D" w:rsidP="00EC27DE">
            <w:pPr>
              <w:rPr>
                <w:sz w:val="20"/>
                <w:szCs w:val="20"/>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095130AF" w14:textId="77777777" w:rsidR="00337D2D" w:rsidRPr="000F6EC6" w:rsidRDefault="00337D2D" w:rsidP="00EC27DE">
            <w:pPr>
              <w:rPr>
                <w:sz w:val="19"/>
                <w:szCs w:val="19"/>
              </w:rPr>
            </w:pPr>
            <w:r w:rsidRPr="000F6EC6">
              <w:rPr>
                <w:sz w:val="19"/>
                <w:szCs w:val="19"/>
              </w:rPr>
              <w:t>Which layer(s) of Earth would you expect to find diamond forming in?</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0AC54F57" w14:textId="77777777" w:rsidR="00337D2D" w:rsidRPr="000F6EC6" w:rsidRDefault="00337D2D" w:rsidP="00EC27DE">
            <w:pPr>
              <w:rPr>
                <w:sz w:val="19"/>
                <w:szCs w:val="19"/>
              </w:rPr>
            </w:pPr>
            <w:r w:rsidRPr="000F6EC6">
              <w:rPr>
                <w:sz w:val="19"/>
                <w:szCs w:val="19"/>
              </w:rPr>
              <w:t>Using Figures 3.1 &amp; 3.2 combined with Table 3.1, students should predict anywhere in the mantle, but more stable deeper.</w:t>
            </w:r>
          </w:p>
        </w:tc>
      </w:tr>
      <w:tr w:rsidR="00337D2D" w:rsidRPr="0071477D" w14:paraId="1124D22A" w14:textId="77777777" w:rsidTr="00EC27DE">
        <w:trPr>
          <w:trHeight w:val="53"/>
        </w:trPr>
        <w:tc>
          <w:tcPr>
            <w:tcW w:w="556" w:type="dxa"/>
            <w:vMerge w:val="restart"/>
            <w:tcBorders>
              <w:top w:val="single" w:sz="4" w:space="0" w:color="000000"/>
              <w:left w:val="single" w:sz="4" w:space="0" w:color="000000"/>
              <w:right w:val="single" w:sz="4" w:space="0" w:color="000000"/>
            </w:tcBorders>
            <w:shd w:val="clear" w:color="auto" w:fill="auto"/>
            <w:tcMar>
              <w:top w:w="72" w:type="dxa"/>
              <w:left w:w="72" w:type="dxa"/>
              <w:bottom w:w="72" w:type="dxa"/>
              <w:right w:w="72" w:type="dxa"/>
            </w:tcMar>
            <w:textDirection w:val="btLr"/>
            <w:vAlign w:val="center"/>
            <w:hideMark/>
          </w:tcPr>
          <w:p w14:paraId="59DA8317" w14:textId="77777777" w:rsidR="00337D2D" w:rsidRPr="0071477D" w:rsidRDefault="00337D2D" w:rsidP="00EC27DE">
            <w:pPr>
              <w:rPr>
                <w:sz w:val="20"/>
                <w:szCs w:val="20"/>
              </w:rPr>
            </w:pPr>
            <w:r w:rsidRPr="0071477D">
              <w:rPr>
                <w:sz w:val="20"/>
                <w:szCs w:val="20"/>
              </w:rPr>
              <w:t>Follow up</w:t>
            </w: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2EE3DFC0" w14:textId="77777777" w:rsidR="00337D2D" w:rsidRPr="000F6EC6" w:rsidRDefault="00337D2D" w:rsidP="00EC27DE">
            <w:pPr>
              <w:rPr>
                <w:sz w:val="19"/>
                <w:szCs w:val="19"/>
              </w:rPr>
            </w:pPr>
            <w:r w:rsidRPr="000F6EC6">
              <w:rPr>
                <w:sz w:val="19"/>
                <w:szCs w:val="19"/>
              </w:rPr>
              <w:t>Do you see any similarities between the molecular model for graphite and the molecular model for diamond?</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770B8CC8" w14:textId="77777777" w:rsidR="00337D2D" w:rsidRPr="000F6EC6" w:rsidRDefault="00337D2D" w:rsidP="00EC27DE">
            <w:pPr>
              <w:rPr>
                <w:sz w:val="19"/>
                <w:szCs w:val="19"/>
              </w:rPr>
            </w:pPr>
            <w:r w:rsidRPr="000F6EC6">
              <w:rPr>
                <w:sz w:val="19"/>
                <w:szCs w:val="19"/>
              </w:rPr>
              <w:t>When you rotate the diamond model around you should see that it also forms hexagons when viewed in 2 dimensions</w:t>
            </w:r>
          </w:p>
        </w:tc>
      </w:tr>
      <w:tr w:rsidR="00337D2D" w:rsidRPr="0071477D" w14:paraId="2F38A13A" w14:textId="77777777" w:rsidTr="00EC27DE">
        <w:trPr>
          <w:trHeight w:val="71"/>
        </w:trPr>
        <w:tc>
          <w:tcPr>
            <w:tcW w:w="556" w:type="dxa"/>
            <w:vMerge/>
            <w:tcBorders>
              <w:left w:val="single" w:sz="4" w:space="0" w:color="000000"/>
              <w:right w:val="single" w:sz="4" w:space="0" w:color="000000"/>
            </w:tcBorders>
            <w:vAlign w:val="center"/>
            <w:hideMark/>
          </w:tcPr>
          <w:p w14:paraId="4C9F5253" w14:textId="77777777" w:rsidR="00337D2D" w:rsidRPr="0071477D" w:rsidRDefault="00337D2D" w:rsidP="00EC27DE">
            <w:pPr>
              <w:rPr>
                <w:sz w:val="20"/>
                <w:szCs w:val="20"/>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1726156B" w14:textId="77777777" w:rsidR="00337D2D" w:rsidRPr="000F6EC6" w:rsidRDefault="00337D2D" w:rsidP="00EC27DE">
            <w:pPr>
              <w:rPr>
                <w:sz w:val="19"/>
                <w:szCs w:val="19"/>
              </w:rPr>
            </w:pPr>
            <w:r w:rsidRPr="000F6EC6">
              <w:rPr>
                <w:sz w:val="19"/>
                <w:szCs w:val="19"/>
              </w:rPr>
              <w:t>Which carbon mineral would you expect to be stronger against outside forces?</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hideMark/>
          </w:tcPr>
          <w:p w14:paraId="2B10667D" w14:textId="77777777" w:rsidR="00337D2D" w:rsidRPr="000F6EC6" w:rsidRDefault="00337D2D" w:rsidP="00EC27DE">
            <w:pPr>
              <w:rPr>
                <w:sz w:val="19"/>
                <w:szCs w:val="19"/>
              </w:rPr>
            </w:pPr>
            <w:r w:rsidRPr="000F6EC6">
              <w:rPr>
                <w:sz w:val="19"/>
                <w:szCs w:val="19"/>
              </w:rPr>
              <w:t>If time permits, you can talk about Moh's Hardness Scale and the relative strength of the minerals.</w:t>
            </w:r>
          </w:p>
        </w:tc>
      </w:tr>
      <w:tr w:rsidR="00337D2D" w:rsidRPr="0071477D" w14:paraId="4C499EFC" w14:textId="77777777" w:rsidTr="00EC27DE">
        <w:trPr>
          <w:trHeight w:val="71"/>
        </w:trPr>
        <w:tc>
          <w:tcPr>
            <w:tcW w:w="556" w:type="dxa"/>
            <w:vMerge/>
            <w:tcBorders>
              <w:left w:val="single" w:sz="4" w:space="0" w:color="000000"/>
              <w:bottom w:val="single" w:sz="4" w:space="0" w:color="000000"/>
              <w:right w:val="single" w:sz="4" w:space="0" w:color="000000"/>
            </w:tcBorders>
            <w:vAlign w:val="center"/>
          </w:tcPr>
          <w:p w14:paraId="2A8E036A" w14:textId="77777777" w:rsidR="00337D2D" w:rsidRPr="0071477D" w:rsidRDefault="00337D2D" w:rsidP="00EC27DE">
            <w:pPr>
              <w:rPr>
                <w:sz w:val="20"/>
                <w:szCs w:val="20"/>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2525CF14" w14:textId="77777777" w:rsidR="00337D2D" w:rsidRPr="000F6EC6" w:rsidRDefault="00337D2D" w:rsidP="00EC27DE">
            <w:pPr>
              <w:rPr>
                <w:sz w:val="19"/>
                <w:szCs w:val="19"/>
              </w:rPr>
            </w:pPr>
            <w:r w:rsidRPr="000F6EC6">
              <w:rPr>
                <w:sz w:val="19"/>
                <w:szCs w:val="19"/>
              </w:rPr>
              <w:t>What are some uses for each carbon mineral? How does their strength relate to their use in that application?</w:t>
            </w:r>
          </w:p>
        </w:tc>
        <w:tc>
          <w:tcPr>
            <w:tcW w:w="8550" w:type="dxa"/>
            <w:tcBorders>
              <w:top w:val="single" w:sz="4" w:space="0" w:color="000000"/>
              <w:left w:val="single" w:sz="4" w:space="0" w:color="000000"/>
              <w:bottom w:val="single" w:sz="4" w:space="0" w:color="000000"/>
              <w:right w:val="single" w:sz="4" w:space="0" w:color="000000"/>
            </w:tcBorders>
            <w:shd w:val="clear" w:color="auto" w:fill="auto"/>
            <w:tcMar>
              <w:top w:w="72" w:type="dxa"/>
              <w:left w:w="72" w:type="dxa"/>
              <w:bottom w:w="72" w:type="dxa"/>
              <w:right w:w="72" w:type="dxa"/>
            </w:tcMar>
            <w:vAlign w:val="center"/>
          </w:tcPr>
          <w:p w14:paraId="3685F660" w14:textId="77777777" w:rsidR="00337D2D" w:rsidRPr="000F6EC6" w:rsidRDefault="00337D2D" w:rsidP="00EC27DE">
            <w:pPr>
              <w:rPr>
                <w:sz w:val="19"/>
                <w:szCs w:val="19"/>
              </w:rPr>
            </w:pPr>
            <w:r w:rsidRPr="000F6EC6">
              <w:rPr>
                <w:sz w:val="19"/>
                <w:szCs w:val="19"/>
                <w:u w:val="single"/>
              </w:rPr>
              <w:t>Graphite</w:t>
            </w:r>
            <w:r w:rsidRPr="000F6EC6">
              <w:rPr>
                <w:sz w:val="19"/>
                <w:szCs w:val="19"/>
              </w:rPr>
              <w:t xml:space="preserve">: </w:t>
            </w:r>
            <w:r w:rsidRPr="000F6EC6">
              <w:rPr>
                <w:b/>
                <w:bCs/>
                <w:sz w:val="19"/>
                <w:szCs w:val="19"/>
              </w:rPr>
              <w:t>Pencil cores ('leads')</w:t>
            </w:r>
            <w:r w:rsidRPr="000F6EC6">
              <w:rPr>
                <w:sz w:val="19"/>
                <w:szCs w:val="19"/>
              </w:rPr>
              <w:t xml:space="preserve"> because it is softer than paper and the hexagons (</w:t>
            </w:r>
            <w:proofErr w:type="spellStart"/>
            <w:r w:rsidRPr="000F6EC6">
              <w:rPr>
                <w:i/>
                <w:iCs/>
                <w:sz w:val="19"/>
                <w:szCs w:val="19"/>
              </w:rPr>
              <w:t>graphenes</w:t>
            </w:r>
            <w:proofErr w:type="spellEnd"/>
            <w:r w:rsidRPr="000F6EC6">
              <w:rPr>
                <w:sz w:val="19"/>
                <w:szCs w:val="19"/>
              </w:rPr>
              <w:t xml:space="preserve">) will flake off and be left on the paper because the vertical bonds are weak. </w:t>
            </w:r>
            <w:r w:rsidRPr="000F6EC6">
              <w:rPr>
                <w:b/>
                <w:bCs/>
                <w:sz w:val="19"/>
                <w:szCs w:val="19"/>
              </w:rPr>
              <w:t xml:space="preserve">Lubricants </w:t>
            </w:r>
            <w:r w:rsidRPr="000F6EC6">
              <w:rPr>
                <w:sz w:val="19"/>
                <w:szCs w:val="19"/>
              </w:rPr>
              <w:t xml:space="preserve">because they can form a thin film and withstand very high temperatures without changing chemically.  </w:t>
            </w:r>
            <w:r w:rsidRPr="000F6EC6">
              <w:rPr>
                <w:sz w:val="19"/>
                <w:szCs w:val="19"/>
              </w:rPr>
              <w:br/>
            </w:r>
            <w:r w:rsidRPr="000F6EC6">
              <w:rPr>
                <w:sz w:val="19"/>
                <w:szCs w:val="19"/>
                <w:u w:val="single"/>
              </w:rPr>
              <w:t>Diamond</w:t>
            </w:r>
            <w:r w:rsidRPr="000F6EC6">
              <w:rPr>
                <w:sz w:val="19"/>
                <w:szCs w:val="19"/>
              </w:rPr>
              <w:t xml:space="preserve">: </w:t>
            </w:r>
            <w:r w:rsidRPr="000F6EC6">
              <w:rPr>
                <w:b/>
                <w:bCs/>
                <w:sz w:val="19"/>
                <w:szCs w:val="19"/>
              </w:rPr>
              <w:t>Abrasives</w:t>
            </w:r>
            <w:r w:rsidRPr="000F6EC6">
              <w:rPr>
                <w:sz w:val="19"/>
                <w:szCs w:val="19"/>
              </w:rPr>
              <w:t xml:space="preserve"> such as precision sandpapers and files for polishing because it is one of the strongest materials available. </w:t>
            </w:r>
            <w:r w:rsidRPr="000F6EC6">
              <w:rPr>
                <w:b/>
                <w:bCs/>
                <w:sz w:val="19"/>
                <w:szCs w:val="19"/>
              </w:rPr>
              <w:t>Jewelry</w:t>
            </w:r>
            <w:r w:rsidRPr="000F6EC6">
              <w:rPr>
                <w:sz w:val="19"/>
                <w:szCs w:val="19"/>
              </w:rPr>
              <w:t xml:space="preserve"> because it holds up against the elements and will last for a lifetime even when worn every day.</w:t>
            </w:r>
          </w:p>
        </w:tc>
      </w:tr>
    </w:tbl>
    <w:p w14:paraId="7135C7F1" w14:textId="77777777" w:rsidR="00337D2D" w:rsidRDefault="00337D2D" w:rsidP="00337D2D">
      <w:pPr>
        <w:keepNext/>
        <w:sectPr w:rsidR="00337D2D" w:rsidSect="00337D2D">
          <w:pgSz w:w="15840" w:h="12240" w:orient="landscape" w:code="1"/>
          <w:pgMar w:top="1440" w:right="1440" w:bottom="1440" w:left="1440" w:header="720" w:footer="1440" w:gutter="0"/>
          <w:cols w:space="720"/>
          <w:noEndnote/>
          <w:docGrid w:linePitch="360"/>
        </w:sectPr>
      </w:pPr>
    </w:p>
    <w:p w14:paraId="20378E6A" w14:textId="77777777" w:rsidR="00164D4C" w:rsidRDefault="00164D4C" w:rsidP="00337D2D">
      <w:pPr>
        <w:keepNext/>
      </w:pPr>
      <w:r w:rsidRPr="00523430">
        <w:rPr>
          <w:noProof/>
        </w:rPr>
        <w:lastRenderedPageBreak/>
        <w:drawing>
          <wp:inline distT="0" distB="0" distL="0" distR="0" wp14:anchorId="759723A9" wp14:editId="424013BD">
            <wp:extent cx="5943600" cy="4107815"/>
            <wp:effectExtent l="0" t="0" r="0" b="6985"/>
            <wp:docPr id="3" name="Picture 2" descr="Map&#10;&#10;Description automatically generated">
              <a:extLst xmlns:a="http://schemas.openxmlformats.org/drawingml/2006/main">
                <a:ext uri="{FF2B5EF4-FFF2-40B4-BE49-F238E27FC236}">
                  <a16:creationId xmlns:a16="http://schemas.microsoft.com/office/drawing/2014/main" id="{5910E52A-8B22-4963-8EDF-EFD41ADAD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p&#10;&#10;Description automatically generated">
                      <a:extLst>
                        <a:ext uri="{FF2B5EF4-FFF2-40B4-BE49-F238E27FC236}">
                          <a16:creationId xmlns:a16="http://schemas.microsoft.com/office/drawing/2014/main" id="{5910E52A-8B22-4963-8EDF-EFD41ADADC3A}"/>
                        </a:ext>
                      </a:extLst>
                    </pic:cNvPr>
                    <pic:cNvPicPr>
                      <a:picLocks noChangeAspect="1"/>
                    </pic:cNvPicPr>
                  </pic:nvPicPr>
                  <pic:blipFill>
                    <a:blip r:embed="rId33" cstate="print">
                      <a:extLst>
                        <a:ext uri="{28A0092B-C50C-407E-A947-70E740481C1C}">
                          <a14:useLocalDpi xmlns:a14="http://schemas.microsoft.com/office/drawing/2010/main" val="0"/>
                        </a:ext>
                      </a:extLst>
                    </a:blip>
                    <a:srcRect/>
                    <a:stretch/>
                  </pic:blipFill>
                  <pic:spPr>
                    <a:xfrm>
                      <a:off x="0" y="0"/>
                      <a:ext cx="5943600" cy="4107815"/>
                    </a:xfrm>
                    <a:prstGeom prst="rect">
                      <a:avLst/>
                    </a:prstGeom>
                  </pic:spPr>
                </pic:pic>
              </a:graphicData>
            </a:graphic>
          </wp:inline>
        </w:drawing>
      </w:r>
    </w:p>
    <w:p w14:paraId="0E5F3594" w14:textId="0DB731AB" w:rsidR="00164D4C" w:rsidRDefault="00164D4C" w:rsidP="00164D4C">
      <w:pPr>
        <w:pStyle w:val="Caption"/>
        <w:rPr>
          <w:b w:val="0"/>
          <w:bCs w:val="0"/>
          <w:sz w:val="20"/>
          <w:szCs w:val="20"/>
        </w:rPr>
      </w:pPr>
      <w:bookmarkStart w:id="113" w:name="_Toc109738680"/>
      <w:r w:rsidRPr="00523430">
        <w:rPr>
          <w:b w:val="0"/>
          <w:bCs w:val="0"/>
          <w:sz w:val="20"/>
          <w:szCs w:val="20"/>
        </w:rPr>
        <w:t xml:space="preserve">Figure </w:t>
      </w:r>
      <w:r>
        <w:rPr>
          <w:b w:val="0"/>
          <w:bCs w:val="0"/>
          <w:sz w:val="20"/>
          <w:szCs w:val="20"/>
        </w:rPr>
        <w:t>3</w:t>
      </w:r>
      <w:r w:rsidRPr="00523430">
        <w:rPr>
          <w:b w:val="0"/>
          <w:bCs w:val="0"/>
          <w:sz w:val="20"/>
          <w:szCs w:val="20"/>
        </w:rPr>
        <w:t>.</w:t>
      </w:r>
      <w:r>
        <w:rPr>
          <w:b w:val="0"/>
          <w:bCs w:val="0"/>
          <w:sz w:val="20"/>
          <w:szCs w:val="20"/>
        </w:rPr>
        <w:fldChar w:fldCharType="begin"/>
      </w:r>
      <w:r>
        <w:rPr>
          <w:b w:val="0"/>
          <w:bCs w:val="0"/>
          <w:sz w:val="20"/>
          <w:szCs w:val="20"/>
        </w:rPr>
        <w:instrText xml:space="preserve"> SEQ Figure \* ARABIC \s 1 </w:instrText>
      </w:r>
      <w:r>
        <w:rPr>
          <w:b w:val="0"/>
          <w:bCs w:val="0"/>
          <w:sz w:val="20"/>
          <w:szCs w:val="20"/>
        </w:rPr>
        <w:fldChar w:fldCharType="separate"/>
      </w:r>
      <w:r w:rsidR="008701A2">
        <w:rPr>
          <w:b w:val="0"/>
          <w:bCs w:val="0"/>
          <w:noProof/>
          <w:sz w:val="20"/>
          <w:szCs w:val="20"/>
        </w:rPr>
        <w:t>3</w:t>
      </w:r>
      <w:r>
        <w:rPr>
          <w:b w:val="0"/>
          <w:bCs w:val="0"/>
          <w:sz w:val="20"/>
          <w:szCs w:val="20"/>
        </w:rPr>
        <w:fldChar w:fldCharType="end"/>
      </w:r>
      <w:r w:rsidRPr="00523430">
        <w:rPr>
          <w:b w:val="0"/>
          <w:bCs w:val="0"/>
          <w:sz w:val="20"/>
          <w:szCs w:val="20"/>
        </w:rPr>
        <w:t xml:space="preserve">. Based on figure 4.6 from </w:t>
      </w:r>
      <w:r w:rsidRPr="00523430">
        <w:rPr>
          <w:b w:val="0"/>
          <w:bCs w:val="0"/>
          <w:i/>
          <w:iCs/>
          <w:sz w:val="20"/>
          <w:szCs w:val="20"/>
        </w:rPr>
        <w:t>Deep Carbon</w:t>
      </w:r>
      <w:r w:rsidRPr="00523430">
        <w:rPr>
          <w:b w:val="0"/>
          <w:bCs w:val="0"/>
          <w:sz w:val="20"/>
          <w:szCs w:val="20"/>
        </w:rPr>
        <w:t xml:space="preserve"> chapter 4 “Carbon-Bearing Phases throughout Earth’s Interior”, showing simplified distribution and forms of carbon inside the Earth. The thickness of the oceanic crust and subducting slab are vertically exaggerated for clarity in comparison to values in Table 3.</w:t>
      </w:r>
      <w:r>
        <w:rPr>
          <w:b w:val="0"/>
          <w:bCs w:val="0"/>
          <w:sz w:val="20"/>
          <w:szCs w:val="20"/>
        </w:rPr>
        <w:t>3</w:t>
      </w:r>
      <w:r w:rsidRPr="00523430">
        <w:rPr>
          <w:b w:val="0"/>
          <w:bCs w:val="0"/>
          <w:sz w:val="20"/>
          <w:szCs w:val="20"/>
        </w:rPr>
        <w:t>.</w:t>
      </w:r>
      <w:bookmarkEnd w:id="113"/>
    </w:p>
    <w:p w14:paraId="194846C6" w14:textId="7EF2EF44" w:rsidR="00164D4C" w:rsidRDefault="00164D4C" w:rsidP="007E347D">
      <w:pPr>
        <w:spacing w:line="360" w:lineRule="auto"/>
      </w:pPr>
      <w:r>
        <w:br w:type="page"/>
      </w:r>
    </w:p>
    <w:p w14:paraId="72C32C7A" w14:textId="43B8880E" w:rsidR="00F66C2B" w:rsidRDefault="008813E5" w:rsidP="007E347D">
      <w:pPr>
        <w:spacing w:line="360" w:lineRule="auto"/>
      </w:pPr>
      <w:r>
        <w:lastRenderedPageBreak/>
        <w:t xml:space="preserve">the reaction type that occurs in order to crystallize diamonds in those regions </w:t>
      </w:r>
      <w:r>
        <w:fldChar w:fldCharType="begin" w:fldLock="1"/>
      </w:r>
      <w:r>
        <w:instrText>ADDIN CSL_CITATION {"citationItems":[{"id":"ITEM-1","itemData":{"DOI":"10.1017/9781108677950","ISBN":"9781108677950","abstract":"Carbon is one of the most important elements of our planet, and ninety percent of it resides inside Earth's interior. This book summarizes ten years of research by scientists involved in the Deep Carbon Observatory, a global community of 1200 scientists. It is a comprehensive guide to carbon inside Earth, including its quantities, movements, forms, origins, changes over time, and impact on planetary processes. Leading experts from a variety of fields, including geoscience, biology, chemistry, and physics, provide exciting new insights into the interconnected nature of the global carbon cycle, and explain why it matters to the past, present, and future of our planet. With end-of-chapter problems, illustrative infographics, full-color images, and access to online models and datasets, it is a valuable reference for graduate students, researchers, and professional scientists interested in carbon cycling and Earth system science. This title is also available as Open Access on Cambridge Core.","editor":[{"dropping-particle":"","family":"Orcutt","given":"Beth N.","non-dropping-particle":"","parse-names":false,"suffix":""},{"dropping-particle":"","family":"Daniel","given":"Isabelle","non-dropping-particle":"","parse-names":false,"suffix":""},{"dropping-particle":"","family":"Dasgupta","given":"Rajdeep","non-dropping-particle":"","parse-names":false,"suffix":""}],"id":"ITEM-1","issue":"8.5.2017","issued":{"date-parts":[["2019","10"]]},"number-of-pages":"684","publisher":"Cambridge University Press","title":"Deep Carbon","type":"book"},"uris":["http://www.mendeley.com/documents/?uuid=6a326dab-3648-4d6e-9648-6eb4280385cc"]}],"mendeley":{"formattedCitation":"(Orcutt et al., 2019)","plainTextFormattedCitation":"(Orcutt et al., 2019)","previouslyFormattedCitation":"(Orcutt et al., 2019)"},"properties":{"noteIndex":0},"schema":"https://github.com/citation-style-language/schema/raw/master/csl-citation.json"}</w:instrText>
      </w:r>
      <w:r>
        <w:fldChar w:fldCharType="separate"/>
      </w:r>
      <w:r>
        <w:rPr>
          <w:noProof/>
        </w:rPr>
        <w:t>(Orcutt et al., 2019)</w:t>
      </w:r>
      <w:r>
        <w:fldChar w:fldCharType="end"/>
      </w:r>
      <w:r>
        <w:t>.</w:t>
      </w:r>
    </w:p>
    <w:p w14:paraId="446E8BB4" w14:textId="5452B786" w:rsidR="00523430" w:rsidRDefault="008813E5" w:rsidP="00056273">
      <w:pPr>
        <w:pStyle w:val="Heading2"/>
        <w:spacing w:line="360" w:lineRule="auto"/>
      </w:pPr>
      <w:bookmarkStart w:id="114" w:name="_Toc109036175"/>
      <w:r>
        <w:t>5</w:t>
      </w:r>
      <w:r w:rsidR="00586653">
        <w:t xml:space="preserve">. </w:t>
      </w:r>
      <w:r w:rsidR="00523430">
        <w:t>Hands On: Molecular Models of Solid Phases of Elemental Carbon</w:t>
      </w:r>
      <w:bookmarkEnd w:id="114"/>
    </w:p>
    <w:p w14:paraId="6623AC84" w14:textId="086B9792" w:rsidR="00523430" w:rsidRDefault="00523430" w:rsidP="00056273">
      <w:pPr>
        <w:spacing w:line="360" w:lineRule="auto"/>
        <w:ind w:firstLine="360"/>
      </w:pPr>
      <w:r>
        <w:t>For the activity portion of this lesson, students work in groups to build molecular models of graphite and diamond to compare the geometries of the molecular structure between the two minerals. Classroom kits distributed through our program to local public libraries contain molecular model sets as outlined in Table 3.</w:t>
      </w:r>
      <w:r w:rsidR="00FA73CD">
        <w:t>5</w:t>
      </w:r>
      <w:r>
        <w:t xml:space="preserve"> based on the components from Indigo Instruments </w:t>
      </w:r>
      <w:r>
        <w:fldChar w:fldCharType="begin" w:fldLock="1"/>
      </w:r>
      <w:r>
        <w:instrText>ADDIN CSL_CITATION {"citationItems":[{"id":"ITEM-1","itemData":{"URL":"indigoinstruments.com","id":"ITEM-1","issued":{"date-parts":[["2022"]]},"title":"Indigo Instruments","type":"webpage"},"uris":["http://www.mendeley.com/documents/?uuid=4ef517e5-f3b1-4946-8e56-e3375c52f196"]}],"mendeley":{"formattedCitation":"(&lt;i&gt;Indigo Instruments&lt;/i&gt;, 2022)","plainTextFormattedCitation":"(Indigo Instruments, 2022)","previouslyFormattedCitation":"(&lt;i&gt;Indigo Instruments&lt;/i&gt;, 2022)"},"properties":{"noteIndex":0},"schema":"https://github.com/citation-style-language/schema/raw/master/csl-citation.json"}</w:instrText>
      </w:r>
      <w:r>
        <w:fldChar w:fldCharType="separate"/>
      </w:r>
      <w:r w:rsidRPr="003F761B">
        <w:rPr>
          <w:noProof/>
        </w:rPr>
        <w:t>(</w:t>
      </w:r>
      <w:r w:rsidRPr="003F761B">
        <w:rPr>
          <w:i/>
          <w:noProof/>
        </w:rPr>
        <w:t>Indigo Instruments</w:t>
      </w:r>
      <w:r w:rsidRPr="003F761B">
        <w:rPr>
          <w:noProof/>
        </w:rPr>
        <w:t>, 2022)</w:t>
      </w:r>
      <w:r>
        <w:fldChar w:fldCharType="end"/>
      </w:r>
      <w:r>
        <w:t xml:space="preserve">. With time constraints in mind, student groups can be directed on constructing models in two different ways: with or without visual instruction prompts shown as Figure 3.4. If students are not provided cues, the goal is to encourage them to think about bond angles and overall geometry of structure, while keeping in mind that minerals are repetitive. It is worth noting that in the diamond structure, the carbon atoms alternate orientation to efficiently form the repetitive structure. </w:t>
      </w:r>
    </w:p>
    <w:p w14:paraId="7618A89D" w14:textId="2C57985F" w:rsidR="00523430" w:rsidRDefault="008813E5" w:rsidP="00056273">
      <w:pPr>
        <w:pStyle w:val="Heading2"/>
        <w:spacing w:line="360" w:lineRule="auto"/>
      </w:pPr>
      <w:bookmarkStart w:id="115" w:name="_Toc109036176"/>
      <w:r>
        <w:t>6</w:t>
      </w:r>
      <w:r w:rsidR="00586653">
        <w:t xml:space="preserve">. </w:t>
      </w:r>
      <w:r w:rsidR="00523430">
        <w:t>Lesson Wrap-Up: Same Element, Same Phase, Different Structure</w:t>
      </w:r>
      <w:bookmarkEnd w:id="115"/>
    </w:p>
    <w:p w14:paraId="7E4B96DA" w14:textId="0F707780" w:rsidR="00523430" w:rsidRDefault="00523430" w:rsidP="00B41D6C">
      <w:pPr>
        <w:spacing w:line="360" w:lineRule="auto"/>
        <w:ind w:firstLine="360"/>
      </w:pPr>
      <w:r>
        <w:t xml:space="preserve">After students have had time to construct their models, check groups for correct construction if no cues were provided, or completion, before reconvening a class discussion.  Thanks to the nature of minerals as repeating patterns, each group’s individual model can be compiled into one large whole-class mineral model during the class summary discussion. </w:t>
      </w:r>
    </w:p>
    <w:p w14:paraId="5E71E0E6" w14:textId="0CDE0FA1" w:rsidR="00AD6382" w:rsidRDefault="004417AB" w:rsidP="00C165AD">
      <w:pPr>
        <w:spacing w:line="360" w:lineRule="auto"/>
        <w:ind w:firstLine="360"/>
      </w:pPr>
      <w:r>
        <w:t xml:space="preserve">Some recommendations for follow-up questions can be found in Table </w:t>
      </w:r>
      <w:r w:rsidR="0029587E">
        <w:t>3.</w:t>
      </w:r>
      <w:r w:rsidR="00164D4C">
        <w:t>2</w:t>
      </w:r>
      <w:r>
        <w:t xml:space="preserve"> if students are unsure of where to begin. Some different classifications of conversations can be visual differences in the two forms of native carbon minerals, how the minerals might react to different things, such as forces and other elements, and how the structure might relate to the industrial applications of the mineral</w:t>
      </w:r>
      <w:r w:rsidR="00C165AD">
        <w:t>.</w:t>
      </w:r>
    </w:p>
    <w:p w14:paraId="426BAA91" w14:textId="77777777" w:rsidR="00337D2D" w:rsidRDefault="004417AB" w:rsidP="00C165AD">
      <w:pPr>
        <w:spacing w:line="360" w:lineRule="auto"/>
        <w:ind w:firstLine="720"/>
      </w:pPr>
      <w:r>
        <w:t xml:space="preserve">For further information on mineral properties, each mineral can be found on mindat.org. If specimens of each mineral are available, discussion on the Moh’s hardness scale can be combined with the molecular models. Moh’s hardness is a </w:t>
      </w:r>
      <w:r w:rsidR="006709E2">
        <w:t xml:space="preserve">relative (qualitative) scale based on common minerals where 1 is the softest material </w:t>
      </w:r>
      <w:r w:rsidR="00337D2D">
        <w:br w:type="page"/>
      </w:r>
    </w:p>
    <w:p w14:paraId="377B6068" w14:textId="77777777" w:rsidR="00337D2D" w:rsidRDefault="00337D2D" w:rsidP="00C165AD">
      <w:pPr>
        <w:spacing w:line="360" w:lineRule="auto"/>
        <w:ind w:firstLine="720"/>
        <w:sectPr w:rsidR="00337D2D" w:rsidSect="0071477D">
          <w:pgSz w:w="12240" w:h="15840" w:code="1"/>
          <w:pgMar w:top="1440" w:right="1440" w:bottom="1440" w:left="1440" w:header="720" w:footer="1440" w:gutter="0"/>
          <w:cols w:space="720"/>
          <w:noEndnote/>
          <w:docGrid w:linePitch="360"/>
        </w:sectPr>
      </w:pPr>
    </w:p>
    <w:p w14:paraId="6B8E1F40" w14:textId="77777777" w:rsidR="00337D2D" w:rsidRPr="00E41DCC" w:rsidRDefault="00337D2D" w:rsidP="00337D2D">
      <w:pPr>
        <w:pStyle w:val="Caption"/>
        <w:rPr>
          <w:b w:val="0"/>
          <w:bCs w:val="0"/>
          <w:sz w:val="20"/>
          <w:szCs w:val="20"/>
        </w:rPr>
      </w:pPr>
      <w:r w:rsidRPr="00E41DCC">
        <w:rPr>
          <w:b w:val="0"/>
          <w:bCs w:val="0"/>
          <w:sz w:val="20"/>
          <w:szCs w:val="20"/>
        </w:rPr>
        <w:lastRenderedPageBreak/>
        <w:t>Table 3.</w:t>
      </w:r>
      <w:r>
        <w:rPr>
          <w:b w:val="0"/>
          <w:bCs w:val="0"/>
          <w:sz w:val="20"/>
          <w:szCs w:val="20"/>
        </w:rPr>
        <w:fldChar w:fldCharType="begin"/>
      </w:r>
      <w:r>
        <w:rPr>
          <w:b w:val="0"/>
          <w:bCs w:val="0"/>
          <w:sz w:val="20"/>
          <w:szCs w:val="20"/>
        </w:rPr>
        <w:instrText xml:space="preserve"> SEQ Table \* ARABIC \s 1 </w:instrText>
      </w:r>
      <w:r>
        <w:rPr>
          <w:b w:val="0"/>
          <w:bCs w:val="0"/>
          <w:sz w:val="20"/>
          <w:szCs w:val="20"/>
        </w:rPr>
        <w:fldChar w:fldCharType="separate"/>
      </w:r>
      <w:r>
        <w:rPr>
          <w:b w:val="0"/>
          <w:bCs w:val="0"/>
          <w:noProof/>
          <w:sz w:val="20"/>
          <w:szCs w:val="20"/>
        </w:rPr>
        <w:t>5</w:t>
      </w:r>
      <w:r>
        <w:rPr>
          <w:b w:val="0"/>
          <w:bCs w:val="0"/>
          <w:sz w:val="20"/>
          <w:szCs w:val="20"/>
        </w:rPr>
        <w:fldChar w:fldCharType="end"/>
      </w:r>
      <w:r w:rsidRPr="00E41DCC">
        <w:rPr>
          <w:b w:val="0"/>
          <w:bCs w:val="0"/>
          <w:sz w:val="20"/>
          <w:szCs w:val="20"/>
        </w:rPr>
        <w:t>. Information on parts per set for group classroom activity based on Indigo Instruments molecular models.</w:t>
      </w:r>
    </w:p>
    <w:tbl>
      <w:tblPr>
        <w:tblW w:w="11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520"/>
        <w:gridCol w:w="2410"/>
        <w:gridCol w:w="1710"/>
        <w:gridCol w:w="2700"/>
        <w:gridCol w:w="3240"/>
      </w:tblGrid>
      <w:tr w:rsidR="00337D2D" w:rsidRPr="00FA73CD" w14:paraId="610BFFA2" w14:textId="77777777" w:rsidTr="00704C9B">
        <w:trPr>
          <w:trHeight w:val="704"/>
        </w:trPr>
        <w:tc>
          <w:tcPr>
            <w:tcW w:w="1520" w:type="dxa"/>
            <w:shd w:val="clear" w:color="auto" w:fill="auto"/>
            <w:tcMar>
              <w:top w:w="72" w:type="dxa"/>
              <w:left w:w="72" w:type="dxa"/>
              <w:bottom w:w="72" w:type="dxa"/>
              <w:right w:w="72" w:type="dxa"/>
            </w:tcMar>
            <w:vAlign w:val="center"/>
            <w:hideMark/>
          </w:tcPr>
          <w:p w14:paraId="4651D8F4" w14:textId="77777777" w:rsidR="00337D2D" w:rsidRPr="00FA73CD" w:rsidRDefault="00337D2D" w:rsidP="00EC27DE">
            <w:pPr>
              <w:jc w:val="center"/>
            </w:pPr>
            <w:r w:rsidRPr="00FA73CD">
              <w:t>Mineral</w:t>
            </w:r>
          </w:p>
        </w:tc>
        <w:tc>
          <w:tcPr>
            <w:tcW w:w="2410" w:type="dxa"/>
            <w:shd w:val="clear" w:color="auto" w:fill="auto"/>
            <w:tcMar>
              <w:top w:w="72" w:type="dxa"/>
              <w:left w:w="72" w:type="dxa"/>
              <w:bottom w:w="72" w:type="dxa"/>
              <w:right w:w="72" w:type="dxa"/>
            </w:tcMar>
            <w:vAlign w:val="center"/>
            <w:hideMark/>
          </w:tcPr>
          <w:p w14:paraId="4CFCE879" w14:textId="77777777" w:rsidR="00337D2D" w:rsidRPr="00FA73CD" w:rsidRDefault="00337D2D" w:rsidP="00EC27DE">
            <w:pPr>
              <w:jc w:val="center"/>
            </w:pPr>
            <w:r w:rsidRPr="00FA73CD">
              <w:t>Piece</w:t>
            </w:r>
          </w:p>
        </w:tc>
        <w:tc>
          <w:tcPr>
            <w:tcW w:w="1710" w:type="dxa"/>
            <w:shd w:val="clear" w:color="auto" w:fill="auto"/>
            <w:tcMar>
              <w:top w:w="72" w:type="dxa"/>
              <w:left w:w="72" w:type="dxa"/>
              <w:bottom w:w="72" w:type="dxa"/>
              <w:right w:w="72" w:type="dxa"/>
            </w:tcMar>
            <w:vAlign w:val="center"/>
            <w:hideMark/>
          </w:tcPr>
          <w:p w14:paraId="1D6F5003" w14:textId="77777777" w:rsidR="00337D2D" w:rsidRPr="00FA73CD" w:rsidRDefault="00337D2D" w:rsidP="00EC27DE">
            <w:pPr>
              <w:jc w:val="center"/>
            </w:pPr>
            <w:r w:rsidRPr="00FA73CD">
              <w:t>Number of pieces per set</w:t>
            </w:r>
          </w:p>
        </w:tc>
        <w:tc>
          <w:tcPr>
            <w:tcW w:w="2700" w:type="dxa"/>
            <w:shd w:val="clear" w:color="auto" w:fill="auto"/>
            <w:tcMar>
              <w:top w:w="72" w:type="dxa"/>
              <w:left w:w="72" w:type="dxa"/>
              <w:bottom w:w="72" w:type="dxa"/>
              <w:right w:w="72" w:type="dxa"/>
            </w:tcMar>
            <w:vAlign w:val="center"/>
            <w:hideMark/>
          </w:tcPr>
          <w:p w14:paraId="525D45B3" w14:textId="77777777" w:rsidR="00337D2D" w:rsidRPr="00FA73CD" w:rsidRDefault="00337D2D" w:rsidP="00EC27DE">
            <w:pPr>
              <w:ind w:firstLine="360"/>
              <w:jc w:val="center"/>
            </w:pPr>
            <w:r w:rsidRPr="00FA73CD">
              <w:t>Indigo® Instruments SKU</w:t>
            </w:r>
          </w:p>
        </w:tc>
        <w:tc>
          <w:tcPr>
            <w:tcW w:w="3240" w:type="dxa"/>
            <w:shd w:val="clear" w:color="auto" w:fill="auto"/>
            <w:tcMar>
              <w:top w:w="72" w:type="dxa"/>
              <w:left w:w="72" w:type="dxa"/>
              <w:bottom w:w="72" w:type="dxa"/>
              <w:right w:w="72" w:type="dxa"/>
            </w:tcMar>
            <w:vAlign w:val="center"/>
            <w:hideMark/>
          </w:tcPr>
          <w:p w14:paraId="5F47D039" w14:textId="77777777" w:rsidR="00337D2D" w:rsidRPr="00FA73CD" w:rsidRDefault="00337D2D" w:rsidP="00EC27DE">
            <w:pPr>
              <w:jc w:val="center"/>
            </w:pPr>
            <w:r w:rsidRPr="00FA73CD">
              <w:t>Indigo® Instruments name</w:t>
            </w:r>
          </w:p>
        </w:tc>
      </w:tr>
      <w:tr w:rsidR="00337D2D" w:rsidRPr="00FA73CD" w14:paraId="216AC0EE" w14:textId="77777777" w:rsidTr="00704C9B">
        <w:trPr>
          <w:trHeight w:val="373"/>
        </w:trPr>
        <w:tc>
          <w:tcPr>
            <w:tcW w:w="1520" w:type="dxa"/>
            <w:vMerge w:val="restart"/>
            <w:shd w:val="clear" w:color="auto" w:fill="auto"/>
            <w:tcMar>
              <w:top w:w="72" w:type="dxa"/>
              <w:left w:w="72" w:type="dxa"/>
              <w:bottom w:w="72" w:type="dxa"/>
              <w:right w:w="72" w:type="dxa"/>
            </w:tcMar>
            <w:vAlign w:val="center"/>
            <w:hideMark/>
          </w:tcPr>
          <w:p w14:paraId="245ADD65" w14:textId="77777777" w:rsidR="00337D2D" w:rsidRPr="00FA73CD" w:rsidRDefault="00337D2D" w:rsidP="00EC27DE">
            <w:pPr>
              <w:jc w:val="center"/>
            </w:pPr>
            <w:r w:rsidRPr="00FA73CD">
              <w:t>Diamond</w:t>
            </w:r>
          </w:p>
        </w:tc>
        <w:tc>
          <w:tcPr>
            <w:tcW w:w="2410" w:type="dxa"/>
            <w:shd w:val="clear" w:color="auto" w:fill="auto"/>
            <w:tcMar>
              <w:top w:w="72" w:type="dxa"/>
              <w:left w:w="72" w:type="dxa"/>
              <w:bottom w:w="72" w:type="dxa"/>
              <w:right w:w="72" w:type="dxa"/>
            </w:tcMar>
            <w:vAlign w:val="center"/>
            <w:hideMark/>
          </w:tcPr>
          <w:p w14:paraId="4CEC229D" w14:textId="77777777" w:rsidR="00337D2D" w:rsidRPr="00FA73CD" w:rsidRDefault="00337D2D" w:rsidP="00EC27DE">
            <w:pPr>
              <w:jc w:val="center"/>
            </w:pPr>
            <w:r w:rsidRPr="00FA73CD">
              <w:t>Black K atoms</w:t>
            </w:r>
          </w:p>
        </w:tc>
        <w:tc>
          <w:tcPr>
            <w:tcW w:w="1710" w:type="dxa"/>
            <w:shd w:val="clear" w:color="auto" w:fill="auto"/>
            <w:tcMar>
              <w:top w:w="72" w:type="dxa"/>
              <w:left w:w="72" w:type="dxa"/>
              <w:bottom w:w="72" w:type="dxa"/>
              <w:right w:w="72" w:type="dxa"/>
            </w:tcMar>
            <w:vAlign w:val="center"/>
            <w:hideMark/>
          </w:tcPr>
          <w:p w14:paraId="19F8C059" w14:textId="77777777" w:rsidR="00337D2D" w:rsidRPr="00FA73CD" w:rsidRDefault="00337D2D" w:rsidP="00EC27DE">
            <w:pPr>
              <w:jc w:val="center"/>
            </w:pPr>
            <w:r w:rsidRPr="00FA73CD">
              <w:t>30</w:t>
            </w:r>
          </w:p>
        </w:tc>
        <w:tc>
          <w:tcPr>
            <w:tcW w:w="2700" w:type="dxa"/>
            <w:shd w:val="clear" w:color="auto" w:fill="auto"/>
            <w:tcMar>
              <w:top w:w="72" w:type="dxa"/>
              <w:left w:w="72" w:type="dxa"/>
              <w:bottom w:w="72" w:type="dxa"/>
              <w:right w:w="72" w:type="dxa"/>
            </w:tcMar>
            <w:vAlign w:val="center"/>
            <w:hideMark/>
          </w:tcPr>
          <w:p w14:paraId="76F7CB9A" w14:textId="77777777" w:rsidR="00337D2D" w:rsidRPr="00FA73CD" w:rsidRDefault="00337D2D" w:rsidP="00EC27DE">
            <w:pPr>
              <w:jc w:val="center"/>
            </w:pPr>
            <w:r w:rsidRPr="00FA73CD">
              <w:t>68244C</w:t>
            </w:r>
          </w:p>
        </w:tc>
        <w:tc>
          <w:tcPr>
            <w:tcW w:w="3240" w:type="dxa"/>
            <w:shd w:val="clear" w:color="auto" w:fill="auto"/>
            <w:tcMar>
              <w:top w:w="72" w:type="dxa"/>
              <w:left w:w="72" w:type="dxa"/>
              <w:bottom w:w="72" w:type="dxa"/>
              <w:right w:w="72" w:type="dxa"/>
            </w:tcMar>
            <w:vAlign w:val="center"/>
            <w:hideMark/>
          </w:tcPr>
          <w:p w14:paraId="1B4AD8C5" w14:textId="77777777" w:rsidR="00337D2D" w:rsidRPr="00FA73CD" w:rsidRDefault="00337D2D" w:rsidP="00EC27DE">
            <w:pPr>
              <w:jc w:val="center"/>
            </w:pPr>
            <w:r w:rsidRPr="00FA73CD">
              <w:t>Black Tetrahedral sp3 Atom</w:t>
            </w:r>
          </w:p>
        </w:tc>
      </w:tr>
      <w:tr w:rsidR="00337D2D" w:rsidRPr="00FA73CD" w14:paraId="4AFD7A10" w14:textId="77777777" w:rsidTr="00704C9B">
        <w:trPr>
          <w:trHeight w:val="373"/>
        </w:trPr>
        <w:tc>
          <w:tcPr>
            <w:tcW w:w="0" w:type="auto"/>
            <w:vMerge/>
            <w:vAlign w:val="center"/>
            <w:hideMark/>
          </w:tcPr>
          <w:p w14:paraId="17782941" w14:textId="77777777" w:rsidR="00337D2D" w:rsidRPr="00FA73CD" w:rsidRDefault="00337D2D" w:rsidP="00EC27DE">
            <w:pPr>
              <w:ind w:firstLine="360"/>
              <w:jc w:val="center"/>
            </w:pPr>
          </w:p>
        </w:tc>
        <w:tc>
          <w:tcPr>
            <w:tcW w:w="2410" w:type="dxa"/>
            <w:shd w:val="clear" w:color="auto" w:fill="auto"/>
            <w:tcMar>
              <w:top w:w="72" w:type="dxa"/>
              <w:left w:w="72" w:type="dxa"/>
              <w:bottom w:w="72" w:type="dxa"/>
              <w:right w:w="72" w:type="dxa"/>
            </w:tcMar>
            <w:vAlign w:val="center"/>
            <w:hideMark/>
          </w:tcPr>
          <w:p w14:paraId="77D35E54" w14:textId="77777777" w:rsidR="00337D2D" w:rsidRPr="00FA73CD" w:rsidRDefault="00337D2D" w:rsidP="00EC27DE">
            <w:pPr>
              <w:jc w:val="center"/>
            </w:pPr>
            <w:r w:rsidRPr="00FA73CD">
              <w:t>35 mm bonds</w:t>
            </w:r>
          </w:p>
        </w:tc>
        <w:tc>
          <w:tcPr>
            <w:tcW w:w="1710" w:type="dxa"/>
            <w:shd w:val="clear" w:color="auto" w:fill="auto"/>
            <w:tcMar>
              <w:top w:w="72" w:type="dxa"/>
              <w:left w:w="72" w:type="dxa"/>
              <w:bottom w:w="72" w:type="dxa"/>
              <w:right w:w="72" w:type="dxa"/>
            </w:tcMar>
            <w:vAlign w:val="center"/>
            <w:hideMark/>
          </w:tcPr>
          <w:p w14:paraId="02D6B3CE" w14:textId="77777777" w:rsidR="00337D2D" w:rsidRPr="00FA73CD" w:rsidRDefault="00337D2D" w:rsidP="00EC27DE">
            <w:pPr>
              <w:jc w:val="center"/>
            </w:pPr>
            <w:r w:rsidRPr="00FA73CD">
              <w:t>40</w:t>
            </w:r>
          </w:p>
        </w:tc>
        <w:tc>
          <w:tcPr>
            <w:tcW w:w="2700" w:type="dxa"/>
            <w:shd w:val="clear" w:color="auto" w:fill="auto"/>
            <w:tcMar>
              <w:top w:w="72" w:type="dxa"/>
              <w:left w:w="72" w:type="dxa"/>
              <w:bottom w:w="72" w:type="dxa"/>
              <w:right w:w="72" w:type="dxa"/>
            </w:tcMar>
            <w:vAlign w:val="center"/>
            <w:hideMark/>
          </w:tcPr>
          <w:p w14:paraId="01BC9FE9" w14:textId="77777777" w:rsidR="00337D2D" w:rsidRPr="00FA73CD" w:rsidRDefault="00337D2D" w:rsidP="00EC27DE">
            <w:pPr>
              <w:jc w:val="center"/>
            </w:pPr>
            <w:r w:rsidRPr="00FA73CD">
              <w:t>68186-35</w:t>
            </w:r>
          </w:p>
        </w:tc>
        <w:tc>
          <w:tcPr>
            <w:tcW w:w="3240" w:type="dxa"/>
            <w:shd w:val="clear" w:color="auto" w:fill="auto"/>
            <w:tcMar>
              <w:top w:w="72" w:type="dxa"/>
              <w:left w:w="72" w:type="dxa"/>
              <w:bottom w:w="72" w:type="dxa"/>
              <w:right w:w="72" w:type="dxa"/>
            </w:tcMar>
            <w:vAlign w:val="center"/>
            <w:hideMark/>
          </w:tcPr>
          <w:p w14:paraId="3C4F585B" w14:textId="77777777" w:rsidR="00337D2D" w:rsidRPr="00FA73CD" w:rsidRDefault="00337D2D" w:rsidP="00EC27DE">
            <w:pPr>
              <w:jc w:val="center"/>
            </w:pPr>
            <w:r w:rsidRPr="00FA73CD">
              <w:t>117 pm Wobbly Bond</w:t>
            </w:r>
          </w:p>
        </w:tc>
      </w:tr>
      <w:tr w:rsidR="00337D2D" w:rsidRPr="00FA73CD" w14:paraId="785FA4CE" w14:textId="77777777" w:rsidTr="00704C9B">
        <w:trPr>
          <w:trHeight w:val="373"/>
        </w:trPr>
        <w:tc>
          <w:tcPr>
            <w:tcW w:w="1520" w:type="dxa"/>
            <w:vMerge w:val="restart"/>
            <w:shd w:val="clear" w:color="auto" w:fill="auto"/>
            <w:tcMar>
              <w:top w:w="72" w:type="dxa"/>
              <w:left w:w="72" w:type="dxa"/>
              <w:bottom w:w="72" w:type="dxa"/>
              <w:right w:w="72" w:type="dxa"/>
            </w:tcMar>
            <w:vAlign w:val="center"/>
            <w:hideMark/>
          </w:tcPr>
          <w:p w14:paraId="7940964B" w14:textId="77777777" w:rsidR="00337D2D" w:rsidRPr="00FA73CD" w:rsidRDefault="00337D2D" w:rsidP="00EC27DE">
            <w:pPr>
              <w:jc w:val="center"/>
            </w:pPr>
            <w:r w:rsidRPr="00FA73CD">
              <w:t>Graphite</w:t>
            </w:r>
          </w:p>
        </w:tc>
        <w:tc>
          <w:tcPr>
            <w:tcW w:w="2410" w:type="dxa"/>
            <w:shd w:val="clear" w:color="auto" w:fill="auto"/>
            <w:tcMar>
              <w:top w:w="72" w:type="dxa"/>
              <w:left w:w="72" w:type="dxa"/>
              <w:bottom w:w="72" w:type="dxa"/>
              <w:right w:w="72" w:type="dxa"/>
            </w:tcMar>
            <w:vAlign w:val="center"/>
            <w:hideMark/>
          </w:tcPr>
          <w:p w14:paraId="3DD2BD52" w14:textId="77777777" w:rsidR="00337D2D" w:rsidRPr="00FA73CD" w:rsidRDefault="00337D2D" w:rsidP="00EC27DE">
            <w:pPr>
              <w:jc w:val="center"/>
            </w:pPr>
            <w:r w:rsidRPr="00FA73CD">
              <w:t>Black M atoms</w:t>
            </w:r>
          </w:p>
        </w:tc>
        <w:tc>
          <w:tcPr>
            <w:tcW w:w="1710" w:type="dxa"/>
            <w:shd w:val="clear" w:color="auto" w:fill="auto"/>
            <w:tcMar>
              <w:top w:w="72" w:type="dxa"/>
              <w:left w:w="72" w:type="dxa"/>
              <w:bottom w:w="72" w:type="dxa"/>
              <w:right w:w="72" w:type="dxa"/>
            </w:tcMar>
            <w:vAlign w:val="center"/>
            <w:hideMark/>
          </w:tcPr>
          <w:p w14:paraId="58B5D937" w14:textId="77777777" w:rsidR="00337D2D" w:rsidRPr="00FA73CD" w:rsidRDefault="00337D2D" w:rsidP="00EC27DE">
            <w:pPr>
              <w:jc w:val="center"/>
            </w:pPr>
            <w:r w:rsidRPr="00FA73CD">
              <w:t>26</w:t>
            </w:r>
          </w:p>
        </w:tc>
        <w:tc>
          <w:tcPr>
            <w:tcW w:w="2700" w:type="dxa"/>
            <w:shd w:val="clear" w:color="auto" w:fill="auto"/>
            <w:tcMar>
              <w:top w:w="72" w:type="dxa"/>
              <w:left w:w="72" w:type="dxa"/>
              <w:bottom w:w="72" w:type="dxa"/>
              <w:right w:w="72" w:type="dxa"/>
            </w:tcMar>
            <w:vAlign w:val="center"/>
            <w:hideMark/>
          </w:tcPr>
          <w:p w14:paraId="535AF86F" w14:textId="77777777" w:rsidR="00337D2D" w:rsidRPr="00FA73CD" w:rsidRDefault="00337D2D" w:rsidP="00EC27DE">
            <w:pPr>
              <w:jc w:val="center"/>
            </w:pPr>
            <w:r w:rsidRPr="00FA73CD">
              <w:t>68259C</w:t>
            </w:r>
          </w:p>
        </w:tc>
        <w:tc>
          <w:tcPr>
            <w:tcW w:w="3240" w:type="dxa"/>
            <w:shd w:val="clear" w:color="auto" w:fill="auto"/>
            <w:tcMar>
              <w:top w:w="72" w:type="dxa"/>
              <w:left w:w="72" w:type="dxa"/>
              <w:bottom w:w="72" w:type="dxa"/>
              <w:right w:w="72" w:type="dxa"/>
            </w:tcMar>
            <w:vAlign w:val="center"/>
            <w:hideMark/>
          </w:tcPr>
          <w:p w14:paraId="63F991EA" w14:textId="77777777" w:rsidR="00337D2D" w:rsidRPr="00FA73CD" w:rsidRDefault="00337D2D" w:rsidP="00EC27DE">
            <w:pPr>
              <w:jc w:val="center"/>
            </w:pPr>
            <w:r w:rsidRPr="00FA73CD">
              <w:t>Black 5 Prong dsp3 Atom</w:t>
            </w:r>
          </w:p>
        </w:tc>
      </w:tr>
      <w:tr w:rsidR="00337D2D" w:rsidRPr="00FA73CD" w14:paraId="787C922D" w14:textId="77777777" w:rsidTr="00704C9B">
        <w:trPr>
          <w:trHeight w:val="373"/>
        </w:trPr>
        <w:tc>
          <w:tcPr>
            <w:tcW w:w="0" w:type="auto"/>
            <w:vMerge/>
            <w:vAlign w:val="center"/>
            <w:hideMark/>
          </w:tcPr>
          <w:p w14:paraId="08427B22" w14:textId="77777777" w:rsidR="00337D2D" w:rsidRPr="00FA73CD" w:rsidRDefault="00337D2D" w:rsidP="00EC27DE">
            <w:pPr>
              <w:ind w:firstLine="360"/>
            </w:pPr>
          </w:p>
        </w:tc>
        <w:tc>
          <w:tcPr>
            <w:tcW w:w="2410" w:type="dxa"/>
            <w:shd w:val="clear" w:color="auto" w:fill="auto"/>
            <w:tcMar>
              <w:top w:w="72" w:type="dxa"/>
              <w:left w:w="72" w:type="dxa"/>
              <w:bottom w:w="72" w:type="dxa"/>
              <w:right w:w="72" w:type="dxa"/>
            </w:tcMar>
            <w:vAlign w:val="center"/>
            <w:hideMark/>
          </w:tcPr>
          <w:p w14:paraId="797A8A69" w14:textId="77777777" w:rsidR="00337D2D" w:rsidRPr="00FA73CD" w:rsidRDefault="00337D2D" w:rsidP="00EC27DE">
            <w:pPr>
              <w:jc w:val="center"/>
            </w:pPr>
            <w:r w:rsidRPr="00FA73CD">
              <w:t>30 mm bonds</w:t>
            </w:r>
          </w:p>
        </w:tc>
        <w:tc>
          <w:tcPr>
            <w:tcW w:w="1710" w:type="dxa"/>
            <w:shd w:val="clear" w:color="auto" w:fill="auto"/>
            <w:tcMar>
              <w:top w:w="72" w:type="dxa"/>
              <w:left w:w="72" w:type="dxa"/>
              <w:bottom w:w="72" w:type="dxa"/>
              <w:right w:w="72" w:type="dxa"/>
            </w:tcMar>
            <w:vAlign w:val="center"/>
            <w:hideMark/>
          </w:tcPr>
          <w:p w14:paraId="6D1CCDC9" w14:textId="77777777" w:rsidR="00337D2D" w:rsidRPr="00FA73CD" w:rsidRDefault="00337D2D" w:rsidP="00EC27DE">
            <w:pPr>
              <w:jc w:val="center"/>
            </w:pPr>
            <w:r w:rsidRPr="00FA73CD">
              <w:t>30</w:t>
            </w:r>
          </w:p>
        </w:tc>
        <w:tc>
          <w:tcPr>
            <w:tcW w:w="2700" w:type="dxa"/>
            <w:shd w:val="clear" w:color="auto" w:fill="auto"/>
            <w:tcMar>
              <w:top w:w="72" w:type="dxa"/>
              <w:left w:w="72" w:type="dxa"/>
              <w:bottom w:w="72" w:type="dxa"/>
              <w:right w:w="72" w:type="dxa"/>
            </w:tcMar>
            <w:vAlign w:val="center"/>
            <w:hideMark/>
          </w:tcPr>
          <w:p w14:paraId="050F8ABD" w14:textId="77777777" w:rsidR="00337D2D" w:rsidRPr="00FA73CD" w:rsidRDefault="00337D2D" w:rsidP="00EC27DE">
            <w:pPr>
              <w:jc w:val="center"/>
            </w:pPr>
            <w:r w:rsidRPr="00FA73CD">
              <w:t>68186-30</w:t>
            </w:r>
          </w:p>
        </w:tc>
        <w:tc>
          <w:tcPr>
            <w:tcW w:w="3240" w:type="dxa"/>
            <w:shd w:val="clear" w:color="auto" w:fill="auto"/>
            <w:tcMar>
              <w:top w:w="72" w:type="dxa"/>
              <w:left w:w="72" w:type="dxa"/>
              <w:bottom w:w="72" w:type="dxa"/>
              <w:right w:w="72" w:type="dxa"/>
            </w:tcMar>
            <w:vAlign w:val="center"/>
            <w:hideMark/>
          </w:tcPr>
          <w:p w14:paraId="404A2BBC" w14:textId="77777777" w:rsidR="00337D2D" w:rsidRPr="00FA73CD" w:rsidRDefault="00337D2D" w:rsidP="00EC27DE">
            <w:pPr>
              <w:jc w:val="center"/>
            </w:pPr>
            <w:r w:rsidRPr="00FA73CD">
              <w:t>100 pm Wobbly Bond</w:t>
            </w:r>
          </w:p>
        </w:tc>
      </w:tr>
      <w:tr w:rsidR="00337D2D" w:rsidRPr="00FA73CD" w14:paraId="487988F4" w14:textId="77777777" w:rsidTr="00704C9B">
        <w:trPr>
          <w:trHeight w:val="383"/>
        </w:trPr>
        <w:tc>
          <w:tcPr>
            <w:tcW w:w="0" w:type="auto"/>
            <w:vMerge/>
            <w:vAlign w:val="center"/>
            <w:hideMark/>
          </w:tcPr>
          <w:p w14:paraId="5E00C21B" w14:textId="77777777" w:rsidR="00337D2D" w:rsidRPr="00FA73CD" w:rsidRDefault="00337D2D" w:rsidP="00EC27DE">
            <w:pPr>
              <w:ind w:firstLine="360"/>
            </w:pPr>
          </w:p>
        </w:tc>
        <w:tc>
          <w:tcPr>
            <w:tcW w:w="2410" w:type="dxa"/>
            <w:shd w:val="clear" w:color="auto" w:fill="auto"/>
            <w:tcMar>
              <w:top w:w="72" w:type="dxa"/>
              <w:left w:w="72" w:type="dxa"/>
              <w:bottom w:w="72" w:type="dxa"/>
              <w:right w:w="72" w:type="dxa"/>
            </w:tcMar>
            <w:vAlign w:val="center"/>
            <w:hideMark/>
          </w:tcPr>
          <w:p w14:paraId="5E236617" w14:textId="77777777" w:rsidR="00337D2D" w:rsidRPr="00FA73CD" w:rsidRDefault="00337D2D" w:rsidP="00EC27DE">
            <w:pPr>
              <w:jc w:val="center"/>
            </w:pPr>
            <w:r w:rsidRPr="00FA73CD">
              <w:t>50 mm bonds</w:t>
            </w:r>
          </w:p>
        </w:tc>
        <w:tc>
          <w:tcPr>
            <w:tcW w:w="1710" w:type="dxa"/>
            <w:shd w:val="clear" w:color="auto" w:fill="auto"/>
            <w:tcMar>
              <w:top w:w="72" w:type="dxa"/>
              <w:left w:w="72" w:type="dxa"/>
              <w:bottom w:w="72" w:type="dxa"/>
              <w:right w:w="72" w:type="dxa"/>
            </w:tcMar>
            <w:vAlign w:val="center"/>
            <w:hideMark/>
          </w:tcPr>
          <w:p w14:paraId="0F1069DC" w14:textId="77777777" w:rsidR="00337D2D" w:rsidRPr="00FA73CD" w:rsidRDefault="00337D2D" w:rsidP="00EC27DE">
            <w:pPr>
              <w:jc w:val="center"/>
            </w:pPr>
            <w:r w:rsidRPr="00FA73CD">
              <w:t>4</w:t>
            </w:r>
          </w:p>
        </w:tc>
        <w:tc>
          <w:tcPr>
            <w:tcW w:w="2700" w:type="dxa"/>
            <w:shd w:val="clear" w:color="auto" w:fill="auto"/>
            <w:tcMar>
              <w:top w:w="72" w:type="dxa"/>
              <w:left w:w="72" w:type="dxa"/>
              <w:bottom w:w="72" w:type="dxa"/>
              <w:right w:w="72" w:type="dxa"/>
            </w:tcMar>
            <w:vAlign w:val="center"/>
            <w:hideMark/>
          </w:tcPr>
          <w:p w14:paraId="03B9C6D0" w14:textId="77777777" w:rsidR="00337D2D" w:rsidRPr="00FA73CD" w:rsidRDefault="00337D2D" w:rsidP="00EC27DE">
            <w:pPr>
              <w:jc w:val="center"/>
            </w:pPr>
            <w:r w:rsidRPr="00FA73CD">
              <w:t>68186-50</w:t>
            </w:r>
          </w:p>
        </w:tc>
        <w:tc>
          <w:tcPr>
            <w:tcW w:w="3240" w:type="dxa"/>
            <w:shd w:val="clear" w:color="auto" w:fill="auto"/>
            <w:tcMar>
              <w:top w:w="72" w:type="dxa"/>
              <w:left w:w="72" w:type="dxa"/>
              <w:bottom w:w="72" w:type="dxa"/>
              <w:right w:w="72" w:type="dxa"/>
            </w:tcMar>
            <w:vAlign w:val="center"/>
            <w:hideMark/>
          </w:tcPr>
          <w:p w14:paraId="090CBB49" w14:textId="77777777" w:rsidR="00337D2D" w:rsidRPr="00FA73CD" w:rsidRDefault="00337D2D" w:rsidP="00EC27DE">
            <w:pPr>
              <w:jc w:val="center"/>
            </w:pPr>
            <w:r w:rsidRPr="00FA73CD">
              <w:t>167 pm Wobbly Bond</w:t>
            </w:r>
          </w:p>
        </w:tc>
      </w:tr>
    </w:tbl>
    <w:p w14:paraId="7987E3A3" w14:textId="77777777" w:rsidR="00337D2D" w:rsidRDefault="00337D2D" w:rsidP="00337D2D">
      <w:pPr>
        <w:keepNext/>
        <w:jc w:val="center"/>
      </w:pPr>
    </w:p>
    <w:p w14:paraId="50BFF4F1" w14:textId="63E424FB" w:rsidR="00164D4C" w:rsidRDefault="00164D4C" w:rsidP="00C165AD">
      <w:pPr>
        <w:spacing w:line="360" w:lineRule="auto"/>
        <w:ind w:firstLine="720"/>
      </w:pPr>
      <w:r>
        <w:br w:type="page"/>
      </w:r>
    </w:p>
    <w:p w14:paraId="132E468F" w14:textId="77777777" w:rsidR="00337D2D" w:rsidRDefault="00337D2D" w:rsidP="00164D4C">
      <w:pPr>
        <w:keepNext/>
        <w:sectPr w:rsidR="00337D2D" w:rsidSect="00337D2D">
          <w:pgSz w:w="15840" w:h="12240" w:orient="landscape" w:code="1"/>
          <w:pgMar w:top="1440" w:right="1440" w:bottom="1440" w:left="1440" w:header="720" w:footer="1440" w:gutter="0"/>
          <w:cols w:space="720"/>
          <w:noEndnote/>
          <w:docGrid w:linePitch="360"/>
        </w:sectPr>
      </w:pPr>
    </w:p>
    <w:p w14:paraId="66192DD4" w14:textId="77777777" w:rsidR="00164D4C" w:rsidRDefault="00164D4C" w:rsidP="00164D4C">
      <w:pPr>
        <w:keepNext/>
      </w:pPr>
      <w:r w:rsidRPr="00F66C2B">
        <w:rPr>
          <w:noProof/>
        </w:rPr>
        <w:lastRenderedPageBreak/>
        <w:drawing>
          <wp:inline distT="0" distB="0" distL="0" distR="0" wp14:anchorId="7018D898" wp14:editId="2A1D510F">
            <wp:extent cx="5891504" cy="3918857"/>
            <wp:effectExtent l="0" t="0" r="0" b="0"/>
            <wp:docPr id="59" name="Picture 2" descr="Diagram, engineering drawing&#10;&#10;Description automatically generated">
              <a:extLst xmlns:a="http://schemas.openxmlformats.org/drawingml/2006/main">
                <a:ext uri="{FF2B5EF4-FFF2-40B4-BE49-F238E27FC236}">
                  <a16:creationId xmlns:a16="http://schemas.microsoft.com/office/drawing/2014/main" id="{08F2AC1E-2496-55EC-5066-DFF150B7CD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iagram, engineering drawing&#10;&#10;Description automatically generated">
                      <a:extLst>
                        <a:ext uri="{FF2B5EF4-FFF2-40B4-BE49-F238E27FC236}">
                          <a16:creationId xmlns:a16="http://schemas.microsoft.com/office/drawing/2014/main" id="{08F2AC1E-2496-55EC-5066-DFF150B7CD37}"/>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98932" cy="3923798"/>
                    </a:xfrm>
                    <a:prstGeom prst="rect">
                      <a:avLst/>
                    </a:prstGeom>
                  </pic:spPr>
                </pic:pic>
              </a:graphicData>
            </a:graphic>
          </wp:inline>
        </w:drawing>
      </w:r>
    </w:p>
    <w:p w14:paraId="5FD8A4B6" w14:textId="2C5F1B37" w:rsidR="00164D4C" w:rsidRDefault="00164D4C" w:rsidP="00164D4C">
      <w:pPr>
        <w:ind w:firstLine="720"/>
      </w:pPr>
      <w:bookmarkStart w:id="116" w:name="_Toc109738681"/>
      <w:r w:rsidRPr="00F66C2B">
        <w:rPr>
          <w:sz w:val="20"/>
          <w:szCs w:val="20"/>
        </w:rPr>
        <w:t xml:space="preserve">Figure </w:t>
      </w:r>
      <w:r>
        <w:rPr>
          <w:sz w:val="20"/>
          <w:szCs w:val="20"/>
        </w:rPr>
        <w:t>3</w:t>
      </w:r>
      <w:r w:rsidRPr="00F66C2B">
        <w:rPr>
          <w:sz w:val="20"/>
          <w:szCs w:val="20"/>
        </w:rPr>
        <w:t>.</w:t>
      </w:r>
      <w:r>
        <w:rPr>
          <w:b/>
          <w:bCs/>
          <w:sz w:val="20"/>
          <w:szCs w:val="20"/>
        </w:rPr>
        <w:fldChar w:fldCharType="begin"/>
      </w:r>
      <w:r>
        <w:rPr>
          <w:sz w:val="20"/>
          <w:szCs w:val="20"/>
        </w:rPr>
        <w:instrText xml:space="preserve"> SEQ Figure \* ARABIC \s 1 </w:instrText>
      </w:r>
      <w:r>
        <w:rPr>
          <w:b/>
          <w:bCs/>
          <w:sz w:val="20"/>
          <w:szCs w:val="20"/>
        </w:rPr>
        <w:fldChar w:fldCharType="separate"/>
      </w:r>
      <w:r w:rsidR="008701A2">
        <w:rPr>
          <w:noProof/>
          <w:sz w:val="20"/>
          <w:szCs w:val="20"/>
        </w:rPr>
        <w:t>4</w:t>
      </w:r>
      <w:r>
        <w:rPr>
          <w:b/>
          <w:bCs/>
          <w:sz w:val="20"/>
          <w:szCs w:val="20"/>
        </w:rPr>
        <w:fldChar w:fldCharType="end"/>
      </w:r>
      <w:r w:rsidRPr="00F66C2B">
        <w:rPr>
          <w:sz w:val="20"/>
          <w:szCs w:val="20"/>
        </w:rPr>
        <w:t>.</w:t>
      </w:r>
      <w:r w:rsidRPr="00F66C2B">
        <w:rPr>
          <w:rFonts w:asciiTheme="minorHAnsi" w:eastAsiaTheme="minorEastAsia" w:hAnsi="Calibri" w:cstheme="minorBidi"/>
          <w:color w:val="000000" w:themeColor="text1"/>
          <w:kern w:val="24"/>
          <w:sz w:val="28"/>
          <w:szCs w:val="28"/>
        </w:rPr>
        <w:t xml:space="preserve"> </w:t>
      </w:r>
      <w:r w:rsidRPr="00F66C2B">
        <w:rPr>
          <w:sz w:val="20"/>
          <w:szCs w:val="20"/>
        </w:rPr>
        <w:t>Guidance for building atomic structures of graphite (A) and diamond (B) based on materials from indigoinstruments.com.</w:t>
      </w:r>
      <w:bookmarkEnd w:id="116"/>
      <w:r w:rsidRPr="00F66C2B">
        <w:rPr>
          <w:sz w:val="20"/>
          <w:szCs w:val="20"/>
        </w:rPr>
        <w:t xml:space="preserve"> </w:t>
      </w:r>
      <w:r>
        <w:br w:type="page"/>
      </w:r>
    </w:p>
    <w:p w14:paraId="0139CDB3" w14:textId="6E1612B5" w:rsidR="00B41D6C" w:rsidRDefault="006709E2" w:rsidP="00164D4C">
      <w:pPr>
        <w:spacing w:line="360" w:lineRule="auto"/>
        <w:sectPr w:rsidR="00B41D6C" w:rsidSect="0071477D">
          <w:pgSz w:w="12240" w:h="15840" w:code="1"/>
          <w:pgMar w:top="1440" w:right="1440" w:bottom="1440" w:left="1440" w:header="720" w:footer="1440" w:gutter="0"/>
          <w:cols w:space="720"/>
          <w:noEndnote/>
          <w:docGrid w:linePitch="360"/>
        </w:sectPr>
      </w:pPr>
      <w:r>
        <w:lastRenderedPageBreak/>
        <w:t>and 10 is the hardest. On this scale, graphite has a hardness of 1-2 and diamond has a hardness of 10. Ask students to consider the difference in bond angles and how that might affect the strength of the material. How might the conditions that each is formed in affect the bond angles?</w:t>
      </w:r>
    </w:p>
    <w:p w14:paraId="248D10A4" w14:textId="6973106A" w:rsidR="00BC74D3" w:rsidRDefault="00BC74D3" w:rsidP="00AD6382">
      <w:pPr>
        <w:pStyle w:val="Heading2"/>
        <w:spacing w:line="360" w:lineRule="auto"/>
      </w:pPr>
      <w:bookmarkStart w:id="117" w:name="_Toc109036177"/>
      <w:bookmarkEnd w:id="104"/>
      <w:bookmarkEnd w:id="105"/>
      <w:r>
        <w:lastRenderedPageBreak/>
        <w:t>References</w:t>
      </w:r>
      <w:bookmarkEnd w:id="117"/>
    </w:p>
    <w:p w14:paraId="7E6D9D35" w14:textId="77777777" w:rsidR="004417AB" w:rsidRDefault="004417AB" w:rsidP="00AD6382">
      <w:pPr>
        <w:spacing w:line="360" w:lineRule="auto"/>
        <w:ind w:left="720" w:hanging="720"/>
      </w:pPr>
      <w:r>
        <w:t>Bascom, W. (1959). The Mohole. Scientific American, 200(4), 41–49. https://doi.org/10.1038/scientificamerican0459-41</w:t>
      </w:r>
    </w:p>
    <w:p w14:paraId="4E3508D8" w14:textId="77777777" w:rsidR="004417AB" w:rsidRDefault="004417AB" w:rsidP="00AD6382">
      <w:pPr>
        <w:spacing w:line="360" w:lineRule="auto"/>
        <w:ind w:left="720" w:hanging="720"/>
      </w:pPr>
      <w:r>
        <w:t>Carlson, D. H., Plummer, C. C., &amp; Hammersley, L. (2010). Physical Geology Earth Revealed (14th ed.). McGraw-Hill.</w:t>
      </w:r>
    </w:p>
    <w:p w14:paraId="63A1210E" w14:textId="77777777" w:rsidR="004417AB" w:rsidRDefault="004417AB" w:rsidP="00AD6382">
      <w:pPr>
        <w:spacing w:line="360" w:lineRule="auto"/>
        <w:ind w:left="720" w:hanging="720"/>
      </w:pPr>
      <w:r>
        <w:t>Harris, J. W. (1993). The geology of diamond: Time and depth profiles from inclusions. Diamond and Related Materials, 2(2–4), 75–79. https://doi.org/10.1016/0925-9635(93)90034-Y</w:t>
      </w:r>
    </w:p>
    <w:p w14:paraId="377E0714" w14:textId="77777777" w:rsidR="004417AB" w:rsidRDefault="004417AB" w:rsidP="00AD6382">
      <w:pPr>
        <w:spacing w:line="360" w:lineRule="auto"/>
        <w:ind w:left="720" w:hanging="720"/>
      </w:pPr>
      <w:proofErr w:type="spellStart"/>
      <w:r>
        <w:t>Herak</w:t>
      </w:r>
      <w:proofErr w:type="spellEnd"/>
      <w:r>
        <w:t xml:space="preserve">, D., &amp; </w:t>
      </w:r>
      <w:proofErr w:type="spellStart"/>
      <w:r>
        <w:t>Herak</w:t>
      </w:r>
      <w:proofErr w:type="spellEnd"/>
      <w:r>
        <w:t xml:space="preserve">, M. (2007). Andrija </w:t>
      </w:r>
      <w:proofErr w:type="spellStart"/>
      <w:r>
        <w:t>Mohorovicic</w:t>
      </w:r>
      <w:proofErr w:type="spellEnd"/>
      <w:r>
        <w:t xml:space="preserve"> (1857-</w:t>
      </w:r>
      <w:proofErr w:type="gramStart"/>
      <w:r>
        <w:t>1936)--</w:t>
      </w:r>
      <w:proofErr w:type="gramEnd"/>
      <w:r>
        <w:t>On the occasion of the 150th anniversary of his birth. Seismological Research Letters, 78(6), 671–674. https://doi.org/10.1785/gssrl.78.6.671</w:t>
      </w:r>
    </w:p>
    <w:p w14:paraId="78E260CE" w14:textId="77777777" w:rsidR="004417AB" w:rsidRDefault="004417AB" w:rsidP="00AD6382">
      <w:pPr>
        <w:spacing w:line="360" w:lineRule="auto"/>
      </w:pPr>
      <w:r>
        <w:t>Indigo Instruments. (2022). indigoinstruments.com</w:t>
      </w:r>
    </w:p>
    <w:p w14:paraId="1FA8B72C" w14:textId="377D4B94" w:rsidR="004417AB" w:rsidRDefault="004417AB" w:rsidP="00AD6382">
      <w:pPr>
        <w:spacing w:line="360" w:lineRule="auto"/>
        <w:ind w:left="720" w:hanging="720"/>
      </w:pPr>
      <w:r>
        <w:t xml:space="preserve">NGSS Lead States. (2017). DCI Arrangements of the Next Generation Science Standards Table of Contents. </w:t>
      </w:r>
      <w:proofErr w:type="gramStart"/>
      <w:r>
        <w:t>September,</w:t>
      </w:r>
      <w:proofErr w:type="gramEnd"/>
      <w:r>
        <w:t xml:space="preserve"> 1–103.</w:t>
      </w:r>
    </w:p>
    <w:p w14:paraId="5CC94927" w14:textId="2A9AE851" w:rsidR="008813E5" w:rsidRDefault="008813E5" w:rsidP="00AD6382">
      <w:pPr>
        <w:spacing w:line="360" w:lineRule="auto"/>
        <w:ind w:left="720" w:hanging="720"/>
      </w:pPr>
      <w:r w:rsidRPr="008813E5">
        <w:t xml:space="preserve">Orcutt, B. N., Daniel, I., &amp; Dasgupta, R. (Eds.). (2019). </w:t>
      </w:r>
      <w:r w:rsidRPr="008813E5">
        <w:rPr>
          <w:i/>
          <w:iCs/>
        </w:rPr>
        <w:t>Deep Carbon</w:t>
      </w:r>
      <w:r w:rsidRPr="008813E5">
        <w:t xml:space="preserve"> (Issue 8.5.2017). Cambridge University Press. https://doi.org/10.1017/9781108677950</w:t>
      </w:r>
    </w:p>
    <w:p w14:paraId="2687E209" w14:textId="77777777" w:rsidR="004417AB" w:rsidRDefault="004417AB" w:rsidP="00AD6382">
      <w:pPr>
        <w:spacing w:line="360" w:lineRule="auto"/>
        <w:ind w:left="720" w:hanging="720"/>
      </w:pPr>
      <w:r>
        <w:t xml:space="preserve">Sarafian, E., Gaetani, G. A., </w:t>
      </w:r>
      <w:proofErr w:type="spellStart"/>
      <w:r>
        <w:t>Hauri</w:t>
      </w:r>
      <w:proofErr w:type="spellEnd"/>
      <w:r>
        <w:t>, E. H., &amp; Sarafian, A. R. (2017). Experimental constraints on the damp peridotite solidus and oceanic mantle potential temperature. Science, 355(6328), 942–945. https://doi.org/10.1126/science.aaj2165</w:t>
      </w:r>
    </w:p>
    <w:p w14:paraId="5F8C25D8" w14:textId="1736B9A4" w:rsidR="00022FAC" w:rsidRPr="0029587E" w:rsidRDefault="007E3247">
      <w:r w:rsidRPr="00F859DE">
        <w:br w:type="page"/>
      </w:r>
      <w:bookmarkEnd w:id="100"/>
    </w:p>
    <w:p w14:paraId="7F14A407" w14:textId="67F5B53F" w:rsidR="00A71521" w:rsidRDefault="00E92F51" w:rsidP="009A42A7">
      <w:pPr>
        <w:pStyle w:val="Heading1"/>
        <w:rPr>
          <w:caps w:val="0"/>
        </w:rPr>
      </w:pPr>
      <w:bookmarkStart w:id="118" w:name="_Toc109036178"/>
      <w:r>
        <w:rPr>
          <w:caps w:val="0"/>
        </w:rPr>
        <w:lastRenderedPageBreak/>
        <w:t>Conclusions</w:t>
      </w:r>
      <w:bookmarkEnd w:id="118"/>
    </w:p>
    <w:p w14:paraId="5837117E" w14:textId="77777777" w:rsidR="001E0124" w:rsidRPr="001E0124" w:rsidRDefault="001E0124" w:rsidP="001E0124"/>
    <w:p w14:paraId="7C309C4F" w14:textId="77777777" w:rsidR="00F35676" w:rsidRDefault="004451F2" w:rsidP="004451F2">
      <w:pPr>
        <w:spacing w:line="360" w:lineRule="auto"/>
        <w:ind w:firstLine="720"/>
      </w:pPr>
      <w:r>
        <w:t>Through natural samples from Earth’s oceanic lithosphere and experimental analogs of the Moon, we can model the behavior of rocks at depth to develop four</w:t>
      </w:r>
      <w:r w:rsidR="00F35676">
        <w:t>-</w:t>
      </w:r>
      <w:r>
        <w:t>dimensional model</w:t>
      </w:r>
      <w:r w:rsidR="00F35676">
        <w:t>s</w:t>
      </w:r>
      <w:r>
        <w:t xml:space="preserve"> of geologic systems in terrestrial mantles. </w:t>
      </w:r>
    </w:p>
    <w:p w14:paraId="6DD3B847" w14:textId="77777777" w:rsidR="00F35676" w:rsidRDefault="004451F2" w:rsidP="004451F2">
      <w:pPr>
        <w:spacing w:line="360" w:lineRule="auto"/>
        <w:ind w:firstLine="720"/>
      </w:pPr>
      <w:r>
        <w:t xml:space="preserve">Geothermometry and geospedometry of samples at fast-spreading mid-ocean ridges lends credence to the </w:t>
      </w:r>
      <w:r w:rsidR="00F35676">
        <w:t xml:space="preserve">Sheeted Sill model of crustal accretion, with fast cooling rates calculated near the crust-mantle transition zone that would require deep circulation of cold ocean water, a process incompatible with the Gabbro Glacier model. </w:t>
      </w:r>
    </w:p>
    <w:p w14:paraId="6DB062EF" w14:textId="2EFC31C2" w:rsidR="00F35676" w:rsidRDefault="00F35676" w:rsidP="004451F2">
      <w:pPr>
        <w:spacing w:line="360" w:lineRule="auto"/>
        <w:ind w:firstLine="720"/>
      </w:pPr>
      <w:r>
        <w:t xml:space="preserve">Mechanical data and microstructural analysis of experimentally deformed analogs to </w:t>
      </w:r>
      <w:r w:rsidR="00957112">
        <w:t>portions of the lunar mantle</w:t>
      </w:r>
      <w:r>
        <w:t xml:space="preserve"> suggest that </w:t>
      </w:r>
      <w:r w:rsidR="00957112">
        <w:t>aggregate</w:t>
      </w:r>
      <w:r>
        <w:t xml:space="preserve"> rheology would be controlled by ilmenite at ratios greater than 25:75 </w:t>
      </w:r>
      <w:proofErr w:type="spellStart"/>
      <w:proofErr w:type="gramStart"/>
      <w:r>
        <w:t>ilm:ol</w:t>
      </w:r>
      <w:proofErr w:type="spellEnd"/>
      <w:proofErr w:type="gramEnd"/>
      <w:r>
        <w:t xml:space="preserve">, with more work needed to constrain the transition to olivine dominated between 25:75 and 10:90 </w:t>
      </w:r>
      <w:proofErr w:type="spellStart"/>
      <w:r>
        <w:t>ilm:ol</w:t>
      </w:r>
      <w:proofErr w:type="spellEnd"/>
      <w:r>
        <w:t>. The contrast in material strength</w:t>
      </w:r>
      <w:r w:rsidR="00957112">
        <w:t xml:space="preserve"> with changing volume percentages in the constituent phases needs to be compared to future shear experiments in monomineralic compositions to determine which theoretical aggregate flow law would best explain the system</w:t>
      </w:r>
      <w:r>
        <w:t xml:space="preserve">. </w:t>
      </w:r>
    </w:p>
    <w:p w14:paraId="73AF9838" w14:textId="4342A0CF" w:rsidR="00F35676" w:rsidRDefault="00F35676" w:rsidP="004451F2">
      <w:pPr>
        <w:spacing w:line="360" w:lineRule="auto"/>
        <w:ind w:firstLine="720"/>
      </w:pPr>
      <w:r>
        <w:t>Based on state and national standards for science in secondary education settings, lesson plans integrating Earth science concepts can bring the depths of the Earth to the hands of high school students, while relieving the lesson planning burden and needed expertise of classroom educators through partnerships such as the one outlined in Chapter 3.</w:t>
      </w:r>
    </w:p>
    <w:p w14:paraId="5D085297" w14:textId="666C8ED5" w:rsidR="00825933" w:rsidRPr="00334400" w:rsidRDefault="00236E6D" w:rsidP="004451F2">
      <w:pPr>
        <w:spacing w:line="360" w:lineRule="auto"/>
        <w:ind w:firstLine="720"/>
      </w:pPr>
      <w:r>
        <w:br w:type="page"/>
      </w:r>
    </w:p>
    <w:p w14:paraId="23554A3E" w14:textId="2FC1DC0E" w:rsidR="00236E6D" w:rsidRDefault="00E92F51" w:rsidP="009A42A7">
      <w:pPr>
        <w:pStyle w:val="Heading1"/>
        <w:rPr>
          <w:caps w:val="0"/>
        </w:rPr>
      </w:pPr>
      <w:bookmarkStart w:id="119" w:name="_Toc109036179"/>
      <w:r>
        <w:rPr>
          <w:caps w:val="0"/>
        </w:rPr>
        <w:lastRenderedPageBreak/>
        <w:t>Vita</w:t>
      </w:r>
      <w:bookmarkEnd w:id="119"/>
    </w:p>
    <w:p w14:paraId="3B23D02A" w14:textId="77777777" w:rsidR="001E0124" w:rsidRPr="001E0124" w:rsidRDefault="001E0124" w:rsidP="001E0124"/>
    <w:p w14:paraId="22A7828B" w14:textId="6F7B911E" w:rsidR="003D63DF" w:rsidRPr="005E54E2" w:rsidRDefault="006B7EFC" w:rsidP="00056273">
      <w:pPr>
        <w:spacing w:line="360" w:lineRule="auto"/>
      </w:pPr>
      <w:r>
        <w:t xml:space="preserve">Nadine </w:t>
      </w:r>
      <w:r w:rsidR="00337713">
        <w:t xml:space="preserve">was born to Dr. James A. Warneke, </w:t>
      </w:r>
      <w:r w:rsidR="004273C0">
        <w:t xml:space="preserve">MD, FACS and Lisa F. Warneke, MS, in Buffalo, NY. At a young age she moved to Tucson, AZ, where she attended primary and secondary school before </w:t>
      </w:r>
      <w:r w:rsidR="00361DD9">
        <w:t>continuing</w:t>
      </w:r>
      <w:r w:rsidR="004273C0">
        <w:t xml:space="preserve"> to her Bachelor of Science at the University of Arizona. While at the University of Arizona, she participated in in Tau Beta Sigma – Omega, Pride of Arizona, Honor Choir, Symphonic Band, World Music Gang, and the Society of Earth Sciences Students, finishing with a BS in Geology and a minor in Music. </w:t>
      </w:r>
      <w:r w:rsidR="007A7084">
        <w:t xml:space="preserve">During her time at the University of Arizona, she was a member of the </w:t>
      </w:r>
      <w:r w:rsidR="0087481D">
        <w:t>Arizona Accelerator Mass Spectrometry Lab, preparing C</w:t>
      </w:r>
      <w:r w:rsidR="0087481D" w:rsidRPr="0087481D">
        <w:rPr>
          <w:vertAlign w:val="superscript"/>
        </w:rPr>
        <w:t>14</w:t>
      </w:r>
      <w:r w:rsidR="0087481D">
        <w:t xml:space="preserve"> samples for analysis, then later joined the USGS Water Resources Division, working with Dr. Julio Betancourt on digitizing over 100 years of paleo-rodent midden data to examine climatic changes in the American Southwest. </w:t>
      </w:r>
      <w:r w:rsidR="004273C0">
        <w:t>After graduating</w:t>
      </w:r>
      <w:r w:rsidR="0087481D">
        <w:t xml:space="preserve"> from </w:t>
      </w:r>
      <w:proofErr w:type="spellStart"/>
      <w:r w:rsidR="0087481D">
        <w:t>UArizona</w:t>
      </w:r>
      <w:proofErr w:type="spellEnd"/>
      <w:r w:rsidR="004273C0">
        <w:t>, she began her Master of Science at the University of New Mexico</w:t>
      </w:r>
      <w:r w:rsidR="007A7084">
        <w:t xml:space="preserve"> in </w:t>
      </w:r>
      <w:r w:rsidR="0087481D">
        <w:t>Albuquerque</w:t>
      </w:r>
      <w:r w:rsidR="004273C0">
        <w:t xml:space="preserve">, working with Dr. Karl Karlstrom on the incisional history of the Eastern Grand Canyon and Vermillion Cliffs using low-temperature </w:t>
      </w:r>
      <w:proofErr w:type="spellStart"/>
      <w:r w:rsidR="004273C0">
        <w:t>AHe</w:t>
      </w:r>
      <w:proofErr w:type="spellEnd"/>
      <w:r w:rsidR="004273C0">
        <w:t xml:space="preserve"> thermochronology. After defending her thesis, she worked in the environmental industry on contaminant remediation at Fort Wingate, Gallup, NM, before switching paths to work in K-12 education</w:t>
      </w:r>
      <w:r w:rsidR="0087481D">
        <w:t>, teaching in informal settings and managing grant funds for a non-profit childcare program</w:t>
      </w:r>
      <w:r w:rsidR="004273C0">
        <w:t>.</w:t>
      </w:r>
      <w:r w:rsidR="0087481D">
        <w:t xml:space="preserve"> Her desire to continue with laboratory studies led her to her work at the University of Tennessee where she has combined hands-on research with her interests in teaching and education. After UTK, Nadine plans on </w:t>
      </w:r>
      <w:r w:rsidR="00957112">
        <w:t xml:space="preserve">accepting a postdoctoral position investigating type-E olivine through </w:t>
      </w:r>
      <w:r w:rsidR="00361DD9">
        <w:t xml:space="preserve">Griggs-type </w:t>
      </w:r>
      <w:r w:rsidR="00957112">
        <w:t>deformation experiments</w:t>
      </w:r>
      <w:r w:rsidR="0087481D">
        <w:t>.</w:t>
      </w:r>
      <w:r w:rsidR="004273C0">
        <w:t xml:space="preserve"> </w:t>
      </w:r>
    </w:p>
    <w:sectPr w:rsidR="003D63DF" w:rsidRPr="005E54E2" w:rsidSect="0071477D">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FE184" w14:textId="77777777" w:rsidR="00D223CC" w:rsidRDefault="00D223CC" w:rsidP="005E54E2">
      <w:r>
        <w:separator/>
      </w:r>
    </w:p>
    <w:p w14:paraId="7A8B5280" w14:textId="77777777" w:rsidR="00D223CC" w:rsidRDefault="00D223CC" w:rsidP="005E54E2"/>
    <w:p w14:paraId="4DE8F8A0" w14:textId="77777777" w:rsidR="00D223CC" w:rsidRDefault="00D223CC" w:rsidP="005E54E2"/>
    <w:p w14:paraId="7D970357" w14:textId="77777777" w:rsidR="00D223CC" w:rsidRDefault="00D223CC" w:rsidP="005E54E2"/>
  </w:endnote>
  <w:endnote w:type="continuationSeparator" w:id="0">
    <w:p w14:paraId="23A33AD9" w14:textId="77777777" w:rsidR="00D223CC" w:rsidRDefault="00D223CC" w:rsidP="005E54E2">
      <w:r>
        <w:continuationSeparator/>
      </w:r>
    </w:p>
    <w:p w14:paraId="48154E6E" w14:textId="77777777" w:rsidR="00D223CC" w:rsidRDefault="00D223CC" w:rsidP="005E54E2"/>
    <w:p w14:paraId="746EA341" w14:textId="77777777" w:rsidR="00D223CC" w:rsidRDefault="00D223CC" w:rsidP="005E54E2"/>
    <w:p w14:paraId="5379F7E3" w14:textId="77777777" w:rsidR="00D223CC" w:rsidRDefault="00D223CC"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138660"/>
      <w:docPartObj>
        <w:docPartGallery w:val="Page Numbers (Bottom of Page)"/>
        <w:docPartUnique/>
      </w:docPartObj>
    </w:sdtPr>
    <w:sdtEndPr>
      <w:rPr>
        <w:noProof/>
      </w:rPr>
    </w:sdtEndPr>
    <w:sdtContent>
      <w:p w14:paraId="62040F9E" w14:textId="7BBCD8C1" w:rsidR="007F3CCA" w:rsidRDefault="007F3866" w:rsidP="005C36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6C38" w14:textId="0B418B2D" w:rsidR="00CD5044" w:rsidRDefault="00CD5044">
    <w:pPr>
      <w:pStyle w:val="Footer"/>
      <w:jc w:val="right"/>
    </w:pPr>
  </w:p>
  <w:p w14:paraId="3C8A619D" w14:textId="77777777" w:rsidR="00545CC0" w:rsidRDefault="00545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7987F" w14:textId="77777777" w:rsidR="00D223CC" w:rsidRDefault="00D223CC" w:rsidP="005E54E2">
      <w:r>
        <w:separator/>
      </w:r>
    </w:p>
    <w:p w14:paraId="5471FDF4" w14:textId="77777777" w:rsidR="00D223CC" w:rsidRDefault="00D223CC" w:rsidP="005E54E2"/>
    <w:p w14:paraId="34284DDC" w14:textId="77777777" w:rsidR="00D223CC" w:rsidRDefault="00D223CC" w:rsidP="005E54E2"/>
    <w:p w14:paraId="093FD10F" w14:textId="77777777" w:rsidR="00D223CC" w:rsidRDefault="00D223CC" w:rsidP="005E54E2"/>
  </w:footnote>
  <w:footnote w:type="continuationSeparator" w:id="0">
    <w:p w14:paraId="773475CB" w14:textId="77777777" w:rsidR="00D223CC" w:rsidRDefault="00D223CC" w:rsidP="005E54E2">
      <w:r>
        <w:continuationSeparator/>
      </w:r>
    </w:p>
    <w:p w14:paraId="3297DA84" w14:textId="77777777" w:rsidR="00D223CC" w:rsidRDefault="00D223CC" w:rsidP="005E54E2"/>
    <w:p w14:paraId="06A6D7D8" w14:textId="77777777" w:rsidR="00D223CC" w:rsidRDefault="00D223CC" w:rsidP="005E54E2"/>
    <w:p w14:paraId="49B31D6F" w14:textId="77777777" w:rsidR="00D223CC" w:rsidRDefault="00D223CC"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E0B0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48E48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454A6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802DA4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7EEDE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243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36B26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2A2B92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020E7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5839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36AD1"/>
    <w:multiLevelType w:val="hybridMultilevel"/>
    <w:tmpl w:val="325AEC32"/>
    <w:lvl w:ilvl="0" w:tplc="D0DAD170">
      <w:start w:val="1"/>
      <w:numFmt w:val="bullet"/>
      <w:lvlText w:val=""/>
      <w:lvlJc w:val="left"/>
      <w:pPr>
        <w:tabs>
          <w:tab w:val="num" w:pos="720"/>
        </w:tabs>
        <w:ind w:left="720" w:hanging="360"/>
      </w:pPr>
      <w:rPr>
        <w:rFonts w:ascii="Wingdings" w:hAnsi="Wingdings" w:hint="default"/>
      </w:rPr>
    </w:lvl>
    <w:lvl w:ilvl="1" w:tplc="52F85F62" w:tentative="1">
      <w:start w:val="1"/>
      <w:numFmt w:val="bullet"/>
      <w:lvlText w:val=""/>
      <w:lvlJc w:val="left"/>
      <w:pPr>
        <w:tabs>
          <w:tab w:val="num" w:pos="1440"/>
        </w:tabs>
        <w:ind w:left="1440" w:hanging="360"/>
      </w:pPr>
      <w:rPr>
        <w:rFonts w:ascii="Wingdings" w:hAnsi="Wingdings" w:hint="default"/>
      </w:rPr>
    </w:lvl>
    <w:lvl w:ilvl="2" w:tplc="CE0E726A" w:tentative="1">
      <w:start w:val="1"/>
      <w:numFmt w:val="bullet"/>
      <w:lvlText w:val=""/>
      <w:lvlJc w:val="left"/>
      <w:pPr>
        <w:tabs>
          <w:tab w:val="num" w:pos="2160"/>
        </w:tabs>
        <w:ind w:left="2160" w:hanging="360"/>
      </w:pPr>
      <w:rPr>
        <w:rFonts w:ascii="Wingdings" w:hAnsi="Wingdings" w:hint="default"/>
      </w:rPr>
    </w:lvl>
    <w:lvl w:ilvl="3" w:tplc="EF06727C" w:tentative="1">
      <w:start w:val="1"/>
      <w:numFmt w:val="bullet"/>
      <w:lvlText w:val=""/>
      <w:lvlJc w:val="left"/>
      <w:pPr>
        <w:tabs>
          <w:tab w:val="num" w:pos="2880"/>
        </w:tabs>
        <w:ind w:left="2880" w:hanging="360"/>
      </w:pPr>
      <w:rPr>
        <w:rFonts w:ascii="Wingdings" w:hAnsi="Wingdings" w:hint="default"/>
      </w:rPr>
    </w:lvl>
    <w:lvl w:ilvl="4" w:tplc="66F664C4" w:tentative="1">
      <w:start w:val="1"/>
      <w:numFmt w:val="bullet"/>
      <w:lvlText w:val=""/>
      <w:lvlJc w:val="left"/>
      <w:pPr>
        <w:tabs>
          <w:tab w:val="num" w:pos="3600"/>
        </w:tabs>
        <w:ind w:left="3600" w:hanging="360"/>
      </w:pPr>
      <w:rPr>
        <w:rFonts w:ascii="Wingdings" w:hAnsi="Wingdings" w:hint="default"/>
      </w:rPr>
    </w:lvl>
    <w:lvl w:ilvl="5" w:tplc="08363B02" w:tentative="1">
      <w:start w:val="1"/>
      <w:numFmt w:val="bullet"/>
      <w:lvlText w:val=""/>
      <w:lvlJc w:val="left"/>
      <w:pPr>
        <w:tabs>
          <w:tab w:val="num" w:pos="4320"/>
        </w:tabs>
        <w:ind w:left="4320" w:hanging="360"/>
      </w:pPr>
      <w:rPr>
        <w:rFonts w:ascii="Wingdings" w:hAnsi="Wingdings" w:hint="default"/>
      </w:rPr>
    </w:lvl>
    <w:lvl w:ilvl="6" w:tplc="14D6D4D4" w:tentative="1">
      <w:start w:val="1"/>
      <w:numFmt w:val="bullet"/>
      <w:lvlText w:val=""/>
      <w:lvlJc w:val="left"/>
      <w:pPr>
        <w:tabs>
          <w:tab w:val="num" w:pos="5040"/>
        </w:tabs>
        <w:ind w:left="5040" w:hanging="360"/>
      </w:pPr>
      <w:rPr>
        <w:rFonts w:ascii="Wingdings" w:hAnsi="Wingdings" w:hint="default"/>
      </w:rPr>
    </w:lvl>
    <w:lvl w:ilvl="7" w:tplc="74F2F18C" w:tentative="1">
      <w:start w:val="1"/>
      <w:numFmt w:val="bullet"/>
      <w:lvlText w:val=""/>
      <w:lvlJc w:val="left"/>
      <w:pPr>
        <w:tabs>
          <w:tab w:val="num" w:pos="5760"/>
        </w:tabs>
        <w:ind w:left="5760" w:hanging="360"/>
      </w:pPr>
      <w:rPr>
        <w:rFonts w:ascii="Wingdings" w:hAnsi="Wingdings" w:hint="default"/>
      </w:rPr>
    </w:lvl>
    <w:lvl w:ilvl="8" w:tplc="45EE0B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290D76"/>
    <w:multiLevelType w:val="hybridMultilevel"/>
    <w:tmpl w:val="28A83A82"/>
    <w:lvl w:ilvl="0" w:tplc="151E6BE8">
      <w:start w:val="1"/>
      <w:numFmt w:val="bullet"/>
      <w:lvlText w:val=""/>
      <w:lvlJc w:val="left"/>
      <w:pPr>
        <w:tabs>
          <w:tab w:val="num" w:pos="720"/>
        </w:tabs>
        <w:ind w:left="720" w:hanging="360"/>
      </w:pPr>
      <w:rPr>
        <w:rFonts w:ascii="Wingdings" w:hAnsi="Wingdings" w:hint="default"/>
      </w:rPr>
    </w:lvl>
    <w:lvl w:ilvl="1" w:tplc="F9FCE696" w:tentative="1">
      <w:start w:val="1"/>
      <w:numFmt w:val="bullet"/>
      <w:lvlText w:val=""/>
      <w:lvlJc w:val="left"/>
      <w:pPr>
        <w:tabs>
          <w:tab w:val="num" w:pos="1440"/>
        </w:tabs>
        <w:ind w:left="1440" w:hanging="360"/>
      </w:pPr>
      <w:rPr>
        <w:rFonts w:ascii="Wingdings" w:hAnsi="Wingdings" w:hint="default"/>
      </w:rPr>
    </w:lvl>
    <w:lvl w:ilvl="2" w:tplc="CB76F78A" w:tentative="1">
      <w:start w:val="1"/>
      <w:numFmt w:val="bullet"/>
      <w:lvlText w:val=""/>
      <w:lvlJc w:val="left"/>
      <w:pPr>
        <w:tabs>
          <w:tab w:val="num" w:pos="2160"/>
        </w:tabs>
        <w:ind w:left="2160" w:hanging="360"/>
      </w:pPr>
      <w:rPr>
        <w:rFonts w:ascii="Wingdings" w:hAnsi="Wingdings" w:hint="default"/>
      </w:rPr>
    </w:lvl>
    <w:lvl w:ilvl="3" w:tplc="03DA3B9C" w:tentative="1">
      <w:start w:val="1"/>
      <w:numFmt w:val="bullet"/>
      <w:lvlText w:val=""/>
      <w:lvlJc w:val="left"/>
      <w:pPr>
        <w:tabs>
          <w:tab w:val="num" w:pos="2880"/>
        </w:tabs>
        <w:ind w:left="2880" w:hanging="360"/>
      </w:pPr>
      <w:rPr>
        <w:rFonts w:ascii="Wingdings" w:hAnsi="Wingdings" w:hint="default"/>
      </w:rPr>
    </w:lvl>
    <w:lvl w:ilvl="4" w:tplc="5C80F5E6" w:tentative="1">
      <w:start w:val="1"/>
      <w:numFmt w:val="bullet"/>
      <w:lvlText w:val=""/>
      <w:lvlJc w:val="left"/>
      <w:pPr>
        <w:tabs>
          <w:tab w:val="num" w:pos="3600"/>
        </w:tabs>
        <w:ind w:left="3600" w:hanging="360"/>
      </w:pPr>
      <w:rPr>
        <w:rFonts w:ascii="Wingdings" w:hAnsi="Wingdings" w:hint="default"/>
      </w:rPr>
    </w:lvl>
    <w:lvl w:ilvl="5" w:tplc="0BD692CA" w:tentative="1">
      <w:start w:val="1"/>
      <w:numFmt w:val="bullet"/>
      <w:lvlText w:val=""/>
      <w:lvlJc w:val="left"/>
      <w:pPr>
        <w:tabs>
          <w:tab w:val="num" w:pos="4320"/>
        </w:tabs>
        <w:ind w:left="4320" w:hanging="360"/>
      </w:pPr>
      <w:rPr>
        <w:rFonts w:ascii="Wingdings" w:hAnsi="Wingdings" w:hint="default"/>
      </w:rPr>
    </w:lvl>
    <w:lvl w:ilvl="6" w:tplc="F55ECF50" w:tentative="1">
      <w:start w:val="1"/>
      <w:numFmt w:val="bullet"/>
      <w:lvlText w:val=""/>
      <w:lvlJc w:val="left"/>
      <w:pPr>
        <w:tabs>
          <w:tab w:val="num" w:pos="5040"/>
        </w:tabs>
        <w:ind w:left="5040" w:hanging="360"/>
      </w:pPr>
      <w:rPr>
        <w:rFonts w:ascii="Wingdings" w:hAnsi="Wingdings" w:hint="default"/>
      </w:rPr>
    </w:lvl>
    <w:lvl w:ilvl="7" w:tplc="CC6C0332" w:tentative="1">
      <w:start w:val="1"/>
      <w:numFmt w:val="bullet"/>
      <w:lvlText w:val=""/>
      <w:lvlJc w:val="left"/>
      <w:pPr>
        <w:tabs>
          <w:tab w:val="num" w:pos="5760"/>
        </w:tabs>
        <w:ind w:left="5760" w:hanging="360"/>
      </w:pPr>
      <w:rPr>
        <w:rFonts w:ascii="Wingdings" w:hAnsi="Wingdings" w:hint="default"/>
      </w:rPr>
    </w:lvl>
    <w:lvl w:ilvl="8" w:tplc="E918D94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5419C7"/>
    <w:multiLevelType w:val="hybridMultilevel"/>
    <w:tmpl w:val="AA9EE8C2"/>
    <w:lvl w:ilvl="0" w:tplc="506E1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BD60A2"/>
    <w:multiLevelType w:val="hybridMultilevel"/>
    <w:tmpl w:val="D6609ADE"/>
    <w:lvl w:ilvl="0" w:tplc="CFCA16DC">
      <w:start w:val="1"/>
      <w:numFmt w:val="bullet"/>
      <w:lvlText w:val=""/>
      <w:lvlJc w:val="left"/>
      <w:pPr>
        <w:tabs>
          <w:tab w:val="num" w:pos="720"/>
        </w:tabs>
        <w:ind w:left="720" w:hanging="360"/>
      </w:pPr>
      <w:rPr>
        <w:rFonts w:ascii="Wingdings" w:hAnsi="Wingdings" w:hint="default"/>
      </w:rPr>
    </w:lvl>
    <w:lvl w:ilvl="1" w:tplc="6B1A228C" w:tentative="1">
      <w:start w:val="1"/>
      <w:numFmt w:val="bullet"/>
      <w:lvlText w:val=""/>
      <w:lvlJc w:val="left"/>
      <w:pPr>
        <w:tabs>
          <w:tab w:val="num" w:pos="1440"/>
        </w:tabs>
        <w:ind w:left="1440" w:hanging="360"/>
      </w:pPr>
      <w:rPr>
        <w:rFonts w:ascii="Wingdings" w:hAnsi="Wingdings" w:hint="default"/>
      </w:rPr>
    </w:lvl>
    <w:lvl w:ilvl="2" w:tplc="C68C95F8" w:tentative="1">
      <w:start w:val="1"/>
      <w:numFmt w:val="bullet"/>
      <w:lvlText w:val=""/>
      <w:lvlJc w:val="left"/>
      <w:pPr>
        <w:tabs>
          <w:tab w:val="num" w:pos="2160"/>
        </w:tabs>
        <w:ind w:left="2160" w:hanging="360"/>
      </w:pPr>
      <w:rPr>
        <w:rFonts w:ascii="Wingdings" w:hAnsi="Wingdings" w:hint="default"/>
      </w:rPr>
    </w:lvl>
    <w:lvl w:ilvl="3" w:tplc="E292A130" w:tentative="1">
      <w:start w:val="1"/>
      <w:numFmt w:val="bullet"/>
      <w:lvlText w:val=""/>
      <w:lvlJc w:val="left"/>
      <w:pPr>
        <w:tabs>
          <w:tab w:val="num" w:pos="2880"/>
        </w:tabs>
        <w:ind w:left="2880" w:hanging="360"/>
      </w:pPr>
      <w:rPr>
        <w:rFonts w:ascii="Wingdings" w:hAnsi="Wingdings" w:hint="default"/>
      </w:rPr>
    </w:lvl>
    <w:lvl w:ilvl="4" w:tplc="5A6C4638" w:tentative="1">
      <w:start w:val="1"/>
      <w:numFmt w:val="bullet"/>
      <w:lvlText w:val=""/>
      <w:lvlJc w:val="left"/>
      <w:pPr>
        <w:tabs>
          <w:tab w:val="num" w:pos="3600"/>
        </w:tabs>
        <w:ind w:left="3600" w:hanging="360"/>
      </w:pPr>
      <w:rPr>
        <w:rFonts w:ascii="Wingdings" w:hAnsi="Wingdings" w:hint="default"/>
      </w:rPr>
    </w:lvl>
    <w:lvl w:ilvl="5" w:tplc="564C1436" w:tentative="1">
      <w:start w:val="1"/>
      <w:numFmt w:val="bullet"/>
      <w:lvlText w:val=""/>
      <w:lvlJc w:val="left"/>
      <w:pPr>
        <w:tabs>
          <w:tab w:val="num" w:pos="4320"/>
        </w:tabs>
        <w:ind w:left="4320" w:hanging="360"/>
      </w:pPr>
      <w:rPr>
        <w:rFonts w:ascii="Wingdings" w:hAnsi="Wingdings" w:hint="default"/>
      </w:rPr>
    </w:lvl>
    <w:lvl w:ilvl="6" w:tplc="B4E41876" w:tentative="1">
      <w:start w:val="1"/>
      <w:numFmt w:val="bullet"/>
      <w:lvlText w:val=""/>
      <w:lvlJc w:val="left"/>
      <w:pPr>
        <w:tabs>
          <w:tab w:val="num" w:pos="5040"/>
        </w:tabs>
        <w:ind w:left="5040" w:hanging="360"/>
      </w:pPr>
      <w:rPr>
        <w:rFonts w:ascii="Wingdings" w:hAnsi="Wingdings" w:hint="default"/>
      </w:rPr>
    </w:lvl>
    <w:lvl w:ilvl="7" w:tplc="DA8EFD34" w:tentative="1">
      <w:start w:val="1"/>
      <w:numFmt w:val="bullet"/>
      <w:lvlText w:val=""/>
      <w:lvlJc w:val="left"/>
      <w:pPr>
        <w:tabs>
          <w:tab w:val="num" w:pos="5760"/>
        </w:tabs>
        <w:ind w:left="5760" w:hanging="360"/>
      </w:pPr>
      <w:rPr>
        <w:rFonts w:ascii="Wingdings" w:hAnsi="Wingdings" w:hint="default"/>
      </w:rPr>
    </w:lvl>
    <w:lvl w:ilvl="8" w:tplc="3E3A81A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9F7A34"/>
    <w:multiLevelType w:val="hybridMultilevel"/>
    <w:tmpl w:val="CA6075B8"/>
    <w:lvl w:ilvl="0" w:tplc="721033CA">
      <w:start w:val="1"/>
      <w:numFmt w:val="bullet"/>
      <w:lvlText w:val=""/>
      <w:lvlJc w:val="left"/>
      <w:pPr>
        <w:tabs>
          <w:tab w:val="num" w:pos="720"/>
        </w:tabs>
        <w:ind w:left="720" w:hanging="360"/>
      </w:pPr>
      <w:rPr>
        <w:rFonts w:ascii="Wingdings" w:hAnsi="Wingdings" w:hint="default"/>
      </w:rPr>
    </w:lvl>
    <w:lvl w:ilvl="1" w:tplc="135AE1D2" w:tentative="1">
      <w:start w:val="1"/>
      <w:numFmt w:val="bullet"/>
      <w:lvlText w:val=""/>
      <w:lvlJc w:val="left"/>
      <w:pPr>
        <w:tabs>
          <w:tab w:val="num" w:pos="1440"/>
        </w:tabs>
        <w:ind w:left="1440" w:hanging="360"/>
      </w:pPr>
      <w:rPr>
        <w:rFonts w:ascii="Wingdings" w:hAnsi="Wingdings" w:hint="default"/>
      </w:rPr>
    </w:lvl>
    <w:lvl w:ilvl="2" w:tplc="B3C8AB66" w:tentative="1">
      <w:start w:val="1"/>
      <w:numFmt w:val="bullet"/>
      <w:lvlText w:val=""/>
      <w:lvlJc w:val="left"/>
      <w:pPr>
        <w:tabs>
          <w:tab w:val="num" w:pos="2160"/>
        </w:tabs>
        <w:ind w:left="2160" w:hanging="360"/>
      </w:pPr>
      <w:rPr>
        <w:rFonts w:ascii="Wingdings" w:hAnsi="Wingdings" w:hint="default"/>
      </w:rPr>
    </w:lvl>
    <w:lvl w:ilvl="3" w:tplc="EC5AFA20" w:tentative="1">
      <w:start w:val="1"/>
      <w:numFmt w:val="bullet"/>
      <w:lvlText w:val=""/>
      <w:lvlJc w:val="left"/>
      <w:pPr>
        <w:tabs>
          <w:tab w:val="num" w:pos="2880"/>
        </w:tabs>
        <w:ind w:left="2880" w:hanging="360"/>
      </w:pPr>
      <w:rPr>
        <w:rFonts w:ascii="Wingdings" w:hAnsi="Wingdings" w:hint="default"/>
      </w:rPr>
    </w:lvl>
    <w:lvl w:ilvl="4" w:tplc="4FBA22AC" w:tentative="1">
      <w:start w:val="1"/>
      <w:numFmt w:val="bullet"/>
      <w:lvlText w:val=""/>
      <w:lvlJc w:val="left"/>
      <w:pPr>
        <w:tabs>
          <w:tab w:val="num" w:pos="3600"/>
        </w:tabs>
        <w:ind w:left="3600" w:hanging="360"/>
      </w:pPr>
      <w:rPr>
        <w:rFonts w:ascii="Wingdings" w:hAnsi="Wingdings" w:hint="default"/>
      </w:rPr>
    </w:lvl>
    <w:lvl w:ilvl="5" w:tplc="9716CC00" w:tentative="1">
      <w:start w:val="1"/>
      <w:numFmt w:val="bullet"/>
      <w:lvlText w:val=""/>
      <w:lvlJc w:val="left"/>
      <w:pPr>
        <w:tabs>
          <w:tab w:val="num" w:pos="4320"/>
        </w:tabs>
        <w:ind w:left="4320" w:hanging="360"/>
      </w:pPr>
      <w:rPr>
        <w:rFonts w:ascii="Wingdings" w:hAnsi="Wingdings" w:hint="default"/>
      </w:rPr>
    </w:lvl>
    <w:lvl w:ilvl="6" w:tplc="D2A45FC2" w:tentative="1">
      <w:start w:val="1"/>
      <w:numFmt w:val="bullet"/>
      <w:lvlText w:val=""/>
      <w:lvlJc w:val="left"/>
      <w:pPr>
        <w:tabs>
          <w:tab w:val="num" w:pos="5040"/>
        </w:tabs>
        <w:ind w:left="5040" w:hanging="360"/>
      </w:pPr>
      <w:rPr>
        <w:rFonts w:ascii="Wingdings" w:hAnsi="Wingdings" w:hint="default"/>
      </w:rPr>
    </w:lvl>
    <w:lvl w:ilvl="7" w:tplc="2996E2BC" w:tentative="1">
      <w:start w:val="1"/>
      <w:numFmt w:val="bullet"/>
      <w:lvlText w:val=""/>
      <w:lvlJc w:val="left"/>
      <w:pPr>
        <w:tabs>
          <w:tab w:val="num" w:pos="5760"/>
        </w:tabs>
        <w:ind w:left="5760" w:hanging="360"/>
      </w:pPr>
      <w:rPr>
        <w:rFonts w:ascii="Wingdings" w:hAnsi="Wingdings" w:hint="default"/>
      </w:rPr>
    </w:lvl>
    <w:lvl w:ilvl="8" w:tplc="0A62CFE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261189"/>
    <w:multiLevelType w:val="hybridMultilevel"/>
    <w:tmpl w:val="C4100E6E"/>
    <w:lvl w:ilvl="0" w:tplc="D0FCDFC2">
      <w:start w:val="1"/>
      <w:numFmt w:val="bullet"/>
      <w:lvlText w:val="•"/>
      <w:lvlJc w:val="left"/>
      <w:pPr>
        <w:tabs>
          <w:tab w:val="num" w:pos="720"/>
        </w:tabs>
        <w:ind w:left="720" w:hanging="360"/>
      </w:pPr>
      <w:rPr>
        <w:rFonts w:ascii="Arial" w:hAnsi="Arial" w:hint="default"/>
      </w:rPr>
    </w:lvl>
    <w:lvl w:ilvl="1" w:tplc="D8A8460E" w:tentative="1">
      <w:start w:val="1"/>
      <w:numFmt w:val="bullet"/>
      <w:lvlText w:val="•"/>
      <w:lvlJc w:val="left"/>
      <w:pPr>
        <w:tabs>
          <w:tab w:val="num" w:pos="1440"/>
        </w:tabs>
        <w:ind w:left="1440" w:hanging="360"/>
      </w:pPr>
      <w:rPr>
        <w:rFonts w:ascii="Arial" w:hAnsi="Arial" w:hint="default"/>
      </w:rPr>
    </w:lvl>
    <w:lvl w:ilvl="2" w:tplc="180E0EA4" w:tentative="1">
      <w:start w:val="1"/>
      <w:numFmt w:val="bullet"/>
      <w:lvlText w:val="•"/>
      <w:lvlJc w:val="left"/>
      <w:pPr>
        <w:tabs>
          <w:tab w:val="num" w:pos="2160"/>
        </w:tabs>
        <w:ind w:left="2160" w:hanging="360"/>
      </w:pPr>
      <w:rPr>
        <w:rFonts w:ascii="Arial" w:hAnsi="Arial" w:hint="default"/>
      </w:rPr>
    </w:lvl>
    <w:lvl w:ilvl="3" w:tplc="FDDEFA0A" w:tentative="1">
      <w:start w:val="1"/>
      <w:numFmt w:val="bullet"/>
      <w:lvlText w:val="•"/>
      <w:lvlJc w:val="left"/>
      <w:pPr>
        <w:tabs>
          <w:tab w:val="num" w:pos="2880"/>
        </w:tabs>
        <w:ind w:left="2880" w:hanging="360"/>
      </w:pPr>
      <w:rPr>
        <w:rFonts w:ascii="Arial" w:hAnsi="Arial" w:hint="default"/>
      </w:rPr>
    </w:lvl>
    <w:lvl w:ilvl="4" w:tplc="0CEAF15A" w:tentative="1">
      <w:start w:val="1"/>
      <w:numFmt w:val="bullet"/>
      <w:lvlText w:val="•"/>
      <w:lvlJc w:val="left"/>
      <w:pPr>
        <w:tabs>
          <w:tab w:val="num" w:pos="3600"/>
        </w:tabs>
        <w:ind w:left="3600" w:hanging="360"/>
      </w:pPr>
      <w:rPr>
        <w:rFonts w:ascii="Arial" w:hAnsi="Arial" w:hint="default"/>
      </w:rPr>
    </w:lvl>
    <w:lvl w:ilvl="5" w:tplc="A45ABA74" w:tentative="1">
      <w:start w:val="1"/>
      <w:numFmt w:val="bullet"/>
      <w:lvlText w:val="•"/>
      <w:lvlJc w:val="left"/>
      <w:pPr>
        <w:tabs>
          <w:tab w:val="num" w:pos="4320"/>
        </w:tabs>
        <w:ind w:left="4320" w:hanging="360"/>
      </w:pPr>
      <w:rPr>
        <w:rFonts w:ascii="Arial" w:hAnsi="Arial" w:hint="default"/>
      </w:rPr>
    </w:lvl>
    <w:lvl w:ilvl="6" w:tplc="91E0CC74" w:tentative="1">
      <w:start w:val="1"/>
      <w:numFmt w:val="bullet"/>
      <w:lvlText w:val="•"/>
      <w:lvlJc w:val="left"/>
      <w:pPr>
        <w:tabs>
          <w:tab w:val="num" w:pos="5040"/>
        </w:tabs>
        <w:ind w:left="5040" w:hanging="360"/>
      </w:pPr>
      <w:rPr>
        <w:rFonts w:ascii="Arial" w:hAnsi="Arial" w:hint="default"/>
      </w:rPr>
    </w:lvl>
    <w:lvl w:ilvl="7" w:tplc="22022680" w:tentative="1">
      <w:start w:val="1"/>
      <w:numFmt w:val="bullet"/>
      <w:lvlText w:val="•"/>
      <w:lvlJc w:val="left"/>
      <w:pPr>
        <w:tabs>
          <w:tab w:val="num" w:pos="5760"/>
        </w:tabs>
        <w:ind w:left="5760" w:hanging="360"/>
      </w:pPr>
      <w:rPr>
        <w:rFonts w:ascii="Arial" w:hAnsi="Arial" w:hint="default"/>
      </w:rPr>
    </w:lvl>
    <w:lvl w:ilvl="8" w:tplc="605AB52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8852F00"/>
    <w:multiLevelType w:val="hybridMultilevel"/>
    <w:tmpl w:val="EFCC2400"/>
    <w:lvl w:ilvl="0" w:tplc="AA285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50DF9"/>
    <w:multiLevelType w:val="hybridMultilevel"/>
    <w:tmpl w:val="83D2A59C"/>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15:restartNumberingAfterBreak="0">
    <w:nsid w:val="2FED4B18"/>
    <w:multiLevelType w:val="hybridMultilevel"/>
    <w:tmpl w:val="8626C016"/>
    <w:lvl w:ilvl="0" w:tplc="04AA2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F744D2"/>
    <w:multiLevelType w:val="hybridMultilevel"/>
    <w:tmpl w:val="467C9552"/>
    <w:lvl w:ilvl="0" w:tplc="9CA02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097454"/>
    <w:multiLevelType w:val="hybridMultilevel"/>
    <w:tmpl w:val="67443660"/>
    <w:lvl w:ilvl="0" w:tplc="4F1E8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8B5AF5"/>
    <w:multiLevelType w:val="hybridMultilevel"/>
    <w:tmpl w:val="DE168EEC"/>
    <w:lvl w:ilvl="0" w:tplc="FC306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7F16C1"/>
    <w:multiLevelType w:val="hybridMultilevel"/>
    <w:tmpl w:val="99666DC8"/>
    <w:lvl w:ilvl="0" w:tplc="74869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E0B1F"/>
    <w:multiLevelType w:val="hybridMultilevel"/>
    <w:tmpl w:val="6884157E"/>
    <w:lvl w:ilvl="0" w:tplc="2FDA1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B60BF0"/>
    <w:multiLevelType w:val="hybridMultilevel"/>
    <w:tmpl w:val="126C29E8"/>
    <w:lvl w:ilvl="0" w:tplc="9E385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CE0086"/>
    <w:multiLevelType w:val="hybridMultilevel"/>
    <w:tmpl w:val="901047F4"/>
    <w:lvl w:ilvl="0" w:tplc="F1AAC6DC">
      <w:start w:val="1"/>
      <w:numFmt w:val="bullet"/>
      <w:lvlText w:val=""/>
      <w:lvlJc w:val="left"/>
      <w:pPr>
        <w:tabs>
          <w:tab w:val="num" w:pos="720"/>
        </w:tabs>
        <w:ind w:left="720" w:hanging="360"/>
      </w:pPr>
      <w:rPr>
        <w:rFonts w:ascii="Wingdings" w:hAnsi="Wingdings" w:hint="default"/>
      </w:rPr>
    </w:lvl>
    <w:lvl w:ilvl="1" w:tplc="8E2A85BE" w:tentative="1">
      <w:start w:val="1"/>
      <w:numFmt w:val="bullet"/>
      <w:lvlText w:val=""/>
      <w:lvlJc w:val="left"/>
      <w:pPr>
        <w:tabs>
          <w:tab w:val="num" w:pos="1440"/>
        </w:tabs>
        <w:ind w:left="1440" w:hanging="360"/>
      </w:pPr>
      <w:rPr>
        <w:rFonts w:ascii="Wingdings" w:hAnsi="Wingdings" w:hint="default"/>
      </w:rPr>
    </w:lvl>
    <w:lvl w:ilvl="2" w:tplc="406CDB4E" w:tentative="1">
      <w:start w:val="1"/>
      <w:numFmt w:val="bullet"/>
      <w:lvlText w:val=""/>
      <w:lvlJc w:val="left"/>
      <w:pPr>
        <w:tabs>
          <w:tab w:val="num" w:pos="2160"/>
        </w:tabs>
        <w:ind w:left="2160" w:hanging="360"/>
      </w:pPr>
      <w:rPr>
        <w:rFonts w:ascii="Wingdings" w:hAnsi="Wingdings" w:hint="default"/>
      </w:rPr>
    </w:lvl>
    <w:lvl w:ilvl="3" w:tplc="F8684CAC" w:tentative="1">
      <w:start w:val="1"/>
      <w:numFmt w:val="bullet"/>
      <w:lvlText w:val=""/>
      <w:lvlJc w:val="left"/>
      <w:pPr>
        <w:tabs>
          <w:tab w:val="num" w:pos="2880"/>
        </w:tabs>
        <w:ind w:left="2880" w:hanging="360"/>
      </w:pPr>
      <w:rPr>
        <w:rFonts w:ascii="Wingdings" w:hAnsi="Wingdings" w:hint="default"/>
      </w:rPr>
    </w:lvl>
    <w:lvl w:ilvl="4" w:tplc="CC02F970" w:tentative="1">
      <w:start w:val="1"/>
      <w:numFmt w:val="bullet"/>
      <w:lvlText w:val=""/>
      <w:lvlJc w:val="left"/>
      <w:pPr>
        <w:tabs>
          <w:tab w:val="num" w:pos="3600"/>
        </w:tabs>
        <w:ind w:left="3600" w:hanging="360"/>
      </w:pPr>
      <w:rPr>
        <w:rFonts w:ascii="Wingdings" w:hAnsi="Wingdings" w:hint="default"/>
      </w:rPr>
    </w:lvl>
    <w:lvl w:ilvl="5" w:tplc="C62052D6" w:tentative="1">
      <w:start w:val="1"/>
      <w:numFmt w:val="bullet"/>
      <w:lvlText w:val=""/>
      <w:lvlJc w:val="left"/>
      <w:pPr>
        <w:tabs>
          <w:tab w:val="num" w:pos="4320"/>
        </w:tabs>
        <w:ind w:left="4320" w:hanging="360"/>
      </w:pPr>
      <w:rPr>
        <w:rFonts w:ascii="Wingdings" w:hAnsi="Wingdings" w:hint="default"/>
      </w:rPr>
    </w:lvl>
    <w:lvl w:ilvl="6" w:tplc="548252FC" w:tentative="1">
      <w:start w:val="1"/>
      <w:numFmt w:val="bullet"/>
      <w:lvlText w:val=""/>
      <w:lvlJc w:val="left"/>
      <w:pPr>
        <w:tabs>
          <w:tab w:val="num" w:pos="5040"/>
        </w:tabs>
        <w:ind w:left="5040" w:hanging="360"/>
      </w:pPr>
      <w:rPr>
        <w:rFonts w:ascii="Wingdings" w:hAnsi="Wingdings" w:hint="default"/>
      </w:rPr>
    </w:lvl>
    <w:lvl w:ilvl="7" w:tplc="08E6A338" w:tentative="1">
      <w:start w:val="1"/>
      <w:numFmt w:val="bullet"/>
      <w:lvlText w:val=""/>
      <w:lvlJc w:val="left"/>
      <w:pPr>
        <w:tabs>
          <w:tab w:val="num" w:pos="5760"/>
        </w:tabs>
        <w:ind w:left="5760" w:hanging="360"/>
      </w:pPr>
      <w:rPr>
        <w:rFonts w:ascii="Wingdings" w:hAnsi="Wingdings" w:hint="default"/>
      </w:rPr>
    </w:lvl>
    <w:lvl w:ilvl="8" w:tplc="07EEA9A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A7C25"/>
    <w:multiLevelType w:val="hybridMultilevel"/>
    <w:tmpl w:val="BEB25F6C"/>
    <w:lvl w:ilvl="0" w:tplc="0C02FD02">
      <w:start w:val="1"/>
      <w:numFmt w:val="bullet"/>
      <w:lvlText w:val=""/>
      <w:lvlJc w:val="left"/>
      <w:pPr>
        <w:tabs>
          <w:tab w:val="num" w:pos="720"/>
        </w:tabs>
        <w:ind w:left="720" w:hanging="360"/>
      </w:pPr>
      <w:rPr>
        <w:rFonts w:ascii="Wingdings" w:hAnsi="Wingdings" w:hint="default"/>
      </w:rPr>
    </w:lvl>
    <w:lvl w:ilvl="1" w:tplc="EB800E16" w:tentative="1">
      <w:start w:val="1"/>
      <w:numFmt w:val="bullet"/>
      <w:lvlText w:val=""/>
      <w:lvlJc w:val="left"/>
      <w:pPr>
        <w:tabs>
          <w:tab w:val="num" w:pos="1440"/>
        </w:tabs>
        <w:ind w:left="1440" w:hanging="360"/>
      </w:pPr>
      <w:rPr>
        <w:rFonts w:ascii="Wingdings" w:hAnsi="Wingdings" w:hint="default"/>
      </w:rPr>
    </w:lvl>
    <w:lvl w:ilvl="2" w:tplc="9F84254E" w:tentative="1">
      <w:start w:val="1"/>
      <w:numFmt w:val="bullet"/>
      <w:lvlText w:val=""/>
      <w:lvlJc w:val="left"/>
      <w:pPr>
        <w:tabs>
          <w:tab w:val="num" w:pos="2160"/>
        </w:tabs>
        <w:ind w:left="2160" w:hanging="360"/>
      </w:pPr>
      <w:rPr>
        <w:rFonts w:ascii="Wingdings" w:hAnsi="Wingdings" w:hint="default"/>
      </w:rPr>
    </w:lvl>
    <w:lvl w:ilvl="3" w:tplc="8A3A5F5A" w:tentative="1">
      <w:start w:val="1"/>
      <w:numFmt w:val="bullet"/>
      <w:lvlText w:val=""/>
      <w:lvlJc w:val="left"/>
      <w:pPr>
        <w:tabs>
          <w:tab w:val="num" w:pos="2880"/>
        </w:tabs>
        <w:ind w:left="2880" w:hanging="360"/>
      </w:pPr>
      <w:rPr>
        <w:rFonts w:ascii="Wingdings" w:hAnsi="Wingdings" w:hint="default"/>
      </w:rPr>
    </w:lvl>
    <w:lvl w:ilvl="4" w:tplc="6DB090F0" w:tentative="1">
      <w:start w:val="1"/>
      <w:numFmt w:val="bullet"/>
      <w:lvlText w:val=""/>
      <w:lvlJc w:val="left"/>
      <w:pPr>
        <w:tabs>
          <w:tab w:val="num" w:pos="3600"/>
        </w:tabs>
        <w:ind w:left="3600" w:hanging="360"/>
      </w:pPr>
      <w:rPr>
        <w:rFonts w:ascii="Wingdings" w:hAnsi="Wingdings" w:hint="default"/>
      </w:rPr>
    </w:lvl>
    <w:lvl w:ilvl="5" w:tplc="D4BE18A2" w:tentative="1">
      <w:start w:val="1"/>
      <w:numFmt w:val="bullet"/>
      <w:lvlText w:val=""/>
      <w:lvlJc w:val="left"/>
      <w:pPr>
        <w:tabs>
          <w:tab w:val="num" w:pos="4320"/>
        </w:tabs>
        <w:ind w:left="4320" w:hanging="360"/>
      </w:pPr>
      <w:rPr>
        <w:rFonts w:ascii="Wingdings" w:hAnsi="Wingdings" w:hint="default"/>
      </w:rPr>
    </w:lvl>
    <w:lvl w:ilvl="6" w:tplc="7162543A" w:tentative="1">
      <w:start w:val="1"/>
      <w:numFmt w:val="bullet"/>
      <w:lvlText w:val=""/>
      <w:lvlJc w:val="left"/>
      <w:pPr>
        <w:tabs>
          <w:tab w:val="num" w:pos="5040"/>
        </w:tabs>
        <w:ind w:left="5040" w:hanging="360"/>
      </w:pPr>
      <w:rPr>
        <w:rFonts w:ascii="Wingdings" w:hAnsi="Wingdings" w:hint="default"/>
      </w:rPr>
    </w:lvl>
    <w:lvl w:ilvl="7" w:tplc="AC025954" w:tentative="1">
      <w:start w:val="1"/>
      <w:numFmt w:val="bullet"/>
      <w:lvlText w:val=""/>
      <w:lvlJc w:val="left"/>
      <w:pPr>
        <w:tabs>
          <w:tab w:val="num" w:pos="5760"/>
        </w:tabs>
        <w:ind w:left="5760" w:hanging="360"/>
      </w:pPr>
      <w:rPr>
        <w:rFonts w:ascii="Wingdings" w:hAnsi="Wingdings" w:hint="default"/>
      </w:rPr>
    </w:lvl>
    <w:lvl w:ilvl="8" w:tplc="84B8FC8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157C4C"/>
    <w:multiLevelType w:val="hybridMultilevel"/>
    <w:tmpl w:val="A75613CA"/>
    <w:lvl w:ilvl="0" w:tplc="B404A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3"/>
  </w:num>
  <w:num w:numId="13">
    <w:abstractNumId w:val="25"/>
  </w:num>
  <w:num w:numId="14">
    <w:abstractNumId w:val="15"/>
  </w:num>
  <w:num w:numId="15">
    <w:abstractNumId w:val="11"/>
  </w:num>
  <w:num w:numId="16">
    <w:abstractNumId w:val="10"/>
  </w:num>
  <w:num w:numId="17">
    <w:abstractNumId w:val="14"/>
  </w:num>
  <w:num w:numId="18">
    <w:abstractNumId w:val="17"/>
  </w:num>
  <w:num w:numId="19">
    <w:abstractNumId w:val="24"/>
  </w:num>
  <w:num w:numId="20">
    <w:abstractNumId w:val="20"/>
  </w:num>
  <w:num w:numId="21">
    <w:abstractNumId w:val="19"/>
  </w:num>
  <w:num w:numId="22">
    <w:abstractNumId w:val="18"/>
  </w:num>
  <w:num w:numId="23">
    <w:abstractNumId w:val="23"/>
  </w:num>
  <w:num w:numId="24">
    <w:abstractNumId w:val="27"/>
  </w:num>
  <w:num w:numId="25">
    <w:abstractNumId w:val="12"/>
  </w:num>
  <w:num w:numId="26">
    <w:abstractNumId w:val="22"/>
  </w:num>
  <w:num w:numId="27">
    <w:abstractNumId w:val="16"/>
  </w:num>
  <w:num w:numId="2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zBUJLM0MDUxNDEyUdpeDU4uLM/DyQAuNaAEDVAY8sAAAA"/>
  </w:docVars>
  <w:rsids>
    <w:rsidRoot w:val="00FE618C"/>
    <w:rsid w:val="000004D5"/>
    <w:rsid w:val="000033A9"/>
    <w:rsid w:val="00003F6A"/>
    <w:rsid w:val="000105BB"/>
    <w:rsid w:val="00010946"/>
    <w:rsid w:val="00011606"/>
    <w:rsid w:val="0001437E"/>
    <w:rsid w:val="00014A3E"/>
    <w:rsid w:val="000156E9"/>
    <w:rsid w:val="00015ECC"/>
    <w:rsid w:val="000166A9"/>
    <w:rsid w:val="000210C6"/>
    <w:rsid w:val="00022C7C"/>
    <w:rsid w:val="00022FAC"/>
    <w:rsid w:val="00031F9C"/>
    <w:rsid w:val="00035467"/>
    <w:rsid w:val="0003672C"/>
    <w:rsid w:val="00041142"/>
    <w:rsid w:val="000448FE"/>
    <w:rsid w:val="00045631"/>
    <w:rsid w:val="0005128D"/>
    <w:rsid w:val="00054107"/>
    <w:rsid w:val="00056273"/>
    <w:rsid w:val="00057004"/>
    <w:rsid w:val="00063674"/>
    <w:rsid w:val="00071FB8"/>
    <w:rsid w:val="00076A95"/>
    <w:rsid w:val="00081B52"/>
    <w:rsid w:val="00082810"/>
    <w:rsid w:val="0009520B"/>
    <w:rsid w:val="000A78A2"/>
    <w:rsid w:val="000B2D30"/>
    <w:rsid w:val="000B2EF9"/>
    <w:rsid w:val="000B5C42"/>
    <w:rsid w:val="000C26AF"/>
    <w:rsid w:val="000C4761"/>
    <w:rsid w:val="000C59CB"/>
    <w:rsid w:val="000D0B9C"/>
    <w:rsid w:val="000D7627"/>
    <w:rsid w:val="000E0D7E"/>
    <w:rsid w:val="000E18B8"/>
    <w:rsid w:val="000F5D9E"/>
    <w:rsid w:val="000F6EC6"/>
    <w:rsid w:val="000F74FF"/>
    <w:rsid w:val="000F7D27"/>
    <w:rsid w:val="00101D89"/>
    <w:rsid w:val="0010217F"/>
    <w:rsid w:val="00105316"/>
    <w:rsid w:val="00107B3D"/>
    <w:rsid w:val="001128C3"/>
    <w:rsid w:val="00121031"/>
    <w:rsid w:val="0012183A"/>
    <w:rsid w:val="00124669"/>
    <w:rsid w:val="00126D4D"/>
    <w:rsid w:val="00131E39"/>
    <w:rsid w:val="0013224A"/>
    <w:rsid w:val="001344AB"/>
    <w:rsid w:val="00134554"/>
    <w:rsid w:val="001357D9"/>
    <w:rsid w:val="00137192"/>
    <w:rsid w:val="00140C59"/>
    <w:rsid w:val="00141F6D"/>
    <w:rsid w:val="0015345C"/>
    <w:rsid w:val="001535E4"/>
    <w:rsid w:val="00155059"/>
    <w:rsid w:val="0015550C"/>
    <w:rsid w:val="00160114"/>
    <w:rsid w:val="0016353D"/>
    <w:rsid w:val="00164D4C"/>
    <w:rsid w:val="00171B46"/>
    <w:rsid w:val="0017322C"/>
    <w:rsid w:val="00176869"/>
    <w:rsid w:val="00177AA4"/>
    <w:rsid w:val="001854FB"/>
    <w:rsid w:val="0018647B"/>
    <w:rsid w:val="0019254F"/>
    <w:rsid w:val="00193642"/>
    <w:rsid w:val="0019608E"/>
    <w:rsid w:val="001B1034"/>
    <w:rsid w:val="001B2420"/>
    <w:rsid w:val="001B6D09"/>
    <w:rsid w:val="001C39F6"/>
    <w:rsid w:val="001C552F"/>
    <w:rsid w:val="001C569C"/>
    <w:rsid w:val="001C5FCA"/>
    <w:rsid w:val="001C66FE"/>
    <w:rsid w:val="001D2E7B"/>
    <w:rsid w:val="001D4908"/>
    <w:rsid w:val="001D53A4"/>
    <w:rsid w:val="001D6904"/>
    <w:rsid w:val="001E0124"/>
    <w:rsid w:val="001E0B34"/>
    <w:rsid w:val="001E4456"/>
    <w:rsid w:val="001E6369"/>
    <w:rsid w:val="001F43C1"/>
    <w:rsid w:val="001F522F"/>
    <w:rsid w:val="001F765A"/>
    <w:rsid w:val="002032AD"/>
    <w:rsid w:val="002060AF"/>
    <w:rsid w:val="002065AF"/>
    <w:rsid w:val="0020728F"/>
    <w:rsid w:val="00207486"/>
    <w:rsid w:val="0020782A"/>
    <w:rsid w:val="00215C1D"/>
    <w:rsid w:val="00216EE8"/>
    <w:rsid w:val="00217C28"/>
    <w:rsid w:val="0022210F"/>
    <w:rsid w:val="00222DDB"/>
    <w:rsid w:val="002267FF"/>
    <w:rsid w:val="002363CC"/>
    <w:rsid w:val="00236E6D"/>
    <w:rsid w:val="0024137D"/>
    <w:rsid w:val="002429E5"/>
    <w:rsid w:val="002432E5"/>
    <w:rsid w:val="00243EEC"/>
    <w:rsid w:val="00246AF3"/>
    <w:rsid w:val="00250D7F"/>
    <w:rsid w:val="002519E8"/>
    <w:rsid w:val="0025362D"/>
    <w:rsid w:val="0025541F"/>
    <w:rsid w:val="00260966"/>
    <w:rsid w:val="002609F3"/>
    <w:rsid w:val="00261B12"/>
    <w:rsid w:val="00263ABB"/>
    <w:rsid w:val="00265EA5"/>
    <w:rsid w:val="00266C96"/>
    <w:rsid w:val="00267298"/>
    <w:rsid w:val="00272A1E"/>
    <w:rsid w:val="002746F5"/>
    <w:rsid w:val="00280CEF"/>
    <w:rsid w:val="00281E19"/>
    <w:rsid w:val="00287496"/>
    <w:rsid w:val="0028757A"/>
    <w:rsid w:val="00292C5C"/>
    <w:rsid w:val="0029587E"/>
    <w:rsid w:val="002A12F0"/>
    <w:rsid w:val="002A3264"/>
    <w:rsid w:val="002A4C10"/>
    <w:rsid w:val="002A5CB2"/>
    <w:rsid w:val="002B0A02"/>
    <w:rsid w:val="002B1315"/>
    <w:rsid w:val="002B2605"/>
    <w:rsid w:val="002B268E"/>
    <w:rsid w:val="002B6D9E"/>
    <w:rsid w:val="002B72FD"/>
    <w:rsid w:val="002B789A"/>
    <w:rsid w:val="002C6390"/>
    <w:rsid w:val="002D19BE"/>
    <w:rsid w:val="002D1ABB"/>
    <w:rsid w:val="002D28EA"/>
    <w:rsid w:val="002D62CE"/>
    <w:rsid w:val="002D7589"/>
    <w:rsid w:val="002E0C33"/>
    <w:rsid w:val="002E168B"/>
    <w:rsid w:val="002E2492"/>
    <w:rsid w:val="002E4FED"/>
    <w:rsid w:val="002E5F14"/>
    <w:rsid w:val="002E5FBA"/>
    <w:rsid w:val="002E6137"/>
    <w:rsid w:val="002E76D3"/>
    <w:rsid w:val="002E7B21"/>
    <w:rsid w:val="002F2E34"/>
    <w:rsid w:val="002F61AE"/>
    <w:rsid w:val="002F6C76"/>
    <w:rsid w:val="00301091"/>
    <w:rsid w:val="00304BD0"/>
    <w:rsid w:val="003050D2"/>
    <w:rsid w:val="00307D77"/>
    <w:rsid w:val="00312593"/>
    <w:rsid w:val="00313E9E"/>
    <w:rsid w:val="003150D5"/>
    <w:rsid w:val="003206F1"/>
    <w:rsid w:val="00320F78"/>
    <w:rsid w:val="00323A92"/>
    <w:rsid w:val="003250A1"/>
    <w:rsid w:val="0033419B"/>
    <w:rsid w:val="003342AF"/>
    <w:rsid w:val="00334400"/>
    <w:rsid w:val="0033446A"/>
    <w:rsid w:val="003345D4"/>
    <w:rsid w:val="003348A6"/>
    <w:rsid w:val="00337713"/>
    <w:rsid w:val="00337D2D"/>
    <w:rsid w:val="003424B9"/>
    <w:rsid w:val="00347121"/>
    <w:rsid w:val="00351CA6"/>
    <w:rsid w:val="003521AA"/>
    <w:rsid w:val="00355655"/>
    <w:rsid w:val="0035768F"/>
    <w:rsid w:val="00357AC1"/>
    <w:rsid w:val="00360B3C"/>
    <w:rsid w:val="00360CA6"/>
    <w:rsid w:val="00361DD9"/>
    <w:rsid w:val="0036251E"/>
    <w:rsid w:val="00363146"/>
    <w:rsid w:val="003748C4"/>
    <w:rsid w:val="0038177C"/>
    <w:rsid w:val="003836EB"/>
    <w:rsid w:val="00384156"/>
    <w:rsid w:val="00386919"/>
    <w:rsid w:val="00387024"/>
    <w:rsid w:val="00387656"/>
    <w:rsid w:val="00387E75"/>
    <w:rsid w:val="0039156F"/>
    <w:rsid w:val="00397CF1"/>
    <w:rsid w:val="003A2047"/>
    <w:rsid w:val="003A68D8"/>
    <w:rsid w:val="003B03BC"/>
    <w:rsid w:val="003B0903"/>
    <w:rsid w:val="003B10AA"/>
    <w:rsid w:val="003B522A"/>
    <w:rsid w:val="003C070F"/>
    <w:rsid w:val="003C07D0"/>
    <w:rsid w:val="003C14C4"/>
    <w:rsid w:val="003C1575"/>
    <w:rsid w:val="003C60B7"/>
    <w:rsid w:val="003C7FC5"/>
    <w:rsid w:val="003D07F7"/>
    <w:rsid w:val="003D5275"/>
    <w:rsid w:val="003D63DF"/>
    <w:rsid w:val="003D65B4"/>
    <w:rsid w:val="003D737F"/>
    <w:rsid w:val="003E1109"/>
    <w:rsid w:val="003E5FE4"/>
    <w:rsid w:val="003E7EDC"/>
    <w:rsid w:val="003F08EE"/>
    <w:rsid w:val="003F2660"/>
    <w:rsid w:val="003F580D"/>
    <w:rsid w:val="003F7474"/>
    <w:rsid w:val="004027D5"/>
    <w:rsid w:val="00404616"/>
    <w:rsid w:val="00404C6D"/>
    <w:rsid w:val="00405094"/>
    <w:rsid w:val="00405D5E"/>
    <w:rsid w:val="00405F30"/>
    <w:rsid w:val="00406F6E"/>
    <w:rsid w:val="00407B6A"/>
    <w:rsid w:val="00414400"/>
    <w:rsid w:val="00420341"/>
    <w:rsid w:val="00421CD4"/>
    <w:rsid w:val="00422932"/>
    <w:rsid w:val="00423EA7"/>
    <w:rsid w:val="004273C0"/>
    <w:rsid w:val="00427833"/>
    <w:rsid w:val="004330DF"/>
    <w:rsid w:val="004335E8"/>
    <w:rsid w:val="00433A31"/>
    <w:rsid w:val="00436375"/>
    <w:rsid w:val="00440606"/>
    <w:rsid w:val="004417AB"/>
    <w:rsid w:val="0044196E"/>
    <w:rsid w:val="004451F2"/>
    <w:rsid w:val="0045453E"/>
    <w:rsid w:val="00456260"/>
    <w:rsid w:val="00461533"/>
    <w:rsid w:val="00462D99"/>
    <w:rsid w:val="004630FF"/>
    <w:rsid w:val="00465F7B"/>
    <w:rsid w:val="004738DA"/>
    <w:rsid w:val="00474210"/>
    <w:rsid w:val="0047722E"/>
    <w:rsid w:val="00480B96"/>
    <w:rsid w:val="0048303E"/>
    <w:rsid w:val="0049004B"/>
    <w:rsid w:val="004920F6"/>
    <w:rsid w:val="00494211"/>
    <w:rsid w:val="00497636"/>
    <w:rsid w:val="004A06B1"/>
    <w:rsid w:val="004A67E8"/>
    <w:rsid w:val="004A6CDF"/>
    <w:rsid w:val="004B3187"/>
    <w:rsid w:val="004C2071"/>
    <w:rsid w:val="004C3D65"/>
    <w:rsid w:val="004D6472"/>
    <w:rsid w:val="004E0350"/>
    <w:rsid w:val="004E652C"/>
    <w:rsid w:val="004F1727"/>
    <w:rsid w:val="004F1CF7"/>
    <w:rsid w:val="004F307D"/>
    <w:rsid w:val="004F4776"/>
    <w:rsid w:val="005007F2"/>
    <w:rsid w:val="00503808"/>
    <w:rsid w:val="005049EE"/>
    <w:rsid w:val="005059BB"/>
    <w:rsid w:val="00512595"/>
    <w:rsid w:val="00523430"/>
    <w:rsid w:val="00526151"/>
    <w:rsid w:val="00526CAD"/>
    <w:rsid w:val="00534D41"/>
    <w:rsid w:val="00535F6D"/>
    <w:rsid w:val="0054283A"/>
    <w:rsid w:val="0054334A"/>
    <w:rsid w:val="00545475"/>
    <w:rsid w:val="00545CC0"/>
    <w:rsid w:val="00555E3B"/>
    <w:rsid w:val="00561D5F"/>
    <w:rsid w:val="00567336"/>
    <w:rsid w:val="00571F28"/>
    <w:rsid w:val="00571F30"/>
    <w:rsid w:val="00583A04"/>
    <w:rsid w:val="00583BBF"/>
    <w:rsid w:val="00586653"/>
    <w:rsid w:val="00587381"/>
    <w:rsid w:val="00587C3D"/>
    <w:rsid w:val="00593E51"/>
    <w:rsid w:val="005955C3"/>
    <w:rsid w:val="00597AD2"/>
    <w:rsid w:val="00597D3F"/>
    <w:rsid w:val="005A0F66"/>
    <w:rsid w:val="005A1616"/>
    <w:rsid w:val="005A3C36"/>
    <w:rsid w:val="005B087B"/>
    <w:rsid w:val="005B79E9"/>
    <w:rsid w:val="005C1380"/>
    <w:rsid w:val="005C162B"/>
    <w:rsid w:val="005C3691"/>
    <w:rsid w:val="005C36E5"/>
    <w:rsid w:val="005C5794"/>
    <w:rsid w:val="005D2C1F"/>
    <w:rsid w:val="005D741A"/>
    <w:rsid w:val="005E3770"/>
    <w:rsid w:val="005E4912"/>
    <w:rsid w:val="005E54E2"/>
    <w:rsid w:val="005E5587"/>
    <w:rsid w:val="005E63B7"/>
    <w:rsid w:val="005E6F1F"/>
    <w:rsid w:val="005F218C"/>
    <w:rsid w:val="005F44D1"/>
    <w:rsid w:val="005F7E1C"/>
    <w:rsid w:val="00606994"/>
    <w:rsid w:val="00611B90"/>
    <w:rsid w:val="00615CDB"/>
    <w:rsid w:val="00615D36"/>
    <w:rsid w:val="00621129"/>
    <w:rsid w:val="006233A4"/>
    <w:rsid w:val="00625210"/>
    <w:rsid w:val="00625B32"/>
    <w:rsid w:val="0063345C"/>
    <w:rsid w:val="00633916"/>
    <w:rsid w:val="00636869"/>
    <w:rsid w:val="00641D2B"/>
    <w:rsid w:val="00646617"/>
    <w:rsid w:val="006471E2"/>
    <w:rsid w:val="00651641"/>
    <w:rsid w:val="00652687"/>
    <w:rsid w:val="006532B0"/>
    <w:rsid w:val="00655179"/>
    <w:rsid w:val="00656D9A"/>
    <w:rsid w:val="00662D3E"/>
    <w:rsid w:val="00662FE8"/>
    <w:rsid w:val="0066418D"/>
    <w:rsid w:val="006646BC"/>
    <w:rsid w:val="006654E6"/>
    <w:rsid w:val="00665A9F"/>
    <w:rsid w:val="00665C7E"/>
    <w:rsid w:val="006709E2"/>
    <w:rsid w:val="006714FA"/>
    <w:rsid w:val="0067187A"/>
    <w:rsid w:val="00672DDD"/>
    <w:rsid w:val="00676C91"/>
    <w:rsid w:val="0068033B"/>
    <w:rsid w:val="00680436"/>
    <w:rsid w:val="00684BFE"/>
    <w:rsid w:val="00690B77"/>
    <w:rsid w:val="006B34B1"/>
    <w:rsid w:val="006B5A3B"/>
    <w:rsid w:val="006B7EFC"/>
    <w:rsid w:val="006C4000"/>
    <w:rsid w:val="006C4EB4"/>
    <w:rsid w:val="006C621F"/>
    <w:rsid w:val="006C651A"/>
    <w:rsid w:val="006C6530"/>
    <w:rsid w:val="006D03C7"/>
    <w:rsid w:val="006D186E"/>
    <w:rsid w:val="006D3C35"/>
    <w:rsid w:val="006D58B4"/>
    <w:rsid w:val="006D5EE8"/>
    <w:rsid w:val="006E27B2"/>
    <w:rsid w:val="006E56E8"/>
    <w:rsid w:val="006E5B01"/>
    <w:rsid w:val="006E61A7"/>
    <w:rsid w:val="006E6836"/>
    <w:rsid w:val="006F36FD"/>
    <w:rsid w:val="006F3996"/>
    <w:rsid w:val="006F4472"/>
    <w:rsid w:val="006F5AA4"/>
    <w:rsid w:val="007011A9"/>
    <w:rsid w:val="00701931"/>
    <w:rsid w:val="00701A7B"/>
    <w:rsid w:val="0070248D"/>
    <w:rsid w:val="00704C9B"/>
    <w:rsid w:val="0070639F"/>
    <w:rsid w:val="00711200"/>
    <w:rsid w:val="0071393F"/>
    <w:rsid w:val="0071477D"/>
    <w:rsid w:val="00715861"/>
    <w:rsid w:val="0071663C"/>
    <w:rsid w:val="00720A9E"/>
    <w:rsid w:val="0072397F"/>
    <w:rsid w:val="00723A23"/>
    <w:rsid w:val="00726CC7"/>
    <w:rsid w:val="00727250"/>
    <w:rsid w:val="007274D9"/>
    <w:rsid w:val="007305B5"/>
    <w:rsid w:val="00730B8F"/>
    <w:rsid w:val="00731922"/>
    <w:rsid w:val="00731ACB"/>
    <w:rsid w:val="00731D76"/>
    <w:rsid w:val="00733EE6"/>
    <w:rsid w:val="00733F99"/>
    <w:rsid w:val="007368AD"/>
    <w:rsid w:val="0074133D"/>
    <w:rsid w:val="00745DF6"/>
    <w:rsid w:val="0075196D"/>
    <w:rsid w:val="00754C6A"/>
    <w:rsid w:val="0075558C"/>
    <w:rsid w:val="00757FB8"/>
    <w:rsid w:val="00761EFA"/>
    <w:rsid w:val="00762DB8"/>
    <w:rsid w:val="007647A4"/>
    <w:rsid w:val="00764873"/>
    <w:rsid w:val="00772908"/>
    <w:rsid w:val="00774165"/>
    <w:rsid w:val="007767EE"/>
    <w:rsid w:val="007778DD"/>
    <w:rsid w:val="00781055"/>
    <w:rsid w:val="007816B1"/>
    <w:rsid w:val="007823E6"/>
    <w:rsid w:val="007827AB"/>
    <w:rsid w:val="007835C9"/>
    <w:rsid w:val="007846C7"/>
    <w:rsid w:val="007846D2"/>
    <w:rsid w:val="00784D69"/>
    <w:rsid w:val="00787617"/>
    <w:rsid w:val="007879D8"/>
    <w:rsid w:val="00796693"/>
    <w:rsid w:val="00796CC3"/>
    <w:rsid w:val="00797802"/>
    <w:rsid w:val="007A0E05"/>
    <w:rsid w:val="007A0F41"/>
    <w:rsid w:val="007A2048"/>
    <w:rsid w:val="007A2243"/>
    <w:rsid w:val="007A7084"/>
    <w:rsid w:val="007B3188"/>
    <w:rsid w:val="007C1F9B"/>
    <w:rsid w:val="007C276E"/>
    <w:rsid w:val="007C4EE5"/>
    <w:rsid w:val="007C7591"/>
    <w:rsid w:val="007D0795"/>
    <w:rsid w:val="007D1C7E"/>
    <w:rsid w:val="007D4B50"/>
    <w:rsid w:val="007D5CD5"/>
    <w:rsid w:val="007E2D71"/>
    <w:rsid w:val="007E3247"/>
    <w:rsid w:val="007E337F"/>
    <w:rsid w:val="007E347D"/>
    <w:rsid w:val="007E4FE3"/>
    <w:rsid w:val="007E7EE5"/>
    <w:rsid w:val="007F3866"/>
    <w:rsid w:val="007F3870"/>
    <w:rsid w:val="007F3CCA"/>
    <w:rsid w:val="007F4B5A"/>
    <w:rsid w:val="007F56D5"/>
    <w:rsid w:val="007F6AE9"/>
    <w:rsid w:val="0080104C"/>
    <w:rsid w:val="00801AA5"/>
    <w:rsid w:val="00803EFD"/>
    <w:rsid w:val="0080678C"/>
    <w:rsid w:val="00810272"/>
    <w:rsid w:val="00814E2B"/>
    <w:rsid w:val="008171BC"/>
    <w:rsid w:val="00817A4B"/>
    <w:rsid w:val="0082023C"/>
    <w:rsid w:val="00825933"/>
    <w:rsid w:val="00826D54"/>
    <w:rsid w:val="0082772F"/>
    <w:rsid w:val="00830278"/>
    <w:rsid w:val="00831767"/>
    <w:rsid w:val="00834CBF"/>
    <w:rsid w:val="00836F89"/>
    <w:rsid w:val="008372A6"/>
    <w:rsid w:val="00841E58"/>
    <w:rsid w:val="00844C6C"/>
    <w:rsid w:val="00845A43"/>
    <w:rsid w:val="00846459"/>
    <w:rsid w:val="008475D9"/>
    <w:rsid w:val="00847833"/>
    <w:rsid w:val="008513D4"/>
    <w:rsid w:val="00852220"/>
    <w:rsid w:val="0085757D"/>
    <w:rsid w:val="00863435"/>
    <w:rsid w:val="008639B7"/>
    <w:rsid w:val="00864954"/>
    <w:rsid w:val="0086633E"/>
    <w:rsid w:val="008701A2"/>
    <w:rsid w:val="00872827"/>
    <w:rsid w:val="0087349A"/>
    <w:rsid w:val="0087481D"/>
    <w:rsid w:val="0087532D"/>
    <w:rsid w:val="00875A51"/>
    <w:rsid w:val="00880392"/>
    <w:rsid w:val="00880EE5"/>
    <w:rsid w:val="008813E5"/>
    <w:rsid w:val="00881936"/>
    <w:rsid w:val="008835CD"/>
    <w:rsid w:val="0088453F"/>
    <w:rsid w:val="008865B6"/>
    <w:rsid w:val="00891889"/>
    <w:rsid w:val="008949E3"/>
    <w:rsid w:val="00895DF4"/>
    <w:rsid w:val="00896FB7"/>
    <w:rsid w:val="008A28C8"/>
    <w:rsid w:val="008A3B21"/>
    <w:rsid w:val="008A7971"/>
    <w:rsid w:val="008B0A19"/>
    <w:rsid w:val="008B1A4D"/>
    <w:rsid w:val="008B28E4"/>
    <w:rsid w:val="008B6747"/>
    <w:rsid w:val="008B6C1E"/>
    <w:rsid w:val="008B78D1"/>
    <w:rsid w:val="008C0E08"/>
    <w:rsid w:val="008C1BB7"/>
    <w:rsid w:val="008C411B"/>
    <w:rsid w:val="008D0A54"/>
    <w:rsid w:val="008D10C3"/>
    <w:rsid w:val="008D589C"/>
    <w:rsid w:val="008D6B1D"/>
    <w:rsid w:val="008E0089"/>
    <w:rsid w:val="008E097B"/>
    <w:rsid w:val="008E4CA0"/>
    <w:rsid w:val="008E7085"/>
    <w:rsid w:val="008F16B8"/>
    <w:rsid w:val="008F3627"/>
    <w:rsid w:val="008F60C3"/>
    <w:rsid w:val="00904969"/>
    <w:rsid w:val="00904D4C"/>
    <w:rsid w:val="009107D2"/>
    <w:rsid w:val="00911174"/>
    <w:rsid w:val="009145E3"/>
    <w:rsid w:val="009164B2"/>
    <w:rsid w:val="00920E9E"/>
    <w:rsid w:val="009254D6"/>
    <w:rsid w:val="0092669B"/>
    <w:rsid w:val="009268C5"/>
    <w:rsid w:val="0093163E"/>
    <w:rsid w:val="00933498"/>
    <w:rsid w:val="00936436"/>
    <w:rsid w:val="00941DB4"/>
    <w:rsid w:val="0094277C"/>
    <w:rsid w:val="00945362"/>
    <w:rsid w:val="00946118"/>
    <w:rsid w:val="00950AB5"/>
    <w:rsid w:val="009543E1"/>
    <w:rsid w:val="009544C5"/>
    <w:rsid w:val="00957112"/>
    <w:rsid w:val="00960B60"/>
    <w:rsid w:val="00966BAC"/>
    <w:rsid w:val="00971573"/>
    <w:rsid w:val="00973D11"/>
    <w:rsid w:val="00974ADC"/>
    <w:rsid w:val="00975E37"/>
    <w:rsid w:val="00976164"/>
    <w:rsid w:val="00983687"/>
    <w:rsid w:val="00987AEF"/>
    <w:rsid w:val="00990609"/>
    <w:rsid w:val="00990804"/>
    <w:rsid w:val="00991CD8"/>
    <w:rsid w:val="00993422"/>
    <w:rsid w:val="00996418"/>
    <w:rsid w:val="00997193"/>
    <w:rsid w:val="009A2ABE"/>
    <w:rsid w:val="009A42A7"/>
    <w:rsid w:val="009A52CD"/>
    <w:rsid w:val="009A6A2F"/>
    <w:rsid w:val="009B0B4D"/>
    <w:rsid w:val="009B2919"/>
    <w:rsid w:val="009B3070"/>
    <w:rsid w:val="009B46FF"/>
    <w:rsid w:val="009B5941"/>
    <w:rsid w:val="009C60A4"/>
    <w:rsid w:val="009C755C"/>
    <w:rsid w:val="009C780F"/>
    <w:rsid w:val="009D1265"/>
    <w:rsid w:val="009D794C"/>
    <w:rsid w:val="009E1EB9"/>
    <w:rsid w:val="009F0F83"/>
    <w:rsid w:val="009F28D1"/>
    <w:rsid w:val="009F3664"/>
    <w:rsid w:val="00A120A3"/>
    <w:rsid w:val="00A224CD"/>
    <w:rsid w:val="00A24A47"/>
    <w:rsid w:val="00A25353"/>
    <w:rsid w:val="00A26063"/>
    <w:rsid w:val="00A31F96"/>
    <w:rsid w:val="00A34F5F"/>
    <w:rsid w:val="00A37629"/>
    <w:rsid w:val="00A40AE6"/>
    <w:rsid w:val="00A43193"/>
    <w:rsid w:val="00A46574"/>
    <w:rsid w:val="00A46A68"/>
    <w:rsid w:val="00A50EE9"/>
    <w:rsid w:val="00A50F5A"/>
    <w:rsid w:val="00A55588"/>
    <w:rsid w:val="00A609E3"/>
    <w:rsid w:val="00A66435"/>
    <w:rsid w:val="00A71521"/>
    <w:rsid w:val="00A72C58"/>
    <w:rsid w:val="00A746DE"/>
    <w:rsid w:val="00A74758"/>
    <w:rsid w:val="00A8136A"/>
    <w:rsid w:val="00A837AB"/>
    <w:rsid w:val="00A847CB"/>
    <w:rsid w:val="00A85CBB"/>
    <w:rsid w:val="00A85D08"/>
    <w:rsid w:val="00A86F48"/>
    <w:rsid w:val="00A87EAF"/>
    <w:rsid w:val="00A90AC9"/>
    <w:rsid w:val="00A92097"/>
    <w:rsid w:val="00A9327E"/>
    <w:rsid w:val="00A94130"/>
    <w:rsid w:val="00AA2E68"/>
    <w:rsid w:val="00AA3E0C"/>
    <w:rsid w:val="00AA5647"/>
    <w:rsid w:val="00AB35D3"/>
    <w:rsid w:val="00AB467C"/>
    <w:rsid w:val="00AB60EA"/>
    <w:rsid w:val="00AB6429"/>
    <w:rsid w:val="00AB6CD4"/>
    <w:rsid w:val="00AB76FD"/>
    <w:rsid w:val="00AC7394"/>
    <w:rsid w:val="00AD0A33"/>
    <w:rsid w:val="00AD25A0"/>
    <w:rsid w:val="00AD31BE"/>
    <w:rsid w:val="00AD6382"/>
    <w:rsid w:val="00AE0982"/>
    <w:rsid w:val="00AE35AA"/>
    <w:rsid w:val="00AE4BF8"/>
    <w:rsid w:val="00AE7A2C"/>
    <w:rsid w:val="00AF19D4"/>
    <w:rsid w:val="00AF33C1"/>
    <w:rsid w:val="00AF698F"/>
    <w:rsid w:val="00B07524"/>
    <w:rsid w:val="00B1124B"/>
    <w:rsid w:val="00B113E7"/>
    <w:rsid w:val="00B15994"/>
    <w:rsid w:val="00B24CBA"/>
    <w:rsid w:val="00B32A76"/>
    <w:rsid w:val="00B35B7C"/>
    <w:rsid w:val="00B36790"/>
    <w:rsid w:val="00B41D6C"/>
    <w:rsid w:val="00B42DDB"/>
    <w:rsid w:val="00B45FB5"/>
    <w:rsid w:val="00B53C15"/>
    <w:rsid w:val="00B56EA3"/>
    <w:rsid w:val="00B659CB"/>
    <w:rsid w:val="00B77224"/>
    <w:rsid w:val="00B7746D"/>
    <w:rsid w:val="00B84CE5"/>
    <w:rsid w:val="00B90095"/>
    <w:rsid w:val="00B9388F"/>
    <w:rsid w:val="00B9526F"/>
    <w:rsid w:val="00B95752"/>
    <w:rsid w:val="00BB2D21"/>
    <w:rsid w:val="00BB4C71"/>
    <w:rsid w:val="00BC19ED"/>
    <w:rsid w:val="00BC2678"/>
    <w:rsid w:val="00BC723E"/>
    <w:rsid w:val="00BC74D3"/>
    <w:rsid w:val="00BD1F77"/>
    <w:rsid w:val="00BD2603"/>
    <w:rsid w:val="00BD32F0"/>
    <w:rsid w:val="00BD3522"/>
    <w:rsid w:val="00BD4283"/>
    <w:rsid w:val="00BD43E6"/>
    <w:rsid w:val="00BE04F1"/>
    <w:rsid w:val="00BE7F36"/>
    <w:rsid w:val="00BF07EE"/>
    <w:rsid w:val="00BF07F6"/>
    <w:rsid w:val="00BF0ACE"/>
    <w:rsid w:val="00BF491B"/>
    <w:rsid w:val="00C015CF"/>
    <w:rsid w:val="00C045A8"/>
    <w:rsid w:val="00C07246"/>
    <w:rsid w:val="00C0799A"/>
    <w:rsid w:val="00C11D0D"/>
    <w:rsid w:val="00C13287"/>
    <w:rsid w:val="00C165AD"/>
    <w:rsid w:val="00C17894"/>
    <w:rsid w:val="00C17E5E"/>
    <w:rsid w:val="00C255F7"/>
    <w:rsid w:val="00C262BD"/>
    <w:rsid w:val="00C26544"/>
    <w:rsid w:val="00C3033B"/>
    <w:rsid w:val="00C30D60"/>
    <w:rsid w:val="00C317B6"/>
    <w:rsid w:val="00C33A62"/>
    <w:rsid w:val="00C343DA"/>
    <w:rsid w:val="00C34F44"/>
    <w:rsid w:val="00C364AA"/>
    <w:rsid w:val="00C36D14"/>
    <w:rsid w:val="00C409A1"/>
    <w:rsid w:val="00C422A9"/>
    <w:rsid w:val="00C443C3"/>
    <w:rsid w:val="00C45867"/>
    <w:rsid w:val="00C50450"/>
    <w:rsid w:val="00C509C3"/>
    <w:rsid w:val="00C50A17"/>
    <w:rsid w:val="00C52FC8"/>
    <w:rsid w:val="00C60AA7"/>
    <w:rsid w:val="00C628B8"/>
    <w:rsid w:val="00C62907"/>
    <w:rsid w:val="00C654AB"/>
    <w:rsid w:val="00C67D33"/>
    <w:rsid w:val="00C70EAE"/>
    <w:rsid w:val="00C73AF9"/>
    <w:rsid w:val="00C77677"/>
    <w:rsid w:val="00C826DD"/>
    <w:rsid w:val="00C83B65"/>
    <w:rsid w:val="00C949B0"/>
    <w:rsid w:val="00C96E68"/>
    <w:rsid w:val="00C97A2A"/>
    <w:rsid w:val="00CA57F5"/>
    <w:rsid w:val="00CA5C0A"/>
    <w:rsid w:val="00CB6DD9"/>
    <w:rsid w:val="00CB7545"/>
    <w:rsid w:val="00CC18CD"/>
    <w:rsid w:val="00CC5EC8"/>
    <w:rsid w:val="00CD18BC"/>
    <w:rsid w:val="00CD30BB"/>
    <w:rsid w:val="00CD380F"/>
    <w:rsid w:val="00CD5044"/>
    <w:rsid w:val="00CD50B5"/>
    <w:rsid w:val="00CD6B2B"/>
    <w:rsid w:val="00CD73A9"/>
    <w:rsid w:val="00CE0B78"/>
    <w:rsid w:val="00CE3A3E"/>
    <w:rsid w:val="00CE4D4B"/>
    <w:rsid w:val="00CE6E5A"/>
    <w:rsid w:val="00D0108E"/>
    <w:rsid w:val="00D02A80"/>
    <w:rsid w:val="00D06F12"/>
    <w:rsid w:val="00D07316"/>
    <w:rsid w:val="00D1460E"/>
    <w:rsid w:val="00D16C85"/>
    <w:rsid w:val="00D21EF3"/>
    <w:rsid w:val="00D223CC"/>
    <w:rsid w:val="00D2773F"/>
    <w:rsid w:val="00D301D8"/>
    <w:rsid w:val="00D354FF"/>
    <w:rsid w:val="00D41205"/>
    <w:rsid w:val="00D46790"/>
    <w:rsid w:val="00D52100"/>
    <w:rsid w:val="00D526A1"/>
    <w:rsid w:val="00D60F61"/>
    <w:rsid w:val="00D63A4C"/>
    <w:rsid w:val="00D6504C"/>
    <w:rsid w:val="00D65489"/>
    <w:rsid w:val="00D677AA"/>
    <w:rsid w:val="00D73445"/>
    <w:rsid w:val="00D73583"/>
    <w:rsid w:val="00D73F4D"/>
    <w:rsid w:val="00D74A87"/>
    <w:rsid w:val="00D75103"/>
    <w:rsid w:val="00D82E57"/>
    <w:rsid w:val="00D8481D"/>
    <w:rsid w:val="00D84A14"/>
    <w:rsid w:val="00D91C27"/>
    <w:rsid w:val="00DA1556"/>
    <w:rsid w:val="00DA4466"/>
    <w:rsid w:val="00DB4766"/>
    <w:rsid w:val="00DB4C36"/>
    <w:rsid w:val="00DB7B2B"/>
    <w:rsid w:val="00DB7EE9"/>
    <w:rsid w:val="00DC417D"/>
    <w:rsid w:val="00DC50EC"/>
    <w:rsid w:val="00DC57A8"/>
    <w:rsid w:val="00DC5925"/>
    <w:rsid w:val="00DC60FA"/>
    <w:rsid w:val="00DC6936"/>
    <w:rsid w:val="00DC7E5C"/>
    <w:rsid w:val="00DD00DE"/>
    <w:rsid w:val="00DD1987"/>
    <w:rsid w:val="00DD27C9"/>
    <w:rsid w:val="00DD4898"/>
    <w:rsid w:val="00DD4BF3"/>
    <w:rsid w:val="00DD560E"/>
    <w:rsid w:val="00DE23AF"/>
    <w:rsid w:val="00DE3B39"/>
    <w:rsid w:val="00DF366F"/>
    <w:rsid w:val="00DF3B9A"/>
    <w:rsid w:val="00DF4CD1"/>
    <w:rsid w:val="00DF56B1"/>
    <w:rsid w:val="00DF600F"/>
    <w:rsid w:val="00E07CC9"/>
    <w:rsid w:val="00E12A0C"/>
    <w:rsid w:val="00E14B27"/>
    <w:rsid w:val="00E17598"/>
    <w:rsid w:val="00E20D9F"/>
    <w:rsid w:val="00E22A50"/>
    <w:rsid w:val="00E245D1"/>
    <w:rsid w:val="00E25E1F"/>
    <w:rsid w:val="00E26924"/>
    <w:rsid w:val="00E31AAD"/>
    <w:rsid w:val="00E329E7"/>
    <w:rsid w:val="00E34E12"/>
    <w:rsid w:val="00E37794"/>
    <w:rsid w:val="00E40DA3"/>
    <w:rsid w:val="00E41BDE"/>
    <w:rsid w:val="00E41DCC"/>
    <w:rsid w:val="00E43E46"/>
    <w:rsid w:val="00E45005"/>
    <w:rsid w:val="00E459DC"/>
    <w:rsid w:val="00E47BED"/>
    <w:rsid w:val="00E5080A"/>
    <w:rsid w:val="00E52687"/>
    <w:rsid w:val="00E55D8E"/>
    <w:rsid w:val="00E566A3"/>
    <w:rsid w:val="00E579B9"/>
    <w:rsid w:val="00E57B17"/>
    <w:rsid w:val="00E60AAB"/>
    <w:rsid w:val="00E61AB6"/>
    <w:rsid w:val="00E62691"/>
    <w:rsid w:val="00E633BE"/>
    <w:rsid w:val="00E8378F"/>
    <w:rsid w:val="00E90C9E"/>
    <w:rsid w:val="00E91354"/>
    <w:rsid w:val="00E92F51"/>
    <w:rsid w:val="00E966EE"/>
    <w:rsid w:val="00EA2818"/>
    <w:rsid w:val="00EA2F82"/>
    <w:rsid w:val="00EA464C"/>
    <w:rsid w:val="00EA5199"/>
    <w:rsid w:val="00EA6BAC"/>
    <w:rsid w:val="00EB0336"/>
    <w:rsid w:val="00EB54E6"/>
    <w:rsid w:val="00EC0407"/>
    <w:rsid w:val="00EC673B"/>
    <w:rsid w:val="00ED7A05"/>
    <w:rsid w:val="00EE2666"/>
    <w:rsid w:val="00EE334C"/>
    <w:rsid w:val="00EE4ADD"/>
    <w:rsid w:val="00EF0F66"/>
    <w:rsid w:val="00F00EB2"/>
    <w:rsid w:val="00F00F03"/>
    <w:rsid w:val="00F02153"/>
    <w:rsid w:val="00F02AB1"/>
    <w:rsid w:val="00F058DF"/>
    <w:rsid w:val="00F063AE"/>
    <w:rsid w:val="00F15675"/>
    <w:rsid w:val="00F21250"/>
    <w:rsid w:val="00F2398D"/>
    <w:rsid w:val="00F24389"/>
    <w:rsid w:val="00F26C23"/>
    <w:rsid w:val="00F33D4D"/>
    <w:rsid w:val="00F348D8"/>
    <w:rsid w:val="00F353CA"/>
    <w:rsid w:val="00F35676"/>
    <w:rsid w:val="00F37F32"/>
    <w:rsid w:val="00F40E86"/>
    <w:rsid w:val="00F44FC3"/>
    <w:rsid w:val="00F45EAD"/>
    <w:rsid w:val="00F51776"/>
    <w:rsid w:val="00F55061"/>
    <w:rsid w:val="00F55CAF"/>
    <w:rsid w:val="00F5674F"/>
    <w:rsid w:val="00F56C65"/>
    <w:rsid w:val="00F634A3"/>
    <w:rsid w:val="00F63BDC"/>
    <w:rsid w:val="00F66C2B"/>
    <w:rsid w:val="00F70716"/>
    <w:rsid w:val="00F70D71"/>
    <w:rsid w:val="00F710F9"/>
    <w:rsid w:val="00F71ADC"/>
    <w:rsid w:val="00F726E3"/>
    <w:rsid w:val="00F74E4E"/>
    <w:rsid w:val="00F7620F"/>
    <w:rsid w:val="00F859DE"/>
    <w:rsid w:val="00F8724C"/>
    <w:rsid w:val="00F87F40"/>
    <w:rsid w:val="00F971E3"/>
    <w:rsid w:val="00F978F2"/>
    <w:rsid w:val="00FA0AE4"/>
    <w:rsid w:val="00FA23D8"/>
    <w:rsid w:val="00FA24B6"/>
    <w:rsid w:val="00FA3E79"/>
    <w:rsid w:val="00FA5187"/>
    <w:rsid w:val="00FA5DE9"/>
    <w:rsid w:val="00FA72D7"/>
    <w:rsid w:val="00FA73CD"/>
    <w:rsid w:val="00FA75A5"/>
    <w:rsid w:val="00FB4DBA"/>
    <w:rsid w:val="00FB667E"/>
    <w:rsid w:val="00FC23B1"/>
    <w:rsid w:val="00FC5A1B"/>
    <w:rsid w:val="00FC6687"/>
    <w:rsid w:val="00FC7980"/>
    <w:rsid w:val="00FC7DEF"/>
    <w:rsid w:val="00FD1450"/>
    <w:rsid w:val="00FE1647"/>
    <w:rsid w:val="00FE552D"/>
    <w:rsid w:val="00FE618C"/>
    <w:rsid w:val="00FE7EAD"/>
    <w:rsid w:val="00FF1665"/>
    <w:rsid w:val="00FF195C"/>
    <w:rsid w:val="00FF7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0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1F2"/>
    <w:rPr>
      <w:rFonts w:ascii="Arial" w:hAnsi="Arial" w:cs="Arial"/>
      <w:sz w:val="24"/>
      <w:szCs w:val="24"/>
    </w:rPr>
  </w:style>
  <w:style w:type="paragraph" w:styleId="Heading1">
    <w:name w:val="heading 1"/>
    <w:aliases w:val="Article title"/>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aliases w:val="Section heading"/>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aliases w:val="Subheading"/>
    <w:basedOn w:val="Normal"/>
    <w:next w:val="Normal"/>
    <w:link w:val="Heading3Char"/>
    <w:uiPriority w:val="9"/>
    <w:qFormat/>
    <w:rsid w:val="00665C7E"/>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1C552F"/>
    <w:pPr>
      <w:keepNext/>
      <w:keepLines/>
      <w:spacing w:before="240" w:after="40"/>
      <w:outlineLvl w:val="3"/>
    </w:pPr>
    <w:rPr>
      <w:rFonts w:ascii="Times New Roman" w:hAnsi="Times New Roman" w:cs="Times New Roman"/>
      <w:b/>
      <w:lang w:val="en-GB" w:eastAsia="en-GB"/>
    </w:rPr>
  </w:style>
  <w:style w:type="paragraph" w:styleId="Heading5">
    <w:name w:val="heading 5"/>
    <w:basedOn w:val="Normal"/>
    <w:next w:val="Normal"/>
    <w:link w:val="Heading5Char"/>
    <w:uiPriority w:val="9"/>
    <w:semiHidden/>
    <w:unhideWhenUsed/>
    <w:qFormat/>
    <w:rsid w:val="001C552F"/>
    <w:pPr>
      <w:keepNext/>
      <w:keepLines/>
      <w:spacing w:before="220" w:after="40"/>
      <w:outlineLvl w:val="4"/>
    </w:pPr>
    <w:rPr>
      <w:rFonts w:ascii="Times New Roman" w:hAnsi="Times New Roman" w:cs="Times New Roman"/>
      <w:b/>
      <w:sz w:val="22"/>
      <w:szCs w:val="22"/>
      <w:lang w:val="en-GB" w:eastAsia="en-GB"/>
    </w:rPr>
  </w:style>
  <w:style w:type="paragraph" w:styleId="Heading6">
    <w:name w:val="heading 6"/>
    <w:basedOn w:val="Normal"/>
    <w:next w:val="Normal"/>
    <w:link w:val="Heading6Char"/>
    <w:uiPriority w:val="9"/>
    <w:semiHidden/>
    <w:unhideWhenUsed/>
    <w:qFormat/>
    <w:rsid w:val="001C552F"/>
    <w:pPr>
      <w:keepNext/>
      <w:keepLines/>
      <w:spacing w:before="200" w:after="40"/>
      <w:outlineLvl w:val="5"/>
    </w:pPr>
    <w:rPr>
      <w:rFonts w:ascii="Times New Roman" w:hAnsi="Times New Roman" w:cs="Times New Roman"/>
      <w:b/>
      <w:sz w:val="20"/>
      <w:szCs w:val="20"/>
      <w:lang w:val="en-GB" w:eastAsia="en-GB"/>
    </w:rPr>
  </w:style>
  <w:style w:type="paragraph" w:styleId="Heading7">
    <w:name w:val="heading 7"/>
    <w:basedOn w:val="Normal"/>
    <w:next w:val="Normal"/>
    <w:link w:val="Heading7Char"/>
    <w:semiHidden/>
    <w:unhideWhenUsed/>
    <w:qFormat/>
    <w:rsid w:val="0085222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85222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5222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itle Char"/>
    <w:link w:val="Heading1"/>
    <w:uiPriority w:val="9"/>
    <w:rsid w:val="00D41205"/>
    <w:rPr>
      <w:rFonts w:ascii="Arial" w:hAnsi="Arial"/>
      <w:b/>
      <w:bCs/>
      <w:caps/>
      <w:sz w:val="28"/>
      <w:szCs w:val="24"/>
    </w:rPr>
  </w:style>
  <w:style w:type="character" w:customStyle="1" w:styleId="Heading3Char">
    <w:name w:val="Heading 3 Char"/>
    <w:aliases w:val="Subheading Char"/>
    <w:link w:val="Heading3"/>
    <w:uiPriority w:val="9"/>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61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18C"/>
    <w:rPr>
      <w:rFonts w:ascii="Segoe UI" w:hAnsi="Segoe UI" w:cs="Segoe UI"/>
      <w:sz w:val="18"/>
      <w:szCs w:val="18"/>
    </w:rPr>
  </w:style>
  <w:style w:type="character" w:styleId="CommentReference">
    <w:name w:val="annotation reference"/>
    <w:basedOn w:val="DefaultParagraphFont"/>
    <w:uiPriority w:val="99"/>
    <w:semiHidden/>
    <w:unhideWhenUsed/>
    <w:rsid w:val="00292C5C"/>
    <w:rPr>
      <w:sz w:val="16"/>
      <w:szCs w:val="16"/>
    </w:rPr>
  </w:style>
  <w:style w:type="paragraph" w:styleId="CommentText">
    <w:name w:val="annotation text"/>
    <w:basedOn w:val="Normal"/>
    <w:link w:val="CommentTextChar"/>
    <w:uiPriority w:val="99"/>
    <w:unhideWhenUsed/>
    <w:rsid w:val="00292C5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92C5C"/>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rsid w:val="0039156F"/>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39156F"/>
    <w:rPr>
      <w:b/>
      <w:bCs/>
    </w:rPr>
  </w:style>
  <w:style w:type="paragraph" w:styleId="ListParagraph">
    <w:name w:val="List Paragraph"/>
    <w:basedOn w:val="Normal"/>
    <w:uiPriority w:val="34"/>
    <w:qFormat/>
    <w:rsid w:val="0039156F"/>
    <w:pPr>
      <w:spacing w:after="160" w:line="259" w:lineRule="auto"/>
      <w:ind w:left="720"/>
      <w:contextualSpacing/>
    </w:pPr>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semiHidden/>
    <w:rsid w:val="001C552F"/>
    <w:rPr>
      <w:b/>
      <w:sz w:val="24"/>
      <w:szCs w:val="24"/>
      <w:lang w:val="en-GB" w:eastAsia="en-GB"/>
    </w:rPr>
  </w:style>
  <w:style w:type="character" w:customStyle="1" w:styleId="Heading5Char">
    <w:name w:val="Heading 5 Char"/>
    <w:basedOn w:val="DefaultParagraphFont"/>
    <w:link w:val="Heading5"/>
    <w:uiPriority w:val="9"/>
    <w:semiHidden/>
    <w:rsid w:val="001C552F"/>
    <w:rPr>
      <w:b/>
      <w:sz w:val="22"/>
      <w:szCs w:val="22"/>
      <w:lang w:val="en-GB" w:eastAsia="en-GB"/>
    </w:rPr>
  </w:style>
  <w:style w:type="character" w:customStyle="1" w:styleId="Heading6Char">
    <w:name w:val="Heading 6 Char"/>
    <w:basedOn w:val="DefaultParagraphFont"/>
    <w:link w:val="Heading6"/>
    <w:uiPriority w:val="9"/>
    <w:semiHidden/>
    <w:rsid w:val="001C552F"/>
    <w:rPr>
      <w:b/>
      <w:lang w:val="en-GB" w:eastAsia="en-GB"/>
    </w:rPr>
  </w:style>
  <w:style w:type="character" w:customStyle="1" w:styleId="apple-converted-space">
    <w:name w:val="apple-converted-space"/>
    <w:basedOn w:val="DefaultParagraphFont"/>
    <w:rsid w:val="001C552F"/>
  </w:style>
  <w:style w:type="character" w:customStyle="1" w:styleId="Heading2Char">
    <w:name w:val="Heading 2 Char"/>
    <w:aliases w:val="Section heading Char"/>
    <w:basedOn w:val="DefaultParagraphFont"/>
    <w:link w:val="Heading2"/>
    <w:uiPriority w:val="9"/>
    <w:rsid w:val="001C552F"/>
    <w:rPr>
      <w:rFonts w:ascii="Arial" w:hAnsi="Arial" w:cs="Arial"/>
      <w:b/>
      <w:bCs/>
      <w:iCs/>
      <w:sz w:val="28"/>
      <w:szCs w:val="28"/>
    </w:rPr>
  </w:style>
  <w:style w:type="paragraph" w:styleId="NoSpacing">
    <w:name w:val="No Spacing"/>
    <w:uiPriority w:val="1"/>
    <w:rsid w:val="001C552F"/>
    <w:rPr>
      <w:sz w:val="24"/>
      <w:szCs w:val="24"/>
      <w:lang w:val="en-GB" w:eastAsia="en-GB"/>
    </w:rPr>
  </w:style>
  <w:style w:type="paragraph" w:customStyle="1" w:styleId="References">
    <w:name w:val="References"/>
    <w:basedOn w:val="NoSpacing"/>
    <w:autoRedefine/>
    <w:qFormat/>
    <w:rsid w:val="001C552F"/>
    <w:pPr>
      <w:spacing w:before="100" w:beforeAutospacing="1" w:after="100" w:afterAutospacing="1"/>
    </w:pPr>
    <w:rPr>
      <w:sz w:val="20"/>
    </w:rPr>
  </w:style>
  <w:style w:type="character" w:styleId="Emphasis">
    <w:name w:val="Emphasis"/>
    <w:basedOn w:val="DefaultParagraphFont"/>
    <w:uiPriority w:val="20"/>
    <w:rsid w:val="001C552F"/>
    <w:rPr>
      <w:i/>
      <w:iCs/>
    </w:rPr>
  </w:style>
  <w:style w:type="character" w:customStyle="1" w:styleId="HeaderChar">
    <w:name w:val="Header Char"/>
    <w:basedOn w:val="DefaultParagraphFont"/>
    <w:link w:val="Header"/>
    <w:uiPriority w:val="99"/>
    <w:rsid w:val="001C552F"/>
    <w:rPr>
      <w:rFonts w:ascii="Arial" w:hAnsi="Arial" w:cs="Arial"/>
      <w:sz w:val="24"/>
      <w:szCs w:val="24"/>
    </w:rPr>
  </w:style>
  <w:style w:type="character" w:styleId="PageNumber">
    <w:name w:val="page number"/>
    <w:basedOn w:val="DefaultParagraphFont"/>
    <w:uiPriority w:val="99"/>
    <w:semiHidden/>
    <w:unhideWhenUsed/>
    <w:rsid w:val="001C552F"/>
  </w:style>
  <w:style w:type="character" w:styleId="LineNumber">
    <w:name w:val="line number"/>
    <w:basedOn w:val="DefaultParagraphFont"/>
    <w:uiPriority w:val="99"/>
    <w:semiHidden/>
    <w:unhideWhenUsed/>
    <w:rsid w:val="001C552F"/>
  </w:style>
  <w:style w:type="character" w:styleId="FollowedHyperlink">
    <w:name w:val="FollowedHyperlink"/>
    <w:basedOn w:val="DefaultParagraphFont"/>
    <w:uiPriority w:val="99"/>
    <w:semiHidden/>
    <w:unhideWhenUsed/>
    <w:rsid w:val="001C552F"/>
    <w:rPr>
      <w:color w:val="800080" w:themeColor="followedHyperlink"/>
      <w:u w:val="single"/>
    </w:rPr>
  </w:style>
  <w:style w:type="character" w:styleId="PlaceholderText">
    <w:name w:val="Placeholder Text"/>
    <w:basedOn w:val="DefaultParagraphFont"/>
    <w:uiPriority w:val="99"/>
    <w:semiHidden/>
    <w:rsid w:val="001C552F"/>
    <w:rPr>
      <w:color w:val="808080"/>
    </w:rPr>
  </w:style>
  <w:style w:type="paragraph" w:styleId="Subtitle">
    <w:name w:val="Subtitle"/>
    <w:basedOn w:val="Normal"/>
    <w:next w:val="Normal"/>
    <w:link w:val="SubtitleChar"/>
    <w:uiPriority w:val="11"/>
    <w:qFormat/>
    <w:rsid w:val="001C552F"/>
    <w:pPr>
      <w:keepNext/>
      <w:keepLines/>
      <w:spacing w:before="360" w:after="80"/>
    </w:pPr>
    <w:rPr>
      <w:rFonts w:ascii="Georgia" w:eastAsia="Georgia" w:hAnsi="Georgia" w:cs="Georgia"/>
      <w:i/>
      <w:color w:val="666666"/>
      <w:sz w:val="48"/>
      <w:szCs w:val="48"/>
      <w:lang w:val="en-GB" w:eastAsia="en-GB"/>
    </w:rPr>
  </w:style>
  <w:style w:type="character" w:customStyle="1" w:styleId="SubtitleChar">
    <w:name w:val="Subtitle Char"/>
    <w:basedOn w:val="DefaultParagraphFont"/>
    <w:link w:val="Subtitle"/>
    <w:uiPriority w:val="11"/>
    <w:rsid w:val="001C552F"/>
    <w:rPr>
      <w:rFonts w:ascii="Georgia" w:eastAsia="Georgia" w:hAnsi="Georgia" w:cs="Georgia"/>
      <w:i/>
      <w:color w:val="666666"/>
      <w:sz w:val="48"/>
      <w:szCs w:val="48"/>
      <w:lang w:val="en-GB" w:eastAsia="en-GB"/>
    </w:rPr>
  </w:style>
  <w:style w:type="character" w:styleId="UnresolvedMention">
    <w:name w:val="Unresolved Mention"/>
    <w:basedOn w:val="DefaultParagraphFont"/>
    <w:uiPriority w:val="99"/>
    <w:semiHidden/>
    <w:unhideWhenUsed/>
    <w:rsid w:val="001C552F"/>
    <w:rPr>
      <w:color w:val="605E5C"/>
      <w:shd w:val="clear" w:color="auto" w:fill="E1DFDD"/>
    </w:rPr>
  </w:style>
  <w:style w:type="paragraph" w:styleId="Revision">
    <w:name w:val="Revision"/>
    <w:hidden/>
    <w:uiPriority w:val="99"/>
    <w:semiHidden/>
    <w:rsid w:val="001C552F"/>
    <w:rPr>
      <w:sz w:val="24"/>
      <w:szCs w:val="24"/>
      <w:lang w:val="en-GB" w:eastAsia="en-GB"/>
    </w:rPr>
  </w:style>
  <w:style w:type="paragraph" w:customStyle="1" w:styleId="msonormal0">
    <w:name w:val="msonormal"/>
    <w:basedOn w:val="Normal"/>
    <w:rsid w:val="0082023C"/>
    <w:pPr>
      <w:spacing w:before="100" w:beforeAutospacing="1" w:after="100" w:afterAutospacing="1"/>
    </w:pPr>
    <w:rPr>
      <w:rFonts w:ascii="Times New Roman" w:hAnsi="Times New Roman" w:cs="Times New Roman"/>
    </w:rPr>
  </w:style>
  <w:style w:type="paragraph" w:customStyle="1" w:styleId="font5">
    <w:name w:val="font5"/>
    <w:basedOn w:val="Normal"/>
    <w:rsid w:val="0082023C"/>
    <w:pPr>
      <w:spacing w:before="100" w:beforeAutospacing="1" w:after="100" w:afterAutospacing="1"/>
    </w:pPr>
    <w:rPr>
      <w:rFonts w:ascii="Times New Roman" w:hAnsi="Times New Roman" w:cs="Times New Roman"/>
      <w:color w:val="000000"/>
    </w:rPr>
  </w:style>
  <w:style w:type="paragraph" w:customStyle="1" w:styleId="font6">
    <w:name w:val="font6"/>
    <w:basedOn w:val="Normal"/>
    <w:rsid w:val="0082023C"/>
    <w:pPr>
      <w:spacing w:before="100" w:beforeAutospacing="1" w:after="100" w:afterAutospacing="1"/>
    </w:pPr>
    <w:rPr>
      <w:rFonts w:ascii="Times New Roman" w:hAnsi="Times New Roman" w:cs="Times New Roman"/>
      <w:b/>
      <w:bCs/>
      <w:color w:val="000000"/>
    </w:rPr>
  </w:style>
  <w:style w:type="paragraph" w:customStyle="1" w:styleId="font7">
    <w:name w:val="font7"/>
    <w:basedOn w:val="Normal"/>
    <w:rsid w:val="0082023C"/>
    <w:pPr>
      <w:spacing w:before="100" w:beforeAutospacing="1" w:after="100" w:afterAutospacing="1"/>
    </w:pPr>
    <w:rPr>
      <w:rFonts w:ascii="Times New Roman" w:hAnsi="Times New Roman" w:cs="Times New Roman"/>
      <w:b/>
      <w:bCs/>
      <w:color w:val="000000"/>
    </w:rPr>
  </w:style>
  <w:style w:type="paragraph" w:customStyle="1" w:styleId="font8">
    <w:name w:val="font8"/>
    <w:basedOn w:val="Normal"/>
    <w:rsid w:val="0082023C"/>
    <w:pPr>
      <w:spacing w:before="100" w:beforeAutospacing="1" w:after="100" w:afterAutospacing="1"/>
    </w:pPr>
    <w:rPr>
      <w:rFonts w:ascii="Times New Roman" w:hAnsi="Times New Roman" w:cs="Times New Roman"/>
      <w:color w:val="000000"/>
    </w:rPr>
  </w:style>
  <w:style w:type="paragraph" w:customStyle="1" w:styleId="xl65">
    <w:name w:val="xl65"/>
    <w:basedOn w:val="Normal"/>
    <w:rsid w:val="0082023C"/>
    <w:pPr>
      <w:spacing w:before="100" w:beforeAutospacing="1" w:after="100" w:afterAutospacing="1"/>
    </w:pPr>
    <w:rPr>
      <w:rFonts w:ascii="Times New Roman" w:hAnsi="Times New Roman" w:cs="Times New Roman"/>
    </w:rPr>
  </w:style>
  <w:style w:type="paragraph" w:customStyle="1" w:styleId="xl66">
    <w:name w:val="xl66"/>
    <w:basedOn w:val="Normal"/>
    <w:rsid w:val="0082023C"/>
    <w:pPr>
      <w:spacing w:before="100" w:beforeAutospacing="1" w:after="100" w:afterAutospacing="1"/>
      <w:jc w:val="right"/>
    </w:pPr>
    <w:rPr>
      <w:rFonts w:ascii="Times New Roman" w:hAnsi="Times New Roman" w:cs="Times New Roman"/>
    </w:rPr>
  </w:style>
  <w:style w:type="paragraph" w:customStyle="1" w:styleId="xl67">
    <w:name w:val="xl67"/>
    <w:basedOn w:val="Normal"/>
    <w:rsid w:val="0082023C"/>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82023C"/>
    <w:pP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82023C"/>
    <w:pPr>
      <w:spacing w:before="100" w:beforeAutospacing="1" w:after="100" w:afterAutospacing="1"/>
      <w:jc w:val="center"/>
      <w:textAlignment w:val="center"/>
    </w:pPr>
    <w:rPr>
      <w:rFonts w:ascii="Times New Roman" w:hAnsi="Times New Roman" w:cs="Times New Roman"/>
    </w:rPr>
  </w:style>
  <w:style w:type="paragraph" w:customStyle="1" w:styleId="xl70">
    <w:name w:val="xl70"/>
    <w:basedOn w:val="Normal"/>
    <w:rsid w:val="0082023C"/>
    <w:pPr>
      <w:spacing w:before="100" w:beforeAutospacing="1" w:after="100" w:afterAutospacing="1"/>
      <w:jc w:val="center"/>
      <w:textAlignment w:val="center"/>
    </w:pPr>
    <w:rPr>
      <w:rFonts w:ascii="Times New Roman" w:hAnsi="Times New Roman" w:cs="Times New Roman"/>
      <w:b/>
      <w:bCs/>
    </w:rPr>
  </w:style>
  <w:style w:type="paragraph" w:customStyle="1" w:styleId="xl71">
    <w:name w:val="xl71"/>
    <w:basedOn w:val="Normal"/>
    <w:rsid w:val="0082023C"/>
    <w:pPr>
      <w:spacing w:before="100" w:beforeAutospacing="1" w:after="100" w:afterAutospacing="1"/>
      <w:jc w:val="center"/>
      <w:textAlignment w:val="center"/>
    </w:pPr>
    <w:rPr>
      <w:rFonts w:ascii="Times New Roman" w:hAnsi="Times New Roman" w:cs="Times New Roman"/>
    </w:rPr>
  </w:style>
  <w:style w:type="paragraph" w:customStyle="1" w:styleId="xl72">
    <w:name w:val="xl72"/>
    <w:basedOn w:val="Normal"/>
    <w:rsid w:val="0082023C"/>
    <w:pPr>
      <w:spacing w:before="100" w:beforeAutospacing="1" w:after="100" w:afterAutospacing="1"/>
      <w:jc w:val="center"/>
      <w:textAlignment w:val="center"/>
    </w:pPr>
    <w:rPr>
      <w:rFonts w:ascii="Times New Roman" w:hAnsi="Times New Roman" w:cs="Times New Roman"/>
    </w:rPr>
  </w:style>
  <w:style w:type="paragraph" w:customStyle="1" w:styleId="xl73">
    <w:name w:val="xl73"/>
    <w:basedOn w:val="Normal"/>
    <w:rsid w:val="0082023C"/>
    <w:pPr>
      <w:spacing w:before="100" w:beforeAutospacing="1" w:after="100" w:afterAutospacing="1"/>
      <w:jc w:val="center"/>
    </w:pPr>
    <w:rPr>
      <w:rFonts w:ascii="Times New Roman" w:hAnsi="Times New Roman" w:cs="Times New Roman"/>
    </w:rPr>
  </w:style>
  <w:style w:type="paragraph" w:customStyle="1" w:styleId="xl74">
    <w:name w:val="xl74"/>
    <w:basedOn w:val="Normal"/>
    <w:rsid w:val="0082023C"/>
    <w:pPr>
      <w:pBdr>
        <w:bottom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5">
    <w:name w:val="xl75"/>
    <w:basedOn w:val="Normal"/>
    <w:rsid w:val="0082023C"/>
    <w:pPr>
      <w:pBdr>
        <w:bottom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6">
    <w:name w:val="xl76"/>
    <w:basedOn w:val="Normal"/>
    <w:rsid w:val="0082023C"/>
    <w:pPr>
      <w:pBdr>
        <w:bottom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82023C"/>
    <w:pPr>
      <w:spacing w:before="100" w:beforeAutospacing="1" w:after="100" w:afterAutospacing="1"/>
      <w:jc w:val="center"/>
      <w:textAlignment w:val="center"/>
    </w:pPr>
    <w:rPr>
      <w:rFonts w:ascii="Times New Roman" w:hAnsi="Times New Roman" w:cs="Times New Roman"/>
    </w:rPr>
  </w:style>
  <w:style w:type="paragraph" w:customStyle="1" w:styleId="xl78">
    <w:name w:val="xl78"/>
    <w:basedOn w:val="Normal"/>
    <w:rsid w:val="0082023C"/>
    <w:pPr>
      <w:pBdr>
        <w:bottom w:val="single" w:sz="4" w:space="0" w:color="auto"/>
      </w:pBdr>
      <w:spacing w:before="100" w:beforeAutospacing="1" w:after="100" w:afterAutospacing="1"/>
      <w:jc w:val="center"/>
    </w:pPr>
    <w:rPr>
      <w:rFonts w:ascii="Times New Roman" w:hAnsi="Times New Roman" w:cs="Times New Roman"/>
    </w:rPr>
  </w:style>
  <w:style w:type="paragraph" w:customStyle="1" w:styleId="xl79">
    <w:name w:val="xl79"/>
    <w:basedOn w:val="Normal"/>
    <w:rsid w:val="0082023C"/>
    <w:pPr>
      <w:pBdr>
        <w:bottom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0">
    <w:name w:val="xl80"/>
    <w:basedOn w:val="Normal"/>
    <w:rsid w:val="0082023C"/>
    <w:pPr>
      <w:pBdr>
        <w:bottom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81">
    <w:name w:val="xl81"/>
    <w:basedOn w:val="Normal"/>
    <w:rsid w:val="0082023C"/>
    <w:pPr>
      <w:pBdr>
        <w:bottom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82023C"/>
    <w:pPr>
      <w:pBdr>
        <w:bottom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3">
    <w:name w:val="xl83"/>
    <w:basedOn w:val="Normal"/>
    <w:rsid w:val="0082023C"/>
    <w:pPr>
      <w:spacing w:before="100" w:beforeAutospacing="1" w:after="100" w:afterAutospacing="1"/>
      <w:jc w:val="center"/>
    </w:pPr>
    <w:rPr>
      <w:rFonts w:ascii="Times New Roman" w:hAnsi="Times New Roman" w:cs="Times New Roman"/>
    </w:rPr>
  </w:style>
  <w:style w:type="paragraph" w:customStyle="1" w:styleId="xl84">
    <w:name w:val="xl84"/>
    <w:basedOn w:val="Normal"/>
    <w:rsid w:val="0082023C"/>
    <w:pPr>
      <w:shd w:val="clear" w:color="000000" w:fill="000000"/>
      <w:spacing w:before="100" w:beforeAutospacing="1" w:after="100" w:afterAutospacing="1"/>
      <w:jc w:val="center"/>
      <w:textAlignment w:val="center"/>
    </w:pPr>
    <w:rPr>
      <w:rFonts w:ascii="Times New Roman" w:hAnsi="Times New Roman" w:cs="Times New Roman"/>
      <w:color w:val="FFFFFF"/>
    </w:rPr>
  </w:style>
  <w:style w:type="paragraph" w:customStyle="1" w:styleId="xl85">
    <w:name w:val="xl85"/>
    <w:basedOn w:val="Normal"/>
    <w:rsid w:val="0082023C"/>
    <w:pPr>
      <w:spacing w:before="100" w:beforeAutospacing="1" w:after="100" w:afterAutospacing="1"/>
    </w:pPr>
    <w:rPr>
      <w:rFonts w:ascii="Times New Roman" w:hAnsi="Times New Roman" w:cs="Times New Roman"/>
    </w:rPr>
  </w:style>
  <w:style w:type="paragraph" w:customStyle="1" w:styleId="xl86">
    <w:name w:val="xl86"/>
    <w:basedOn w:val="Normal"/>
    <w:rsid w:val="0082023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87">
    <w:name w:val="xl87"/>
    <w:basedOn w:val="Normal"/>
    <w:rsid w:val="0082023C"/>
    <w:pPr>
      <w:pBdr>
        <w:top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88">
    <w:name w:val="xl88"/>
    <w:basedOn w:val="Normal"/>
    <w:rsid w:val="0082023C"/>
    <w:pPr>
      <w:pBdr>
        <w:top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89">
    <w:name w:val="xl89"/>
    <w:basedOn w:val="Normal"/>
    <w:rsid w:val="0082023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90">
    <w:name w:val="xl90"/>
    <w:basedOn w:val="Normal"/>
    <w:rsid w:val="0082023C"/>
    <w:pPr>
      <w:spacing w:before="100" w:beforeAutospacing="1" w:after="100" w:afterAutospacing="1"/>
      <w:jc w:val="center"/>
      <w:textAlignment w:val="center"/>
    </w:pPr>
    <w:rPr>
      <w:rFonts w:ascii="Times New Roman" w:hAnsi="Times New Roman" w:cs="Times New Roman"/>
      <w:b/>
      <w:bCs/>
    </w:rPr>
  </w:style>
  <w:style w:type="paragraph" w:customStyle="1" w:styleId="xl91">
    <w:name w:val="xl91"/>
    <w:basedOn w:val="Normal"/>
    <w:rsid w:val="0082023C"/>
    <w:pPr>
      <w:spacing w:before="100" w:beforeAutospacing="1" w:after="100" w:afterAutospacing="1"/>
    </w:pPr>
    <w:rPr>
      <w:rFonts w:ascii="Times New Roman" w:hAnsi="Times New Roman" w:cs="Times New Roman"/>
      <w:b/>
      <w:bCs/>
    </w:rPr>
  </w:style>
  <w:style w:type="paragraph" w:customStyle="1" w:styleId="xl92">
    <w:name w:val="xl92"/>
    <w:basedOn w:val="Normal"/>
    <w:rsid w:val="0082023C"/>
    <w:pPr>
      <w:spacing w:before="100" w:beforeAutospacing="1" w:after="100" w:afterAutospacing="1"/>
      <w:jc w:val="center"/>
      <w:textAlignment w:val="center"/>
    </w:pPr>
    <w:rPr>
      <w:rFonts w:ascii="Times New Roman" w:hAnsi="Times New Roman" w:cs="Times New Roman"/>
      <w:b/>
      <w:bCs/>
    </w:rPr>
  </w:style>
  <w:style w:type="paragraph" w:customStyle="1" w:styleId="xl93">
    <w:name w:val="xl93"/>
    <w:basedOn w:val="Normal"/>
    <w:rsid w:val="0082023C"/>
    <w:pPr>
      <w:spacing w:before="100" w:beforeAutospacing="1" w:after="100" w:afterAutospacing="1"/>
      <w:jc w:val="center"/>
      <w:textAlignment w:val="center"/>
    </w:pPr>
    <w:rPr>
      <w:rFonts w:ascii="Times New Roman" w:hAnsi="Times New Roman" w:cs="Times New Roman"/>
    </w:rPr>
  </w:style>
  <w:style w:type="paragraph" w:customStyle="1" w:styleId="xl94">
    <w:name w:val="xl94"/>
    <w:basedOn w:val="Normal"/>
    <w:rsid w:val="0082023C"/>
    <w:pPr>
      <w:pBdr>
        <w:bottom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95">
    <w:name w:val="xl95"/>
    <w:basedOn w:val="Normal"/>
    <w:rsid w:val="0082023C"/>
    <w:pPr>
      <w:spacing w:before="100" w:beforeAutospacing="1" w:after="100" w:afterAutospacing="1"/>
    </w:pPr>
    <w:rPr>
      <w:rFonts w:ascii="Times New Roman" w:hAnsi="Times New Roman" w:cs="Times New Roman"/>
    </w:rPr>
  </w:style>
  <w:style w:type="paragraph" w:customStyle="1" w:styleId="xl96">
    <w:name w:val="xl96"/>
    <w:basedOn w:val="Normal"/>
    <w:rsid w:val="0082023C"/>
    <w:pPr>
      <w:pBdr>
        <w:top w:val="single" w:sz="4" w:space="0" w:color="auto"/>
        <w:left w:val="single" w:sz="4" w:space="0" w:color="auto"/>
      </w:pBdr>
      <w:spacing w:before="100" w:beforeAutospacing="1" w:after="100" w:afterAutospacing="1"/>
      <w:jc w:val="center"/>
    </w:pPr>
    <w:rPr>
      <w:rFonts w:ascii="Times New Roman" w:hAnsi="Times New Roman" w:cs="Times New Roman"/>
    </w:rPr>
  </w:style>
  <w:style w:type="paragraph" w:customStyle="1" w:styleId="xl97">
    <w:name w:val="xl97"/>
    <w:basedOn w:val="Normal"/>
    <w:rsid w:val="0082023C"/>
    <w:pPr>
      <w:pBdr>
        <w:top w:val="single" w:sz="4" w:space="0" w:color="auto"/>
      </w:pBdr>
      <w:spacing w:before="100" w:beforeAutospacing="1" w:after="100" w:afterAutospacing="1"/>
      <w:jc w:val="center"/>
    </w:pPr>
    <w:rPr>
      <w:rFonts w:ascii="Times New Roman" w:hAnsi="Times New Roman" w:cs="Times New Roman"/>
    </w:rPr>
  </w:style>
  <w:style w:type="paragraph" w:customStyle="1" w:styleId="xl98">
    <w:name w:val="xl98"/>
    <w:basedOn w:val="Normal"/>
    <w:rsid w:val="0082023C"/>
    <w:pPr>
      <w:pBdr>
        <w:bottom w:val="single" w:sz="4" w:space="0" w:color="auto"/>
      </w:pBdr>
      <w:shd w:val="clear" w:color="000000" w:fill="000000"/>
      <w:spacing w:before="100" w:beforeAutospacing="1" w:after="100" w:afterAutospacing="1"/>
      <w:jc w:val="center"/>
      <w:textAlignment w:val="center"/>
    </w:pPr>
    <w:rPr>
      <w:rFonts w:ascii="Times New Roman" w:hAnsi="Times New Roman" w:cs="Times New Roman"/>
      <w:color w:val="FFFFFF"/>
    </w:rPr>
  </w:style>
  <w:style w:type="paragraph" w:customStyle="1" w:styleId="xl99">
    <w:name w:val="xl99"/>
    <w:basedOn w:val="Normal"/>
    <w:rsid w:val="0082023C"/>
    <w:pPr>
      <w:spacing w:before="100" w:beforeAutospacing="1" w:after="100" w:afterAutospacing="1"/>
    </w:pPr>
    <w:rPr>
      <w:rFonts w:ascii="Times New Roman" w:hAnsi="Times New Roman" w:cs="Times New Roman"/>
    </w:rPr>
  </w:style>
  <w:style w:type="paragraph" w:customStyle="1" w:styleId="xl100">
    <w:name w:val="xl100"/>
    <w:basedOn w:val="Normal"/>
    <w:rsid w:val="0082023C"/>
    <w:pPr>
      <w:pBdr>
        <w:top w:val="single" w:sz="4" w:space="0" w:color="auto"/>
      </w:pBdr>
      <w:spacing w:before="100" w:beforeAutospacing="1" w:after="100" w:afterAutospacing="1"/>
      <w:jc w:val="right"/>
      <w:textAlignment w:val="center"/>
    </w:pPr>
    <w:rPr>
      <w:rFonts w:ascii="Times New Roman" w:hAnsi="Times New Roman" w:cs="Times New Roman"/>
      <w:b/>
      <w:bCs/>
    </w:rPr>
  </w:style>
  <w:style w:type="paragraph" w:customStyle="1" w:styleId="xl101">
    <w:name w:val="xl101"/>
    <w:basedOn w:val="Normal"/>
    <w:rsid w:val="0082023C"/>
    <w:pPr>
      <w:spacing w:before="100" w:beforeAutospacing="1" w:after="100" w:afterAutospacing="1"/>
      <w:jc w:val="center"/>
    </w:pPr>
    <w:rPr>
      <w:rFonts w:ascii="Times New Roman" w:hAnsi="Times New Roman" w:cs="Times New Roman"/>
      <w:b/>
      <w:bCs/>
    </w:rPr>
  </w:style>
  <w:style w:type="paragraph" w:customStyle="1" w:styleId="xl102">
    <w:name w:val="xl102"/>
    <w:basedOn w:val="Normal"/>
    <w:rsid w:val="0082023C"/>
    <w:pPr>
      <w:pBdr>
        <w:right w:val="single" w:sz="4" w:space="0" w:color="auto"/>
      </w:pBdr>
      <w:spacing w:before="100" w:beforeAutospacing="1" w:after="100" w:afterAutospacing="1"/>
      <w:jc w:val="center"/>
    </w:pPr>
    <w:rPr>
      <w:rFonts w:ascii="Times New Roman" w:hAnsi="Times New Roman" w:cs="Times New Roman"/>
      <w:b/>
      <w:bCs/>
    </w:rPr>
  </w:style>
  <w:style w:type="paragraph" w:customStyle="1" w:styleId="xl103">
    <w:name w:val="xl103"/>
    <w:basedOn w:val="Normal"/>
    <w:rsid w:val="0082023C"/>
    <w:pPr>
      <w:pBdr>
        <w:right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104">
    <w:name w:val="xl104"/>
    <w:basedOn w:val="Normal"/>
    <w:rsid w:val="0082023C"/>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105">
    <w:name w:val="xl105"/>
    <w:basedOn w:val="Normal"/>
    <w:rsid w:val="008202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106">
    <w:name w:val="xl106"/>
    <w:basedOn w:val="Normal"/>
    <w:rsid w:val="0082023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rPr>
  </w:style>
  <w:style w:type="paragraph" w:customStyle="1" w:styleId="xl107">
    <w:name w:val="xl107"/>
    <w:basedOn w:val="Normal"/>
    <w:rsid w:val="0082023C"/>
    <w:pPr>
      <w:pBdr>
        <w:top w:val="single" w:sz="4" w:space="0" w:color="auto"/>
      </w:pBdr>
      <w:spacing w:before="100" w:beforeAutospacing="1" w:after="100" w:afterAutospacing="1"/>
      <w:textAlignment w:val="top"/>
    </w:pPr>
    <w:rPr>
      <w:rFonts w:ascii="Times New Roman" w:hAnsi="Times New Roman" w:cs="Times New Roman"/>
    </w:rPr>
  </w:style>
  <w:style w:type="paragraph" w:customStyle="1" w:styleId="xl108">
    <w:name w:val="xl108"/>
    <w:basedOn w:val="Normal"/>
    <w:rsid w:val="0082023C"/>
    <w:pPr>
      <w:spacing w:before="100" w:beforeAutospacing="1" w:after="100" w:afterAutospacing="1"/>
      <w:textAlignment w:val="top"/>
    </w:pPr>
    <w:rPr>
      <w:rFonts w:ascii="Times New Roman" w:hAnsi="Times New Roman" w:cs="Times New Roman"/>
    </w:rPr>
  </w:style>
  <w:style w:type="paragraph" w:customStyle="1" w:styleId="font9">
    <w:name w:val="font9"/>
    <w:basedOn w:val="Normal"/>
    <w:rsid w:val="00583BBF"/>
    <w:pPr>
      <w:spacing w:before="100" w:beforeAutospacing="1" w:after="100" w:afterAutospacing="1"/>
    </w:pPr>
    <w:rPr>
      <w:rFonts w:ascii="Times New Roman" w:hAnsi="Times New Roman" w:cs="Times New Roman"/>
      <w:b/>
      <w:bCs/>
      <w:color w:val="7030A0"/>
    </w:rPr>
  </w:style>
  <w:style w:type="paragraph" w:customStyle="1" w:styleId="font10">
    <w:name w:val="font10"/>
    <w:basedOn w:val="Normal"/>
    <w:rsid w:val="00583BBF"/>
    <w:pPr>
      <w:spacing w:before="100" w:beforeAutospacing="1" w:after="100" w:afterAutospacing="1"/>
    </w:pPr>
    <w:rPr>
      <w:rFonts w:ascii="Calibri" w:hAnsi="Calibri" w:cs="Calibri"/>
      <w:b/>
      <w:bCs/>
      <w:color w:val="7030A0"/>
    </w:rPr>
  </w:style>
  <w:style w:type="paragraph" w:customStyle="1" w:styleId="xl109">
    <w:name w:val="xl109"/>
    <w:basedOn w:val="Normal"/>
    <w:rsid w:val="00583BBF"/>
    <w:pPr>
      <w:pBdr>
        <w:bottom w:val="double" w:sz="6" w:space="0" w:color="auto"/>
      </w:pBdr>
      <w:spacing w:before="100" w:beforeAutospacing="1" w:after="100" w:afterAutospacing="1"/>
      <w:jc w:val="center"/>
      <w:textAlignment w:val="center"/>
    </w:pPr>
    <w:rPr>
      <w:rFonts w:ascii="Times New Roman" w:hAnsi="Times New Roman" w:cs="Times New Roman"/>
      <w:color w:val="7030A0"/>
    </w:rPr>
  </w:style>
  <w:style w:type="paragraph" w:customStyle="1" w:styleId="xl110">
    <w:name w:val="xl110"/>
    <w:basedOn w:val="Normal"/>
    <w:rsid w:val="00583BBF"/>
    <w:pPr>
      <w:pBdr>
        <w:bottom w:val="double" w:sz="6" w:space="0" w:color="auto"/>
      </w:pBdr>
      <w:spacing w:before="100" w:beforeAutospacing="1" w:after="100" w:afterAutospacing="1"/>
      <w:jc w:val="center"/>
      <w:textAlignment w:val="center"/>
    </w:pPr>
    <w:rPr>
      <w:rFonts w:ascii="Times New Roman" w:hAnsi="Times New Roman" w:cs="Times New Roman"/>
      <w:color w:val="7030A0"/>
    </w:rPr>
  </w:style>
  <w:style w:type="paragraph" w:customStyle="1" w:styleId="xl111">
    <w:name w:val="xl111"/>
    <w:basedOn w:val="Normal"/>
    <w:rsid w:val="00583BBF"/>
    <w:pPr>
      <w:pBdr>
        <w:top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7030A0"/>
    </w:rPr>
  </w:style>
  <w:style w:type="paragraph" w:customStyle="1" w:styleId="xl112">
    <w:name w:val="xl112"/>
    <w:basedOn w:val="Normal"/>
    <w:rsid w:val="00583BBF"/>
    <w:pPr>
      <w:spacing w:before="100" w:beforeAutospacing="1" w:after="100" w:afterAutospacing="1"/>
      <w:textAlignment w:val="center"/>
    </w:pPr>
    <w:rPr>
      <w:rFonts w:ascii="Times New Roman" w:hAnsi="Times New Roman" w:cs="Times New Roman"/>
    </w:rPr>
  </w:style>
  <w:style w:type="paragraph" w:customStyle="1" w:styleId="xl113">
    <w:name w:val="xl113"/>
    <w:basedOn w:val="Normal"/>
    <w:rsid w:val="00583BBF"/>
    <w:pPr>
      <w:pBdr>
        <w:top w:val="double" w:sz="6" w:space="0" w:color="auto"/>
      </w:pBdr>
      <w:spacing w:before="100" w:beforeAutospacing="1" w:after="100" w:afterAutospacing="1"/>
      <w:jc w:val="center"/>
      <w:textAlignment w:val="center"/>
    </w:pPr>
    <w:rPr>
      <w:rFonts w:ascii="Times New Roman" w:hAnsi="Times New Roman" w:cs="Times New Roman"/>
      <w:b/>
      <w:bCs/>
      <w:color w:val="7030A0"/>
    </w:rPr>
  </w:style>
  <w:style w:type="paragraph" w:customStyle="1" w:styleId="xl114">
    <w:name w:val="xl114"/>
    <w:basedOn w:val="Normal"/>
    <w:rsid w:val="00583BBF"/>
    <w:pPr>
      <w:pBdr>
        <w:bottom w:val="single" w:sz="4" w:space="0" w:color="auto"/>
      </w:pBdr>
      <w:spacing w:before="100" w:beforeAutospacing="1" w:after="100" w:afterAutospacing="1"/>
      <w:jc w:val="center"/>
      <w:textAlignment w:val="center"/>
    </w:pPr>
    <w:rPr>
      <w:rFonts w:ascii="Times New Roman" w:hAnsi="Times New Roman" w:cs="Times New Roman"/>
      <w:b/>
      <w:bCs/>
      <w:color w:val="7030A0"/>
    </w:rPr>
  </w:style>
  <w:style w:type="paragraph" w:customStyle="1" w:styleId="font11">
    <w:name w:val="font11"/>
    <w:basedOn w:val="Normal"/>
    <w:rsid w:val="00A74758"/>
    <w:pPr>
      <w:spacing w:before="100" w:beforeAutospacing="1" w:after="100" w:afterAutospacing="1"/>
    </w:pPr>
    <w:rPr>
      <w:rFonts w:ascii="Calibri" w:hAnsi="Calibri" w:cs="Calibri"/>
      <w:color w:val="000000"/>
    </w:rPr>
  </w:style>
  <w:style w:type="paragraph" w:customStyle="1" w:styleId="font12">
    <w:name w:val="font12"/>
    <w:basedOn w:val="Normal"/>
    <w:rsid w:val="00A74758"/>
    <w:pPr>
      <w:spacing w:before="100" w:beforeAutospacing="1" w:after="100" w:afterAutospacing="1"/>
    </w:pPr>
    <w:rPr>
      <w:rFonts w:ascii="Times New Roman" w:hAnsi="Times New Roman" w:cs="Times New Roman"/>
      <w:color w:val="4472C4"/>
    </w:rPr>
  </w:style>
  <w:style w:type="paragraph" w:customStyle="1" w:styleId="font13">
    <w:name w:val="font13"/>
    <w:basedOn w:val="Normal"/>
    <w:rsid w:val="00A74758"/>
    <w:pPr>
      <w:spacing w:before="100" w:beforeAutospacing="1" w:after="100" w:afterAutospacing="1"/>
    </w:pPr>
    <w:rPr>
      <w:rFonts w:ascii="Calibri" w:hAnsi="Calibri" w:cs="Calibri"/>
      <w:color w:val="000000"/>
    </w:rPr>
  </w:style>
  <w:style w:type="character" w:customStyle="1" w:styleId="Heading7Char">
    <w:name w:val="Heading 7 Char"/>
    <w:basedOn w:val="DefaultParagraphFont"/>
    <w:link w:val="Heading7"/>
    <w:semiHidden/>
    <w:rsid w:val="00852220"/>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8522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852220"/>
    <w:rPr>
      <w:rFonts w:asciiTheme="majorHAnsi" w:eastAsiaTheme="majorEastAsia" w:hAnsiTheme="majorHAnsi" w:cstheme="majorBidi"/>
      <w:i/>
      <w:iCs/>
      <w:color w:val="272727" w:themeColor="text1" w:themeTint="D8"/>
      <w:sz w:val="21"/>
      <w:szCs w:val="21"/>
    </w:rPr>
  </w:style>
  <w:style w:type="paragraph" w:customStyle="1" w:styleId="font14">
    <w:name w:val="font14"/>
    <w:basedOn w:val="Normal"/>
    <w:rsid w:val="002B0A02"/>
    <w:pPr>
      <w:spacing w:before="100" w:beforeAutospacing="1" w:after="100" w:afterAutospacing="1"/>
    </w:pPr>
    <w:rPr>
      <w:rFonts w:ascii="Times New Roman" w:hAnsi="Times New Roman" w:cs="Times New Roman"/>
      <w:color w:val="4472C4"/>
    </w:rPr>
  </w:style>
  <w:style w:type="paragraph" w:customStyle="1" w:styleId="font15">
    <w:name w:val="font15"/>
    <w:basedOn w:val="Normal"/>
    <w:rsid w:val="002B0A02"/>
    <w:pPr>
      <w:spacing w:before="100" w:beforeAutospacing="1" w:after="100" w:afterAutospacing="1"/>
    </w:pPr>
    <w:rPr>
      <w:rFonts w:ascii="Calibri" w:hAnsi="Calibri" w:cs="Calibri"/>
      <w:color w:val="000000"/>
    </w:rPr>
  </w:style>
  <w:style w:type="paragraph" w:styleId="Bibliography">
    <w:name w:val="Bibliography"/>
    <w:basedOn w:val="Normal"/>
    <w:next w:val="Normal"/>
    <w:uiPriority w:val="37"/>
    <w:semiHidden/>
    <w:unhideWhenUsed/>
    <w:rsid w:val="00665A9F"/>
  </w:style>
  <w:style w:type="paragraph" w:styleId="BlockText">
    <w:name w:val="Block Text"/>
    <w:basedOn w:val="Normal"/>
    <w:semiHidden/>
    <w:unhideWhenUsed/>
    <w:rsid w:val="00665A9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665A9F"/>
    <w:pPr>
      <w:spacing w:after="120"/>
    </w:pPr>
  </w:style>
  <w:style w:type="character" w:customStyle="1" w:styleId="BodyTextChar">
    <w:name w:val="Body Text Char"/>
    <w:basedOn w:val="DefaultParagraphFont"/>
    <w:link w:val="BodyText"/>
    <w:semiHidden/>
    <w:rsid w:val="00665A9F"/>
    <w:rPr>
      <w:rFonts w:ascii="Arial" w:hAnsi="Arial" w:cs="Arial"/>
      <w:sz w:val="24"/>
      <w:szCs w:val="24"/>
    </w:rPr>
  </w:style>
  <w:style w:type="paragraph" w:styleId="BodyText2">
    <w:name w:val="Body Text 2"/>
    <w:basedOn w:val="Normal"/>
    <w:link w:val="BodyText2Char"/>
    <w:semiHidden/>
    <w:unhideWhenUsed/>
    <w:rsid w:val="00665A9F"/>
    <w:pPr>
      <w:spacing w:after="120" w:line="480" w:lineRule="auto"/>
    </w:pPr>
  </w:style>
  <w:style w:type="character" w:customStyle="1" w:styleId="BodyText2Char">
    <w:name w:val="Body Text 2 Char"/>
    <w:basedOn w:val="DefaultParagraphFont"/>
    <w:link w:val="BodyText2"/>
    <w:semiHidden/>
    <w:rsid w:val="00665A9F"/>
    <w:rPr>
      <w:rFonts w:ascii="Arial" w:hAnsi="Arial" w:cs="Arial"/>
      <w:sz w:val="24"/>
      <w:szCs w:val="24"/>
    </w:rPr>
  </w:style>
  <w:style w:type="paragraph" w:styleId="BodyText3">
    <w:name w:val="Body Text 3"/>
    <w:basedOn w:val="Normal"/>
    <w:link w:val="BodyText3Char"/>
    <w:semiHidden/>
    <w:unhideWhenUsed/>
    <w:rsid w:val="00665A9F"/>
    <w:pPr>
      <w:spacing w:after="120"/>
    </w:pPr>
    <w:rPr>
      <w:sz w:val="16"/>
      <w:szCs w:val="16"/>
    </w:rPr>
  </w:style>
  <w:style w:type="character" w:customStyle="1" w:styleId="BodyText3Char">
    <w:name w:val="Body Text 3 Char"/>
    <w:basedOn w:val="DefaultParagraphFont"/>
    <w:link w:val="BodyText3"/>
    <w:semiHidden/>
    <w:rsid w:val="00665A9F"/>
    <w:rPr>
      <w:rFonts w:ascii="Arial" w:hAnsi="Arial" w:cs="Arial"/>
      <w:sz w:val="16"/>
      <w:szCs w:val="16"/>
    </w:rPr>
  </w:style>
  <w:style w:type="paragraph" w:styleId="BodyTextFirstIndent">
    <w:name w:val="Body Text First Indent"/>
    <w:basedOn w:val="BodyText"/>
    <w:link w:val="BodyTextFirstIndentChar"/>
    <w:rsid w:val="00665A9F"/>
    <w:pPr>
      <w:spacing w:after="0"/>
      <w:ind w:firstLine="360"/>
    </w:pPr>
  </w:style>
  <w:style w:type="character" w:customStyle="1" w:styleId="BodyTextFirstIndentChar">
    <w:name w:val="Body Text First Indent Char"/>
    <w:basedOn w:val="BodyTextChar"/>
    <w:link w:val="BodyTextFirstIndent"/>
    <w:rsid w:val="00665A9F"/>
    <w:rPr>
      <w:rFonts w:ascii="Arial" w:hAnsi="Arial" w:cs="Arial"/>
      <w:sz w:val="24"/>
      <w:szCs w:val="24"/>
    </w:rPr>
  </w:style>
  <w:style w:type="paragraph" w:styleId="BodyTextIndent">
    <w:name w:val="Body Text Indent"/>
    <w:basedOn w:val="Normal"/>
    <w:link w:val="BodyTextIndentChar"/>
    <w:semiHidden/>
    <w:unhideWhenUsed/>
    <w:rsid w:val="00665A9F"/>
    <w:pPr>
      <w:spacing w:after="120"/>
      <w:ind w:left="360"/>
    </w:pPr>
  </w:style>
  <w:style w:type="character" w:customStyle="1" w:styleId="BodyTextIndentChar">
    <w:name w:val="Body Text Indent Char"/>
    <w:basedOn w:val="DefaultParagraphFont"/>
    <w:link w:val="BodyTextIndent"/>
    <w:semiHidden/>
    <w:rsid w:val="00665A9F"/>
    <w:rPr>
      <w:rFonts w:ascii="Arial" w:hAnsi="Arial" w:cs="Arial"/>
      <w:sz w:val="24"/>
      <w:szCs w:val="24"/>
    </w:rPr>
  </w:style>
  <w:style w:type="paragraph" w:styleId="BodyTextFirstIndent2">
    <w:name w:val="Body Text First Indent 2"/>
    <w:basedOn w:val="BodyTextIndent"/>
    <w:link w:val="BodyTextFirstIndent2Char"/>
    <w:semiHidden/>
    <w:unhideWhenUsed/>
    <w:rsid w:val="00665A9F"/>
    <w:pPr>
      <w:spacing w:after="0"/>
      <w:ind w:firstLine="360"/>
    </w:pPr>
  </w:style>
  <w:style w:type="character" w:customStyle="1" w:styleId="BodyTextFirstIndent2Char">
    <w:name w:val="Body Text First Indent 2 Char"/>
    <w:basedOn w:val="BodyTextIndentChar"/>
    <w:link w:val="BodyTextFirstIndent2"/>
    <w:semiHidden/>
    <w:rsid w:val="00665A9F"/>
    <w:rPr>
      <w:rFonts w:ascii="Arial" w:hAnsi="Arial" w:cs="Arial"/>
      <w:sz w:val="24"/>
      <w:szCs w:val="24"/>
    </w:rPr>
  </w:style>
  <w:style w:type="paragraph" w:styleId="BodyTextIndent2">
    <w:name w:val="Body Text Indent 2"/>
    <w:basedOn w:val="Normal"/>
    <w:link w:val="BodyTextIndent2Char"/>
    <w:semiHidden/>
    <w:unhideWhenUsed/>
    <w:rsid w:val="00665A9F"/>
    <w:pPr>
      <w:spacing w:after="120" w:line="480" w:lineRule="auto"/>
      <w:ind w:left="360"/>
    </w:pPr>
  </w:style>
  <w:style w:type="character" w:customStyle="1" w:styleId="BodyTextIndent2Char">
    <w:name w:val="Body Text Indent 2 Char"/>
    <w:basedOn w:val="DefaultParagraphFont"/>
    <w:link w:val="BodyTextIndent2"/>
    <w:semiHidden/>
    <w:rsid w:val="00665A9F"/>
    <w:rPr>
      <w:rFonts w:ascii="Arial" w:hAnsi="Arial" w:cs="Arial"/>
      <w:sz w:val="24"/>
      <w:szCs w:val="24"/>
    </w:rPr>
  </w:style>
  <w:style w:type="paragraph" w:styleId="BodyTextIndent3">
    <w:name w:val="Body Text Indent 3"/>
    <w:basedOn w:val="Normal"/>
    <w:link w:val="BodyTextIndent3Char"/>
    <w:semiHidden/>
    <w:unhideWhenUsed/>
    <w:rsid w:val="00665A9F"/>
    <w:pPr>
      <w:spacing w:after="120"/>
      <w:ind w:left="360"/>
    </w:pPr>
    <w:rPr>
      <w:sz w:val="16"/>
      <w:szCs w:val="16"/>
    </w:rPr>
  </w:style>
  <w:style w:type="character" w:customStyle="1" w:styleId="BodyTextIndent3Char">
    <w:name w:val="Body Text Indent 3 Char"/>
    <w:basedOn w:val="DefaultParagraphFont"/>
    <w:link w:val="BodyTextIndent3"/>
    <w:semiHidden/>
    <w:rsid w:val="00665A9F"/>
    <w:rPr>
      <w:rFonts w:ascii="Arial" w:hAnsi="Arial" w:cs="Arial"/>
      <w:sz w:val="16"/>
      <w:szCs w:val="16"/>
    </w:rPr>
  </w:style>
  <w:style w:type="paragraph" w:styleId="Closing">
    <w:name w:val="Closing"/>
    <w:basedOn w:val="Normal"/>
    <w:link w:val="ClosingChar"/>
    <w:semiHidden/>
    <w:unhideWhenUsed/>
    <w:rsid w:val="00665A9F"/>
    <w:pPr>
      <w:ind w:left="4320"/>
    </w:pPr>
  </w:style>
  <w:style w:type="character" w:customStyle="1" w:styleId="ClosingChar">
    <w:name w:val="Closing Char"/>
    <w:basedOn w:val="DefaultParagraphFont"/>
    <w:link w:val="Closing"/>
    <w:semiHidden/>
    <w:rsid w:val="00665A9F"/>
    <w:rPr>
      <w:rFonts w:ascii="Arial" w:hAnsi="Arial" w:cs="Arial"/>
      <w:sz w:val="24"/>
      <w:szCs w:val="24"/>
    </w:rPr>
  </w:style>
  <w:style w:type="paragraph" w:styleId="Date">
    <w:name w:val="Date"/>
    <w:basedOn w:val="Normal"/>
    <w:next w:val="Normal"/>
    <w:link w:val="DateChar"/>
    <w:rsid w:val="00665A9F"/>
  </w:style>
  <w:style w:type="character" w:customStyle="1" w:styleId="DateChar">
    <w:name w:val="Date Char"/>
    <w:basedOn w:val="DefaultParagraphFont"/>
    <w:link w:val="Date"/>
    <w:rsid w:val="00665A9F"/>
    <w:rPr>
      <w:rFonts w:ascii="Arial" w:hAnsi="Arial" w:cs="Arial"/>
      <w:sz w:val="24"/>
      <w:szCs w:val="24"/>
    </w:rPr>
  </w:style>
  <w:style w:type="paragraph" w:styleId="DocumentMap">
    <w:name w:val="Document Map"/>
    <w:basedOn w:val="Normal"/>
    <w:link w:val="DocumentMapChar"/>
    <w:semiHidden/>
    <w:unhideWhenUsed/>
    <w:rsid w:val="00665A9F"/>
    <w:rPr>
      <w:rFonts w:ascii="Segoe UI" w:hAnsi="Segoe UI" w:cs="Segoe UI"/>
      <w:sz w:val="16"/>
      <w:szCs w:val="16"/>
    </w:rPr>
  </w:style>
  <w:style w:type="character" w:customStyle="1" w:styleId="DocumentMapChar">
    <w:name w:val="Document Map Char"/>
    <w:basedOn w:val="DefaultParagraphFont"/>
    <w:link w:val="DocumentMap"/>
    <w:semiHidden/>
    <w:rsid w:val="00665A9F"/>
    <w:rPr>
      <w:rFonts w:ascii="Segoe UI" w:hAnsi="Segoe UI" w:cs="Segoe UI"/>
      <w:sz w:val="16"/>
      <w:szCs w:val="16"/>
    </w:rPr>
  </w:style>
  <w:style w:type="paragraph" w:styleId="E-mailSignature">
    <w:name w:val="E-mail Signature"/>
    <w:basedOn w:val="Normal"/>
    <w:link w:val="E-mailSignatureChar"/>
    <w:semiHidden/>
    <w:unhideWhenUsed/>
    <w:rsid w:val="00665A9F"/>
  </w:style>
  <w:style w:type="character" w:customStyle="1" w:styleId="E-mailSignatureChar">
    <w:name w:val="E-mail Signature Char"/>
    <w:basedOn w:val="DefaultParagraphFont"/>
    <w:link w:val="E-mailSignature"/>
    <w:semiHidden/>
    <w:rsid w:val="00665A9F"/>
    <w:rPr>
      <w:rFonts w:ascii="Arial" w:hAnsi="Arial" w:cs="Arial"/>
      <w:sz w:val="24"/>
      <w:szCs w:val="24"/>
    </w:rPr>
  </w:style>
  <w:style w:type="paragraph" w:styleId="EndnoteText">
    <w:name w:val="endnote text"/>
    <w:basedOn w:val="Normal"/>
    <w:link w:val="EndnoteTextChar"/>
    <w:semiHidden/>
    <w:unhideWhenUsed/>
    <w:rsid w:val="00665A9F"/>
    <w:rPr>
      <w:sz w:val="20"/>
      <w:szCs w:val="20"/>
    </w:rPr>
  </w:style>
  <w:style w:type="character" w:customStyle="1" w:styleId="EndnoteTextChar">
    <w:name w:val="Endnote Text Char"/>
    <w:basedOn w:val="DefaultParagraphFont"/>
    <w:link w:val="EndnoteText"/>
    <w:semiHidden/>
    <w:rsid w:val="00665A9F"/>
    <w:rPr>
      <w:rFonts w:ascii="Arial" w:hAnsi="Arial" w:cs="Arial"/>
    </w:rPr>
  </w:style>
  <w:style w:type="paragraph" w:styleId="EnvelopeAddress">
    <w:name w:val="envelope address"/>
    <w:basedOn w:val="Normal"/>
    <w:semiHidden/>
    <w:unhideWhenUsed/>
    <w:rsid w:val="00665A9F"/>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665A9F"/>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665A9F"/>
    <w:rPr>
      <w:sz w:val="20"/>
      <w:szCs w:val="20"/>
    </w:rPr>
  </w:style>
  <w:style w:type="character" w:customStyle="1" w:styleId="FootnoteTextChar">
    <w:name w:val="Footnote Text Char"/>
    <w:basedOn w:val="DefaultParagraphFont"/>
    <w:link w:val="FootnoteText"/>
    <w:semiHidden/>
    <w:rsid w:val="00665A9F"/>
    <w:rPr>
      <w:rFonts w:ascii="Arial" w:hAnsi="Arial" w:cs="Arial"/>
    </w:rPr>
  </w:style>
  <w:style w:type="paragraph" w:styleId="HTMLAddress">
    <w:name w:val="HTML Address"/>
    <w:basedOn w:val="Normal"/>
    <w:link w:val="HTMLAddressChar"/>
    <w:semiHidden/>
    <w:unhideWhenUsed/>
    <w:rsid w:val="00665A9F"/>
    <w:rPr>
      <w:i/>
      <w:iCs/>
    </w:rPr>
  </w:style>
  <w:style w:type="character" w:customStyle="1" w:styleId="HTMLAddressChar">
    <w:name w:val="HTML Address Char"/>
    <w:basedOn w:val="DefaultParagraphFont"/>
    <w:link w:val="HTMLAddress"/>
    <w:semiHidden/>
    <w:rsid w:val="00665A9F"/>
    <w:rPr>
      <w:rFonts w:ascii="Arial" w:hAnsi="Arial" w:cs="Arial"/>
      <w:i/>
      <w:iCs/>
      <w:sz w:val="24"/>
      <w:szCs w:val="24"/>
    </w:rPr>
  </w:style>
  <w:style w:type="paragraph" w:styleId="HTMLPreformatted">
    <w:name w:val="HTML Preformatted"/>
    <w:basedOn w:val="Normal"/>
    <w:link w:val="HTMLPreformattedChar"/>
    <w:semiHidden/>
    <w:unhideWhenUsed/>
    <w:rsid w:val="00665A9F"/>
    <w:rPr>
      <w:rFonts w:ascii="Consolas" w:hAnsi="Consolas"/>
      <w:sz w:val="20"/>
      <w:szCs w:val="20"/>
    </w:rPr>
  </w:style>
  <w:style w:type="character" w:customStyle="1" w:styleId="HTMLPreformattedChar">
    <w:name w:val="HTML Preformatted Char"/>
    <w:basedOn w:val="DefaultParagraphFont"/>
    <w:link w:val="HTMLPreformatted"/>
    <w:semiHidden/>
    <w:rsid w:val="00665A9F"/>
    <w:rPr>
      <w:rFonts w:ascii="Consolas" w:hAnsi="Consolas" w:cs="Arial"/>
    </w:rPr>
  </w:style>
  <w:style w:type="paragraph" w:styleId="Index1">
    <w:name w:val="index 1"/>
    <w:basedOn w:val="Normal"/>
    <w:next w:val="Normal"/>
    <w:autoRedefine/>
    <w:semiHidden/>
    <w:unhideWhenUsed/>
    <w:rsid w:val="00665A9F"/>
    <w:pPr>
      <w:ind w:left="240" w:hanging="240"/>
    </w:pPr>
  </w:style>
  <w:style w:type="paragraph" w:styleId="Index2">
    <w:name w:val="index 2"/>
    <w:basedOn w:val="Normal"/>
    <w:next w:val="Normal"/>
    <w:autoRedefine/>
    <w:semiHidden/>
    <w:unhideWhenUsed/>
    <w:rsid w:val="00665A9F"/>
    <w:pPr>
      <w:ind w:left="480" w:hanging="240"/>
    </w:pPr>
  </w:style>
  <w:style w:type="paragraph" w:styleId="Index3">
    <w:name w:val="index 3"/>
    <w:basedOn w:val="Normal"/>
    <w:next w:val="Normal"/>
    <w:autoRedefine/>
    <w:semiHidden/>
    <w:unhideWhenUsed/>
    <w:rsid w:val="00665A9F"/>
    <w:pPr>
      <w:ind w:left="720" w:hanging="240"/>
    </w:pPr>
  </w:style>
  <w:style w:type="paragraph" w:styleId="Index4">
    <w:name w:val="index 4"/>
    <w:basedOn w:val="Normal"/>
    <w:next w:val="Normal"/>
    <w:autoRedefine/>
    <w:semiHidden/>
    <w:unhideWhenUsed/>
    <w:rsid w:val="00665A9F"/>
    <w:pPr>
      <w:ind w:left="960" w:hanging="240"/>
    </w:pPr>
  </w:style>
  <w:style w:type="paragraph" w:styleId="Index5">
    <w:name w:val="index 5"/>
    <w:basedOn w:val="Normal"/>
    <w:next w:val="Normal"/>
    <w:autoRedefine/>
    <w:semiHidden/>
    <w:unhideWhenUsed/>
    <w:rsid w:val="00665A9F"/>
    <w:pPr>
      <w:ind w:left="1200" w:hanging="240"/>
    </w:pPr>
  </w:style>
  <w:style w:type="paragraph" w:styleId="Index6">
    <w:name w:val="index 6"/>
    <w:basedOn w:val="Normal"/>
    <w:next w:val="Normal"/>
    <w:autoRedefine/>
    <w:semiHidden/>
    <w:unhideWhenUsed/>
    <w:rsid w:val="00665A9F"/>
    <w:pPr>
      <w:ind w:left="1440" w:hanging="240"/>
    </w:pPr>
  </w:style>
  <w:style w:type="paragraph" w:styleId="Index7">
    <w:name w:val="index 7"/>
    <w:basedOn w:val="Normal"/>
    <w:next w:val="Normal"/>
    <w:autoRedefine/>
    <w:semiHidden/>
    <w:unhideWhenUsed/>
    <w:rsid w:val="00665A9F"/>
    <w:pPr>
      <w:ind w:left="1680" w:hanging="240"/>
    </w:pPr>
  </w:style>
  <w:style w:type="paragraph" w:styleId="Index8">
    <w:name w:val="index 8"/>
    <w:basedOn w:val="Normal"/>
    <w:next w:val="Normal"/>
    <w:autoRedefine/>
    <w:semiHidden/>
    <w:unhideWhenUsed/>
    <w:rsid w:val="00665A9F"/>
    <w:pPr>
      <w:ind w:left="1920" w:hanging="240"/>
    </w:pPr>
  </w:style>
  <w:style w:type="paragraph" w:styleId="Index9">
    <w:name w:val="index 9"/>
    <w:basedOn w:val="Normal"/>
    <w:next w:val="Normal"/>
    <w:autoRedefine/>
    <w:semiHidden/>
    <w:unhideWhenUsed/>
    <w:rsid w:val="00665A9F"/>
    <w:pPr>
      <w:ind w:left="2160" w:hanging="240"/>
    </w:pPr>
  </w:style>
  <w:style w:type="paragraph" w:styleId="IndexHeading">
    <w:name w:val="index heading"/>
    <w:basedOn w:val="Normal"/>
    <w:next w:val="Index1"/>
    <w:semiHidden/>
    <w:unhideWhenUsed/>
    <w:rsid w:val="00665A9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65A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65A9F"/>
    <w:rPr>
      <w:rFonts w:ascii="Arial" w:hAnsi="Arial" w:cs="Arial"/>
      <w:i/>
      <w:iCs/>
      <w:color w:val="4F81BD" w:themeColor="accent1"/>
      <w:sz w:val="24"/>
      <w:szCs w:val="24"/>
    </w:rPr>
  </w:style>
  <w:style w:type="paragraph" w:styleId="List">
    <w:name w:val="List"/>
    <w:basedOn w:val="Normal"/>
    <w:semiHidden/>
    <w:unhideWhenUsed/>
    <w:rsid w:val="00665A9F"/>
    <w:pPr>
      <w:ind w:left="360" w:hanging="360"/>
      <w:contextualSpacing/>
    </w:pPr>
  </w:style>
  <w:style w:type="paragraph" w:styleId="List2">
    <w:name w:val="List 2"/>
    <w:basedOn w:val="Normal"/>
    <w:semiHidden/>
    <w:unhideWhenUsed/>
    <w:rsid w:val="00665A9F"/>
    <w:pPr>
      <w:ind w:left="720" w:hanging="360"/>
      <w:contextualSpacing/>
    </w:pPr>
  </w:style>
  <w:style w:type="paragraph" w:styleId="List3">
    <w:name w:val="List 3"/>
    <w:basedOn w:val="Normal"/>
    <w:semiHidden/>
    <w:unhideWhenUsed/>
    <w:rsid w:val="00665A9F"/>
    <w:pPr>
      <w:ind w:left="1080" w:hanging="360"/>
      <w:contextualSpacing/>
    </w:pPr>
  </w:style>
  <w:style w:type="paragraph" w:styleId="List4">
    <w:name w:val="List 4"/>
    <w:basedOn w:val="Normal"/>
    <w:rsid w:val="00665A9F"/>
    <w:pPr>
      <w:ind w:left="1440" w:hanging="360"/>
      <w:contextualSpacing/>
    </w:pPr>
  </w:style>
  <w:style w:type="paragraph" w:styleId="List5">
    <w:name w:val="List 5"/>
    <w:basedOn w:val="Normal"/>
    <w:rsid w:val="00665A9F"/>
    <w:pPr>
      <w:ind w:left="1800" w:hanging="360"/>
      <w:contextualSpacing/>
    </w:pPr>
  </w:style>
  <w:style w:type="paragraph" w:styleId="ListBullet">
    <w:name w:val="List Bullet"/>
    <w:basedOn w:val="Normal"/>
    <w:semiHidden/>
    <w:unhideWhenUsed/>
    <w:rsid w:val="00665A9F"/>
    <w:pPr>
      <w:numPr>
        <w:numId w:val="1"/>
      </w:numPr>
      <w:contextualSpacing/>
    </w:pPr>
  </w:style>
  <w:style w:type="paragraph" w:styleId="ListBullet2">
    <w:name w:val="List Bullet 2"/>
    <w:basedOn w:val="Normal"/>
    <w:semiHidden/>
    <w:unhideWhenUsed/>
    <w:rsid w:val="00665A9F"/>
    <w:pPr>
      <w:numPr>
        <w:numId w:val="2"/>
      </w:numPr>
      <w:contextualSpacing/>
    </w:pPr>
  </w:style>
  <w:style w:type="paragraph" w:styleId="ListBullet3">
    <w:name w:val="List Bullet 3"/>
    <w:basedOn w:val="Normal"/>
    <w:semiHidden/>
    <w:unhideWhenUsed/>
    <w:rsid w:val="00665A9F"/>
    <w:pPr>
      <w:numPr>
        <w:numId w:val="3"/>
      </w:numPr>
      <w:contextualSpacing/>
    </w:pPr>
  </w:style>
  <w:style w:type="paragraph" w:styleId="ListBullet4">
    <w:name w:val="List Bullet 4"/>
    <w:basedOn w:val="Normal"/>
    <w:semiHidden/>
    <w:unhideWhenUsed/>
    <w:rsid w:val="00665A9F"/>
    <w:pPr>
      <w:numPr>
        <w:numId w:val="4"/>
      </w:numPr>
      <w:contextualSpacing/>
    </w:pPr>
  </w:style>
  <w:style w:type="paragraph" w:styleId="ListBullet5">
    <w:name w:val="List Bullet 5"/>
    <w:basedOn w:val="Normal"/>
    <w:semiHidden/>
    <w:unhideWhenUsed/>
    <w:rsid w:val="00665A9F"/>
    <w:pPr>
      <w:numPr>
        <w:numId w:val="5"/>
      </w:numPr>
      <w:contextualSpacing/>
    </w:pPr>
  </w:style>
  <w:style w:type="paragraph" w:styleId="ListContinue">
    <w:name w:val="List Continue"/>
    <w:basedOn w:val="Normal"/>
    <w:semiHidden/>
    <w:unhideWhenUsed/>
    <w:rsid w:val="00665A9F"/>
    <w:pPr>
      <w:spacing w:after="120"/>
      <w:ind w:left="360"/>
      <w:contextualSpacing/>
    </w:pPr>
  </w:style>
  <w:style w:type="paragraph" w:styleId="ListContinue2">
    <w:name w:val="List Continue 2"/>
    <w:basedOn w:val="Normal"/>
    <w:semiHidden/>
    <w:unhideWhenUsed/>
    <w:rsid w:val="00665A9F"/>
    <w:pPr>
      <w:spacing w:after="120"/>
      <w:ind w:left="720"/>
      <w:contextualSpacing/>
    </w:pPr>
  </w:style>
  <w:style w:type="paragraph" w:styleId="ListContinue3">
    <w:name w:val="List Continue 3"/>
    <w:basedOn w:val="Normal"/>
    <w:semiHidden/>
    <w:unhideWhenUsed/>
    <w:rsid w:val="00665A9F"/>
    <w:pPr>
      <w:spacing w:after="120"/>
      <w:ind w:left="1080"/>
      <w:contextualSpacing/>
    </w:pPr>
  </w:style>
  <w:style w:type="paragraph" w:styleId="ListContinue4">
    <w:name w:val="List Continue 4"/>
    <w:basedOn w:val="Normal"/>
    <w:semiHidden/>
    <w:unhideWhenUsed/>
    <w:rsid w:val="00665A9F"/>
    <w:pPr>
      <w:spacing w:after="120"/>
      <w:ind w:left="1440"/>
      <w:contextualSpacing/>
    </w:pPr>
  </w:style>
  <w:style w:type="paragraph" w:styleId="ListContinue5">
    <w:name w:val="List Continue 5"/>
    <w:basedOn w:val="Normal"/>
    <w:semiHidden/>
    <w:unhideWhenUsed/>
    <w:rsid w:val="00665A9F"/>
    <w:pPr>
      <w:spacing w:after="120"/>
      <w:ind w:left="1800"/>
      <w:contextualSpacing/>
    </w:pPr>
  </w:style>
  <w:style w:type="paragraph" w:styleId="ListNumber">
    <w:name w:val="List Number"/>
    <w:basedOn w:val="Normal"/>
    <w:rsid w:val="00665A9F"/>
    <w:pPr>
      <w:numPr>
        <w:numId w:val="6"/>
      </w:numPr>
      <w:contextualSpacing/>
    </w:pPr>
  </w:style>
  <w:style w:type="paragraph" w:styleId="ListNumber2">
    <w:name w:val="List Number 2"/>
    <w:basedOn w:val="Normal"/>
    <w:semiHidden/>
    <w:unhideWhenUsed/>
    <w:rsid w:val="00665A9F"/>
    <w:pPr>
      <w:numPr>
        <w:numId w:val="7"/>
      </w:numPr>
      <w:contextualSpacing/>
    </w:pPr>
  </w:style>
  <w:style w:type="paragraph" w:styleId="ListNumber3">
    <w:name w:val="List Number 3"/>
    <w:basedOn w:val="Normal"/>
    <w:semiHidden/>
    <w:unhideWhenUsed/>
    <w:rsid w:val="00665A9F"/>
    <w:pPr>
      <w:numPr>
        <w:numId w:val="8"/>
      </w:numPr>
      <w:contextualSpacing/>
    </w:pPr>
  </w:style>
  <w:style w:type="paragraph" w:styleId="ListNumber4">
    <w:name w:val="List Number 4"/>
    <w:basedOn w:val="Normal"/>
    <w:semiHidden/>
    <w:unhideWhenUsed/>
    <w:rsid w:val="00665A9F"/>
    <w:pPr>
      <w:numPr>
        <w:numId w:val="9"/>
      </w:numPr>
      <w:contextualSpacing/>
    </w:pPr>
  </w:style>
  <w:style w:type="paragraph" w:styleId="ListNumber5">
    <w:name w:val="List Number 5"/>
    <w:basedOn w:val="Normal"/>
    <w:semiHidden/>
    <w:unhideWhenUsed/>
    <w:rsid w:val="00665A9F"/>
    <w:pPr>
      <w:numPr>
        <w:numId w:val="10"/>
      </w:numPr>
      <w:contextualSpacing/>
    </w:pPr>
  </w:style>
  <w:style w:type="paragraph" w:styleId="MacroText">
    <w:name w:val="macro"/>
    <w:link w:val="MacroTextChar"/>
    <w:semiHidden/>
    <w:unhideWhenUsed/>
    <w:rsid w:val="00665A9F"/>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rPr>
  </w:style>
  <w:style w:type="character" w:customStyle="1" w:styleId="MacroTextChar">
    <w:name w:val="Macro Text Char"/>
    <w:basedOn w:val="DefaultParagraphFont"/>
    <w:link w:val="MacroText"/>
    <w:semiHidden/>
    <w:rsid w:val="00665A9F"/>
    <w:rPr>
      <w:rFonts w:ascii="Consolas" w:hAnsi="Consolas" w:cs="Arial"/>
    </w:rPr>
  </w:style>
  <w:style w:type="paragraph" w:styleId="MessageHeader">
    <w:name w:val="Message Header"/>
    <w:basedOn w:val="Normal"/>
    <w:link w:val="MessageHeaderChar"/>
    <w:semiHidden/>
    <w:unhideWhenUsed/>
    <w:rsid w:val="00665A9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665A9F"/>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665A9F"/>
    <w:rPr>
      <w:rFonts w:ascii="Times New Roman" w:hAnsi="Times New Roman" w:cs="Times New Roman"/>
    </w:rPr>
  </w:style>
  <w:style w:type="paragraph" w:styleId="NormalIndent">
    <w:name w:val="Normal Indent"/>
    <w:basedOn w:val="Normal"/>
    <w:semiHidden/>
    <w:unhideWhenUsed/>
    <w:rsid w:val="00665A9F"/>
    <w:pPr>
      <w:ind w:left="720"/>
    </w:pPr>
  </w:style>
  <w:style w:type="paragraph" w:styleId="NoteHeading">
    <w:name w:val="Note Heading"/>
    <w:basedOn w:val="Normal"/>
    <w:next w:val="Normal"/>
    <w:link w:val="NoteHeadingChar"/>
    <w:semiHidden/>
    <w:unhideWhenUsed/>
    <w:rsid w:val="00665A9F"/>
  </w:style>
  <w:style w:type="character" w:customStyle="1" w:styleId="NoteHeadingChar">
    <w:name w:val="Note Heading Char"/>
    <w:basedOn w:val="DefaultParagraphFont"/>
    <w:link w:val="NoteHeading"/>
    <w:semiHidden/>
    <w:rsid w:val="00665A9F"/>
    <w:rPr>
      <w:rFonts w:ascii="Arial" w:hAnsi="Arial" w:cs="Arial"/>
      <w:sz w:val="24"/>
      <w:szCs w:val="24"/>
    </w:rPr>
  </w:style>
  <w:style w:type="paragraph" w:styleId="PlainText">
    <w:name w:val="Plain Text"/>
    <w:basedOn w:val="Normal"/>
    <w:link w:val="PlainTextChar"/>
    <w:semiHidden/>
    <w:unhideWhenUsed/>
    <w:rsid w:val="00665A9F"/>
    <w:rPr>
      <w:rFonts w:ascii="Consolas" w:hAnsi="Consolas"/>
      <w:sz w:val="21"/>
      <w:szCs w:val="21"/>
    </w:rPr>
  </w:style>
  <w:style w:type="character" w:customStyle="1" w:styleId="PlainTextChar">
    <w:name w:val="Plain Text Char"/>
    <w:basedOn w:val="DefaultParagraphFont"/>
    <w:link w:val="PlainText"/>
    <w:semiHidden/>
    <w:rsid w:val="00665A9F"/>
    <w:rPr>
      <w:rFonts w:ascii="Consolas" w:hAnsi="Consolas" w:cs="Arial"/>
      <w:sz w:val="21"/>
      <w:szCs w:val="21"/>
    </w:rPr>
  </w:style>
  <w:style w:type="paragraph" w:styleId="Quote">
    <w:name w:val="Quote"/>
    <w:basedOn w:val="Normal"/>
    <w:next w:val="Normal"/>
    <w:link w:val="QuoteChar"/>
    <w:uiPriority w:val="29"/>
    <w:qFormat/>
    <w:rsid w:val="00665A9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65A9F"/>
    <w:rPr>
      <w:rFonts w:ascii="Arial" w:hAnsi="Arial" w:cs="Arial"/>
      <w:i/>
      <w:iCs/>
      <w:color w:val="404040" w:themeColor="text1" w:themeTint="BF"/>
      <w:sz w:val="24"/>
      <w:szCs w:val="24"/>
    </w:rPr>
  </w:style>
  <w:style w:type="paragraph" w:styleId="Salutation">
    <w:name w:val="Salutation"/>
    <w:basedOn w:val="Normal"/>
    <w:next w:val="Normal"/>
    <w:link w:val="SalutationChar"/>
    <w:rsid w:val="00665A9F"/>
  </w:style>
  <w:style w:type="character" w:customStyle="1" w:styleId="SalutationChar">
    <w:name w:val="Salutation Char"/>
    <w:basedOn w:val="DefaultParagraphFont"/>
    <w:link w:val="Salutation"/>
    <w:rsid w:val="00665A9F"/>
    <w:rPr>
      <w:rFonts w:ascii="Arial" w:hAnsi="Arial" w:cs="Arial"/>
      <w:sz w:val="24"/>
      <w:szCs w:val="24"/>
    </w:rPr>
  </w:style>
  <w:style w:type="paragraph" w:styleId="Signature">
    <w:name w:val="Signature"/>
    <w:basedOn w:val="Normal"/>
    <w:link w:val="SignatureChar"/>
    <w:semiHidden/>
    <w:unhideWhenUsed/>
    <w:rsid w:val="00665A9F"/>
    <w:pPr>
      <w:ind w:left="4320"/>
    </w:pPr>
  </w:style>
  <w:style w:type="character" w:customStyle="1" w:styleId="SignatureChar">
    <w:name w:val="Signature Char"/>
    <w:basedOn w:val="DefaultParagraphFont"/>
    <w:link w:val="Signature"/>
    <w:semiHidden/>
    <w:rsid w:val="00665A9F"/>
    <w:rPr>
      <w:rFonts w:ascii="Arial" w:hAnsi="Arial" w:cs="Arial"/>
      <w:sz w:val="24"/>
      <w:szCs w:val="24"/>
    </w:rPr>
  </w:style>
  <w:style w:type="paragraph" w:styleId="TableofAuthorities">
    <w:name w:val="table of authorities"/>
    <w:basedOn w:val="Normal"/>
    <w:next w:val="Normal"/>
    <w:semiHidden/>
    <w:unhideWhenUsed/>
    <w:rsid w:val="00665A9F"/>
    <w:pPr>
      <w:ind w:left="240" w:hanging="240"/>
    </w:pPr>
  </w:style>
  <w:style w:type="paragraph" w:styleId="TOAHeading">
    <w:name w:val="toa heading"/>
    <w:basedOn w:val="Normal"/>
    <w:next w:val="Normal"/>
    <w:semiHidden/>
    <w:unhideWhenUsed/>
    <w:rsid w:val="00665A9F"/>
    <w:pPr>
      <w:spacing w:before="120"/>
    </w:pPr>
    <w:rPr>
      <w:rFonts w:asciiTheme="majorHAnsi" w:eastAsiaTheme="majorEastAsia" w:hAnsiTheme="majorHAnsi" w:cstheme="majorBidi"/>
      <w:b/>
      <w:bCs/>
    </w:rPr>
  </w:style>
  <w:style w:type="paragraph" w:customStyle="1" w:styleId="Heading-Secondary">
    <w:name w:val="Heading-Secondary"/>
    <w:basedOn w:val="Normal"/>
    <w:qFormat/>
    <w:rsid w:val="004F307D"/>
    <w:pPr>
      <w:keepNext/>
      <w:spacing w:before="240" w:after="120" w:line="360" w:lineRule="auto"/>
      <w:ind w:left="720"/>
      <w:outlineLvl w:val="0"/>
    </w:pPr>
    <w:rPr>
      <w:rFonts w:ascii="Times New Roman" w:hAnsi="Times New Roman" w:cs="Times New Roman"/>
      <w:b/>
      <w:bCs/>
      <w:kern w:val="28"/>
      <w:sz w:val="28"/>
    </w:rPr>
  </w:style>
  <w:style w:type="character" w:styleId="Strong">
    <w:name w:val="Strong"/>
    <w:basedOn w:val="DefaultParagraphFont"/>
    <w:uiPriority w:val="22"/>
    <w:qFormat/>
    <w:rsid w:val="00405F30"/>
    <w:rPr>
      <w:b/>
      <w:bCs/>
    </w:rPr>
  </w:style>
  <w:style w:type="paragraph" w:customStyle="1" w:styleId="Affiliation">
    <w:name w:val="Affiliation"/>
    <w:basedOn w:val="Normal"/>
    <w:qFormat/>
    <w:rsid w:val="0012183A"/>
    <w:pPr>
      <w:spacing w:before="120" w:after="240" w:line="360" w:lineRule="auto"/>
    </w:pPr>
    <w:rPr>
      <w:rFonts w:ascii="Times New Roman" w:hAnsi="Times New Roman" w:cs="Times New Roman"/>
    </w:rPr>
  </w:style>
  <w:style w:type="paragraph" w:customStyle="1" w:styleId="Heading-Main">
    <w:name w:val="Heading-Main"/>
    <w:basedOn w:val="Normal"/>
    <w:rsid w:val="0009520B"/>
    <w:pPr>
      <w:keepNext/>
      <w:spacing w:before="240" w:after="120" w:line="360" w:lineRule="auto"/>
      <w:outlineLvl w:val="0"/>
    </w:pPr>
    <w:rPr>
      <w:rFonts w:ascii="Times New Roman" w:hAnsi="Times New Roman" w:cs="Times New Roman"/>
      <w:b/>
      <w:bCs/>
      <w:kern w:val="28"/>
    </w:rPr>
  </w:style>
  <w:style w:type="paragraph" w:customStyle="1" w:styleId="Style1">
    <w:name w:val="Style1"/>
    <w:basedOn w:val="Heading3"/>
    <w:qFormat/>
    <w:rsid w:val="008B28E4"/>
    <w:rPr>
      <w:b w:val="0"/>
      <w:iCs/>
      <w:bdr w:val="none" w:sz="0" w:space="0" w:color="auto" w:frame="1"/>
    </w:rPr>
  </w:style>
  <w:style w:type="paragraph" w:customStyle="1" w:styleId="Abstract">
    <w:name w:val="Abstract"/>
    <w:basedOn w:val="Normal"/>
    <w:qFormat/>
    <w:rsid w:val="00B15994"/>
    <w:pPr>
      <w:spacing w:before="120" w:after="240" w:line="36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660">
      <w:bodyDiv w:val="1"/>
      <w:marLeft w:val="0"/>
      <w:marRight w:val="0"/>
      <w:marTop w:val="0"/>
      <w:marBottom w:val="0"/>
      <w:divBdr>
        <w:top w:val="none" w:sz="0" w:space="0" w:color="auto"/>
        <w:left w:val="none" w:sz="0" w:space="0" w:color="auto"/>
        <w:bottom w:val="none" w:sz="0" w:space="0" w:color="auto"/>
        <w:right w:val="none" w:sz="0" w:space="0" w:color="auto"/>
      </w:divBdr>
    </w:div>
    <w:div w:id="8410473">
      <w:bodyDiv w:val="1"/>
      <w:marLeft w:val="0"/>
      <w:marRight w:val="0"/>
      <w:marTop w:val="0"/>
      <w:marBottom w:val="0"/>
      <w:divBdr>
        <w:top w:val="none" w:sz="0" w:space="0" w:color="auto"/>
        <w:left w:val="none" w:sz="0" w:space="0" w:color="auto"/>
        <w:bottom w:val="none" w:sz="0" w:space="0" w:color="auto"/>
        <w:right w:val="none" w:sz="0" w:space="0" w:color="auto"/>
      </w:divBdr>
    </w:div>
    <w:div w:id="28843636">
      <w:bodyDiv w:val="1"/>
      <w:marLeft w:val="0"/>
      <w:marRight w:val="0"/>
      <w:marTop w:val="0"/>
      <w:marBottom w:val="0"/>
      <w:divBdr>
        <w:top w:val="none" w:sz="0" w:space="0" w:color="auto"/>
        <w:left w:val="none" w:sz="0" w:space="0" w:color="auto"/>
        <w:bottom w:val="none" w:sz="0" w:space="0" w:color="auto"/>
        <w:right w:val="none" w:sz="0" w:space="0" w:color="auto"/>
      </w:divBdr>
    </w:div>
    <w:div w:id="29888608">
      <w:bodyDiv w:val="1"/>
      <w:marLeft w:val="0"/>
      <w:marRight w:val="0"/>
      <w:marTop w:val="0"/>
      <w:marBottom w:val="0"/>
      <w:divBdr>
        <w:top w:val="none" w:sz="0" w:space="0" w:color="auto"/>
        <w:left w:val="none" w:sz="0" w:space="0" w:color="auto"/>
        <w:bottom w:val="none" w:sz="0" w:space="0" w:color="auto"/>
        <w:right w:val="none" w:sz="0" w:space="0" w:color="auto"/>
      </w:divBdr>
    </w:div>
    <w:div w:id="58751532">
      <w:bodyDiv w:val="1"/>
      <w:marLeft w:val="0"/>
      <w:marRight w:val="0"/>
      <w:marTop w:val="0"/>
      <w:marBottom w:val="0"/>
      <w:divBdr>
        <w:top w:val="none" w:sz="0" w:space="0" w:color="auto"/>
        <w:left w:val="none" w:sz="0" w:space="0" w:color="auto"/>
        <w:bottom w:val="none" w:sz="0" w:space="0" w:color="auto"/>
        <w:right w:val="none" w:sz="0" w:space="0" w:color="auto"/>
      </w:divBdr>
      <w:divsChild>
        <w:div w:id="616061260">
          <w:marLeft w:val="0"/>
          <w:marRight w:val="0"/>
          <w:marTop w:val="0"/>
          <w:marBottom w:val="0"/>
          <w:divBdr>
            <w:top w:val="none" w:sz="0" w:space="0" w:color="auto"/>
            <w:left w:val="none" w:sz="0" w:space="0" w:color="auto"/>
            <w:bottom w:val="none" w:sz="0" w:space="0" w:color="auto"/>
            <w:right w:val="none" w:sz="0" w:space="0" w:color="auto"/>
          </w:divBdr>
          <w:divsChild>
            <w:div w:id="1443911984">
              <w:marLeft w:val="0"/>
              <w:marRight w:val="0"/>
              <w:marTop w:val="0"/>
              <w:marBottom w:val="0"/>
              <w:divBdr>
                <w:top w:val="none" w:sz="0" w:space="0" w:color="auto"/>
                <w:left w:val="none" w:sz="0" w:space="0" w:color="auto"/>
                <w:bottom w:val="none" w:sz="0" w:space="0" w:color="auto"/>
                <w:right w:val="none" w:sz="0" w:space="0" w:color="auto"/>
              </w:divBdr>
              <w:divsChild>
                <w:div w:id="20122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6746">
      <w:bodyDiv w:val="1"/>
      <w:marLeft w:val="0"/>
      <w:marRight w:val="0"/>
      <w:marTop w:val="0"/>
      <w:marBottom w:val="0"/>
      <w:divBdr>
        <w:top w:val="none" w:sz="0" w:space="0" w:color="auto"/>
        <w:left w:val="none" w:sz="0" w:space="0" w:color="auto"/>
        <w:bottom w:val="none" w:sz="0" w:space="0" w:color="auto"/>
        <w:right w:val="none" w:sz="0" w:space="0" w:color="auto"/>
      </w:divBdr>
    </w:div>
    <w:div w:id="101458217">
      <w:bodyDiv w:val="1"/>
      <w:marLeft w:val="0"/>
      <w:marRight w:val="0"/>
      <w:marTop w:val="0"/>
      <w:marBottom w:val="0"/>
      <w:divBdr>
        <w:top w:val="none" w:sz="0" w:space="0" w:color="auto"/>
        <w:left w:val="none" w:sz="0" w:space="0" w:color="auto"/>
        <w:bottom w:val="none" w:sz="0" w:space="0" w:color="auto"/>
        <w:right w:val="none" w:sz="0" w:space="0" w:color="auto"/>
      </w:divBdr>
    </w:div>
    <w:div w:id="115830122">
      <w:bodyDiv w:val="1"/>
      <w:marLeft w:val="0"/>
      <w:marRight w:val="0"/>
      <w:marTop w:val="0"/>
      <w:marBottom w:val="0"/>
      <w:divBdr>
        <w:top w:val="none" w:sz="0" w:space="0" w:color="auto"/>
        <w:left w:val="none" w:sz="0" w:space="0" w:color="auto"/>
        <w:bottom w:val="none" w:sz="0" w:space="0" w:color="auto"/>
        <w:right w:val="none" w:sz="0" w:space="0" w:color="auto"/>
      </w:divBdr>
    </w:div>
    <w:div w:id="151409255">
      <w:bodyDiv w:val="1"/>
      <w:marLeft w:val="0"/>
      <w:marRight w:val="0"/>
      <w:marTop w:val="0"/>
      <w:marBottom w:val="0"/>
      <w:divBdr>
        <w:top w:val="none" w:sz="0" w:space="0" w:color="auto"/>
        <w:left w:val="none" w:sz="0" w:space="0" w:color="auto"/>
        <w:bottom w:val="none" w:sz="0" w:space="0" w:color="auto"/>
        <w:right w:val="none" w:sz="0" w:space="0" w:color="auto"/>
      </w:divBdr>
    </w:div>
    <w:div w:id="289867334">
      <w:bodyDiv w:val="1"/>
      <w:marLeft w:val="0"/>
      <w:marRight w:val="0"/>
      <w:marTop w:val="0"/>
      <w:marBottom w:val="0"/>
      <w:divBdr>
        <w:top w:val="none" w:sz="0" w:space="0" w:color="auto"/>
        <w:left w:val="none" w:sz="0" w:space="0" w:color="auto"/>
        <w:bottom w:val="none" w:sz="0" w:space="0" w:color="auto"/>
        <w:right w:val="none" w:sz="0" w:space="0" w:color="auto"/>
      </w:divBdr>
    </w:div>
    <w:div w:id="346560783">
      <w:bodyDiv w:val="1"/>
      <w:marLeft w:val="0"/>
      <w:marRight w:val="0"/>
      <w:marTop w:val="0"/>
      <w:marBottom w:val="0"/>
      <w:divBdr>
        <w:top w:val="none" w:sz="0" w:space="0" w:color="auto"/>
        <w:left w:val="none" w:sz="0" w:space="0" w:color="auto"/>
        <w:bottom w:val="none" w:sz="0" w:space="0" w:color="auto"/>
        <w:right w:val="none" w:sz="0" w:space="0" w:color="auto"/>
      </w:divBdr>
    </w:div>
    <w:div w:id="352339712">
      <w:bodyDiv w:val="1"/>
      <w:marLeft w:val="0"/>
      <w:marRight w:val="0"/>
      <w:marTop w:val="0"/>
      <w:marBottom w:val="0"/>
      <w:divBdr>
        <w:top w:val="none" w:sz="0" w:space="0" w:color="auto"/>
        <w:left w:val="none" w:sz="0" w:space="0" w:color="auto"/>
        <w:bottom w:val="none" w:sz="0" w:space="0" w:color="auto"/>
        <w:right w:val="none" w:sz="0" w:space="0" w:color="auto"/>
      </w:divBdr>
    </w:div>
    <w:div w:id="391588018">
      <w:bodyDiv w:val="1"/>
      <w:marLeft w:val="0"/>
      <w:marRight w:val="0"/>
      <w:marTop w:val="0"/>
      <w:marBottom w:val="0"/>
      <w:divBdr>
        <w:top w:val="none" w:sz="0" w:space="0" w:color="auto"/>
        <w:left w:val="none" w:sz="0" w:space="0" w:color="auto"/>
        <w:bottom w:val="none" w:sz="0" w:space="0" w:color="auto"/>
        <w:right w:val="none" w:sz="0" w:space="0" w:color="auto"/>
      </w:divBdr>
    </w:div>
    <w:div w:id="408891409">
      <w:bodyDiv w:val="1"/>
      <w:marLeft w:val="0"/>
      <w:marRight w:val="0"/>
      <w:marTop w:val="0"/>
      <w:marBottom w:val="0"/>
      <w:divBdr>
        <w:top w:val="none" w:sz="0" w:space="0" w:color="auto"/>
        <w:left w:val="none" w:sz="0" w:space="0" w:color="auto"/>
        <w:bottom w:val="none" w:sz="0" w:space="0" w:color="auto"/>
        <w:right w:val="none" w:sz="0" w:space="0" w:color="auto"/>
      </w:divBdr>
    </w:div>
    <w:div w:id="416095450">
      <w:bodyDiv w:val="1"/>
      <w:marLeft w:val="0"/>
      <w:marRight w:val="0"/>
      <w:marTop w:val="0"/>
      <w:marBottom w:val="0"/>
      <w:divBdr>
        <w:top w:val="none" w:sz="0" w:space="0" w:color="auto"/>
        <w:left w:val="none" w:sz="0" w:space="0" w:color="auto"/>
        <w:bottom w:val="none" w:sz="0" w:space="0" w:color="auto"/>
        <w:right w:val="none" w:sz="0" w:space="0" w:color="auto"/>
      </w:divBdr>
    </w:div>
    <w:div w:id="533613059">
      <w:bodyDiv w:val="1"/>
      <w:marLeft w:val="0"/>
      <w:marRight w:val="0"/>
      <w:marTop w:val="0"/>
      <w:marBottom w:val="0"/>
      <w:divBdr>
        <w:top w:val="none" w:sz="0" w:space="0" w:color="auto"/>
        <w:left w:val="none" w:sz="0" w:space="0" w:color="auto"/>
        <w:bottom w:val="none" w:sz="0" w:space="0" w:color="auto"/>
        <w:right w:val="none" w:sz="0" w:space="0" w:color="auto"/>
      </w:divBdr>
    </w:div>
    <w:div w:id="560753876">
      <w:bodyDiv w:val="1"/>
      <w:marLeft w:val="0"/>
      <w:marRight w:val="0"/>
      <w:marTop w:val="0"/>
      <w:marBottom w:val="0"/>
      <w:divBdr>
        <w:top w:val="none" w:sz="0" w:space="0" w:color="auto"/>
        <w:left w:val="none" w:sz="0" w:space="0" w:color="auto"/>
        <w:bottom w:val="none" w:sz="0" w:space="0" w:color="auto"/>
        <w:right w:val="none" w:sz="0" w:space="0" w:color="auto"/>
      </w:divBdr>
    </w:div>
    <w:div w:id="567611956">
      <w:bodyDiv w:val="1"/>
      <w:marLeft w:val="0"/>
      <w:marRight w:val="0"/>
      <w:marTop w:val="0"/>
      <w:marBottom w:val="0"/>
      <w:divBdr>
        <w:top w:val="none" w:sz="0" w:space="0" w:color="auto"/>
        <w:left w:val="none" w:sz="0" w:space="0" w:color="auto"/>
        <w:bottom w:val="none" w:sz="0" w:space="0" w:color="auto"/>
        <w:right w:val="none" w:sz="0" w:space="0" w:color="auto"/>
      </w:divBdr>
    </w:div>
    <w:div w:id="575936981">
      <w:bodyDiv w:val="1"/>
      <w:marLeft w:val="0"/>
      <w:marRight w:val="0"/>
      <w:marTop w:val="0"/>
      <w:marBottom w:val="0"/>
      <w:divBdr>
        <w:top w:val="none" w:sz="0" w:space="0" w:color="auto"/>
        <w:left w:val="none" w:sz="0" w:space="0" w:color="auto"/>
        <w:bottom w:val="none" w:sz="0" w:space="0" w:color="auto"/>
        <w:right w:val="none" w:sz="0" w:space="0" w:color="auto"/>
      </w:divBdr>
    </w:div>
    <w:div w:id="586115240">
      <w:bodyDiv w:val="1"/>
      <w:marLeft w:val="0"/>
      <w:marRight w:val="0"/>
      <w:marTop w:val="0"/>
      <w:marBottom w:val="0"/>
      <w:divBdr>
        <w:top w:val="none" w:sz="0" w:space="0" w:color="auto"/>
        <w:left w:val="none" w:sz="0" w:space="0" w:color="auto"/>
        <w:bottom w:val="none" w:sz="0" w:space="0" w:color="auto"/>
        <w:right w:val="none" w:sz="0" w:space="0" w:color="auto"/>
      </w:divBdr>
    </w:div>
    <w:div w:id="620454243">
      <w:bodyDiv w:val="1"/>
      <w:marLeft w:val="0"/>
      <w:marRight w:val="0"/>
      <w:marTop w:val="0"/>
      <w:marBottom w:val="0"/>
      <w:divBdr>
        <w:top w:val="none" w:sz="0" w:space="0" w:color="auto"/>
        <w:left w:val="none" w:sz="0" w:space="0" w:color="auto"/>
        <w:bottom w:val="none" w:sz="0" w:space="0" w:color="auto"/>
        <w:right w:val="none" w:sz="0" w:space="0" w:color="auto"/>
      </w:divBdr>
    </w:div>
    <w:div w:id="626740559">
      <w:bodyDiv w:val="1"/>
      <w:marLeft w:val="0"/>
      <w:marRight w:val="0"/>
      <w:marTop w:val="0"/>
      <w:marBottom w:val="0"/>
      <w:divBdr>
        <w:top w:val="none" w:sz="0" w:space="0" w:color="auto"/>
        <w:left w:val="none" w:sz="0" w:space="0" w:color="auto"/>
        <w:bottom w:val="none" w:sz="0" w:space="0" w:color="auto"/>
        <w:right w:val="none" w:sz="0" w:space="0" w:color="auto"/>
      </w:divBdr>
    </w:div>
    <w:div w:id="630132744">
      <w:bodyDiv w:val="1"/>
      <w:marLeft w:val="0"/>
      <w:marRight w:val="0"/>
      <w:marTop w:val="0"/>
      <w:marBottom w:val="0"/>
      <w:divBdr>
        <w:top w:val="none" w:sz="0" w:space="0" w:color="auto"/>
        <w:left w:val="none" w:sz="0" w:space="0" w:color="auto"/>
        <w:bottom w:val="none" w:sz="0" w:space="0" w:color="auto"/>
        <w:right w:val="none" w:sz="0" w:space="0" w:color="auto"/>
      </w:divBdr>
    </w:div>
    <w:div w:id="631833561">
      <w:bodyDiv w:val="1"/>
      <w:marLeft w:val="0"/>
      <w:marRight w:val="0"/>
      <w:marTop w:val="0"/>
      <w:marBottom w:val="0"/>
      <w:divBdr>
        <w:top w:val="none" w:sz="0" w:space="0" w:color="auto"/>
        <w:left w:val="none" w:sz="0" w:space="0" w:color="auto"/>
        <w:bottom w:val="none" w:sz="0" w:space="0" w:color="auto"/>
        <w:right w:val="none" w:sz="0" w:space="0" w:color="auto"/>
      </w:divBdr>
    </w:div>
    <w:div w:id="63938480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0622909">
      <w:bodyDiv w:val="1"/>
      <w:marLeft w:val="0"/>
      <w:marRight w:val="0"/>
      <w:marTop w:val="0"/>
      <w:marBottom w:val="0"/>
      <w:divBdr>
        <w:top w:val="none" w:sz="0" w:space="0" w:color="auto"/>
        <w:left w:val="none" w:sz="0" w:space="0" w:color="auto"/>
        <w:bottom w:val="none" w:sz="0" w:space="0" w:color="auto"/>
        <w:right w:val="none" w:sz="0" w:space="0" w:color="auto"/>
      </w:divBdr>
    </w:div>
    <w:div w:id="706873812">
      <w:bodyDiv w:val="1"/>
      <w:marLeft w:val="0"/>
      <w:marRight w:val="0"/>
      <w:marTop w:val="0"/>
      <w:marBottom w:val="0"/>
      <w:divBdr>
        <w:top w:val="none" w:sz="0" w:space="0" w:color="auto"/>
        <w:left w:val="none" w:sz="0" w:space="0" w:color="auto"/>
        <w:bottom w:val="none" w:sz="0" w:space="0" w:color="auto"/>
        <w:right w:val="none" w:sz="0" w:space="0" w:color="auto"/>
      </w:divBdr>
    </w:div>
    <w:div w:id="810296004">
      <w:bodyDiv w:val="1"/>
      <w:marLeft w:val="0"/>
      <w:marRight w:val="0"/>
      <w:marTop w:val="0"/>
      <w:marBottom w:val="0"/>
      <w:divBdr>
        <w:top w:val="none" w:sz="0" w:space="0" w:color="auto"/>
        <w:left w:val="none" w:sz="0" w:space="0" w:color="auto"/>
        <w:bottom w:val="none" w:sz="0" w:space="0" w:color="auto"/>
        <w:right w:val="none" w:sz="0" w:space="0" w:color="auto"/>
      </w:divBdr>
    </w:div>
    <w:div w:id="821505677">
      <w:bodyDiv w:val="1"/>
      <w:marLeft w:val="0"/>
      <w:marRight w:val="0"/>
      <w:marTop w:val="0"/>
      <w:marBottom w:val="0"/>
      <w:divBdr>
        <w:top w:val="none" w:sz="0" w:space="0" w:color="auto"/>
        <w:left w:val="none" w:sz="0" w:space="0" w:color="auto"/>
        <w:bottom w:val="none" w:sz="0" w:space="0" w:color="auto"/>
        <w:right w:val="none" w:sz="0" w:space="0" w:color="auto"/>
      </w:divBdr>
    </w:div>
    <w:div w:id="826820005">
      <w:bodyDiv w:val="1"/>
      <w:marLeft w:val="0"/>
      <w:marRight w:val="0"/>
      <w:marTop w:val="0"/>
      <w:marBottom w:val="0"/>
      <w:divBdr>
        <w:top w:val="none" w:sz="0" w:space="0" w:color="auto"/>
        <w:left w:val="none" w:sz="0" w:space="0" w:color="auto"/>
        <w:bottom w:val="none" w:sz="0" w:space="0" w:color="auto"/>
        <w:right w:val="none" w:sz="0" w:space="0" w:color="auto"/>
      </w:divBdr>
    </w:div>
    <w:div w:id="834958478">
      <w:bodyDiv w:val="1"/>
      <w:marLeft w:val="0"/>
      <w:marRight w:val="0"/>
      <w:marTop w:val="0"/>
      <w:marBottom w:val="0"/>
      <w:divBdr>
        <w:top w:val="none" w:sz="0" w:space="0" w:color="auto"/>
        <w:left w:val="none" w:sz="0" w:space="0" w:color="auto"/>
        <w:bottom w:val="none" w:sz="0" w:space="0" w:color="auto"/>
        <w:right w:val="none" w:sz="0" w:space="0" w:color="auto"/>
      </w:divBdr>
    </w:div>
    <w:div w:id="896816799">
      <w:bodyDiv w:val="1"/>
      <w:marLeft w:val="0"/>
      <w:marRight w:val="0"/>
      <w:marTop w:val="0"/>
      <w:marBottom w:val="0"/>
      <w:divBdr>
        <w:top w:val="none" w:sz="0" w:space="0" w:color="auto"/>
        <w:left w:val="none" w:sz="0" w:space="0" w:color="auto"/>
        <w:bottom w:val="none" w:sz="0" w:space="0" w:color="auto"/>
        <w:right w:val="none" w:sz="0" w:space="0" w:color="auto"/>
      </w:divBdr>
    </w:div>
    <w:div w:id="967855116">
      <w:bodyDiv w:val="1"/>
      <w:marLeft w:val="0"/>
      <w:marRight w:val="0"/>
      <w:marTop w:val="0"/>
      <w:marBottom w:val="0"/>
      <w:divBdr>
        <w:top w:val="none" w:sz="0" w:space="0" w:color="auto"/>
        <w:left w:val="none" w:sz="0" w:space="0" w:color="auto"/>
        <w:bottom w:val="none" w:sz="0" w:space="0" w:color="auto"/>
        <w:right w:val="none" w:sz="0" w:space="0" w:color="auto"/>
      </w:divBdr>
    </w:div>
    <w:div w:id="984972829">
      <w:bodyDiv w:val="1"/>
      <w:marLeft w:val="0"/>
      <w:marRight w:val="0"/>
      <w:marTop w:val="0"/>
      <w:marBottom w:val="0"/>
      <w:divBdr>
        <w:top w:val="none" w:sz="0" w:space="0" w:color="auto"/>
        <w:left w:val="none" w:sz="0" w:space="0" w:color="auto"/>
        <w:bottom w:val="none" w:sz="0" w:space="0" w:color="auto"/>
        <w:right w:val="none" w:sz="0" w:space="0" w:color="auto"/>
      </w:divBdr>
    </w:div>
    <w:div w:id="1052539996">
      <w:bodyDiv w:val="1"/>
      <w:marLeft w:val="0"/>
      <w:marRight w:val="0"/>
      <w:marTop w:val="0"/>
      <w:marBottom w:val="0"/>
      <w:divBdr>
        <w:top w:val="none" w:sz="0" w:space="0" w:color="auto"/>
        <w:left w:val="none" w:sz="0" w:space="0" w:color="auto"/>
        <w:bottom w:val="none" w:sz="0" w:space="0" w:color="auto"/>
        <w:right w:val="none" w:sz="0" w:space="0" w:color="auto"/>
      </w:divBdr>
    </w:div>
    <w:div w:id="1116023517">
      <w:bodyDiv w:val="1"/>
      <w:marLeft w:val="0"/>
      <w:marRight w:val="0"/>
      <w:marTop w:val="0"/>
      <w:marBottom w:val="0"/>
      <w:divBdr>
        <w:top w:val="none" w:sz="0" w:space="0" w:color="auto"/>
        <w:left w:val="none" w:sz="0" w:space="0" w:color="auto"/>
        <w:bottom w:val="none" w:sz="0" w:space="0" w:color="auto"/>
        <w:right w:val="none" w:sz="0" w:space="0" w:color="auto"/>
      </w:divBdr>
      <w:divsChild>
        <w:div w:id="1488207983">
          <w:marLeft w:val="0"/>
          <w:marRight w:val="0"/>
          <w:marTop w:val="0"/>
          <w:marBottom w:val="0"/>
          <w:divBdr>
            <w:top w:val="none" w:sz="0" w:space="0" w:color="auto"/>
            <w:left w:val="none" w:sz="0" w:space="0" w:color="auto"/>
            <w:bottom w:val="none" w:sz="0" w:space="0" w:color="auto"/>
            <w:right w:val="none" w:sz="0" w:space="0" w:color="auto"/>
          </w:divBdr>
          <w:divsChild>
            <w:div w:id="1043334507">
              <w:marLeft w:val="0"/>
              <w:marRight w:val="0"/>
              <w:marTop w:val="0"/>
              <w:marBottom w:val="0"/>
              <w:divBdr>
                <w:top w:val="none" w:sz="0" w:space="0" w:color="auto"/>
                <w:left w:val="none" w:sz="0" w:space="0" w:color="auto"/>
                <w:bottom w:val="none" w:sz="0" w:space="0" w:color="auto"/>
                <w:right w:val="none" w:sz="0" w:space="0" w:color="auto"/>
              </w:divBdr>
              <w:divsChild>
                <w:div w:id="19669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4056">
      <w:bodyDiv w:val="1"/>
      <w:marLeft w:val="0"/>
      <w:marRight w:val="0"/>
      <w:marTop w:val="0"/>
      <w:marBottom w:val="0"/>
      <w:divBdr>
        <w:top w:val="none" w:sz="0" w:space="0" w:color="auto"/>
        <w:left w:val="none" w:sz="0" w:space="0" w:color="auto"/>
        <w:bottom w:val="none" w:sz="0" w:space="0" w:color="auto"/>
        <w:right w:val="none" w:sz="0" w:space="0" w:color="auto"/>
      </w:divBdr>
    </w:div>
    <w:div w:id="1222868689">
      <w:bodyDiv w:val="1"/>
      <w:marLeft w:val="0"/>
      <w:marRight w:val="0"/>
      <w:marTop w:val="0"/>
      <w:marBottom w:val="0"/>
      <w:divBdr>
        <w:top w:val="none" w:sz="0" w:space="0" w:color="auto"/>
        <w:left w:val="none" w:sz="0" w:space="0" w:color="auto"/>
        <w:bottom w:val="none" w:sz="0" w:space="0" w:color="auto"/>
        <w:right w:val="none" w:sz="0" w:space="0" w:color="auto"/>
      </w:divBdr>
    </w:div>
    <w:div w:id="1260873292">
      <w:bodyDiv w:val="1"/>
      <w:marLeft w:val="0"/>
      <w:marRight w:val="0"/>
      <w:marTop w:val="0"/>
      <w:marBottom w:val="0"/>
      <w:divBdr>
        <w:top w:val="none" w:sz="0" w:space="0" w:color="auto"/>
        <w:left w:val="none" w:sz="0" w:space="0" w:color="auto"/>
        <w:bottom w:val="none" w:sz="0" w:space="0" w:color="auto"/>
        <w:right w:val="none" w:sz="0" w:space="0" w:color="auto"/>
      </w:divBdr>
    </w:div>
    <w:div w:id="1340352327">
      <w:bodyDiv w:val="1"/>
      <w:marLeft w:val="0"/>
      <w:marRight w:val="0"/>
      <w:marTop w:val="0"/>
      <w:marBottom w:val="0"/>
      <w:divBdr>
        <w:top w:val="none" w:sz="0" w:space="0" w:color="auto"/>
        <w:left w:val="none" w:sz="0" w:space="0" w:color="auto"/>
        <w:bottom w:val="none" w:sz="0" w:space="0" w:color="auto"/>
        <w:right w:val="none" w:sz="0" w:space="0" w:color="auto"/>
      </w:divBdr>
    </w:div>
    <w:div w:id="1409959075">
      <w:bodyDiv w:val="1"/>
      <w:marLeft w:val="0"/>
      <w:marRight w:val="0"/>
      <w:marTop w:val="0"/>
      <w:marBottom w:val="0"/>
      <w:divBdr>
        <w:top w:val="none" w:sz="0" w:space="0" w:color="auto"/>
        <w:left w:val="none" w:sz="0" w:space="0" w:color="auto"/>
        <w:bottom w:val="none" w:sz="0" w:space="0" w:color="auto"/>
        <w:right w:val="none" w:sz="0" w:space="0" w:color="auto"/>
      </w:divBdr>
    </w:div>
    <w:div w:id="1434592758">
      <w:bodyDiv w:val="1"/>
      <w:marLeft w:val="0"/>
      <w:marRight w:val="0"/>
      <w:marTop w:val="0"/>
      <w:marBottom w:val="0"/>
      <w:divBdr>
        <w:top w:val="none" w:sz="0" w:space="0" w:color="auto"/>
        <w:left w:val="none" w:sz="0" w:space="0" w:color="auto"/>
        <w:bottom w:val="none" w:sz="0" w:space="0" w:color="auto"/>
        <w:right w:val="none" w:sz="0" w:space="0" w:color="auto"/>
      </w:divBdr>
    </w:div>
    <w:div w:id="1466194593">
      <w:bodyDiv w:val="1"/>
      <w:marLeft w:val="0"/>
      <w:marRight w:val="0"/>
      <w:marTop w:val="0"/>
      <w:marBottom w:val="0"/>
      <w:divBdr>
        <w:top w:val="none" w:sz="0" w:space="0" w:color="auto"/>
        <w:left w:val="none" w:sz="0" w:space="0" w:color="auto"/>
        <w:bottom w:val="none" w:sz="0" w:space="0" w:color="auto"/>
        <w:right w:val="none" w:sz="0" w:space="0" w:color="auto"/>
      </w:divBdr>
    </w:div>
    <w:div w:id="1467815264">
      <w:bodyDiv w:val="1"/>
      <w:marLeft w:val="0"/>
      <w:marRight w:val="0"/>
      <w:marTop w:val="0"/>
      <w:marBottom w:val="0"/>
      <w:divBdr>
        <w:top w:val="none" w:sz="0" w:space="0" w:color="auto"/>
        <w:left w:val="none" w:sz="0" w:space="0" w:color="auto"/>
        <w:bottom w:val="none" w:sz="0" w:space="0" w:color="auto"/>
        <w:right w:val="none" w:sz="0" w:space="0" w:color="auto"/>
      </w:divBdr>
    </w:div>
    <w:div w:id="1479030921">
      <w:bodyDiv w:val="1"/>
      <w:marLeft w:val="0"/>
      <w:marRight w:val="0"/>
      <w:marTop w:val="0"/>
      <w:marBottom w:val="0"/>
      <w:divBdr>
        <w:top w:val="none" w:sz="0" w:space="0" w:color="auto"/>
        <w:left w:val="none" w:sz="0" w:space="0" w:color="auto"/>
        <w:bottom w:val="none" w:sz="0" w:space="0" w:color="auto"/>
        <w:right w:val="none" w:sz="0" w:space="0" w:color="auto"/>
      </w:divBdr>
    </w:div>
    <w:div w:id="1498233589">
      <w:bodyDiv w:val="1"/>
      <w:marLeft w:val="0"/>
      <w:marRight w:val="0"/>
      <w:marTop w:val="0"/>
      <w:marBottom w:val="0"/>
      <w:divBdr>
        <w:top w:val="none" w:sz="0" w:space="0" w:color="auto"/>
        <w:left w:val="none" w:sz="0" w:space="0" w:color="auto"/>
        <w:bottom w:val="none" w:sz="0" w:space="0" w:color="auto"/>
        <w:right w:val="none" w:sz="0" w:space="0" w:color="auto"/>
      </w:divBdr>
    </w:div>
    <w:div w:id="1547639992">
      <w:bodyDiv w:val="1"/>
      <w:marLeft w:val="0"/>
      <w:marRight w:val="0"/>
      <w:marTop w:val="0"/>
      <w:marBottom w:val="0"/>
      <w:divBdr>
        <w:top w:val="none" w:sz="0" w:space="0" w:color="auto"/>
        <w:left w:val="none" w:sz="0" w:space="0" w:color="auto"/>
        <w:bottom w:val="none" w:sz="0" w:space="0" w:color="auto"/>
        <w:right w:val="none" w:sz="0" w:space="0" w:color="auto"/>
      </w:divBdr>
    </w:div>
    <w:div w:id="1621718453">
      <w:bodyDiv w:val="1"/>
      <w:marLeft w:val="0"/>
      <w:marRight w:val="0"/>
      <w:marTop w:val="0"/>
      <w:marBottom w:val="0"/>
      <w:divBdr>
        <w:top w:val="none" w:sz="0" w:space="0" w:color="auto"/>
        <w:left w:val="none" w:sz="0" w:space="0" w:color="auto"/>
        <w:bottom w:val="none" w:sz="0" w:space="0" w:color="auto"/>
        <w:right w:val="none" w:sz="0" w:space="0" w:color="auto"/>
      </w:divBdr>
    </w:div>
    <w:div w:id="1654799194">
      <w:bodyDiv w:val="1"/>
      <w:marLeft w:val="0"/>
      <w:marRight w:val="0"/>
      <w:marTop w:val="0"/>
      <w:marBottom w:val="0"/>
      <w:divBdr>
        <w:top w:val="none" w:sz="0" w:space="0" w:color="auto"/>
        <w:left w:val="none" w:sz="0" w:space="0" w:color="auto"/>
        <w:bottom w:val="none" w:sz="0" w:space="0" w:color="auto"/>
        <w:right w:val="none" w:sz="0" w:space="0" w:color="auto"/>
      </w:divBdr>
    </w:div>
    <w:div w:id="1661542249">
      <w:bodyDiv w:val="1"/>
      <w:marLeft w:val="0"/>
      <w:marRight w:val="0"/>
      <w:marTop w:val="0"/>
      <w:marBottom w:val="0"/>
      <w:divBdr>
        <w:top w:val="none" w:sz="0" w:space="0" w:color="auto"/>
        <w:left w:val="none" w:sz="0" w:space="0" w:color="auto"/>
        <w:bottom w:val="none" w:sz="0" w:space="0" w:color="auto"/>
        <w:right w:val="none" w:sz="0" w:space="0" w:color="auto"/>
      </w:divBdr>
    </w:div>
    <w:div w:id="1672755034">
      <w:bodyDiv w:val="1"/>
      <w:marLeft w:val="0"/>
      <w:marRight w:val="0"/>
      <w:marTop w:val="0"/>
      <w:marBottom w:val="0"/>
      <w:divBdr>
        <w:top w:val="none" w:sz="0" w:space="0" w:color="auto"/>
        <w:left w:val="none" w:sz="0" w:space="0" w:color="auto"/>
        <w:bottom w:val="none" w:sz="0" w:space="0" w:color="auto"/>
        <w:right w:val="none" w:sz="0" w:space="0" w:color="auto"/>
      </w:divBdr>
    </w:div>
    <w:div w:id="1695769783">
      <w:bodyDiv w:val="1"/>
      <w:marLeft w:val="0"/>
      <w:marRight w:val="0"/>
      <w:marTop w:val="0"/>
      <w:marBottom w:val="0"/>
      <w:divBdr>
        <w:top w:val="none" w:sz="0" w:space="0" w:color="auto"/>
        <w:left w:val="none" w:sz="0" w:space="0" w:color="auto"/>
        <w:bottom w:val="none" w:sz="0" w:space="0" w:color="auto"/>
        <w:right w:val="none" w:sz="0" w:space="0" w:color="auto"/>
      </w:divBdr>
    </w:div>
    <w:div w:id="1705640855">
      <w:bodyDiv w:val="1"/>
      <w:marLeft w:val="0"/>
      <w:marRight w:val="0"/>
      <w:marTop w:val="0"/>
      <w:marBottom w:val="0"/>
      <w:divBdr>
        <w:top w:val="none" w:sz="0" w:space="0" w:color="auto"/>
        <w:left w:val="none" w:sz="0" w:space="0" w:color="auto"/>
        <w:bottom w:val="none" w:sz="0" w:space="0" w:color="auto"/>
        <w:right w:val="none" w:sz="0" w:space="0" w:color="auto"/>
      </w:divBdr>
    </w:div>
    <w:div w:id="1750076217">
      <w:bodyDiv w:val="1"/>
      <w:marLeft w:val="0"/>
      <w:marRight w:val="0"/>
      <w:marTop w:val="0"/>
      <w:marBottom w:val="0"/>
      <w:divBdr>
        <w:top w:val="none" w:sz="0" w:space="0" w:color="auto"/>
        <w:left w:val="none" w:sz="0" w:space="0" w:color="auto"/>
        <w:bottom w:val="none" w:sz="0" w:space="0" w:color="auto"/>
        <w:right w:val="none" w:sz="0" w:space="0" w:color="auto"/>
      </w:divBdr>
    </w:div>
    <w:div w:id="1769737752">
      <w:bodyDiv w:val="1"/>
      <w:marLeft w:val="0"/>
      <w:marRight w:val="0"/>
      <w:marTop w:val="0"/>
      <w:marBottom w:val="0"/>
      <w:divBdr>
        <w:top w:val="none" w:sz="0" w:space="0" w:color="auto"/>
        <w:left w:val="none" w:sz="0" w:space="0" w:color="auto"/>
        <w:bottom w:val="none" w:sz="0" w:space="0" w:color="auto"/>
        <w:right w:val="none" w:sz="0" w:space="0" w:color="auto"/>
      </w:divBdr>
    </w:div>
    <w:div w:id="1787193715">
      <w:bodyDiv w:val="1"/>
      <w:marLeft w:val="0"/>
      <w:marRight w:val="0"/>
      <w:marTop w:val="0"/>
      <w:marBottom w:val="0"/>
      <w:divBdr>
        <w:top w:val="none" w:sz="0" w:space="0" w:color="auto"/>
        <w:left w:val="none" w:sz="0" w:space="0" w:color="auto"/>
        <w:bottom w:val="none" w:sz="0" w:space="0" w:color="auto"/>
        <w:right w:val="none" w:sz="0" w:space="0" w:color="auto"/>
      </w:divBdr>
    </w:div>
    <w:div w:id="1794864552">
      <w:bodyDiv w:val="1"/>
      <w:marLeft w:val="0"/>
      <w:marRight w:val="0"/>
      <w:marTop w:val="0"/>
      <w:marBottom w:val="0"/>
      <w:divBdr>
        <w:top w:val="none" w:sz="0" w:space="0" w:color="auto"/>
        <w:left w:val="none" w:sz="0" w:space="0" w:color="auto"/>
        <w:bottom w:val="none" w:sz="0" w:space="0" w:color="auto"/>
        <w:right w:val="none" w:sz="0" w:space="0" w:color="auto"/>
      </w:divBdr>
    </w:div>
    <w:div w:id="1809392631">
      <w:bodyDiv w:val="1"/>
      <w:marLeft w:val="0"/>
      <w:marRight w:val="0"/>
      <w:marTop w:val="0"/>
      <w:marBottom w:val="0"/>
      <w:divBdr>
        <w:top w:val="none" w:sz="0" w:space="0" w:color="auto"/>
        <w:left w:val="none" w:sz="0" w:space="0" w:color="auto"/>
        <w:bottom w:val="none" w:sz="0" w:space="0" w:color="auto"/>
        <w:right w:val="none" w:sz="0" w:space="0" w:color="auto"/>
      </w:divBdr>
    </w:div>
    <w:div w:id="1875994722">
      <w:bodyDiv w:val="1"/>
      <w:marLeft w:val="0"/>
      <w:marRight w:val="0"/>
      <w:marTop w:val="0"/>
      <w:marBottom w:val="0"/>
      <w:divBdr>
        <w:top w:val="none" w:sz="0" w:space="0" w:color="auto"/>
        <w:left w:val="none" w:sz="0" w:space="0" w:color="auto"/>
        <w:bottom w:val="none" w:sz="0" w:space="0" w:color="auto"/>
        <w:right w:val="none" w:sz="0" w:space="0" w:color="auto"/>
      </w:divBdr>
    </w:div>
    <w:div w:id="1917934194">
      <w:bodyDiv w:val="1"/>
      <w:marLeft w:val="0"/>
      <w:marRight w:val="0"/>
      <w:marTop w:val="0"/>
      <w:marBottom w:val="0"/>
      <w:divBdr>
        <w:top w:val="none" w:sz="0" w:space="0" w:color="auto"/>
        <w:left w:val="none" w:sz="0" w:space="0" w:color="auto"/>
        <w:bottom w:val="none" w:sz="0" w:space="0" w:color="auto"/>
        <w:right w:val="none" w:sz="0" w:space="0" w:color="auto"/>
      </w:divBdr>
    </w:div>
    <w:div w:id="1937209860">
      <w:bodyDiv w:val="1"/>
      <w:marLeft w:val="0"/>
      <w:marRight w:val="0"/>
      <w:marTop w:val="0"/>
      <w:marBottom w:val="0"/>
      <w:divBdr>
        <w:top w:val="none" w:sz="0" w:space="0" w:color="auto"/>
        <w:left w:val="none" w:sz="0" w:space="0" w:color="auto"/>
        <w:bottom w:val="none" w:sz="0" w:space="0" w:color="auto"/>
        <w:right w:val="none" w:sz="0" w:space="0" w:color="auto"/>
      </w:divBdr>
    </w:div>
    <w:div w:id="1971089252">
      <w:bodyDiv w:val="1"/>
      <w:marLeft w:val="0"/>
      <w:marRight w:val="0"/>
      <w:marTop w:val="0"/>
      <w:marBottom w:val="0"/>
      <w:divBdr>
        <w:top w:val="none" w:sz="0" w:space="0" w:color="auto"/>
        <w:left w:val="none" w:sz="0" w:space="0" w:color="auto"/>
        <w:bottom w:val="none" w:sz="0" w:space="0" w:color="auto"/>
        <w:right w:val="none" w:sz="0" w:space="0" w:color="auto"/>
      </w:divBdr>
    </w:div>
    <w:div w:id="2008750423">
      <w:bodyDiv w:val="1"/>
      <w:marLeft w:val="0"/>
      <w:marRight w:val="0"/>
      <w:marTop w:val="0"/>
      <w:marBottom w:val="0"/>
      <w:divBdr>
        <w:top w:val="none" w:sz="0" w:space="0" w:color="auto"/>
        <w:left w:val="none" w:sz="0" w:space="0" w:color="auto"/>
        <w:bottom w:val="none" w:sz="0" w:space="0" w:color="auto"/>
        <w:right w:val="none" w:sz="0" w:space="0" w:color="auto"/>
      </w:divBdr>
    </w:div>
    <w:div w:id="2035500280">
      <w:bodyDiv w:val="1"/>
      <w:marLeft w:val="0"/>
      <w:marRight w:val="0"/>
      <w:marTop w:val="0"/>
      <w:marBottom w:val="0"/>
      <w:divBdr>
        <w:top w:val="none" w:sz="0" w:space="0" w:color="auto"/>
        <w:left w:val="none" w:sz="0" w:space="0" w:color="auto"/>
        <w:bottom w:val="none" w:sz="0" w:space="0" w:color="auto"/>
        <w:right w:val="none" w:sz="0" w:space="0" w:color="auto"/>
      </w:divBdr>
    </w:div>
    <w:div w:id="2058820424">
      <w:bodyDiv w:val="1"/>
      <w:marLeft w:val="0"/>
      <w:marRight w:val="0"/>
      <w:marTop w:val="0"/>
      <w:marBottom w:val="0"/>
      <w:divBdr>
        <w:top w:val="none" w:sz="0" w:space="0" w:color="auto"/>
        <w:left w:val="none" w:sz="0" w:space="0" w:color="auto"/>
        <w:bottom w:val="none" w:sz="0" w:space="0" w:color="auto"/>
        <w:right w:val="none" w:sz="0" w:space="0" w:color="auto"/>
      </w:divBdr>
    </w:div>
    <w:div w:id="2071296230">
      <w:bodyDiv w:val="1"/>
      <w:marLeft w:val="0"/>
      <w:marRight w:val="0"/>
      <w:marTop w:val="0"/>
      <w:marBottom w:val="0"/>
      <w:divBdr>
        <w:top w:val="none" w:sz="0" w:space="0" w:color="auto"/>
        <w:left w:val="none" w:sz="0" w:space="0" w:color="auto"/>
        <w:bottom w:val="none" w:sz="0" w:space="0" w:color="auto"/>
        <w:right w:val="none" w:sz="0" w:space="0" w:color="auto"/>
      </w:divBdr>
    </w:div>
    <w:div w:id="2121416646">
      <w:bodyDiv w:val="1"/>
      <w:marLeft w:val="0"/>
      <w:marRight w:val="0"/>
      <w:marTop w:val="0"/>
      <w:marBottom w:val="0"/>
      <w:divBdr>
        <w:top w:val="none" w:sz="0" w:space="0" w:color="auto"/>
        <w:left w:val="none" w:sz="0" w:space="0" w:color="auto"/>
        <w:bottom w:val="none" w:sz="0" w:space="0" w:color="auto"/>
        <w:right w:val="none" w:sz="0" w:space="0" w:color="auto"/>
      </w:divBdr>
    </w:div>
    <w:div w:id="2128548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earth-sun.weebly.com" TargetMode="External"/><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hyperlink" Target="file:///G:\My%20Drive\UTK\Tyler%20HALP\NadineGrambling_Dissertation_220726_Formatted_15space.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ram\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6285-2B5B-4972-B43A-36703964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126</Pages>
  <Words>115616</Words>
  <Characters>659015</Characters>
  <Application>Microsoft Office Word</Application>
  <DocSecurity>0</DocSecurity>
  <Lines>5491</Lines>
  <Paragraphs>1546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773085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2022-07-26T18:05:00Z</dcterms:created>
  <dcterms:modified xsi:type="dcterms:W3CDTF">2022-07-26T19:07:00Z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http://www.zotero.org/styles/chemical-geology</vt:lpwstr>
  </property>
  <property fmtid="{D5CDD505-2E9C-101B-9397-08002B2CF9AE}" pid="7" name="Mendeley Recent Style Name 2_1">
    <vt:lpwstr>Chemical Geology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http://www.zotero.org/styles/geology</vt:lpwstr>
  </property>
  <property fmtid="{D5CDD505-2E9C-101B-9397-08002B2CF9AE}" pid="13" name="Mendeley Recent Style Name 5_1">
    <vt:lpwstr>Geology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e1184182-9370-3e9f-a4d5-9eb365e0e425</vt:lpwstr>
  </property>
  <property fmtid="{D5CDD505-2E9C-101B-9397-08002B2CF9AE}" pid="24" name="Mendeley Citation Style_1">
    <vt:lpwstr>http://www.zotero.org/styles/geology</vt:lpwstr>
  </property>
</Properties>
</file>