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0D242" w14:textId="6875DF08" w:rsidR="00236E6D" w:rsidRPr="00B73E8F" w:rsidRDefault="00EE3CC1">
      <w:pPr>
        <w:jc w:val="center"/>
      </w:pPr>
      <w:r w:rsidRPr="00EE3CC1">
        <w:rPr>
          <w:b/>
          <w:bCs/>
          <w:sz w:val="28"/>
          <w:szCs w:val="28"/>
        </w:rPr>
        <w:t>The spatial, temporal, and ecological constraints of plant-host associated microbial communities</w:t>
      </w:r>
    </w:p>
    <w:p w14:paraId="3B4F2171" w14:textId="77777777" w:rsidR="00236E6D" w:rsidRPr="00B73E8F" w:rsidRDefault="00236E6D">
      <w:pPr>
        <w:jc w:val="center"/>
      </w:pPr>
    </w:p>
    <w:p w14:paraId="65C2C271" w14:textId="77777777" w:rsidR="00236E6D" w:rsidRPr="00B73E8F" w:rsidRDefault="00236E6D">
      <w:pPr>
        <w:jc w:val="center"/>
      </w:pPr>
    </w:p>
    <w:p w14:paraId="7BAA5372" w14:textId="77777777" w:rsidR="00236E6D" w:rsidRPr="00B73E8F" w:rsidRDefault="00236E6D">
      <w:pPr>
        <w:jc w:val="center"/>
      </w:pPr>
    </w:p>
    <w:p w14:paraId="505039EB" w14:textId="76A76237" w:rsidR="00236E6D" w:rsidRPr="00B73E8F" w:rsidRDefault="00236E6D">
      <w:pPr>
        <w:jc w:val="center"/>
      </w:pPr>
    </w:p>
    <w:p w14:paraId="0E6FE154" w14:textId="7524050A" w:rsidR="00635924" w:rsidRPr="00B73E8F" w:rsidRDefault="00635924">
      <w:pPr>
        <w:jc w:val="center"/>
      </w:pPr>
    </w:p>
    <w:p w14:paraId="01E25350" w14:textId="77777777" w:rsidR="00635924" w:rsidRPr="00B73E8F" w:rsidRDefault="00635924">
      <w:pPr>
        <w:jc w:val="center"/>
      </w:pPr>
    </w:p>
    <w:p w14:paraId="30CACFCD" w14:textId="77777777" w:rsidR="00236E6D" w:rsidRPr="00B73E8F" w:rsidRDefault="00236E6D">
      <w:pPr>
        <w:jc w:val="center"/>
      </w:pPr>
    </w:p>
    <w:p w14:paraId="6F92C6BC" w14:textId="77777777" w:rsidR="00236E6D" w:rsidRPr="00B73E8F" w:rsidRDefault="00236E6D">
      <w:pPr>
        <w:jc w:val="center"/>
      </w:pPr>
    </w:p>
    <w:p w14:paraId="6CDEFD46" w14:textId="77777777" w:rsidR="009D2AA9" w:rsidRPr="00B73E8F" w:rsidRDefault="009D2AA9">
      <w:pPr>
        <w:jc w:val="center"/>
      </w:pPr>
    </w:p>
    <w:p w14:paraId="41A764AF" w14:textId="77777777" w:rsidR="009D2AA9" w:rsidRPr="00B73E8F" w:rsidRDefault="009D2AA9">
      <w:pPr>
        <w:jc w:val="center"/>
      </w:pPr>
    </w:p>
    <w:p w14:paraId="4DCE69F6" w14:textId="30A2AAE2" w:rsidR="009D2AA9" w:rsidRDefault="009D2AA9">
      <w:pPr>
        <w:jc w:val="center"/>
      </w:pPr>
    </w:p>
    <w:p w14:paraId="6B8265BF" w14:textId="04863714" w:rsidR="00EA205E" w:rsidRDefault="00EA205E">
      <w:pPr>
        <w:jc w:val="center"/>
      </w:pPr>
    </w:p>
    <w:p w14:paraId="2BFBBEAD" w14:textId="77777777" w:rsidR="00EA205E" w:rsidRPr="00B73E8F" w:rsidRDefault="00EA205E">
      <w:pPr>
        <w:jc w:val="center"/>
      </w:pPr>
    </w:p>
    <w:p w14:paraId="02C3DAC9" w14:textId="77777777" w:rsidR="00236E6D" w:rsidRPr="00B73E8F" w:rsidRDefault="00236E6D">
      <w:pPr>
        <w:jc w:val="center"/>
      </w:pPr>
    </w:p>
    <w:p w14:paraId="2EAD1162" w14:textId="77777777" w:rsidR="00236E6D" w:rsidRPr="00B73E8F" w:rsidRDefault="00236E6D">
      <w:pPr>
        <w:jc w:val="center"/>
      </w:pPr>
    </w:p>
    <w:p w14:paraId="4080B791" w14:textId="410D524F" w:rsidR="00236E6D" w:rsidRPr="00B73E8F" w:rsidRDefault="009C755C">
      <w:pPr>
        <w:jc w:val="center"/>
      </w:pPr>
      <w:r w:rsidRPr="00B73E8F">
        <w:t xml:space="preserve">A </w:t>
      </w:r>
      <w:r w:rsidR="00635924" w:rsidRPr="00B73E8F">
        <w:t>Dissertation</w:t>
      </w:r>
      <w:r w:rsidRPr="00B73E8F">
        <w:t xml:space="preserve"> Presented for</w:t>
      </w:r>
      <w:r w:rsidR="008865B6" w:rsidRPr="00B73E8F">
        <w:t xml:space="preserve"> </w:t>
      </w:r>
      <w:r w:rsidR="00046164">
        <w:t>the</w:t>
      </w:r>
    </w:p>
    <w:p w14:paraId="250F13CA" w14:textId="55C644B6" w:rsidR="009C755C" w:rsidRPr="00B73E8F" w:rsidRDefault="00635924">
      <w:pPr>
        <w:jc w:val="center"/>
      </w:pPr>
      <w:r w:rsidRPr="00B73E8F">
        <w:t>Doctor of Philosophy</w:t>
      </w:r>
    </w:p>
    <w:p w14:paraId="4E76E541" w14:textId="56ECF12D" w:rsidR="009C755C" w:rsidRPr="00B73E8F" w:rsidRDefault="00046164">
      <w:pPr>
        <w:jc w:val="center"/>
      </w:pPr>
      <w:r>
        <w:t>Degree</w:t>
      </w:r>
    </w:p>
    <w:p w14:paraId="4245C348" w14:textId="77777777" w:rsidR="009C755C" w:rsidRPr="00B73E8F" w:rsidRDefault="009C755C">
      <w:pPr>
        <w:jc w:val="center"/>
      </w:pPr>
      <w:r w:rsidRPr="00B73E8F">
        <w:t>The University of Tennessee, Knoxville</w:t>
      </w:r>
    </w:p>
    <w:p w14:paraId="096184BD" w14:textId="77777777" w:rsidR="00236E6D" w:rsidRPr="00B73E8F" w:rsidRDefault="00236E6D">
      <w:pPr>
        <w:jc w:val="center"/>
      </w:pPr>
    </w:p>
    <w:p w14:paraId="7D2E097E" w14:textId="77777777" w:rsidR="00236E6D" w:rsidRPr="00B73E8F" w:rsidRDefault="00236E6D">
      <w:pPr>
        <w:jc w:val="center"/>
      </w:pPr>
    </w:p>
    <w:p w14:paraId="6A2F27DF" w14:textId="77777777" w:rsidR="00236E6D" w:rsidRPr="00B73E8F" w:rsidRDefault="00236E6D">
      <w:pPr>
        <w:jc w:val="center"/>
      </w:pPr>
    </w:p>
    <w:p w14:paraId="2E199504" w14:textId="77777777" w:rsidR="00236E6D" w:rsidRPr="00B73E8F" w:rsidRDefault="00236E6D">
      <w:pPr>
        <w:jc w:val="center"/>
      </w:pPr>
    </w:p>
    <w:p w14:paraId="26768FB9" w14:textId="77777777" w:rsidR="00236E6D" w:rsidRPr="00B73E8F" w:rsidRDefault="00236E6D">
      <w:pPr>
        <w:jc w:val="center"/>
      </w:pPr>
    </w:p>
    <w:p w14:paraId="2D747ACF" w14:textId="77777777" w:rsidR="00236E6D" w:rsidRPr="00B73E8F" w:rsidRDefault="00236E6D">
      <w:pPr>
        <w:jc w:val="center"/>
      </w:pPr>
    </w:p>
    <w:p w14:paraId="68981F6E" w14:textId="77777777" w:rsidR="00236E6D" w:rsidRPr="00B73E8F" w:rsidRDefault="00236E6D">
      <w:pPr>
        <w:jc w:val="center"/>
      </w:pPr>
    </w:p>
    <w:p w14:paraId="2EFA9CB3" w14:textId="77777777" w:rsidR="00236E6D" w:rsidRPr="00B73E8F" w:rsidRDefault="00236E6D">
      <w:pPr>
        <w:jc w:val="center"/>
      </w:pPr>
    </w:p>
    <w:p w14:paraId="5F5A3B6B" w14:textId="77777777" w:rsidR="00236E6D" w:rsidRPr="00B73E8F" w:rsidRDefault="00236E6D">
      <w:pPr>
        <w:jc w:val="center"/>
      </w:pPr>
    </w:p>
    <w:p w14:paraId="23A66126" w14:textId="77777777" w:rsidR="009D2AA9" w:rsidRPr="00B73E8F" w:rsidRDefault="009D2AA9">
      <w:pPr>
        <w:jc w:val="center"/>
      </w:pPr>
    </w:p>
    <w:p w14:paraId="40E9AA26" w14:textId="77777777" w:rsidR="009D2AA9" w:rsidRPr="00B73E8F" w:rsidRDefault="009D2AA9">
      <w:pPr>
        <w:jc w:val="center"/>
      </w:pPr>
    </w:p>
    <w:p w14:paraId="5F31483F" w14:textId="77777777" w:rsidR="009D2AA9" w:rsidRPr="00B73E8F" w:rsidRDefault="009D2AA9">
      <w:pPr>
        <w:jc w:val="center"/>
      </w:pPr>
    </w:p>
    <w:p w14:paraId="00AD8DEE" w14:textId="77777777" w:rsidR="009D2AA9" w:rsidRPr="00B73E8F" w:rsidRDefault="009D2AA9">
      <w:pPr>
        <w:jc w:val="center"/>
      </w:pPr>
    </w:p>
    <w:p w14:paraId="1D2A8C4D" w14:textId="77777777" w:rsidR="009D2AA9" w:rsidRPr="00B73E8F" w:rsidRDefault="009D2AA9">
      <w:pPr>
        <w:jc w:val="center"/>
      </w:pPr>
    </w:p>
    <w:p w14:paraId="0455193B" w14:textId="6F739ABF" w:rsidR="009D2AA9" w:rsidRDefault="009D2AA9">
      <w:pPr>
        <w:jc w:val="center"/>
      </w:pPr>
    </w:p>
    <w:p w14:paraId="41047737" w14:textId="77777777" w:rsidR="00EE3CC1" w:rsidRPr="00B73E8F" w:rsidRDefault="00EE3CC1">
      <w:pPr>
        <w:jc w:val="center"/>
      </w:pPr>
    </w:p>
    <w:p w14:paraId="4FB58E57" w14:textId="77777777" w:rsidR="009D2AA9" w:rsidRPr="00B73E8F" w:rsidRDefault="009D2AA9">
      <w:pPr>
        <w:jc w:val="center"/>
      </w:pPr>
    </w:p>
    <w:p w14:paraId="3D497BAB" w14:textId="77777777" w:rsidR="009D2AA9" w:rsidRPr="00B73E8F" w:rsidRDefault="009D2AA9">
      <w:pPr>
        <w:jc w:val="center"/>
      </w:pPr>
    </w:p>
    <w:p w14:paraId="471A34F3" w14:textId="77777777" w:rsidR="009D2AA9" w:rsidRPr="00B73E8F" w:rsidRDefault="009D2AA9">
      <w:pPr>
        <w:jc w:val="center"/>
      </w:pPr>
    </w:p>
    <w:p w14:paraId="536E2259" w14:textId="77777777" w:rsidR="009D2AA9" w:rsidRPr="00B73E8F" w:rsidRDefault="009D2AA9">
      <w:pPr>
        <w:jc w:val="center"/>
      </w:pPr>
    </w:p>
    <w:p w14:paraId="43288287" w14:textId="77777777" w:rsidR="00236E6D" w:rsidRPr="00B73E8F" w:rsidRDefault="00236E6D">
      <w:pPr>
        <w:jc w:val="center"/>
      </w:pPr>
    </w:p>
    <w:p w14:paraId="042458DA" w14:textId="77777777" w:rsidR="00236E6D" w:rsidRPr="00B73E8F" w:rsidRDefault="00236E6D">
      <w:pPr>
        <w:jc w:val="center"/>
      </w:pPr>
    </w:p>
    <w:p w14:paraId="01715494" w14:textId="4912DCD6" w:rsidR="00236E6D" w:rsidRPr="00B73E8F" w:rsidRDefault="00635924">
      <w:pPr>
        <w:jc w:val="center"/>
      </w:pPr>
      <w:r w:rsidRPr="00B73E8F">
        <w:t>Jonathan R</w:t>
      </w:r>
      <w:r w:rsidR="005F5F31">
        <w:t>ay</w:t>
      </w:r>
      <w:r w:rsidRPr="00B73E8F">
        <w:t xml:space="preserve"> Dickey</w:t>
      </w:r>
    </w:p>
    <w:p w14:paraId="73C659C6" w14:textId="5B731DE9" w:rsidR="009C755C" w:rsidRDefault="00635924">
      <w:pPr>
        <w:jc w:val="center"/>
      </w:pPr>
      <w:r w:rsidRPr="00B73E8F">
        <w:t xml:space="preserve">May </w:t>
      </w:r>
      <w:r w:rsidR="009D2AA9" w:rsidRPr="00B73E8F">
        <w:t>202</w:t>
      </w:r>
      <w:r w:rsidRPr="00B73E8F">
        <w:t>2</w:t>
      </w:r>
    </w:p>
    <w:p w14:paraId="6A4F66E2" w14:textId="77777777" w:rsidR="0032391B" w:rsidRPr="00B73E8F" w:rsidRDefault="0032391B">
      <w:pPr>
        <w:jc w:val="center"/>
      </w:pPr>
    </w:p>
    <w:p w14:paraId="7B6142BD" w14:textId="02187BB7" w:rsidR="00236E6D" w:rsidRPr="00B73E8F" w:rsidRDefault="003D07F7" w:rsidP="00D91C27">
      <w:pPr>
        <w:jc w:val="center"/>
      </w:pPr>
      <w:r w:rsidRPr="00B73E8F">
        <w:lastRenderedPageBreak/>
        <w:t>Copyright © 20</w:t>
      </w:r>
      <w:r w:rsidR="009D2AA9" w:rsidRPr="00B73E8F">
        <w:t>2</w:t>
      </w:r>
      <w:r w:rsidR="00635924" w:rsidRPr="00B73E8F">
        <w:t>2</w:t>
      </w:r>
      <w:r w:rsidR="00236E6D" w:rsidRPr="00B73E8F">
        <w:t xml:space="preserve"> by </w:t>
      </w:r>
      <w:r w:rsidR="00173751" w:rsidRPr="00B73E8F">
        <w:t>J</w:t>
      </w:r>
      <w:r w:rsidR="00635924" w:rsidRPr="00B73E8F">
        <w:t>onathan</w:t>
      </w:r>
      <w:r w:rsidR="008865B6" w:rsidRPr="00B73E8F">
        <w:t xml:space="preserve"> </w:t>
      </w:r>
      <w:r w:rsidR="00635924" w:rsidRPr="00B73E8F">
        <w:t>R</w:t>
      </w:r>
      <w:r w:rsidR="005F5F31">
        <w:t>ay</w:t>
      </w:r>
      <w:r w:rsidR="008865B6" w:rsidRPr="00B73E8F">
        <w:t xml:space="preserve"> D</w:t>
      </w:r>
      <w:r w:rsidR="00635924" w:rsidRPr="00B73E8F">
        <w:t>ickey</w:t>
      </w:r>
    </w:p>
    <w:p w14:paraId="5D4A4DE9" w14:textId="77777777" w:rsidR="00236E6D" w:rsidRPr="00B73E8F" w:rsidRDefault="00236E6D">
      <w:pPr>
        <w:jc w:val="center"/>
      </w:pPr>
      <w:r w:rsidRPr="00B73E8F">
        <w:t>All rights reserved.</w:t>
      </w:r>
    </w:p>
    <w:p w14:paraId="069BCA3A" w14:textId="77777777" w:rsidR="00236E6D" w:rsidRPr="00B73E8F" w:rsidRDefault="00236E6D" w:rsidP="00EA205E">
      <w:pPr>
        <w:jc w:val="center"/>
      </w:pPr>
    </w:p>
    <w:p w14:paraId="21A9B9BC" w14:textId="77777777" w:rsidR="00236E6D" w:rsidRPr="00B73E8F" w:rsidRDefault="00236E6D" w:rsidP="00EA205E">
      <w:pPr>
        <w:jc w:val="center"/>
      </w:pPr>
    </w:p>
    <w:p w14:paraId="074730A6" w14:textId="77777777" w:rsidR="00236E6D" w:rsidRPr="00B73E8F" w:rsidRDefault="00236E6D" w:rsidP="00EA205E">
      <w:pPr>
        <w:jc w:val="center"/>
      </w:pPr>
    </w:p>
    <w:p w14:paraId="5122117E" w14:textId="77777777" w:rsidR="00236E6D" w:rsidRPr="00B73E8F" w:rsidRDefault="00236E6D" w:rsidP="00EA205E">
      <w:pPr>
        <w:jc w:val="center"/>
      </w:pPr>
    </w:p>
    <w:p w14:paraId="2305E9AA" w14:textId="77777777" w:rsidR="00236E6D" w:rsidRPr="00B73E8F" w:rsidRDefault="00236E6D" w:rsidP="00EA205E">
      <w:pPr>
        <w:jc w:val="center"/>
      </w:pPr>
    </w:p>
    <w:p w14:paraId="34E1DEE6" w14:textId="77777777" w:rsidR="00236E6D" w:rsidRPr="00B73E8F" w:rsidRDefault="00236E6D" w:rsidP="00EA205E">
      <w:pPr>
        <w:jc w:val="center"/>
      </w:pPr>
    </w:p>
    <w:p w14:paraId="5830E39D" w14:textId="77777777" w:rsidR="00236E6D" w:rsidRPr="00B73E8F" w:rsidRDefault="00236E6D" w:rsidP="00EA205E">
      <w:pPr>
        <w:jc w:val="center"/>
      </w:pPr>
    </w:p>
    <w:p w14:paraId="6698D181" w14:textId="77777777" w:rsidR="00236E6D" w:rsidRPr="00B73E8F" w:rsidRDefault="00236E6D" w:rsidP="00EA205E">
      <w:pPr>
        <w:jc w:val="center"/>
      </w:pPr>
    </w:p>
    <w:p w14:paraId="0FAA290B" w14:textId="77777777" w:rsidR="00236E6D" w:rsidRPr="00B73E8F" w:rsidRDefault="00236E6D" w:rsidP="00EA205E">
      <w:pPr>
        <w:jc w:val="center"/>
      </w:pPr>
    </w:p>
    <w:p w14:paraId="0DF5430C" w14:textId="77777777" w:rsidR="00236E6D" w:rsidRPr="00B73E8F" w:rsidRDefault="00236E6D" w:rsidP="00EA205E">
      <w:pPr>
        <w:jc w:val="center"/>
      </w:pPr>
    </w:p>
    <w:p w14:paraId="1519D1BE" w14:textId="77777777" w:rsidR="00236E6D" w:rsidRPr="00B73E8F" w:rsidRDefault="00236E6D" w:rsidP="00EA205E">
      <w:pPr>
        <w:jc w:val="center"/>
      </w:pPr>
    </w:p>
    <w:p w14:paraId="1A902A36" w14:textId="77777777" w:rsidR="00236E6D" w:rsidRPr="00B73E8F" w:rsidRDefault="00236E6D" w:rsidP="00EA205E">
      <w:pPr>
        <w:jc w:val="center"/>
      </w:pPr>
    </w:p>
    <w:p w14:paraId="27B01855" w14:textId="77777777" w:rsidR="00236E6D" w:rsidRPr="00B73E8F" w:rsidRDefault="00236E6D" w:rsidP="00EA205E">
      <w:pPr>
        <w:jc w:val="center"/>
      </w:pPr>
    </w:p>
    <w:p w14:paraId="29A24FFE" w14:textId="77777777" w:rsidR="00236E6D" w:rsidRPr="00B73E8F" w:rsidRDefault="00236E6D" w:rsidP="00EA205E">
      <w:pPr>
        <w:jc w:val="center"/>
      </w:pPr>
    </w:p>
    <w:p w14:paraId="52E39851" w14:textId="77777777" w:rsidR="009D2AA9" w:rsidRPr="00B73E8F" w:rsidRDefault="009D2AA9" w:rsidP="00EA205E">
      <w:pPr>
        <w:jc w:val="center"/>
      </w:pPr>
    </w:p>
    <w:p w14:paraId="00573B7D" w14:textId="77777777" w:rsidR="009D2AA9" w:rsidRPr="00B73E8F" w:rsidRDefault="009D2AA9" w:rsidP="00EA205E">
      <w:pPr>
        <w:jc w:val="center"/>
      </w:pPr>
    </w:p>
    <w:p w14:paraId="2D91D8A4" w14:textId="77777777" w:rsidR="009D2AA9" w:rsidRPr="00B73E8F" w:rsidRDefault="009D2AA9" w:rsidP="00EA205E">
      <w:pPr>
        <w:jc w:val="center"/>
      </w:pPr>
    </w:p>
    <w:p w14:paraId="4F30E831" w14:textId="77777777" w:rsidR="009D2AA9" w:rsidRPr="00B73E8F" w:rsidRDefault="009D2AA9" w:rsidP="00EA205E">
      <w:pPr>
        <w:jc w:val="center"/>
      </w:pPr>
    </w:p>
    <w:p w14:paraId="22487525" w14:textId="77777777" w:rsidR="009D2AA9" w:rsidRPr="00B73E8F" w:rsidRDefault="009D2AA9" w:rsidP="00EA205E">
      <w:pPr>
        <w:jc w:val="center"/>
      </w:pPr>
    </w:p>
    <w:p w14:paraId="50C2E202" w14:textId="77777777" w:rsidR="009D2AA9" w:rsidRPr="00B73E8F" w:rsidRDefault="009D2AA9" w:rsidP="00EA205E">
      <w:pPr>
        <w:jc w:val="center"/>
      </w:pPr>
    </w:p>
    <w:p w14:paraId="5F655133" w14:textId="77777777" w:rsidR="009D2AA9" w:rsidRPr="00B73E8F" w:rsidRDefault="009D2AA9" w:rsidP="00EA205E">
      <w:pPr>
        <w:jc w:val="center"/>
      </w:pPr>
    </w:p>
    <w:p w14:paraId="4CE8EFA3" w14:textId="77777777" w:rsidR="009D2AA9" w:rsidRPr="00B73E8F" w:rsidRDefault="009D2AA9" w:rsidP="00EA205E">
      <w:pPr>
        <w:jc w:val="center"/>
      </w:pPr>
    </w:p>
    <w:p w14:paraId="1F3E1F73" w14:textId="77777777" w:rsidR="009D2AA9" w:rsidRPr="00B73E8F" w:rsidRDefault="009D2AA9" w:rsidP="00EA205E">
      <w:pPr>
        <w:jc w:val="center"/>
      </w:pPr>
    </w:p>
    <w:p w14:paraId="2D495373" w14:textId="77777777" w:rsidR="009D2AA9" w:rsidRPr="00B73E8F" w:rsidRDefault="009D2AA9" w:rsidP="00EA205E">
      <w:pPr>
        <w:jc w:val="center"/>
      </w:pPr>
    </w:p>
    <w:p w14:paraId="71131FFE" w14:textId="77777777" w:rsidR="009D2AA9" w:rsidRPr="00B73E8F" w:rsidRDefault="009D2AA9" w:rsidP="00EA205E">
      <w:pPr>
        <w:jc w:val="center"/>
      </w:pPr>
    </w:p>
    <w:p w14:paraId="05BF3C7A" w14:textId="77777777" w:rsidR="009D2AA9" w:rsidRPr="00B73E8F" w:rsidRDefault="009D2AA9" w:rsidP="00EA205E">
      <w:pPr>
        <w:jc w:val="center"/>
      </w:pPr>
    </w:p>
    <w:p w14:paraId="147FC8B3" w14:textId="77777777" w:rsidR="009D2AA9" w:rsidRPr="00B73E8F" w:rsidRDefault="009D2AA9" w:rsidP="00EA205E">
      <w:pPr>
        <w:jc w:val="center"/>
      </w:pPr>
    </w:p>
    <w:p w14:paraId="05432D3C" w14:textId="77777777" w:rsidR="009D2AA9" w:rsidRPr="00B73E8F" w:rsidRDefault="009D2AA9" w:rsidP="00EA205E">
      <w:pPr>
        <w:jc w:val="center"/>
      </w:pPr>
    </w:p>
    <w:p w14:paraId="7D2AFEBB" w14:textId="77777777" w:rsidR="009D2AA9" w:rsidRPr="00B73E8F" w:rsidRDefault="009D2AA9" w:rsidP="00EA205E">
      <w:pPr>
        <w:jc w:val="center"/>
      </w:pPr>
    </w:p>
    <w:p w14:paraId="757B4504" w14:textId="77777777" w:rsidR="009D2AA9" w:rsidRPr="00B73E8F" w:rsidRDefault="009D2AA9" w:rsidP="00EA205E">
      <w:pPr>
        <w:jc w:val="center"/>
      </w:pPr>
    </w:p>
    <w:p w14:paraId="151398AD" w14:textId="77777777" w:rsidR="009D2AA9" w:rsidRPr="00B73E8F" w:rsidRDefault="009D2AA9" w:rsidP="00EA205E">
      <w:pPr>
        <w:jc w:val="center"/>
      </w:pPr>
    </w:p>
    <w:p w14:paraId="2BD4DFD1" w14:textId="77777777" w:rsidR="009D2AA9" w:rsidRPr="00B73E8F" w:rsidRDefault="009D2AA9" w:rsidP="00EA205E">
      <w:pPr>
        <w:jc w:val="center"/>
      </w:pPr>
    </w:p>
    <w:p w14:paraId="209B2CE5" w14:textId="77777777" w:rsidR="009D2AA9" w:rsidRPr="00B73E8F" w:rsidRDefault="009D2AA9" w:rsidP="00EA205E">
      <w:pPr>
        <w:jc w:val="center"/>
      </w:pPr>
    </w:p>
    <w:p w14:paraId="7C160A1B" w14:textId="77777777" w:rsidR="009D2AA9" w:rsidRPr="00B73E8F" w:rsidRDefault="009D2AA9" w:rsidP="00EA205E">
      <w:pPr>
        <w:jc w:val="center"/>
      </w:pPr>
    </w:p>
    <w:p w14:paraId="748EA17F" w14:textId="77777777" w:rsidR="009D2AA9" w:rsidRPr="00B73E8F" w:rsidRDefault="009D2AA9" w:rsidP="00EA205E">
      <w:pPr>
        <w:jc w:val="center"/>
      </w:pPr>
    </w:p>
    <w:p w14:paraId="1ED6705D" w14:textId="77777777" w:rsidR="009D2AA9" w:rsidRPr="00B73E8F" w:rsidRDefault="009D2AA9" w:rsidP="00EA205E">
      <w:pPr>
        <w:jc w:val="center"/>
      </w:pPr>
    </w:p>
    <w:p w14:paraId="23A15091" w14:textId="77777777" w:rsidR="009D2AA9" w:rsidRPr="00B73E8F" w:rsidRDefault="009D2AA9" w:rsidP="00EA205E">
      <w:pPr>
        <w:jc w:val="center"/>
      </w:pPr>
    </w:p>
    <w:p w14:paraId="7E9C87AA" w14:textId="0111EF2C" w:rsidR="009D2AA9" w:rsidRDefault="009D2AA9" w:rsidP="00EA205E">
      <w:pPr>
        <w:jc w:val="center"/>
      </w:pPr>
    </w:p>
    <w:p w14:paraId="28110968" w14:textId="77777777" w:rsidR="00EA205E" w:rsidRPr="00B73E8F" w:rsidRDefault="00EA205E" w:rsidP="00EA205E">
      <w:pPr>
        <w:jc w:val="center"/>
      </w:pPr>
    </w:p>
    <w:p w14:paraId="560D7F6A" w14:textId="77777777" w:rsidR="009D2AA9" w:rsidRPr="00B73E8F" w:rsidRDefault="009D2AA9" w:rsidP="00EA205E">
      <w:pPr>
        <w:jc w:val="center"/>
      </w:pPr>
    </w:p>
    <w:p w14:paraId="5EDDECAF" w14:textId="101460BB" w:rsidR="009D2AA9" w:rsidRDefault="009D2AA9" w:rsidP="00EA205E">
      <w:pPr>
        <w:jc w:val="center"/>
      </w:pPr>
    </w:p>
    <w:p w14:paraId="78CFAA0A" w14:textId="51BB461B" w:rsidR="00D97304" w:rsidRDefault="00D97304" w:rsidP="00EA205E">
      <w:pPr>
        <w:jc w:val="center"/>
      </w:pPr>
    </w:p>
    <w:p w14:paraId="187D590C" w14:textId="77777777" w:rsidR="00D97304" w:rsidRPr="00B73E8F" w:rsidRDefault="00D97304" w:rsidP="00EA205E">
      <w:pPr>
        <w:jc w:val="center"/>
      </w:pPr>
    </w:p>
    <w:p w14:paraId="02CDD3FD" w14:textId="77777777" w:rsidR="009D2AA9" w:rsidRPr="00B73E8F" w:rsidRDefault="009D2AA9" w:rsidP="00EA205E">
      <w:pPr>
        <w:jc w:val="center"/>
      </w:pPr>
    </w:p>
    <w:p w14:paraId="2D4A3F4B" w14:textId="77777777" w:rsidR="00CD73A9" w:rsidRPr="00E10C5F" w:rsidRDefault="00CD73A9" w:rsidP="009D2AA9">
      <w:pPr>
        <w:jc w:val="center"/>
        <w:rPr>
          <w:b/>
          <w:sz w:val="28"/>
          <w:szCs w:val="28"/>
        </w:rPr>
      </w:pPr>
      <w:r w:rsidRPr="00E10C5F">
        <w:rPr>
          <w:b/>
          <w:sz w:val="28"/>
          <w:szCs w:val="28"/>
        </w:rPr>
        <w:lastRenderedPageBreak/>
        <w:t>ACKNOWLEDGEMENTS</w:t>
      </w:r>
    </w:p>
    <w:p w14:paraId="146AE470" w14:textId="77777777" w:rsidR="00CD73A9" w:rsidRPr="00B73E8F" w:rsidRDefault="00CD73A9">
      <w:pPr>
        <w:jc w:val="center"/>
      </w:pPr>
    </w:p>
    <w:p w14:paraId="17AC4875" w14:textId="692CD399" w:rsidR="00635924" w:rsidRPr="00B73E8F" w:rsidRDefault="00635924" w:rsidP="008F60C3">
      <w:pPr>
        <w:jc w:val="center"/>
      </w:pPr>
      <w:r w:rsidRPr="00B73E8F">
        <w:t xml:space="preserve">I would like to first thank my principal advisor, Dr. James A. Fordyce, as well as my Ph.D. committee, Drs. Jennifer Schweizer, Susan Kalisz, and Sarah </w:t>
      </w:r>
      <w:proofErr w:type="spellStart"/>
      <w:r w:rsidRPr="00B73E8F">
        <w:t>Lebeis</w:t>
      </w:r>
      <w:proofErr w:type="spellEnd"/>
      <w:r w:rsidRPr="00B73E8F">
        <w:t xml:space="preserve">. </w:t>
      </w:r>
      <w:r w:rsidR="00B3206F" w:rsidRPr="00B73E8F">
        <w:t xml:space="preserve">This work could not be completed without their general support. I further would like to acknowledge Drs. Stephanie </w:t>
      </w:r>
      <w:proofErr w:type="spellStart"/>
      <w:r w:rsidR="00B3206F" w:rsidRPr="00B73E8F">
        <w:t>Kivlin</w:t>
      </w:r>
      <w:proofErr w:type="spellEnd"/>
      <w:r w:rsidR="00B3206F" w:rsidRPr="00B73E8F">
        <w:t xml:space="preserve">, Elizabeth </w:t>
      </w:r>
      <w:proofErr w:type="spellStart"/>
      <w:r w:rsidR="00B3206F" w:rsidRPr="00B73E8F">
        <w:t>Derryberry</w:t>
      </w:r>
      <w:proofErr w:type="spellEnd"/>
      <w:r w:rsidR="00B3206F" w:rsidRPr="00B73E8F">
        <w:t>, and other members of the UTK Departments of Ecology and Evolutionary Biology and Microbiology for aiding in the intellectual development and writing discussion centered around topics outlined throughout my dissertation.</w:t>
      </w:r>
      <w:r w:rsidR="00EA205E">
        <w:t xml:space="preserve"> I would like to thank Dr. Dan Warren (Okinawa Institute of Science and Technology) for aiding in </w:t>
      </w:r>
      <w:r w:rsidR="00B50F5D">
        <w:t xml:space="preserve">the development of </w:t>
      </w:r>
      <w:r w:rsidR="00EA205E">
        <w:t>hypothesis testing for ecological niche overlap using species distribution modeling.</w:t>
      </w:r>
      <w:r w:rsidR="00B3206F" w:rsidRPr="00B73E8F">
        <w:t xml:space="preserve"> I would also like to acknowledge the Tennessee Wildlife Resource Agency, The U.S. Forest Service Douglas Ranger District (U.S. Department of Agriculture), The Southwest Research Station (American Museum of Natural History), The Arnold Lab at the University of Arizona, School of Plant Sciences, The National Science Foundation </w:t>
      </w:r>
      <w:r w:rsidR="00A548B9" w:rsidRPr="00B73E8F">
        <w:t>(DEB1638922 to J.A.F. and S.L.L.), The TENN Herbarium, and the Association for Environmental Health and Science Foundation.</w:t>
      </w:r>
    </w:p>
    <w:p w14:paraId="63CA4C0A" w14:textId="6AD8BBDF" w:rsidR="00236E6D" w:rsidRPr="00E10C5F" w:rsidRDefault="00CD73A9" w:rsidP="008F60C3">
      <w:pPr>
        <w:jc w:val="center"/>
        <w:rPr>
          <w:sz w:val="28"/>
          <w:szCs w:val="28"/>
        </w:rPr>
      </w:pPr>
      <w:r w:rsidRPr="00B73E8F">
        <w:br w:type="page"/>
      </w:r>
      <w:r w:rsidR="00236E6D" w:rsidRPr="00E10C5F">
        <w:rPr>
          <w:b/>
          <w:bCs/>
          <w:sz w:val="28"/>
          <w:szCs w:val="28"/>
        </w:rPr>
        <w:lastRenderedPageBreak/>
        <w:t>ABSTRACT</w:t>
      </w:r>
    </w:p>
    <w:p w14:paraId="62D4140A" w14:textId="77777777" w:rsidR="00236E6D" w:rsidRPr="00B73E8F" w:rsidRDefault="00236E6D"/>
    <w:p w14:paraId="754227D5" w14:textId="6C1CAE12" w:rsidR="003F7FED" w:rsidRPr="00B73E8F" w:rsidRDefault="002077BF" w:rsidP="00C01719">
      <w:pPr>
        <w:spacing w:line="360" w:lineRule="auto"/>
        <w:ind w:firstLine="720"/>
      </w:pPr>
      <w:r>
        <w:t>With the development of next generation sequencing technology, ecologists have recently been able to describe microbial communities across a wide array of niche</w:t>
      </w:r>
      <w:r w:rsidR="0075438C">
        <w:t>s</w:t>
      </w:r>
      <w:r w:rsidR="00FF4635">
        <w:t xml:space="preserve"> at an accelerated pace</w:t>
      </w:r>
      <w:r>
        <w:t>.</w:t>
      </w:r>
      <w:r w:rsidR="00153B61">
        <w:t xml:space="preserve"> </w:t>
      </w:r>
      <w:r w:rsidR="00817FCF">
        <w:t>De-</w:t>
      </w:r>
      <w:r w:rsidR="001D45D8">
        <w:t xml:space="preserve">novo-based </w:t>
      </w:r>
      <w:r w:rsidR="00817FCF">
        <w:t>patterns in richness</w:t>
      </w:r>
      <w:r w:rsidR="001D45D8">
        <w:t xml:space="preserve"> and relative abundance</w:t>
      </w:r>
      <w:r w:rsidR="00817FCF">
        <w:t xml:space="preserve"> have been described for bacterial and fungal communities</w:t>
      </w:r>
      <w:r w:rsidR="00DB0055">
        <w:t xml:space="preserve"> in </w:t>
      </w:r>
      <w:r w:rsidR="007B20D8">
        <w:t>terrestrial, aquatic, and host-associated microhabitats</w:t>
      </w:r>
      <w:r w:rsidR="00817FCF">
        <w:t xml:space="preserve">. A recent synthesis </w:t>
      </w:r>
      <w:r w:rsidR="001D45D8">
        <w:t xml:space="preserve">has shown that </w:t>
      </w:r>
      <w:r w:rsidR="007B20D8">
        <w:t xml:space="preserve">these </w:t>
      </w:r>
      <w:r w:rsidR="001D45D8">
        <w:t xml:space="preserve">communities exhibit similar geographical patterns that have been traditionally described for plant and animals. Yet, there is a lack of </w:t>
      </w:r>
      <w:r w:rsidR="007B20D8">
        <w:t>hypothesis-based</w:t>
      </w:r>
      <w:r w:rsidR="001D45D8">
        <w:t xml:space="preserve"> research for host</w:t>
      </w:r>
      <w:r w:rsidR="00C947FB">
        <w:t>-</w:t>
      </w:r>
      <w:r w:rsidR="001D45D8">
        <w:t xml:space="preserve">associated microbial communities. </w:t>
      </w:r>
      <w:r w:rsidR="00C947FB">
        <w:t xml:space="preserve">Throughout this dissertation, I will address </w:t>
      </w:r>
      <w:r w:rsidR="001663C9">
        <w:t>how spatial scale, sequencing resolution, and manipulative rainfall exclusion</w:t>
      </w:r>
      <w:r w:rsidR="00C947FB">
        <w:t xml:space="preserve"> govern host-associated microbial communities in the rhizosphere microhabitat. </w:t>
      </w:r>
      <w:r w:rsidR="001663C9">
        <w:t xml:space="preserve">Further, I will show </w:t>
      </w:r>
      <w:r w:rsidR="00763E2C">
        <w:t xml:space="preserve">how ecological niche modeling predicts the </w:t>
      </w:r>
      <w:r w:rsidR="00B56B52">
        <w:t xml:space="preserve">most important </w:t>
      </w:r>
      <w:r w:rsidR="00763E2C">
        <w:t xml:space="preserve">climatic variables that circumscribe the distribution of an obligate ectomycorrhizal </w:t>
      </w:r>
      <w:r w:rsidR="003A7F1E">
        <w:t xml:space="preserve">(EM) </w:t>
      </w:r>
      <w:r w:rsidR="00763E2C">
        <w:t xml:space="preserve">fungus and its host. </w:t>
      </w:r>
      <w:r w:rsidR="00C74DA2">
        <w:t>First, rhizosphere bacterial communities are spatially distinct in terms of composition</w:t>
      </w:r>
      <w:r w:rsidR="009901DB">
        <w:t xml:space="preserve"> and alpha diversity</w:t>
      </w:r>
      <w:r w:rsidR="00C74DA2">
        <w:t xml:space="preserve"> along the root length. </w:t>
      </w:r>
      <w:r w:rsidR="00832319">
        <w:t xml:space="preserve">In this microhabitat, </w:t>
      </w:r>
      <w:r w:rsidR="009901DB">
        <w:t>the data shows a</w:t>
      </w:r>
      <w:r w:rsidR="00832319">
        <w:t xml:space="preserve"> positive Species-Area Relationship. </w:t>
      </w:r>
      <w:r w:rsidR="00D86841">
        <w:t>Second, c</w:t>
      </w:r>
      <w:r w:rsidR="00D86841" w:rsidRPr="00D86841">
        <w:t>ombining discrete</w:t>
      </w:r>
      <w:r w:rsidR="00D86841">
        <w:t>, fine grain</w:t>
      </w:r>
      <w:r w:rsidR="00D86841" w:rsidRPr="00D86841">
        <w:t xml:space="preserve"> samples </w:t>
      </w:r>
      <w:r w:rsidR="00D86841" w:rsidRPr="00D86841">
        <w:rPr>
          <w:i/>
          <w:iCs/>
        </w:rPr>
        <w:t xml:space="preserve">in silico </w:t>
      </w:r>
      <w:r w:rsidR="00D86841" w:rsidRPr="00D86841">
        <w:t>can</w:t>
      </w:r>
      <w:r w:rsidR="00D86841" w:rsidRPr="00D86841">
        <w:rPr>
          <w:b/>
          <w:bCs/>
        </w:rPr>
        <w:t xml:space="preserve"> </w:t>
      </w:r>
      <w:r w:rsidR="00D86841" w:rsidRPr="00D86841">
        <w:t xml:space="preserve">capture greater richness estimates across a spatial scale within a host specific environment. </w:t>
      </w:r>
      <w:r w:rsidR="009901DB">
        <w:t>Third, d</w:t>
      </w:r>
      <w:r w:rsidR="00BD195F">
        <w:t xml:space="preserve">ominant and rare </w:t>
      </w:r>
      <w:r w:rsidR="003F604B">
        <w:t xml:space="preserve">bacterial </w:t>
      </w:r>
      <w:r w:rsidR="00BD195F">
        <w:t xml:space="preserve">taxa respond to both rainfall exclusion and </w:t>
      </w:r>
      <w:r w:rsidR="00B15E04">
        <w:t xml:space="preserve">the log of phosphorous and ammonium </w:t>
      </w:r>
      <w:r w:rsidR="003F604B">
        <w:t xml:space="preserve">throughout the monsoon season in the </w:t>
      </w:r>
      <w:r w:rsidR="00B15E04">
        <w:t>Sonoran Desert</w:t>
      </w:r>
      <w:r w:rsidR="003F604B">
        <w:t xml:space="preserve">. Dominant bacterial taxa might be responsible for observed variation in beta diversity among rainfall exclusion treatments. </w:t>
      </w:r>
      <w:r w:rsidR="004E03CD">
        <w:t xml:space="preserve">Arbuscular mycorrhizal fungal communities are temporally dependent and respond to rainfall exclusion throughout the monsoon season. </w:t>
      </w:r>
      <w:r w:rsidR="008D008D">
        <w:t>M</w:t>
      </w:r>
      <w:r w:rsidR="003F604B">
        <w:t xml:space="preserve">oderate rainfall exclusion </w:t>
      </w:r>
      <w:r w:rsidR="000649E3">
        <w:t xml:space="preserve">hosts more ecologically diverse communities than no exclusion or extreme exclusion to rainfall. </w:t>
      </w:r>
      <w:r w:rsidR="00F3656B">
        <w:t xml:space="preserve">Lastly, </w:t>
      </w:r>
      <w:r w:rsidR="003A7F1E">
        <w:t xml:space="preserve">in current climate conditions, I showed that like plants and animals, temperature and precipitation can be the most important predictors of fungal distributions. Across all future climate scenarios, predicted habitat of EM fungi was seen to decrease more than that of its host. </w:t>
      </w:r>
      <w:r w:rsidR="00805DB6">
        <w:t xml:space="preserve">Results shown throughout these studies illustrate the importance spatial scale, sequencing grain, and abiotic conditions have on microbial community richness, as well as microbial persistence under changing soil moisture and future climate scenarios. </w:t>
      </w:r>
      <w:r w:rsidR="00236E6D" w:rsidRPr="00B73E8F">
        <w:br w:type="page"/>
      </w:r>
    </w:p>
    <w:sdt>
      <w:sdtPr>
        <w:rPr>
          <w:b w:val="0"/>
          <w:caps w:val="0"/>
          <w:sz w:val="24"/>
        </w:rPr>
        <w:id w:val="607165129"/>
        <w:docPartObj>
          <w:docPartGallery w:val="Table of Contents"/>
          <w:docPartUnique/>
        </w:docPartObj>
      </w:sdtPr>
      <w:sdtEndPr>
        <w:rPr>
          <w:bCs/>
          <w:noProof/>
        </w:rPr>
      </w:sdtEndPr>
      <w:sdtContent>
        <w:p w14:paraId="05FEFB16" w14:textId="77777777" w:rsidR="00E91931" w:rsidRPr="00E10C5F" w:rsidRDefault="00E91931" w:rsidP="00E10C5F">
          <w:pPr>
            <w:pStyle w:val="TOCHeading"/>
          </w:pPr>
          <w:r w:rsidRPr="00E10C5F">
            <w:t>Table of Contents</w:t>
          </w:r>
        </w:p>
        <w:p w14:paraId="6B3A2E2A" w14:textId="591F85E8" w:rsidR="00BE597B" w:rsidRPr="00BE597B" w:rsidRDefault="00E91931" w:rsidP="006B02D1">
          <w:pPr>
            <w:pStyle w:val="TOC1"/>
            <w:rPr>
              <w:rFonts w:eastAsiaTheme="minorEastAsia"/>
              <w:sz w:val="24"/>
              <w:szCs w:val="24"/>
            </w:rPr>
          </w:pPr>
          <w:r w:rsidRPr="00BE597B">
            <w:rPr>
              <w:noProof w:val="0"/>
            </w:rPr>
            <w:fldChar w:fldCharType="begin"/>
          </w:r>
          <w:r w:rsidRPr="00BE597B">
            <w:instrText xml:space="preserve"> TOC \o "1-3" \h \z \u </w:instrText>
          </w:r>
          <w:r w:rsidRPr="00BE597B">
            <w:rPr>
              <w:noProof w:val="0"/>
            </w:rPr>
            <w:fldChar w:fldCharType="separate"/>
          </w:r>
          <w:hyperlink w:anchor="_Toc102047988" w:history="1">
            <w:r w:rsidR="00BE597B" w:rsidRPr="00BE597B">
              <w:rPr>
                <w:rStyle w:val="Hyperlink"/>
                <w:rFonts w:ascii="Times New Roman" w:hAnsi="Times New Roman"/>
              </w:rPr>
              <w:t>INTRODUCTION</w:t>
            </w:r>
            <w:r w:rsidR="00BE597B" w:rsidRPr="00BE597B">
              <w:rPr>
                <w:webHidden/>
              </w:rPr>
              <w:tab/>
            </w:r>
            <w:r w:rsidR="00BE597B" w:rsidRPr="00BE597B">
              <w:rPr>
                <w:webHidden/>
              </w:rPr>
              <w:fldChar w:fldCharType="begin"/>
            </w:r>
            <w:r w:rsidR="00BE597B" w:rsidRPr="00BE597B">
              <w:rPr>
                <w:webHidden/>
              </w:rPr>
              <w:instrText xml:space="preserve"> PAGEREF _Toc102047988 \h </w:instrText>
            </w:r>
            <w:r w:rsidR="00BE597B" w:rsidRPr="00BE597B">
              <w:rPr>
                <w:webHidden/>
              </w:rPr>
            </w:r>
            <w:r w:rsidR="00BE597B" w:rsidRPr="00BE597B">
              <w:rPr>
                <w:webHidden/>
              </w:rPr>
              <w:fldChar w:fldCharType="separate"/>
            </w:r>
            <w:r w:rsidR="00F74166">
              <w:rPr>
                <w:webHidden/>
              </w:rPr>
              <w:t>1</w:t>
            </w:r>
            <w:r w:rsidR="00BE597B" w:rsidRPr="00BE597B">
              <w:rPr>
                <w:webHidden/>
              </w:rPr>
              <w:fldChar w:fldCharType="end"/>
            </w:r>
          </w:hyperlink>
        </w:p>
        <w:p w14:paraId="3209E344" w14:textId="3F1C00A7" w:rsidR="00BE597B" w:rsidRPr="00BE597B" w:rsidRDefault="004C71C8" w:rsidP="006B02D1">
          <w:pPr>
            <w:pStyle w:val="TOC1"/>
            <w:rPr>
              <w:rFonts w:eastAsiaTheme="minorEastAsia"/>
              <w:szCs w:val="24"/>
            </w:rPr>
          </w:pPr>
          <w:hyperlink w:anchor="_Toc102047989" w:history="1">
            <w:r w:rsidR="00BE597B" w:rsidRPr="00BE597B">
              <w:rPr>
                <w:rStyle w:val="Hyperlink"/>
                <w:rFonts w:ascii="Times New Roman" w:hAnsi="Times New Roman"/>
              </w:rPr>
              <w:t xml:space="preserve">CHAPTER ONE: BACTERIAL COMMUNITIES OF THE </w:t>
            </w:r>
            <w:r w:rsidR="00BE597B" w:rsidRPr="00BE597B">
              <w:rPr>
                <w:rStyle w:val="Hyperlink"/>
                <w:rFonts w:ascii="Times New Roman" w:hAnsi="Times New Roman"/>
                <w:i/>
                <w:iCs/>
              </w:rPr>
              <w:t>SALVIA LYRATA</w:t>
            </w:r>
            <w:r w:rsidR="00BE597B" w:rsidRPr="00BE597B">
              <w:rPr>
                <w:rStyle w:val="Hyperlink"/>
                <w:rFonts w:ascii="Times New Roman" w:hAnsi="Times New Roman"/>
              </w:rPr>
              <w:t xml:space="preserve"> RHIZOSP</w:t>
            </w:r>
            <w:r w:rsidR="00BE597B" w:rsidRPr="00BE597B">
              <w:rPr>
                <w:rStyle w:val="Hyperlink"/>
                <w:rFonts w:ascii="Times New Roman" w:hAnsi="Times New Roman"/>
              </w:rPr>
              <w:t>H</w:t>
            </w:r>
            <w:r w:rsidR="00BE597B" w:rsidRPr="00BE597B">
              <w:rPr>
                <w:rStyle w:val="Hyperlink"/>
                <w:rFonts w:ascii="Times New Roman" w:hAnsi="Times New Roman"/>
              </w:rPr>
              <w:t>ERE EXPLAINED BY SPATIAL STRUCTURE AND SAMPLING GRAIN</w:t>
            </w:r>
            <w:r w:rsidR="00BE597B" w:rsidRPr="00BE597B">
              <w:rPr>
                <w:webHidden/>
              </w:rPr>
              <w:tab/>
            </w:r>
            <w:r w:rsidR="00BE597B" w:rsidRPr="00BE597B">
              <w:rPr>
                <w:webHidden/>
              </w:rPr>
              <w:fldChar w:fldCharType="begin"/>
            </w:r>
            <w:r w:rsidR="00BE597B" w:rsidRPr="00BE597B">
              <w:rPr>
                <w:webHidden/>
              </w:rPr>
              <w:instrText xml:space="preserve"> PAGEREF _Toc102047989 \h </w:instrText>
            </w:r>
            <w:r w:rsidR="00BE597B" w:rsidRPr="00BE597B">
              <w:rPr>
                <w:webHidden/>
              </w:rPr>
            </w:r>
            <w:r w:rsidR="00BE597B" w:rsidRPr="00BE597B">
              <w:rPr>
                <w:webHidden/>
              </w:rPr>
              <w:fldChar w:fldCharType="separate"/>
            </w:r>
            <w:r w:rsidR="00F74166">
              <w:rPr>
                <w:webHidden/>
              </w:rPr>
              <w:t>6</w:t>
            </w:r>
            <w:r w:rsidR="00BE597B" w:rsidRPr="00BE597B">
              <w:rPr>
                <w:webHidden/>
              </w:rPr>
              <w:fldChar w:fldCharType="end"/>
            </w:r>
          </w:hyperlink>
        </w:p>
        <w:p w14:paraId="406071A8" w14:textId="39BDC717" w:rsidR="00BE597B" w:rsidRPr="00BE597B" w:rsidRDefault="004C71C8" w:rsidP="0028495F">
          <w:pPr>
            <w:pStyle w:val="TOC2"/>
            <w:tabs>
              <w:tab w:val="clear" w:pos="9350"/>
              <w:tab w:val="right" w:leader="dot" w:pos="9346"/>
            </w:tabs>
            <w:rPr>
              <w:rFonts w:eastAsiaTheme="minorEastAsia"/>
              <w:noProof/>
            </w:rPr>
          </w:pPr>
          <w:hyperlink w:anchor="_Toc102047990" w:history="1">
            <w:r w:rsidR="00BE597B" w:rsidRPr="00BE597B">
              <w:rPr>
                <w:rStyle w:val="Hyperlink"/>
                <w:rFonts w:ascii="Times New Roman" w:hAnsi="Times New Roman" w:cs="Times New Roman"/>
                <w:noProof/>
              </w:rPr>
              <w:t>Abstract</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_Toc102047990 \h </w:instrText>
            </w:r>
            <w:r w:rsidR="00BE597B" w:rsidRPr="00BE597B">
              <w:rPr>
                <w:noProof/>
                <w:webHidden/>
              </w:rPr>
            </w:r>
            <w:r w:rsidR="00BE597B" w:rsidRPr="00BE597B">
              <w:rPr>
                <w:noProof/>
                <w:webHidden/>
              </w:rPr>
              <w:fldChar w:fldCharType="separate"/>
            </w:r>
            <w:r w:rsidR="00F74166">
              <w:rPr>
                <w:noProof/>
                <w:webHidden/>
              </w:rPr>
              <w:t>7</w:t>
            </w:r>
            <w:r w:rsidR="00BE597B" w:rsidRPr="00BE597B">
              <w:rPr>
                <w:noProof/>
                <w:webHidden/>
              </w:rPr>
              <w:fldChar w:fldCharType="end"/>
            </w:r>
          </w:hyperlink>
        </w:p>
        <w:p w14:paraId="4EF51E96" w14:textId="56502ACA" w:rsidR="00BE597B" w:rsidRPr="00BE597B" w:rsidRDefault="004C71C8" w:rsidP="0028495F">
          <w:pPr>
            <w:pStyle w:val="TOC2"/>
            <w:tabs>
              <w:tab w:val="clear" w:pos="9350"/>
              <w:tab w:val="right" w:leader="dot" w:pos="9346"/>
            </w:tabs>
            <w:rPr>
              <w:rFonts w:eastAsiaTheme="minorEastAsia"/>
              <w:noProof/>
            </w:rPr>
          </w:pPr>
          <w:hyperlink w:anchor="_Toc102047991" w:history="1">
            <w:r w:rsidR="00BE597B" w:rsidRPr="00BE597B">
              <w:rPr>
                <w:rStyle w:val="Hyperlink"/>
                <w:rFonts w:ascii="Times New Roman" w:hAnsi="Times New Roman" w:cs="Times New Roman"/>
                <w:noProof/>
              </w:rPr>
              <w:t>Introduction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_Toc102047991 \h </w:instrText>
            </w:r>
            <w:r w:rsidR="00BE597B" w:rsidRPr="00BE597B">
              <w:rPr>
                <w:noProof/>
                <w:webHidden/>
              </w:rPr>
            </w:r>
            <w:r w:rsidR="00BE597B" w:rsidRPr="00BE597B">
              <w:rPr>
                <w:noProof/>
                <w:webHidden/>
              </w:rPr>
              <w:fldChar w:fldCharType="separate"/>
            </w:r>
            <w:r w:rsidR="00F74166">
              <w:rPr>
                <w:noProof/>
                <w:webHidden/>
              </w:rPr>
              <w:t>7</w:t>
            </w:r>
            <w:r w:rsidR="00BE597B" w:rsidRPr="00BE597B">
              <w:rPr>
                <w:noProof/>
                <w:webHidden/>
              </w:rPr>
              <w:fldChar w:fldCharType="end"/>
            </w:r>
          </w:hyperlink>
        </w:p>
        <w:p w14:paraId="2CA33131" w14:textId="7EC6CEDD" w:rsidR="00BE597B" w:rsidRPr="00BE597B" w:rsidRDefault="004C71C8" w:rsidP="0028495F">
          <w:pPr>
            <w:pStyle w:val="TOC2"/>
            <w:tabs>
              <w:tab w:val="clear" w:pos="9350"/>
              <w:tab w:val="right" w:leader="dot" w:pos="9346"/>
            </w:tabs>
            <w:rPr>
              <w:rFonts w:eastAsiaTheme="minorEastAsia"/>
              <w:noProof/>
            </w:rPr>
          </w:pPr>
          <w:hyperlink w:anchor="_Toc102047992" w:history="1">
            <w:r w:rsidR="00BE597B" w:rsidRPr="00BE597B">
              <w:rPr>
                <w:rStyle w:val="Hyperlink"/>
                <w:rFonts w:ascii="Times New Roman" w:hAnsi="Times New Roman" w:cs="Times New Roman"/>
                <w:noProof/>
              </w:rPr>
              <w:t>Materials and Methods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_Toc102047992 \h </w:instrText>
            </w:r>
            <w:r w:rsidR="00BE597B" w:rsidRPr="00BE597B">
              <w:rPr>
                <w:noProof/>
                <w:webHidden/>
              </w:rPr>
            </w:r>
            <w:r w:rsidR="00BE597B" w:rsidRPr="00BE597B">
              <w:rPr>
                <w:noProof/>
                <w:webHidden/>
              </w:rPr>
              <w:fldChar w:fldCharType="separate"/>
            </w:r>
            <w:r w:rsidR="00F74166">
              <w:rPr>
                <w:noProof/>
                <w:webHidden/>
              </w:rPr>
              <w:t>11</w:t>
            </w:r>
            <w:r w:rsidR="00BE597B" w:rsidRPr="00BE597B">
              <w:rPr>
                <w:noProof/>
                <w:webHidden/>
              </w:rPr>
              <w:fldChar w:fldCharType="end"/>
            </w:r>
          </w:hyperlink>
        </w:p>
        <w:p w14:paraId="0BA2F055" w14:textId="70D7FB03" w:rsidR="00BE597B" w:rsidRPr="00BE597B" w:rsidRDefault="004C71C8" w:rsidP="0028495F">
          <w:pPr>
            <w:pStyle w:val="TOC3"/>
            <w:tabs>
              <w:tab w:val="right" w:leader="dot" w:pos="9346"/>
            </w:tabs>
            <w:rPr>
              <w:rFonts w:eastAsiaTheme="minorEastAsia" w:cs="Times New Roman"/>
              <w:noProof/>
            </w:rPr>
          </w:pPr>
          <w:hyperlink w:anchor="_Toc102047993" w:history="1">
            <w:r w:rsidR="00BE597B" w:rsidRPr="00BE597B">
              <w:rPr>
                <w:rStyle w:val="Hyperlink"/>
                <w:rFonts w:ascii="Times New Roman" w:hAnsi="Times New Roman" w:cs="Times New Roman"/>
                <w:noProof/>
              </w:rPr>
              <w:t>Study System</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_Toc102047993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11</w:t>
            </w:r>
            <w:r w:rsidR="00BE597B" w:rsidRPr="00BE597B">
              <w:rPr>
                <w:rFonts w:cs="Times New Roman"/>
                <w:noProof/>
                <w:webHidden/>
              </w:rPr>
              <w:fldChar w:fldCharType="end"/>
            </w:r>
          </w:hyperlink>
        </w:p>
        <w:p w14:paraId="04EAA3F5" w14:textId="1407E739" w:rsidR="00BE597B" w:rsidRPr="00BE597B" w:rsidRDefault="004C71C8" w:rsidP="0028495F">
          <w:pPr>
            <w:pStyle w:val="TOC3"/>
            <w:tabs>
              <w:tab w:val="right" w:leader="dot" w:pos="9346"/>
            </w:tabs>
            <w:rPr>
              <w:rFonts w:eastAsiaTheme="minorEastAsia" w:cs="Times New Roman"/>
              <w:noProof/>
            </w:rPr>
          </w:pPr>
          <w:hyperlink w:anchor="_Toc102047994" w:history="1">
            <w:r w:rsidR="00BE597B" w:rsidRPr="00BE597B">
              <w:rPr>
                <w:rStyle w:val="Hyperlink"/>
                <w:rFonts w:ascii="Times New Roman" w:hAnsi="Times New Roman" w:cs="Times New Roman"/>
                <w:noProof/>
              </w:rPr>
              <w:t>Rhizosphere microbiome sampling</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_Toc102047994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11</w:t>
            </w:r>
            <w:r w:rsidR="00BE597B" w:rsidRPr="00BE597B">
              <w:rPr>
                <w:rFonts w:cs="Times New Roman"/>
                <w:noProof/>
                <w:webHidden/>
              </w:rPr>
              <w:fldChar w:fldCharType="end"/>
            </w:r>
          </w:hyperlink>
        </w:p>
        <w:p w14:paraId="38A08E86" w14:textId="0C34B1B7" w:rsidR="00BE597B" w:rsidRPr="00BE597B" w:rsidRDefault="004C71C8" w:rsidP="0028495F">
          <w:pPr>
            <w:pStyle w:val="TOC3"/>
            <w:tabs>
              <w:tab w:val="right" w:leader="dot" w:pos="9346"/>
            </w:tabs>
            <w:rPr>
              <w:rFonts w:eastAsiaTheme="minorEastAsia" w:cs="Times New Roman"/>
              <w:noProof/>
            </w:rPr>
          </w:pPr>
          <w:hyperlink w:anchor="_Toc102047995" w:history="1">
            <w:r w:rsidR="00BE597B" w:rsidRPr="00BE597B">
              <w:rPr>
                <w:rStyle w:val="Hyperlink"/>
                <w:rFonts w:ascii="Times New Roman" w:hAnsi="Times New Roman" w:cs="Times New Roman"/>
                <w:noProof/>
              </w:rPr>
              <w:t>Sampling grain: pooling in vitro versus in silico</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_Toc102047995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12</w:t>
            </w:r>
            <w:r w:rsidR="00BE597B" w:rsidRPr="00BE597B">
              <w:rPr>
                <w:rFonts w:cs="Times New Roman"/>
                <w:noProof/>
                <w:webHidden/>
              </w:rPr>
              <w:fldChar w:fldCharType="end"/>
            </w:r>
          </w:hyperlink>
        </w:p>
        <w:p w14:paraId="02887E14" w14:textId="73706D11" w:rsidR="00BE597B" w:rsidRPr="00BE597B" w:rsidRDefault="004C71C8" w:rsidP="0028495F">
          <w:pPr>
            <w:pStyle w:val="TOC3"/>
            <w:tabs>
              <w:tab w:val="right" w:leader="dot" w:pos="9346"/>
            </w:tabs>
            <w:rPr>
              <w:rFonts w:eastAsiaTheme="minorEastAsia" w:cs="Times New Roman"/>
              <w:noProof/>
            </w:rPr>
          </w:pPr>
          <w:hyperlink w:anchor="_Toc102047996" w:history="1">
            <w:r w:rsidR="00BE597B" w:rsidRPr="00BE597B">
              <w:rPr>
                <w:rStyle w:val="Hyperlink"/>
                <w:rFonts w:ascii="Times New Roman" w:hAnsi="Times New Roman" w:cs="Times New Roman"/>
                <w:noProof/>
              </w:rPr>
              <w:t>16S rRNA gene library preparation for Illumina MiSeq</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_Toc102047996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12</w:t>
            </w:r>
            <w:r w:rsidR="00BE597B" w:rsidRPr="00BE597B">
              <w:rPr>
                <w:rFonts w:cs="Times New Roman"/>
                <w:noProof/>
                <w:webHidden/>
              </w:rPr>
              <w:fldChar w:fldCharType="end"/>
            </w:r>
          </w:hyperlink>
        </w:p>
        <w:p w14:paraId="49597F1C" w14:textId="02D00129" w:rsidR="00BE597B" w:rsidRPr="00BE597B" w:rsidRDefault="004C71C8" w:rsidP="0028495F">
          <w:pPr>
            <w:pStyle w:val="TOC3"/>
            <w:tabs>
              <w:tab w:val="right" w:leader="dot" w:pos="9346"/>
            </w:tabs>
            <w:rPr>
              <w:rFonts w:eastAsiaTheme="minorEastAsia" w:cs="Times New Roman"/>
              <w:noProof/>
            </w:rPr>
          </w:pPr>
          <w:hyperlink w:anchor="_Toc102047997" w:history="1">
            <w:r w:rsidR="00BE597B" w:rsidRPr="00BE597B">
              <w:rPr>
                <w:rStyle w:val="Hyperlink"/>
                <w:rFonts w:ascii="Times New Roman" w:hAnsi="Times New Roman" w:cs="Times New Roman"/>
                <w:noProof/>
              </w:rPr>
              <w:t>Bioinformatics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_Toc102047997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14</w:t>
            </w:r>
            <w:r w:rsidR="00BE597B" w:rsidRPr="00BE597B">
              <w:rPr>
                <w:rFonts w:cs="Times New Roman"/>
                <w:noProof/>
                <w:webHidden/>
              </w:rPr>
              <w:fldChar w:fldCharType="end"/>
            </w:r>
          </w:hyperlink>
        </w:p>
        <w:p w14:paraId="096E37B5" w14:textId="2D55E8AD" w:rsidR="00BE597B" w:rsidRPr="00BE597B" w:rsidRDefault="004C71C8" w:rsidP="0028495F">
          <w:pPr>
            <w:pStyle w:val="TOC3"/>
            <w:tabs>
              <w:tab w:val="right" w:leader="dot" w:pos="9346"/>
            </w:tabs>
            <w:rPr>
              <w:rFonts w:eastAsiaTheme="minorEastAsia" w:cs="Times New Roman"/>
              <w:noProof/>
            </w:rPr>
          </w:pPr>
          <w:hyperlink w:anchor="_Toc102047998" w:history="1">
            <w:r w:rsidR="00BE597B" w:rsidRPr="00BE597B">
              <w:rPr>
                <w:rStyle w:val="Hyperlink"/>
                <w:rFonts w:ascii="Times New Roman" w:hAnsi="Times New Roman" w:cs="Times New Roman"/>
                <w:noProof/>
              </w:rPr>
              <w:t>Hypothesis testing and statistical analyses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_Toc102047998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15</w:t>
            </w:r>
            <w:r w:rsidR="00BE597B" w:rsidRPr="00BE597B">
              <w:rPr>
                <w:rFonts w:cs="Times New Roman"/>
                <w:noProof/>
                <w:webHidden/>
              </w:rPr>
              <w:fldChar w:fldCharType="end"/>
            </w:r>
          </w:hyperlink>
        </w:p>
        <w:p w14:paraId="645BDFC3" w14:textId="0C05143B" w:rsidR="00BE597B" w:rsidRPr="00BE597B" w:rsidRDefault="004C71C8" w:rsidP="0028495F">
          <w:pPr>
            <w:pStyle w:val="TOC2"/>
            <w:tabs>
              <w:tab w:val="clear" w:pos="9350"/>
              <w:tab w:val="right" w:leader="dot" w:pos="9346"/>
            </w:tabs>
            <w:rPr>
              <w:rFonts w:eastAsiaTheme="minorEastAsia"/>
              <w:noProof/>
            </w:rPr>
          </w:pPr>
          <w:hyperlink w:anchor="_Toc102047999" w:history="1">
            <w:r w:rsidR="00BE597B" w:rsidRPr="00BE597B">
              <w:rPr>
                <w:rStyle w:val="Hyperlink"/>
                <w:rFonts w:ascii="Times New Roman" w:hAnsi="Times New Roman" w:cs="Times New Roman"/>
                <w:noProof/>
              </w:rPr>
              <w:t>Results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_Toc102047999 \h </w:instrText>
            </w:r>
            <w:r w:rsidR="00BE597B" w:rsidRPr="00BE597B">
              <w:rPr>
                <w:noProof/>
                <w:webHidden/>
              </w:rPr>
            </w:r>
            <w:r w:rsidR="00BE597B" w:rsidRPr="00BE597B">
              <w:rPr>
                <w:noProof/>
                <w:webHidden/>
              </w:rPr>
              <w:fldChar w:fldCharType="separate"/>
            </w:r>
            <w:r w:rsidR="00F74166">
              <w:rPr>
                <w:noProof/>
                <w:webHidden/>
              </w:rPr>
              <w:t>17</w:t>
            </w:r>
            <w:r w:rsidR="00BE597B" w:rsidRPr="00BE597B">
              <w:rPr>
                <w:noProof/>
                <w:webHidden/>
              </w:rPr>
              <w:fldChar w:fldCharType="end"/>
            </w:r>
          </w:hyperlink>
        </w:p>
        <w:p w14:paraId="33A420D8" w14:textId="10F7C5A2" w:rsidR="00BE597B" w:rsidRPr="00BE597B" w:rsidRDefault="004C71C8" w:rsidP="0028495F">
          <w:pPr>
            <w:pStyle w:val="TOC3"/>
            <w:tabs>
              <w:tab w:val="right" w:leader="dot" w:pos="9346"/>
            </w:tabs>
            <w:rPr>
              <w:rFonts w:eastAsiaTheme="minorEastAsia" w:cs="Times New Roman"/>
              <w:noProof/>
            </w:rPr>
          </w:pPr>
          <w:hyperlink w:anchor="_Toc102048000" w:history="1">
            <w:r w:rsidR="00BE597B" w:rsidRPr="00BE597B">
              <w:rPr>
                <w:rStyle w:val="Hyperlink"/>
                <w:rFonts w:ascii="Times New Roman" w:hAnsi="Times New Roman" w:cs="Times New Roman"/>
                <w:noProof/>
              </w:rPr>
              <w:t xml:space="preserve">The </w:t>
            </w:r>
            <w:r w:rsidR="00BE597B" w:rsidRPr="00BE597B">
              <w:rPr>
                <w:rStyle w:val="Hyperlink"/>
                <w:rFonts w:ascii="Times New Roman" w:hAnsi="Times New Roman" w:cs="Times New Roman"/>
                <w:iCs/>
                <w:noProof/>
              </w:rPr>
              <w:t>Salvia lyrata</w:t>
            </w:r>
            <w:r w:rsidR="00BE597B" w:rsidRPr="00BE597B">
              <w:rPr>
                <w:rStyle w:val="Hyperlink"/>
                <w:rFonts w:ascii="Times New Roman" w:hAnsi="Times New Roman" w:cs="Times New Roman"/>
                <w:noProof/>
              </w:rPr>
              <w:t xml:space="preserve"> rhizosphere microbiome</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_Toc102048000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17</w:t>
            </w:r>
            <w:r w:rsidR="00BE597B" w:rsidRPr="00BE597B">
              <w:rPr>
                <w:rFonts w:cs="Times New Roman"/>
                <w:noProof/>
                <w:webHidden/>
              </w:rPr>
              <w:fldChar w:fldCharType="end"/>
            </w:r>
          </w:hyperlink>
        </w:p>
        <w:p w14:paraId="3A8CD29D" w14:textId="47FB92DA" w:rsidR="00BE597B" w:rsidRPr="00BE597B" w:rsidRDefault="004C71C8" w:rsidP="0028495F">
          <w:pPr>
            <w:pStyle w:val="TOC3"/>
            <w:tabs>
              <w:tab w:val="right" w:leader="dot" w:pos="9346"/>
            </w:tabs>
            <w:rPr>
              <w:rFonts w:eastAsiaTheme="minorEastAsia" w:cs="Times New Roman"/>
              <w:noProof/>
            </w:rPr>
          </w:pPr>
          <w:hyperlink w:anchor="_Toc102048001" w:history="1">
            <w:r w:rsidR="00BE597B" w:rsidRPr="00BE597B">
              <w:rPr>
                <w:rStyle w:val="Hyperlink"/>
                <w:rFonts w:ascii="Times New Roman" w:hAnsi="Times New Roman" w:cs="Times New Roman"/>
                <w:noProof/>
              </w:rPr>
              <w:t>Microbiomes are spatially structured by depth within the rhizosphere</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_Toc102048001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17</w:t>
            </w:r>
            <w:r w:rsidR="00BE597B" w:rsidRPr="00BE597B">
              <w:rPr>
                <w:rFonts w:cs="Times New Roman"/>
                <w:noProof/>
                <w:webHidden/>
              </w:rPr>
              <w:fldChar w:fldCharType="end"/>
            </w:r>
          </w:hyperlink>
        </w:p>
        <w:p w14:paraId="4778AA33" w14:textId="62A2E3FA" w:rsidR="00BE597B" w:rsidRPr="00BE597B" w:rsidRDefault="004C71C8" w:rsidP="0028495F">
          <w:pPr>
            <w:pStyle w:val="TOC3"/>
            <w:tabs>
              <w:tab w:val="right" w:leader="dot" w:pos="9346"/>
            </w:tabs>
            <w:rPr>
              <w:rFonts w:eastAsiaTheme="minorEastAsia" w:cs="Times New Roman"/>
              <w:noProof/>
            </w:rPr>
          </w:pPr>
          <w:hyperlink w:anchor="_Toc102048002" w:history="1">
            <w:r w:rsidR="00BE597B" w:rsidRPr="00BE597B">
              <w:rPr>
                <w:rStyle w:val="Hyperlink"/>
                <w:rFonts w:ascii="Times New Roman" w:hAnsi="Times New Roman" w:cs="Times New Roman"/>
                <w:noProof/>
              </w:rPr>
              <w:t xml:space="preserve">Rarefied richness is greater when rhizosphere depths are pooled </w:t>
            </w:r>
            <w:r w:rsidR="00BE597B" w:rsidRPr="00BE597B">
              <w:rPr>
                <w:rStyle w:val="Hyperlink"/>
                <w:rFonts w:ascii="Times New Roman" w:hAnsi="Times New Roman" w:cs="Times New Roman"/>
                <w:iCs/>
                <w:noProof/>
              </w:rPr>
              <w:t>in silico</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_Toc102048002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25</w:t>
            </w:r>
            <w:r w:rsidR="00BE597B" w:rsidRPr="00BE597B">
              <w:rPr>
                <w:rFonts w:cs="Times New Roman"/>
                <w:noProof/>
                <w:webHidden/>
              </w:rPr>
              <w:fldChar w:fldCharType="end"/>
            </w:r>
          </w:hyperlink>
        </w:p>
        <w:p w14:paraId="7B264635" w14:textId="2A1A8E92" w:rsidR="00BE597B" w:rsidRPr="00BE597B" w:rsidRDefault="004C71C8" w:rsidP="0028495F">
          <w:pPr>
            <w:pStyle w:val="TOC2"/>
            <w:tabs>
              <w:tab w:val="clear" w:pos="9350"/>
              <w:tab w:val="right" w:leader="dot" w:pos="9346"/>
            </w:tabs>
            <w:rPr>
              <w:rFonts w:eastAsiaTheme="minorEastAsia"/>
              <w:noProof/>
            </w:rPr>
          </w:pPr>
          <w:hyperlink w:anchor="_Toc102048003" w:history="1">
            <w:r w:rsidR="00BE597B" w:rsidRPr="00BE597B">
              <w:rPr>
                <w:rStyle w:val="Hyperlink"/>
                <w:rFonts w:ascii="Times New Roman" w:hAnsi="Times New Roman" w:cs="Times New Roman"/>
                <w:noProof/>
              </w:rPr>
              <w:t>Discussion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_Toc102048003 \h </w:instrText>
            </w:r>
            <w:r w:rsidR="00BE597B" w:rsidRPr="00BE597B">
              <w:rPr>
                <w:noProof/>
                <w:webHidden/>
              </w:rPr>
            </w:r>
            <w:r w:rsidR="00BE597B" w:rsidRPr="00BE597B">
              <w:rPr>
                <w:noProof/>
                <w:webHidden/>
              </w:rPr>
              <w:fldChar w:fldCharType="separate"/>
            </w:r>
            <w:r w:rsidR="00F74166">
              <w:rPr>
                <w:noProof/>
                <w:webHidden/>
              </w:rPr>
              <w:t>25</w:t>
            </w:r>
            <w:r w:rsidR="00BE597B" w:rsidRPr="00BE597B">
              <w:rPr>
                <w:noProof/>
                <w:webHidden/>
              </w:rPr>
              <w:fldChar w:fldCharType="end"/>
            </w:r>
          </w:hyperlink>
        </w:p>
        <w:p w14:paraId="06605DBD" w14:textId="3CF3A279" w:rsidR="00BE597B" w:rsidRPr="00BE597B" w:rsidRDefault="004C71C8" w:rsidP="0028495F">
          <w:pPr>
            <w:pStyle w:val="TOC3"/>
            <w:tabs>
              <w:tab w:val="right" w:leader="dot" w:pos="9346"/>
            </w:tabs>
            <w:rPr>
              <w:rFonts w:eastAsiaTheme="minorEastAsia" w:cs="Times New Roman"/>
              <w:noProof/>
            </w:rPr>
          </w:pPr>
          <w:hyperlink w:anchor="_Toc102048004" w:history="1">
            <w:r w:rsidR="00BE597B" w:rsidRPr="00BE597B">
              <w:rPr>
                <w:rStyle w:val="Hyperlink"/>
                <w:rFonts w:ascii="Times New Roman" w:hAnsi="Times New Roman" w:cs="Times New Roman"/>
                <w:noProof/>
              </w:rPr>
              <w:t>Summary</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_Toc102048004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25</w:t>
            </w:r>
            <w:r w:rsidR="00BE597B" w:rsidRPr="00BE597B">
              <w:rPr>
                <w:rFonts w:cs="Times New Roman"/>
                <w:noProof/>
                <w:webHidden/>
              </w:rPr>
              <w:fldChar w:fldCharType="end"/>
            </w:r>
          </w:hyperlink>
        </w:p>
        <w:p w14:paraId="39F8C027" w14:textId="770960C4" w:rsidR="00BE597B" w:rsidRPr="00BE597B" w:rsidRDefault="004C71C8" w:rsidP="0028495F">
          <w:pPr>
            <w:pStyle w:val="TOC3"/>
            <w:tabs>
              <w:tab w:val="right" w:leader="dot" w:pos="9346"/>
            </w:tabs>
            <w:rPr>
              <w:rFonts w:eastAsiaTheme="minorEastAsia" w:cs="Times New Roman"/>
              <w:noProof/>
            </w:rPr>
          </w:pPr>
          <w:hyperlink w:anchor="_Toc102048005" w:history="1">
            <w:r w:rsidR="00BE597B" w:rsidRPr="00BE597B">
              <w:rPr>
                <w:rStyle w:val="Hyperlink"/>
                <w:rFonts w:ascii="Times New Roman" w:hAnsi="Times New Roman" w:cs="Times New Roman"/>
                <w:noProof/>
              </w:rPr>
              <w:t>Bacterial communities are spatial structured across rhizosphere depths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_Toc102048005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28</w:t>
            </w:r>
            <w:r w:rsidR="00BE597B" w:rsidRPr="00BE597B">
              <w:rPr>
                <w:rFonts w:cs="Times New Roman"/>
                <w:noProof/>
                <w:webHidden/>
              </w:rPr>
              <w:fldChar w:fldCharType="end"/>
            </w:r>
          </w:hyperlink>
        </w:p>
        <w:p w14:paraId="16F05D41" w14:textId="6B2ABDD2" w:rsidR="00BE597B" w:rsidRPr="00BE597B" w:rsidRDefault="004C71C8" w:rsidP="0028495F">
          <w:pPr>
            <w:pStyle w:val="TOC3"/>
            <w:tabs>
              <w:tab w:val="right" w:leader="dot" w:pos="9346"/>
            </w:tabs>
            <w:rPr>
              <w:rFonts w:eastAsiaTheme="minorEastAsia" w:cs="Times New Roman"/>
              <w:noProof/>
            </w:rPr>
          </w:pPr>
          <w:hyperlink w:anchor="_Toc102048006" w:history="1">
            <w:r w:rsidR="00BE597B" w:rsidRPr="00BE597B">
              <w:rPr>
                <w:rStyle w:val="Hyperlink"/>
                <w:rFonts w:ascii="Times New Roman" w:hAnsi="Times New Roman" w:cs="Times New Roman"/>
                <w:noProof/>
              </w:rPr>
              <w:t>Sampling grain affects rarefied bacterial richness and relative abundance</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_Toc102048006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30</w:t>
            </w:r>
            <w:r w:rsidR="00BE597B" w:rsidRPr="00BE597B">
              <w:rPr>
                <w:rFonts w:cs="Times New Roman"/>
                <w:noProof/>
                <w:webHidden/>
              </w:rPr>
              <w:fldChar w:fldCharType="end"/>
            </w:r>
          </w:hyperlink>
        </w:p>
        <w:p w14:paraId="1E364C39" w14:textId="56A7BC63" w:rsidR="00BE597B" w:rsidRPr="00BE597B" w:rsidRDefault="004C71C8" w:rsidP="006B02D1">
          <w:pPr>
            <w:pStyle w:val="TOC1"/>
            <w:rPr>
              <w:rFonts w:eastAsiaTheme="minorEastAsia"/>
              <w:szCs w:val="24"/>
            </w:rPr>
          </w:pPr>
          <w:hyperlink w:anchor="_Toc102048007" w:history="1">
            <w:r w:rsidR="00BE597B" w:rsidRPr="00BE597B">
              <w:rPr>
                <w:rStyle w:val="Hyperlink"/>
                <w:rFonts w:ascii="Times New Roman" w:hAnsi="Times New Roman"/>
              </w:rPr>
              <w:t>CHAPTER TWO: BACTERIAL COMMUNITIES RESP</w:t>
            </w:r>
            <w:r w:rsidR="00BE597B" w:rsidRPr="003B5719">
              <w:rPr>
                <w:rStyle w:val="Hyperlink"/>
                <w:rFonts w:ascii="Times New Roman" w:hAnsi="Times New Roman"/>
                <w:sz w:val="28"/>
              </w:rPr>
              <w:t>OND TO CHANGES IN SOIL MOISTURE THROUGHOUT THE SONORAN DESERT MONSOON SEASON</w:t>
            </w:r>
            <w:r w:rsidR="00BE597B" w:rsidRPr="003B5719">
              <w:rPr>
                <w:webHidden/>
              </w:rPr>
              <w:tab/>
            </w:r>
            <w:r w:rsidR="00BE597B" w:rsidRPr="003B5719">
              <w:rPr>
                <w:webHidden/>
              </w:rPr>
              <w:fldChar w:fldCharType="begin"/>
            </w:r>
            <w:r w:rsidR="00BE597B" w:rsidRPr="003B5719">
              <w:rPr>
                <w:webHidden/>
              </w:rPr>
              <w:instrText xml:space="preserve"> PAGEREF _Toc102048007 \h </w:instrText>
            </w:r>
            <w:r w:rsidR="00BE597B" w:rsidRPr="003B5719">
              <w:rPr>
                <w:webHidden/>
              </w:rPr>
            </w:r>
            <w:r w:rsidR="00BE597B" w:rsidRPr="003B5719">
              <w:rPr>
                <w:webHidden/>
              </w:rPr>
              <w:fldChar w:fldCharType="separate"/>
            </w:r>
            <w:r w:rsidR="00F74166">
              <w:rPr>
                <w:webHidden/>
              </w:rPr>
              <w:t>32</w:t>
            </w:r>
            <w:r w:rsidR="00BE597B" w:rsidRPr="003B5719">
              <w:rPr>
                <w:webHidden/>
              </w:rPr>
              <w:fldChar w:fldCharType="end"/>
            </w:r>
          </w:hyperlink>
        </w:p>
        <w:p w14:paraId="2416F6BC" w14:textId="294EFF55" w:rsidR="00BE597B" w:rsidRPr="00BE597B" w:rsidRDefault="004C71C8" w:rsidP="0028495F">
          <w:pPr>
            <w:pStyle w:val="TOC2"/>
            <w:tabs>
              <w:tab w:val="clear" w:pos="9350"/>
              <w:tab w:val="right" w:leader="dot" w:pos="9346"/>
            </w:tabs>
            <w:rPr>
              <w:rFonts w:eastAsiaTheme="minorEastAsia"/>
              <w:noProof/>
            </w:rPr>
          </w:pPr>
          <w:hyperlink w:anchor="_Toc102048008" w:history="1">
            <w:r w:rsidR="00BE597B" w:rsidRPr="00BE597B">
              <w:rPr>
                <w:rStyle w:val="Hyperlink"/>
                <w:rFonts w:ascii="Times New Roman" w:hAnsi="Times New Roman" w:cs="Times New Roman"/>
                <w:noProof/>
              </w:rPr>
              <w:t>Abstract</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_Toc102048008 \h </w:instrText>
            </w:r>
            <w:r w:rsidR="00BE597B" w:rsidRPr="00BE597B">
              <w:rPr>
                <w:noProof/>
                <w:webHidden/>
              </w:rPr>
            </w:r>
            <w:r w:rsidR="00BE597B" w:rsidRPr="00BE597B">
              <w:rPr>
                <w:noProof/>
                <w:webHidden/>
              </w:rPr>
              <w:fldChar w:fldCharType="separate"/>
            </w:r>
            <w:r w:rsidR="00F74166">
              <w:rPr>
                <w:noProof/>
                <w:webHidden/>
              </w:rPr>
              <w:t>33</w:t>
            </w:r>
            <w:r w:rsidR="00BE597B" w:rsidRPr="00BE597B">
              <w:rPr>
                <w:noProof/>
                <w:webHidden/>
              </w:rPr>
              <w:fldChar w:fldCharType="end"/>
            </w:r>
          </w:hyperlink>
        </w:p>
        <w:p w14:paraId="20043D7A" w14:textId="2A7006C0" w:rsidR="00BE597B" w:rsidRPr="00BE597B" w:rsidRDefault="004C71C8" w:rsidP="0028495F">
          <w:pPr>
            <w:pStyle w:val="TOC2"/>
            <w:tabs>
              <w:tab w:val="clear" w:pos="9350"/>
              <w:tab w:val="right" w:leader="dot" w:pos="9346"/>
            </w:tabs>
            <w:rPr>
              <w:rFonts w:eastAsiaTheme="minorEastAsia"/>
              <w:noProof/>
            </w:rPr>
          </w:pPr>
          <w:hyperlink w:anchor="_Toc102048009" w:history="1">
            <w:r w:rsidR="00BE597B" w:rsidRPr="00BE597B">
              <w:rPr>
                <w:rStyle w:val="Hyperlink"/>
                <w:rFonts w:ascii="Times New Roman" w:hAnsi="Times New Roman" w:cs="Times New Roman"/>
                <w:noProof/>
              </w:rPr>
              <w:t>Introduction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_Toc102048009 \h </w:instrText>
            </w:r>
            <w:r w:rsidR="00BE597B" w:rsidRPr="00BE597B">
              <w:rPr>
                <w:noProof/>
                <w:webHidden/>
              </w:rPr>
            </w:r>
            <w:r w:rsidR="00BE597B" w:rsidRPr="00BE597B">
              <w:rPr>
                <w:noProof/>
                <w:webHidden/>
              </w:rPr>
              <w:fldChar w:fldCharType="separate"/>
            </w:r>
            <w:r w:rsidR="00F74166">
              <w:rPr>
                <w:noProof/>
                <w:webHidden/>
              </w:rPr>
              <w:t>33</w:t>
            </w:r>
            <w:r w:rsidR="00BE597B" w:rsidRPr="00BE597B">
              <w:rPr>
                <w:noProof/>
                <w:webHidden/>
              </w:rPr>
              <w:fldChar w:fldCharType="end"/>
            </w:r>
          </w:hyperlink>
        </w:p>
        <w:p w14:paraId="5DB7271E" w14:textId="3A8C087B" w:rsidR="00BE597B" w:rsidRPr="00BE597B" w:rsidRDefault="004C71C8" w:rsidP="0028495F">
          <w:pPr>
            <w:pStyle w:val="TOC2"/>
            <w:tabs>
              <w:tab w:val="clear" w:pos="9350"/>
              <w:tab w:val="right" w:leader="dot" w:pos="9346"/>
            </w:tabs>
            <w:rPr>
              <w:rFonts w:eastAsiaTheme="minorEastAsia"/>
              <w:noProof/>
            </w:rPr>
          </w:pPr>
          <w:hyperlink w:anchor="_Toc102048010" w:history="1">
            <w:r w:rsidR="00BE597B" w:rsidRPr="00BE597B">
              <w:rPr>
                <w:rStyle w:val="Hyperlink"/>
                <w:rFonts w:ascii="Times New Roman" w:hAnsi="Times New Roman" w:cs="Times New Roman"/>
                <w:noProof/>
              </w:rPr>
              <w:t>Methods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_Toc102048010 \h </w:instrText>
            </w:r>
            <w:r w:rsidR="00BE597B" w:rsidRPr="00BE597B">
              <w:rPr>
                <w:noProof/>
                <w:webHidden/>
              </w:rPr>
            </w:r>
            <w:r w:rsidR="00BE597B" w:rsidRPr="00BE597B">
              <w:rPr>
                <w:noProof/>
                <w:webHidden/>
              </w:rPr>
              <w:fldChar w:fldCharType="separate"/>
            </w:r>
            <w:r w:rsidR="00F74166">
              <w:rPr>
                <w:noProof/>
                <w:webHidden/>
              </w:rPr>
              <w:t>36</w:t>
            </w:r>
            <w:r w:rsidR="00BE597B" w:rsidRPr="00BE597B">
              <w:rPr>
                <w:noProof/>
                <w:webHidden/>
              </w:rPr>
              <w:fldChar w:fldCharType="end"/>
            </w:r>
          </w:hyperlink>
        </w:p>
        <w:p w14:paraId="566493C5" w14:textId="26F68059" w:rsidR="00BE597B" w:rsidRPr="00BE597B" w:rsidRDefault="004C71C8" w:rsidP="0028495F">
          <w:pPr>
            <w:pStyle w:val="TOC3"/>
            <w:tabs>
              <w:tab w:val="right" w:leader="dot" w:pos="9346"/>
            </w:tabs>
            <w:rPr>
              <w:rFonts w:eastAsiaTheme="minorEastAsia" w:cs="Times New Roman"/>
              <w:noProof/>
            </w:rPr>
          </w:pPr>
          <w:hyperlink w:anchor="_Toc102048011" w:history="1">
            <w:r w:rsidR="00BE597B" w:rsidRPr="00BE597B">
              <w:rPr>
                <w:rStyle w:val="Hyperlink"/>
                <w:rFonts w:ascii="Times New Roman" w:hAnsi="Times New Roman" w:cs="Times New Roman"/>
                <w:noProof/>
              </w:rPr>
              <w:t>Experimental design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_Toc102048011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36</w:t>
            </w:r>
            <w:r w:rsidR="00BE597B" w:rsidRPr="00BE597B">
              <w:rPr>
                <w:rFonts w:cs="Times New Roman"/>
                <w:noProof/>
                <w:webHidden/>
              </w:rPr>
              <w:fldChar w:fldCharType="end"/>
            </w:r>
          </w:hyperlink>
        </w:p>
        <w:p w14:paraId="6B85DFA7" w14:textId="2F1FA3AF" w:rsidR="00BE597B" w:rsidRPr="00BE597B" w:rsidRDefault="004C71C8" w:rsidP="0028495F">
          <w:pPr>
            <w:pStyle w:val="TOC3"/>
            <w:tabs>
              <w:tab w:val="right" w:leader="dot" w:pos="9346"/>
            </w:tabs>
            <w:rPr>
              <w:rFonts w:eastAsiaTheme="minorEastAsia" w:cs="Times New Roman"/>
              <w:noProof/>
            </w:rPr>
          </w:pPr>
          <w:hyperlink w:anchor="_Toc102048012" w:history="1">
            <w:r w:rsidR="00BE597B" w:rsidRPr="00BE597B">
              <w:rPr>
                <w:rStyle w:val="Hyperlink"/>
                <w:rFonts w:ascii="Times New Roman" w:hAnsi="Times New Roman" w:cs="Times New Roman"/>
                <w:noProof/>
              </w:rPr>
              <w:t>Soil abiotic factor data collection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_Toc102048012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36</w:t>
            </w:r>
            <w:r w:rsidR="00BE597B" w:rsidRPr="00BE597B">
              <w:rPr>
                <w:rFonts w:cs="Times New Roman"/>
                <w:noProof/>
                <w:webHidden/>
              </w:rPr>
              <w:fldChar w:fldCharType="end"/>
            </w:r>
          </w:hyperlink>
        </w:p>
        <w:p w14:paraId="09E209E0" w14:textId="0104708A" w:rsidR="00BE597B" w:rsidRPr="00BE597B" w:rsidRDefault="004C71C8" w:rsidP="0028495F">
          <w:pPr>
            <w:pStyle w:val="TOC3"/>
            <w:tabs>
              <w:tab w:val="right" w:leader="dot" w:pos="9346"/>
            </w:tabs>
            <w:rPr>
              <w:rFonts w:eastAsiaTheme="minorEastAsia" w:cs="Times New Roman"/>
              <w:noProof/>
            </w:rPr>
          </w:pPr>
          <w:hyperlink w:anchor="_Toc102048013" w:history="1">
            <w:r w:rsidR="00BE597B" w:rsidRPr="00BE597B">
              <w:rPr>
                <w:rStyle w:val="Hyperlink"/>
                <w:rFonts w:ascii="Times New Roman" w:hAnsi="Times New Roman" w:cs="Times New Roman"/>
                <w:noProof/>
              </w:rPr>
              <w:t>Bacterial community collection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_Toc102048013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38</w:t>
            </w:r>
            <w:r w:rsidR="00BE597B" w:rsidRPr="00BE597B">
              <w:rPr>
                <w:rFonts w:cs="Times New Roman"/>
                <w:noProof/>
                <w:webHidden/>
              </w:rPr>
              <w:fldChar w:fldCharType="end"/>
            </w:r>
          </w:hyperlink>
        </w:p>
        <w:p w14:paraId="3FA181C2" w14:textId="0DA7F871" w:rsidR="00BE597B" w:rsidRPr="00BE597B" w:rsidRDefault="004C71C8" w:rsidP="0028495F">
          <w:pPr>
            <w:pStyle w:val="TOC3"/>
            <w:tabs>
              <w:tab w:val="right" w:leader="dot" w:pos="9346"/>
            </w:tabs>
            <w:rPr>
              <w:rFonts w:eastAsiaTheme="minorEastAsia" w:cs="Times New Roman"/>
              <w:noProof/>
            </w:rPr>
          </w:pPr>
          <w:hyperlink w:anchor="_Toc102048014" w:history="1">
            <w:r w:rsidR="00BE597B" w:rsidRPr="00BE597B">
              <w:rPr>
                <w:rStyle w:val="Hyperlink"/>
                <w:rFonts w:ascii="Times New Roman" w:hAnsi="Times New Roman" w:cs="Times New Roman"/>
                <w:noProof/>
              </w:rPr>
              <w:t>Bioinformatics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_Toc102048014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40</w:t>
            </w:r>
            <w:r w:rsidR="00BE597B" w:rsidRPr="00BE597B">
              <w:rPr>
                <w:rFonts w:cs="Times New Roman"/>
                <w:noProof/>
                <w:webHidden/>
              </w:rPr>
              <w:fldChar w:fldCharType="end"/>
            </w:r>
          </w:hyperlink>
        </w:p>
        <w:p w14:paraId="31FBCFD6" w14:textId="3EDC4F5F" w:rsidR="00BE597B" w:rsidRPr="00BE597B" w:rsidRDefault="004C71C8" w:rsidP="0028495F">
          <w:pPr>
            <w:pStyle w:val="TOC3"/>
            <w:tabs>
              <w:tab w:val="right" w:leader="dot" w:pos="9346"/>
            </w:tabs>
            <w:rPr>
              <w:rFonts w:eastAsiaTheme="minorEastAsia" w:cs="Times New Roman"/>
              <w:noProof/>
            </w:rPr>
          </w:pPr>
          <w:hyperlink w:anchor="_Toc102048015" w:history="1">
            <w:r w:rsidR="00BE597B" w:rsidRPr="00BE597B">
              <w:rPr>
                <w:rStyle w:val="Hyperlink"/>
                <w:rFonts w:ascii="Times New Roman" w:hAnsi="Times New Roman" w:cs="Times New Roman"/>
                <w:noProof/>
              </w:rPr>
              <w:t>Hypothesis testing and statistical methods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_Toc102048015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41</w:t>
            </w:r>
            <w:r w:rsidR="00BE597B" w:rsidRPr="00BE597B">
              <w:rPr>
                <w:rFonts w:cs="Times New Roman"/>
                <w:noProof/>
                <w:webHidden/>
              </w:rPr>
              <w:fldChar w:fldCharType="end"/>
            </w:r>
          </w:hyperlink>
        </w:p>
        <w:p w14:paraId="24610ED9" w14:textId="389A82B7" w:rsidR="00BE597B" w:rsidRPr="00BE597B" w:rsidRDefault="004C71C8" w:rsidP="0028495F">
          <w:pPr>
            <w:pStyle w:val="TOC2"/>
            <w:tabs>
              <w:tab w:val="clear" w:pos="9350"/>
              <w:tab w:val="right" w:leader="dot" w:pos="9346"/>
            </w:tabs>
            <w:rPr>
              <w:rFonts w:eastAsiaTheme="minorEastAsia"/>
              <w:noProof/>
            </w:rPr>
          </w:pPr>
          <w:hyperlink w:anchor="_Toc102048016" w:history="1">
            <w:r w:rsidR="00BE597B" w:rsidRPr="00BE597B">
              <w:rPr>
                <w:rStyle w:val="Hyperlink"/>
                <w:rFonts w:ascii="Times New Roman" w:hAnsi="Times New Roman" w:cs="Times New Roman"/>
                <w:noProof/>
              </w:rPr>
              <w:t>Results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_Toc102048016 \h </w:instrText>
            </w:r>
            <w:r w:rsidR="00BE597B" w:rsidRPr="00BE597B">
              <w:rPr>
                <w:noProof/>
                <w:webHidden/>
              </w:rPr>
            </w:r>
            <w:r w:rsidR="00BE597B" w:rsidRPr="00BE597B">
              <w:rPr>
                <w:noProof/>
                <w:webHidden/>
              </w:rPr>
              <w:fldChar w:fldCharType="separate"/>
            </w:r>
            <w:r w:rsidR="00F74166">
              <w:rPr>
                <w:noProof/>
                <w:webHidden/>
              </w:rPr>
              <w:t>44</w:t>
            </w:r>
            <w:r w:rsidR="00BE597B" w:rsidRPr="00BE597B">
              <w:rPr>
                <w:noProof/>
                <w:webHidden/>
              </w:rPr>
              <w:fldChar w:fldCharType="end"/>
            </w:r>
          </w:hyperlink>
        </w:p>
        <w:p w14:paraId="3A8366F6" w14:textId="2CD60F14" w:rsidR="00BE597B" w:rsidRPr="00BE597B" w:rsidRDefault="004C71C8" w:rsidP="0028495F">
          <w:pPr>
            <w:pStyle w:val="TOC3"/>
            <w:tabs>
              <w:tab w:val="right" w:leader="dot" w:pos="9346"/>
            </w:tabs>
            <w:rPr>
              <w:rFonts w:eastAsiaTheme="minorEastAsia" w:cs="Times New Roman"/>
              <w:noProof/>
            </w:rPr>
          </w:pPr>
          <w:hyperlink w:anchor="_Toc102048017" w:history="1">
            <w:r w:rsidR="00BE597B" w:rsidRPr="00BE597B">
              <w:rPr>
                <w:rStyle w:val="Hyperlink"/>
                <w:rFonts w:ascii="Times New Roman" w:hAnsi="Times New Roman" w:cs="Times New Roman"/>
                <w:noProof/>
              </w:rPr>
              <w:t>Community structure and phylogenetic membership were influenced by rainfall exclusion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_Toc102048017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44</w:t>
            </w:r>
            <w:r w:rsidR="00BE597B" w:rsidRPr="00BE597B">
              <w:rPr>
                <w:rFonts w:cs="Times New Roman"/>
                <w:noProof/>
                <w:webHidden/>
              </w:rPr>
              <w:fldChar w:fldCharType="end"/>
            </w:r>
          </w:hyperlink>
        </w:p>
        <w:p w14:paraId="5E11B3D2" w14:textId="172110F7" w:rsidR="00BE597B" w:rsidRPr="00BE597B" w:rsidRDefault="004C71C8" w:rsidP="0028495F">
          <w:pPr>
            <w:pStyle w:val="TOC3"/>
            <w:tabs>
              <w:tab w:val="right" w:leader="dot" w:pos="9346"/>
            </w:tabs>
            <w:rPr>
              <w:rFonts w:eastAsiaTheme="minorEastAsia" w:cs="Times New Roman"/>
              <w:noProof/>
            </w:rPr>
          </w:pPr>
          <w:hyperlink w:anchor="_Toc102048018" w:history="1">
            <w:r w:rsidR="00BE597B" w:rsidRPr="00BE597B">
              <w:rPr>
                <w:rStyle w:val="Hyperlink"/>
                <w:rFonts w:ascii="Times New Roman" w:hAnsi="Times New Roman" w:cs="Times New Roman"/>
                <w:noProof/>
              </w:rPr>
              <w:t>Alpha diversity, rainfall exclusion treatments, and soil abiotic factors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_Toc102048018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46</w:t>
            </w:r>
            <w:r w:rsidR="00BE597B" w:rsidRPr="00BE597B">
              <w:rPr>
                <w:rFonts w:cs="Times New Roman"/>
                <w:noProof/>
                <w:webHidden/>
              </w:rPr>
              <w:fldChar w:fldCharType="end"/>
            </w:r>
          </w:hyperlink>
        </w:p>
        <w:p w14:paraId="682C71ED" w14:textId="32F2C4FB" w:rsidR="00BE597B" w:rsidRPr="00BE597B" w:rsidRDefault="004C71C8" w:rsidP="0028495F">
          <w:pPr>
            <w:pStyle w:val="TOC3"/>
            <w:tabs>
              <w:tab w:val="right" w:leader="dot" w:pos="9346"/>
            </w:tabs>
            <w:rPr>
              <w:rFonts w:eastAsiaTheme="minorEastAsia" w:cs="Times New Roman"/>
              <w:noProof/>
            </w:rPr>
          </w:pPr>
          <w:hyperlink w:anchor="_Toc102048019" w:history="1">
            <w:r w:rsidR="00BE597B" w:rsidRPr="00BE597B">
              <w:rPr>
                <w:rStyle w:val="Hyperlink"/>
                <w:rFonts w:ascii="Times New Roman" w:hAnsi="Times New Roman" w:cs="Times New Roman"/>
                <w:noProof/>
              </w:rPr>
              <w:t>Bacterial community dispersion and pairwise turnover from q=0 to q=2</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_Toc102048019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49</w:t>
            </w:r>
            <w:r w:rsidR="00BE597B" w:rsidRPr="00BE597B">
              <w:rPr>
                <w:rFonts w:cs="Times New Roman"/>
                <w:noProof/>
                <w:webHidden/>
              </w:rPr>
              <w:fldChar w:fldCharType="end"/>
            </w:r>
          </w:hyperlink>
        </w:p>
        <w:p w14:paraId="0C1B8DDB" w14:textId="45103DF5" w:rsidR="00BE597B" w:rsidRPr="00BE597B" w:rsidRDefault="004C71C8" w:rsidP="0028495F">
          <w:pPr>
            <w:pStyle w:val="TOC3"/>
            <w:tabs>
              <w:tab w:val="right" w:leader="dot" w:pos="9346"/>
            </w:tabs>
            <w:rPr>
              <w:rFonts w:eastAsiaTheme="minorEastAsia" w:cs="Times New Roman"/>
              <w:noProof/>
            </w:rPr>
          </w:pPr>
          <w:hyperlink w:anchor="_Toc102048020" w:history="1">
            <w:r w:rsidR="00BE597B" w:rsidRPr="00BE597B">
              <w:rPr>
                <w:rStyle w:val="Hyperlink"/>
                <w:rFonts w:ascii="Times New Roman" w:hAnsi="Times New Roman" w:cs="Times New Roman"/>
                <w:noProof/>
              </w:rPr>
              <w:t>Rainfall exclusion treatments harbor unique indicator ASVs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_Toc102048020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52</w:t>
            </w:r>
            <w:r w:rsidR="00BE597B" w:rsidRPr="00BE597B">
              <w:rPr>
                <w:rFonts w:cs="Times New Roman"/>
                <w:noProof/>
                <w:webHidden/>
              </w:rPr>
              <w:fldChar w:fldCharType="end"/>
            </w:r>
          </w:hyperlink>
        </w:p>
        <w:p w14:paraId="181DCE99" w14:textId="1840ED2F" w:rsidR="00BE597B" w:rsidRPr="00BE597B" w:rsidRDefault="004C71C8" w:rsidP="0028495F">
          <w:pPr>
            <w:pStyle w:val="TOC2"/>
            <w:tabs>
              <w:tab w:val="clear" w:pos="9350"/>
              <w:tab w:val="right" w:leader="dot" w:pos="9346"/>
            </w:tabs>
            <w:rPr>
              <w:rFonts w:eastAsiaTheme="minorEastAsia"/>
              <w:noProof/>
            </w:rPr>
          </w:pPr>
          <w:hyperlink w:anchor="_Toc102048021" w:history="1">
            <w:r w:rsidR="00BE597B" w:rsidRPr="00BE597B">
              <w:rPr>
                <w:rStyle w:val="Hyperlink"/>
                <w:rFonts w:ascii="Times New Roman" w:hAnsi="Times New Roman" w:cs="Times New Roman"/>
                <w:noProof/>
              </w:rPr>
              <w:t>Discussion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_Toc102048021 \h </w:instrText>
            </w:r>
            <w:r w:rsidR="00BE597B" w:rsidRPr="00BE597B">
              <w:rPr>
                <w:noProof/>
                <w:webHidden/>
              </w:rPr>
            </w:r>
            <w:r w:rsidR="00BE597B" w:rsidRPr="00BE597B">
              <w:rPr>
                <w:noProof/>
                <w:webHidden/>
              </w:rPr>
              <w:fldChar w:fldCharType="separate"/>
            </w:r>
            <w:r w:rsidR="00F74166">
              <w:rPr>
                <w:noProof/>
                <w:webHidden/>
              </w:rPr>
              <w:t>54</w:t>
            </w:r>
            <w:r w:rsidR="00BE597B" w:rsidRPr="00BE597B">
              <w:rPr>
                <w:noProof/>
                <w:webHidden/>
              </w:rPr>
              <w:fldChar w:fldCharType="end"/>
            </w:r>
          </w:hyperlink>
        </w:p>
        <w:p w14:paraId="4A8B745C" w14:textId="0BDD4B22" w:rsidR="00BE597B" w:rsidRPr="00BE597B" w:rsidRDefault="004C71C8" w:rsidP="0028495F">
          <w:pPr>
            <w:pStyle w:val="TOC3"/>
            <w:tabs>
              <w:tab w:val="right" w:leader="dot" w:pos="9346"/>
            </w:tabs>
            <w:rPr>
              <w:rFonts w:eastAsiaTheme="minorEastAsia" w:cs="Times New Roman"/>
              <w:noProof/>
            </w:rPr>
          </w:pPr>
          <w:hyperlink w:anchor="_Toc102048022" w:history="1">
            <w:r w:rsidR="00BE597B" w:rsidRPr="00BE597B">
              <w:rPr>
                <w:rStyle w:val="Hyperlink"/>
                <w:rFonts w:ascii="Times New Roman" w:hAnsi="Times New Roman" w:cs="Times New Roman"/>
                <w:noProof/>
              </w:rPr>
              <w:t>Summary</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_Toc102048022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54</w:t>
            </w:r>
            <w:r w:rsidR="00BE597B" w:rsidRPr="00BE597B">
              <w:rPr>
                <w:rFonts w:cs="Times New Roman"/>
                <w:noProof/>
                <w:webHidden/>
              </w:rPr>
              <w:fldChar w:fldCharType="end"/>
            </w:r>
          </w:hyperlink>
        </w:p>
        <w:p w14:paraId="62FBD0C6" w14:textId="2EE17A05" w:rsidR="00BE597B" w:rsidRPr="00BE597B" w:rsidRDefault="004C71C8" w:rsidP="0028495F">
          <w:pPr>
            <w:pStyle w:val="TOC3"/>
            <w:tabs>
              <w:tab w:val="right" w:leader="dot" w:pos="9346"/>
            </w:tabs>
            <w:rPr>
              <w:rFonts w:eastAsiaTheme="minorEastAsia" w:cs="Times New Roman"/>
              <w:noProof/>
            </w:rPr>
          </w:pPr>
          <w:hyperlink w:anchor="_Toc102048023" w:history="1">
            <w:r w:rsidR="00BE597B" w:rsidRPr="00BE597B">
              <w:rPr>
                <w:rStyle w:val="Hyperlink"/>
                <w:rFonts w:ascii="Times New Roman" w:hAnsi="Times New Roman" w:cs="Times New Roman"/>
                <w:noProof/>
              </w:rPr>
              <w:t>Conclusions and future directions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_Toc102048023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57</w:t>
            </w:r>
            <w:r w:rsidR="00BE597B" w:rsidRPr="00BE597B">
              <w:rPr>
                <w:rFonts w:cs="Times New Roman"/>
                <w:noProof/>
                <w:webHidden/>
              </w:rPr>
              <w:fldChar w:fldCharType="end"/>
            </w:r>
          </w:hyperlink>
        </w:p>
        <w:p w14:paraId="71853696" w14:textId="6116422C" w:rsidR="00BE597B" w:rsidRPr="00BE597B" w:rsidRDefault="004C71C8" w:rsidP="006B02D1">
          <w:pPr>
            <w:pStyle w:val="TOC1"/>
            <w:rPr>
              <w:rFonts w:eastAsiaTheme="minorEastAsia"/>
              <w:szCs w:val="24"/>
            </w:rPr>
          </w:pPr>
          <w:hyperlink w:anchor="_Toc102048024" w:history="1">
            <w:r w:rsidR="00BE597B" w:rsidRPr="00BE597B">
              <w:rPr>
                <w:rStyle w:val="Hyperlink"/>
                <w:rFonts w:ascii="Times New Roman" w:hAnsi="Times New Roman"/>
              </w:rPr>
              <w:t>CHAPTER THREE: ARBUSCULAR MYCORRHIZAL FUNGAL COMMUNITIES VARY AS A RESPONSE TO SHORT-TERM RAINFALL EXCLUSION</w:t>
            </w:r>
            <w:r w:rsidR="00BE597B" w:rsidRPr="00BE597B">
              <w:rPr>
                <w:webHidden/>
              </w:rPr>
              <w:tab/>
            </w:r>
            <w:r w:rsidR="00BE597B" w:rsidRPr="00BE597B">
              <w:rPr>
                <w:webHidden/>
              </w:rPr>
              <w:fldChar w:fldCharType="begin"/>
            </w:r>
            <w:r w:rsidR="00BE597B" w:rsidRPr="00BE597B">
              <w:rPr>
                <w:webHidden/>
              </w:rPr>
              <w:instrText xml:space="preserve"> PAGEREF _Toc102048024 \h </w:instrText>
            </w:r>
            <w:r w:rsidR="00BE597B" w:rsidRPr="00BE597B">
              <w:rPr>
                <w:webHidden/>
              </w:rPr>
            </w:r>
            <w:r w:rsidR="00BE597B" w:rsidRPr="00BE597B">
              <w:rPr>
                <w:webHidden/>
              </w:rPr>
              <w:fldChar w:fldCharType="separate"/>
            </w:r>
            <w:r w:rsidR="00F74166">
              <w:rPr>
                <w:webHidden/>
              </w:rPr>
              <w:t>59</w:t>
            </w:r>
            <w:r w:rsidR="00BE597B" w:rsidRPr="00BE597B">
              <w:rPr>
                <w:webHidden/>
              </w:rPr>
              <w:fldChar w:fldCharType="end"/>
            </w:r>
          </w:hyperlink>
        </w:p>
        <w:p w14:paraId="1E8BFF99" w14:textId="7C4E1F72" w:rsidR="00BE597B" w:rsidRPr="00BE597B" w:rsidRDefault="004C71C8" w:rsidP="0028495F">
          <w:pPr>
            <w:pStyle w:val="TOC2"/>
            <w:tabs>
              <w:tab w:val="clear" w:pos="9350"/>
              <w:tab w:val="right" w:leader="dot" w:pos="9346"/>
            </w:tabs>
            <w:rPr>
              <w:rFonts w:eastAsiaTheme="minorEastAsia"/>
              <w:noProof/>
            </w:rPr>
          </w:pPr>
          <w:hyperlink w:anchor="_Toc102048025" w:history="1">
            <w:r w:rsidR="00BE597B" w:rsidRPr="00BE597B">
              <w:rPr>
                <w:rStyle w:val="Hyperlink"/>
                <w:rFonts w:ascii="Times New Roman" w:hAnsi="Times New Roman" w:cs="Times New Roman"/>
                <w:noProof/>
              </w:rPr>
              <w:t>Abstract</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_Toc102048025 \h </w:instrText>
            </w:r>
            <w:r w:rsidR="00BE597B" w:rsidRPr="00BE597B">
              <w:rPr>
                <w:noProof/>
                <w:webHidden/>
              </w:rPr>
            </w:r>
            <w:r w:rsidR="00BE597B" w:rsidRPr="00BE597B">
              <w:rPr>
                <w:noProof/>
                <w:webHidden/>
              </w:rPr>
              <w:fldChar w:fldCharType="separate"/>
            </w:r>
            <w:r w:rsidR="00F74166">
              <w:rPr>
                <w:noProof/>
                <w:webHidden/>
              </w:rPr>
              <w:t>60</w:t>
            </w:r>
            <w:r w:rsidR="00BE597B" w:rsidRPr="00BE597B">
              <w:rPr>
                <w:noProof/>
                <w:webHidden/>
              </w:rPr>
              <w:fldChar w:fldCharType="end"/>
            </w:r>
          </w:hyperlink>
        </w:p>
        <w:p w14:paraId="7BD941A8" w14:textId="552E1826" w:rsidR="00BE597B" w:rsidRPr="00BE597B" w:rsidRDefault="004C71C8" w:rsidP="0028495F">
          <w:pPr>
            <w:pStyle w:val="TOC2"/>
            <w:tabs>
              <w:tab w:val="clear" w:pos="9350"/>
              <w:tab w:val="right" w:leader="dot" w:pos="9346"/>
            </w:tabs>
            <w:rPr>
              <w:rFonts w:eastAsiaTheme="minorEastAsia"/>
              <w:noProof/>
            </w:rPr>
          </w:pPr>
          <w:hyperlink w:anchor="_Toc102048026" w:history="1">
            <w:r w:rsidR="00BE597B" w:rsidRPr="00BE597B">
              <w:rPr>
                <w:rStyle w:val="Hyperlink"/>
                <w:rFonts w:ascii="Times New Roman" w:hAnsi="Times New Roman" w:cs="Times New Roman"/>
                <w:noProof/>
              </w:rPr>
              <w:t>Introduction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_Toc102048026 \h </w:instrText>
            </w:r>
            <w:r w:rsidR="00BE597B" w:rsidRPr="00BE597B">
              <w:rPr>
                <w:noProof/>
                <w:webHidden/>
              </w:rPr>
            </w:r>
            <w:r w:rsidR="00BE597B" w:rsidRPr="00BE597B">
              <w:rPr>
                <w:noProof/>
                <w:webHidden/>
              </w:rPr>
              <w:fldChar w:fldCharType="separate"/>
            </w:r>
            <w:r w:rsidR="00F74166">
              <w:rPr>
                <w:noProof/>
                <w:webHidden/>
              </w:rPr>
              <w:t>60</w:t>
            </w:r>
            <w:r w:rsidR="00BE597B" w:rsidRPr="00BE597B">
              <w:rPr>
                <w:noProof/>
                <w:webHidden/>
              </w:rPr>
              <w:fldChar w:fldCharType="end"/>
            </w:r>
          </w:hyperlink>
        </w:p>
        <w:p w14:paraId="58B8C942" w14:textId="729B44D6" w:rsidR="00BE597B" w:rsidRPr="00BE597B" w:rsidRDefault="004C71C8" w:rsidP="0028495F">
          <w:pPr>
            <w:pStyle w:val="TOC2"/>
            <w:tabs>
              <w:tab w:val="clear" w:pos="9350"/>
              <w:tab w:val="right" w:leader="dot" w:pos="9346"/>
            </w:tabs>
            <w:rPr>
              <w:rFonts w:eastAsiaTheme="minorEastAsia"/>
              <w:noProof/>
            </w:rPr>
          </w:pPr>
          <w:hyperlink w:anchor="_Toc102048027" w:history="1">
            <w:r w:rsidR="00BE597B" w:rsidRPr="00BE597B">
              <w:rPr>
                <w:rStyle w:val="Hyperlink"/>
                <w:rFonts w:ascii="Times New Roman" w:hAnsi="Times New Roman" w:cs="Times New Roman"/>
                <w:noProof/>
              </w:rPr>
              <w:t>Materials and Methods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_Toc102048027 \h </w:instrText>
            </w:r>
            <w:r w:rsidR="00BE597B" w:rsidRPr="00BE597B">
              <w:rPr>
                <w:noProof/>
                <w:webHidden/>
              </w:rPr>
            </w:r>
            <w:r w:rsidR="00BE597B" w:rsidRPr="00BE597B">
              <w:rPr>
                <w:noProof/>
                <w:webHidden/>
              </w:rPr>
              <w:fldChar w:fldCharType="separate"/>
            </w:r>
            <w:r w:rsidR="00F74166">
              <w:rPr>
                <w:noProof/>
                <w:webHidden/>
              </w:rPr>
              <w:t>62</w:t>
            </w:r>
            <w:r w:rsidR="00BE597B" w:rsidRPr="00BE597B">
              <w:rPr>
                <w:noProof/>
                <w:webHidden/>
              </w:rPr>
              <w:fldChar w:fldCharType="end"/>
            </w:r>
          </w:hyperlink>
        </w:p>
        <w:p w14:paraId="440DD34D" w14:textId="45B9A89B" w:rsidR="00BE597B" w:rsidRPr="00BE597B" w:rsidRDefault="004C71C8" w:rsidP="0028495F">
          <w:pPr>
            <w:pStyle w:val="TOC3"/>
            <w:tabs>
              <w:tab w:val="right" w:leader="dot" w:pos="9346"/>
            </w:tabs>
            <w:rPr>
              <w:rFonts w:eastAsiaTheme="minorEastAsia" w:cs="Times New Roman"/>
              <w:noProof/>
            </w:rPr>
          </w:pPr>
          <w:hyperlink w:anchor="_Toc102048028" w:history="1">
            <w:r w:rsidR="00BE597B" w:rsidRPr="00BE597B">
              <w:rPr>
                <w:rStyle w:val="Hyperlink"/>
                <w:rFonts w:ascii="Times New Roman" w:hAnsi="Times New Roman" w:cs="Times New Roman"/>
                <w:noProof/>
              </w:rPr>
              <w:t>Experimental design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_Toc102048028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62</w:t>
            </w:r>
            <w:r w:rsidR="00BE597B" w:rsidRPr="00BE597B">
              <w:rPr>
                <w:rFonts w:cs="Times New Roman"/>
                <w:noProof/>
                <w:webHidden/>
              </w:rPr>
              <w:fldChar w:fldCharType="end"/>
            </w:r>
          </w:hyperlink>
        </w:p>
        <w:p w14:paraId="61700125" w14:textId="71D2429F" w:rsidR="00BE597B" w:rsidRPr="00BE597B" w:rsidRDefault="004C71C8" w:rsidP="0028495F">
          <w:pPr>
            <w:pStyle w:val="TOC3"/>
            <w:tabs>
              <w:tab w:val="right" w:leader="dot" w:pos="9346"/>
            </w:tabs>
            <w:rPr>
              <w:rFonts w:eastAsiaTheme="minorEastAsia" w:cs="Times New Roman"/>
              <w:noProof/>
            </w:rPr>
          </w:pPr>
          <w:hyperlink w:anchor="_Toc102048029" w:history="1">
            <w:r w:rsidR="00BE597B" w:rsidRPr="00BE597B">
              <w:rPr>
                <w:rStyle w:val="Hyperlink"/>
                <w:rFonts w:ascii="Times New Roman" w:hAnsi="Times New Roman" w:cs="Times New Roman"/>
                <w:noProof/>
              </w:rPr>
              <w:t>Sampling soil abiotic factors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_Toc102048029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63</w:t>
            </w:r>
            <w:r w:rsidR="00BE597B" w:rsidRPr="00BE597B">
              <w:rPr>
                <w:rFonts w:cs="Times New Roman"/>
                <w:noProof/>
                <w:webHidden/>
              </w:rPr>
              <w:fldChar w:fldCharType="end"/>
            </w:r>
          </w:hyperlink>
        </w:p>
        <w:p w14:paraId="20E8CFEB" w14:textId="52FE010C" w:rsidR="00BE597B" w:rsidRPr="00BE597B" w:rsidRDefault="004C71C8" w:rsidP="0028495F">
          <w:pPr>
            <w:pStyle w:val="TOC3"/>
            <w:tabs>
              <w:tab w:val="right" w:leader="dot" w:pos="9346"/>
            </w:tabs>
            <w:rPr>
              <w:rFonts w:eastAsiaTheme="minorEastAsia" w:cs="Times New Roman"/>
              <w:noProof/>
            </w:rPr>
          </w:pPr>
          <w:hyperlink w:anchor="_Toc102048030" w:history="1">
            <w:r w:rsidR="00BE597B" w:rsidRPr="00BE597B">
              <w:rPr>
                <w:rStyle w:val="Hyperlink"/>
                <w:rFonts w:ascii="Times New Roman" w:hAnsi="Times New Roman" w:cs="Times New Roman"/>
                <w:noProof/>
              </w:rPr>
              <w:t>Sampling AM fungal communities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_Toc102048030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65</w:t>
            </w:r>
            <w:r w:rsidR="00BE597B" w:rsidRPr="00BE597B">
              <w:rPr>
                <w:rFonts w:cs="Times New Roman"/>
                <w:noProof/>
                <w:webHidden/>
              </w:rPr>
              <w:fldChar w:fldCharType="end"/>
            </w:r>
          </w:hyperlink>
        </w:p>
        <w:p w14:paraId="1E7D3E4B" w14:textId="13ACF5C3" w:rsidR="00BE597B" w:rsidRPr="00BE597B" w:rsidRDefault="004C71C8" w:rsidP="0028495F">
          <w:pPr>
            <w:pStyle w:val="TOC3"/>
            <w:tabs>
              <w:tab w:val="right" w:leader="dot" w:pos="9346"/>
            </w:tabs>
            <w:rPr>
              <w:rFonts w:eastAsiaTheme="minorEastAsia" w:cs="Times New Roman"/>
              <w:noProof/>
            </w:rPr>
          </w:pPr>
          <w:hyperlink w:anchor="_Toc102048031" w:history="1">
            <w:r w:rsidR="00BE597B" w:rsidRPr="00BE597B">
              <w:rPr>
                <w:rStyle w:val="Hyperlink"/>
                <w:rFonts w:ascii="Times New Roman" w:hAnsi="Times New Roman" w:cs="Times New Roman"/>
                <w:noProof/>
              </w:rPr>
              <w:t>Bioinformatics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_Toc102048031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66</w:t>
            </w:r>
            <w:r w:rsidR="00BE597B" w:rsidRPr="00BE597B">
              <w:rPr>
                <w:rFonts w:cs="Times New Roman"/>
                <w:noProof/>
                <w:webHidden/>
              </w:rPr>
              <w:fldChar w:fldCharType="end"/>
            </w:r>
          </w:hyperlink>
        </w:p>
        <w:p w14:paraId="45CB8781" w14:textId="3BDE93BA" w:rsidR="00BE597B" w:rsidRPr="00BE597B" w:rsidRDefault="004C71C8" w:rsidP="0028495F">
          <w:pPr>
            <w:pStyle w:val="TOC3"/>
            <w:tabs>
              <w:tab w:val="right" w:leader="dot" w:pos="9346"/>
            </w:tabs>
            <w:rPr>
              <w:rFonts w:eastAsiaTheme="minorEastAsia" w:cs="Times New Roman"/>
              <w:noProof/>
            </w:rPr>
          </w:pPr>
          <w:hyperlink w:anchor="_Toc102048032" w:history="1">
            <w:r w:rsidR="00BE597B" w:rsidRPr="00BE597B">
              <w:rPr>
                <w:rStyle w:val="Hyperlink"/>
                <w:rFonts w:ascii="Times New Roman" w:hAnsi="Times New Roman" w:cs="Times New Roman"/>
                <w:noProof/>
              </w:rPr>
              <w:t>Statistical analyses</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_Toc102048032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67</w:t>
            </w:r>
            <w:r w:rsidR="00BE597B" w:rsidRPr="00BE597B">
              <w:rPr>
                <w:rFonts w:cs="Times New Roman"/>
                <w:noProof/>
                <w:webHidden/>
              </w:rPr>
              <w:fldChar w:fldCharType="end"/>
            </w:r>
          </w:hyperlink>
        </w:p>
        <w:p w14:paraId="2C1A4BE9" w14:textId="6EB2C8F5" w:rsidR="00BE597B" w:rsidRPr="00BE597B" w:rsidRDefault="004C71C8" w:rsidP="0028495F">
          <w:pPr>
            <w:pStyle w:val="TOC2"/>
            <w:tabs>
              <w:tab w:val="clear" w:pos="9350"/>
              <w:tab w:val="right" w:leader="dot" w:pos="9346"/>
            </w:tabs>
            <w:rPr>
              <w:rFonts w:eastAsiaTheme="minorEastAsia"/>
              <w:noProof/>
            </w:rPr>
          </w:pPr>
          <w:hyperlink w:anchor="_Toc102048033" w:history="1">
            <w:r w:rsidR="00BE597B" w:rsidRPr="00BE597B">
              <w:rPr>
                <w:rStyle w:val="Hyperlink"/>
                <w:rFonts w:ascii="Times New Roman" w:hAnsi="Times New Roman" w:cs="Times New Roman"/>
                <w:noProof/>
              </w:rPr>
              <w:t>Results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_Toc102048033 \h </w:instrText>
            </w:r>
            <w:r w:rsidR="00BE597B" w:rsidRPr="00BE597B">
              <w:rPr>
                <w:noProof/>
                <w:webHidden/>
              </w:rPr>
            </w:r>
            <w:r w:rsidR="00BE597B" w:rsidRPr="00BE597B">
              <w:rPr>
                <w:noProof/>
                <w:webHidden/>
              </w:rPr>
              <w:fldChar w:fldCharType="separate"/>
            </w:r>
            <w:r w:rsidR="00F74166">
              <w:rPr>
                <w:noProof/>
                <w:webHidden/>
              </w:rPr>
              <w:t>69</w:t>
            </w:r>
            <w:r w:rsidR="00BE597B" w:rsidRPr="00BE597B">
              <w:rPr>
                <w:noProof/>
                <w:webHidden/>
              </w:rPr>
              <w:fldChar w:fldCharType="end"/>
            </w:r>
          </w:hyperlink>
        </w:p>
        <w:p w14:paraId="07DF00A4" w14:textId="0358C081" w:rsidR="00BE597B" w:rsidRPr="00BE597B" w:rsidRDefault="004C71C8" w:rsidP="0028495F">
          <w:pPr>
            <w:pStyle w:val="TOC3"/>
            <w:tabs>
              <w:tab w:val="right" w:leader="dot" w:pos="9346"/>
            </w:tabs>
            <w:rPr>
              <w:rFonts w:eastAsiaTheme="minorEastAsia" w:cs="Times New Roman"/>
              <w:noProof/>
            </w:rPr>
          </w:pPr>
          <w:hyperlink w:anchor="_Toc102048034" w:history="1">
            <w:r w:rsidR="00BE597B" w:rsidRPr="00BE597B">
              <w:rPr>
                <w:rStyle w:val="Hyperlink"/>
                <w:rFonts w:ascii="Times New Roman" w:hAnsi="Times New Roman" w:cs="Times New Roman"/>
                <w:noProof/>
              </w:rPr>
              <w:t>Summary</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_Toc102048034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69</w:t>
            </w:r>
            <w:r w:rsidR="00BE597B" w:rsidRPr="00BE597B">
              <w:rPr>
                <w:rFonts w:cs="Times New Roman"/>
                <w:noProof/>
                <w:webHidden/>
              </w:rPr>
              <w:fldChar w:fldCharType="end"/>
            </w:r>
          </w:hyperlink>
        </w:p>
        <w:p w14:paraId="112842A3" w14:textId="2FF79213" w:rsidR="00BE597B" w:rsidRPr="00BE597B" w:rsidRDefault="004C71C8" w:rsidP="0028495F">
          <w:pPr>
            <w:pStyle w:val="TOC3"/>
            <w:tabs>
              <w:tab w:val="right" w:leader="dot" w:pos="9346"/>
            </w:tabs>
            <w:rPr>
              <w:rFonts w:eastAsiaTheme="minorEastAsia" w:cs="Times New Roman"/>
              <w:noProof/>
            </w:rPr>
          </w:pPr>
          <w:hyperlink w:anchor="_Toc102048035" w:history="1">
            <w:r w:rsidR="00BE597B" w:rsidRPr="00BE597B">
              <w:rPr>
                <w:rStyle w:val="Hyperlink"/>
                <w:rFonts w:ascii="Times New Roman" w:hAnsi="Times New Roman" w:cs="Times New Roman"/>
                <w:noProof/>
              </w:rPr>
              <w:t>AM fungal community composition is influenced by rainfall exclusion</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_Toc102048035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71</w:t>
            </w:r>
            <w:r w:rsidR="00BE597B" w:rsidRPr="00BE597B">
              <w:rPr>
                <w:rFonts w:cs="Times New Roman"/>
                <w:noProof/>
                <w:webHidden/>
              </w:rPr>
              <w:fldChar w:fldCharType="end"/>
            </w:r>
          </w:hyperlink>
        </w:p>
        <w:p w14:paraId="50911D63" w14:textId="0BE1DB68" w:rsidR="00BE597B" w:rsidRPr="00BE597B" w:rsidRDefault="004C71C8" w:rsidP="0028495F">
          <w:pPr>
            <w:pStyle w:val="TOC3"/>
            <w:tabs>
              <w:tab w:val="right" w:leader="dot" w:pos="9346"/>
            </w:tabs>
            <w:rPr>
              <w:rFonts w:eastAsiaTheme="minorEastAsia" w:cs="Times New Roman"/>
              <w:noProof/>
            </w:rPr>
          </w:pPr>
          <w:hyperlink w:anchor="_Toc102048036" w:history="1">
            <w:r w:rsidR="00BE597B" w:rsidRPr="00BE597B">
              <w:rPr>
                <w:rStyle w:val="Hyperlink"/>
                <w:rFonts w:ascii="Times New Roman" w:hAnsi="Times New Roman" w:cs="Times New Roman"/>
                <w:noProof/>
              </w:rPr>
              <w:t>Richness and community turnover from q=0 to q=2</w:t>
            </w:r>
            <w:r w:rsidR="00BE597B" w:rsidRPr="00BE597B">
              <w:rPr>
                <w:rFonts w:cs="Times New Roman"/>
                <w:noProof/>
                <w:webHidden/>
              </w:rPr>
              <w:tab/>
            </w:r>
            <w:r w:rsidR="00BE597B" w:rsidRPr="00BE597B">
              <w:rPr>
                <w:rFonts w:cs="Times New Roman"/>
                <w:noProof/>
                <w:webHidden/>
              </w:rPr>
              <w:fldChar w:fldCharType="begin"/>
            </w:r>
            <w:r w:rsidR="00BE597B" w:rsidRPr="00BE597B">
              <w:rPr>
                <w:rFonts w:cs="Times New Roman"/>
                <w:noProof/>
                <w:webHidden/>
              </w:rPr>
              <w:instrText xml:space="preserve"> PAGEREF _Toc102048036 \h </w:instrText>
            </w:r>
            <w:r w:rsidR="00BE597B" w:rsidRPr="00BE597B">
              <w:rPr>
                <w:rFonts w:cs="Times New Roman"/>
                <w:noProof/>
                <w:webHidden/>
              </w:rPr>
            </w:r>
            <w:r w:rsidR="00BE597B" w:rsidRPr="00BE597B">
              <w:rPr>
                <w:rFonts w:cs="Times New Roman"/>
                <w:noProof/>
                <w:webHidden/>
              </w:rPr>
              <w:fldChar w:fldCharType="separate"/>
            </w:r>
            <w:r w:rsidR="00F74166">
              <w:rPr>
                <w:rFonts w:cs="Times New Roman"/>
                <w:noProof/>
                <w:webHidden/>
              </w:rPr>
              <w:t>71</w:t>
            </w:r>
            <w:r w:rsidR="00BE597B" w:rsidRPr="00BE597B">
              <w:rPr>
                <w:rFonts w:cs="Times New Roman"/>
                <w:noProof/>
                <w:webHidden/>
              </w:rPr>
              <w:fldChar w:fldCharType="end"/>
            </w:r>
          </w:hyperlink>
        </w:p>
        <w:p w14:paraId="6A214551" w14:textId="1B438297" w:rsidR="00BE597B" w:rsidRPr="00BE597B" w:rsidRDefault="004C71C8" w:rsidP="0028495F">
          <w:pPr>
            <w:pStyle w:val="TOC2"/>
            <w:tabs>
              <w:tab w:val="clear" w:pos="9350"/>
              <w:tab w:val="right" w:leader="dot" w:pos="9346"/>
            </w:tabs>
            <w:rPr>
              <w:rFonts w:eastAsiaTheme="minorEastAsia"/>
              <w:noProof/>
            </w:rPr>
          </w:pPr>
          <w:hyperlink w:anchor="_Toc102048037" w:history="1">
            <w:r w:rsidR="00BE597B" w:rsidRPr="00BE597B">
              <w:rPr>
                <w:rStyle w:val="Hyperlink"/>
                <w:rFonts w:ascii="Times New Roman" w:hAnsi="Times New Roman" w:cs="Times New Roman"/>
                <w:noProof/>
              </w:rPr>
              <w:t>Discussion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_Toc102048037 \h </w:instrText>
            </w:r>
            <w:r w:rsidR="00BE597B" w:rsidRPr="00BE597B">
              <w:rPr>
                <w:noProof/>
                <w:webHidden/>
              </w:rPr>
            </w:r>
            <w:r w:rsidR="00BE597B" w:rsidRPr="00BE597B">
              <w:rPr>
                <w:noProof/>
                <w:webHidden/>
              </w:rPr>
              <w:fldChar w:fldCharType="separate"/>
            </w:r>
            <w:r w:rsidR="00F74166">
              <w:rPr>
                <w:noProof/>
                <w:webHidden/>
              </w:rPr>
              <w:t>77</w:t>
            </w:r>
            <w:r w:rsidR="00BE597B" w:rsidRPr="00BE597B">
              <w:rPr>
                <w:noProof/>
                <w:webHidden/>
              </w:rPr>
              <w:fldChar w:fldCharType="end"/>
            </w:r>
          </w:hyperlink>
        </w:p>
        <w:p w14:paraId="196D12EA" w14:textId="08459FFD" w:rsidR="00BE597B" w:rsidRPr="00C007B6" w:rsidRDefault="004C71C8" w:rsidP="006B02D1">
          <w:pPr>
            <w:pStyle w:val="TOC1"/>
            <w:rPr>
              <w:rFonts w:eastAsiaTheme="minorEastAsia"/>
            </w:rPr>
          </w:pPr>
          <w:hyperlink w:anchor="_Toc102048038" w:history="1">
            <w:r w:rsidR="00BE597B" w:rsidRPr="00C007B6">
              <w:rPr>
                <w:rStyle w:val="Hyperlink"/>
                <w:rFonts w:ascii="Times New Roman" w:hAnsi="Times New Roman"/>
                <w:sz w:val="28"/>
              </w:rPr>
              <w:t>CHAPTER FOUR: SUITABLE HABITAT DECLINES FOR AN ECTOMYCORRHIZAL FUNGUS (</w:t>
            </w:r>
            <w:r w:rsidR="00BE597B" w:rsidRPr="00C007B6">
              <w:rPr>
                <w:rStyle w:val="Hyperlink"/>
                <w:rFonts w:ascii="Times New Roman" w:hAnsi="Times New Roman"/>
                <w:i/>
                <w:iCs/>
                <w:sz w:val="28"/>
              </w:rPr>
              <w:t>SUILLUS SPRAGUEI</w:t>
            </w:r>
            <w:r w:rsidR="00BE597B" w:rsidRPr="00C007B6">
              <w:rPr>
                <w:rStyle w:val="Hyperlink"/>
                <w:rFonts w:ascii="Times New Roman" w:hAnsi="Times New Roman"/>
                <w:sz w:val="28"/>
              </w:rPr>
              <w:t>) UNDER FUTURE CLIMATE SCENARIOS</w:t>
            </w:r>
            <w:r w:rsidR="00BE597B" w:rsidRPr="00C007B6">
              <w:rPr>
                <w:webHidden/>
              </w:rPr>
              <w:tab/>
            </w:r>
            <w:r w:rsidR="00BE597B" w:rsidRPr="00C007B6">
              <w:rPr>
                <w:webHidden/>
              </w:rPr>
              <w:fldChar w:fldCharType="begin"/>
            </w:r>
            <w:r w:rsidR="00BE597B" w:rsidRPr="00C007B6">
              <w:rPr>
                <w:webHidden/>
              </w:rPr>
              <w:instrText xml:space="preserve"> PAGEREF _Toc102048038 \h </w:instrText>
            </w:r>
            <w:r w:rsidR="00BE597B" w:rsidRPr="00C007B6">
              <w:rPr>
                <w:webHidden/>
              </w:rPr>
            </w:r>
            <w:r w:rsidR="00BE597B" w:rsidRPr="00C007B6">
              <w:rPr>
                <w:webHidden/>
              </w:rPr>
              <w:fldChar w:fldCharType="separate"/>
            </w:r>
            <w:r w:rsidR="00F74166">
              <w:rPr>
                <w:webHidden/>
              </w:rPr>
              <w:t>83</w:t>
            </w:r>
            <w:r w:rsidR="00BE597B" w:rsidRPr="00C007B6">
              <w:rPr>
                <w:webHidden/>
              </w:rPr>
              <w:fldChar w:fldCharType="end"/>
            </w:r>
          </w:hyperlink>
        </w:p>
        <w:p w14:paraId="087B505C" w14:textId="20CEB381" w:rsidR="00BE597B" w:rsidRPr="00BE597B" w:rsidRDefault="004C71C8" w:rsidP="0028495F">
          <w:pPr>
            <w:pStyle w:val="TOC2"/>
            <w:tabs>
              <w:tab w:val="clear" w:pos="9350"/>
              <w:tab w:val="right" w:leader="dot" w:pos="9346"/>
            </w:tabs>
            <w:rPr>
              <w:rFonts w:eastAsiaTheme="minorEastAsia"/>
              <w:noProof/>
            </w:rPr>
          </w:pPr>
          <w:hyperlink w:anchor="_Toc102048039" w:history="1">
            <w:r w:rsidR="00BE597B" w:rsidRPr="00BE597B">
              <w:rPr>
                <w:rStyle w:val="Hyperlink"/>
                <w:rFonts w:ascii="Times New Roman" w:hAnsi="Times New Roman" w:cs="Times New Roman"/>
                <w:noProof/>
              </w:rPr>
              <w:t>Abstract</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_Toc102048039 \h </w:instrText>
            </w:r>
            <w:r w:rsidR="00BE597B" w:rsidRPr="00BE597B">
              <w:rPr>
                <w:noProof/>
                <w:webHidden/>
              </w:rPr>
            </w:r>
            <w:r w:rsidR="00BE597B" w:rsidRPr="00BE597B">
              <w:rPr>
                <w:noProof/>
                <w:webHidden/>
              </w:rPr>
              <w:fldChar w:fldCharType="separate"/>
            </w:r>
            <w:r w:rsidR="00F74166">
              <w:rPr>
                <w:noProof/>
                <w:webHidden/>
              </w:rPr>
              <w:t>84</w:t>
            </w:r>
            <w:r w:rsidR="00BE597B" w:rsidRPr="00BE597B">
              <w:rPr>
                <w:noProof/>
                <w:webHidden/>
              </w:rPr>
              <w:fldChar w:fldCharType="end"/>
            </w:r>
          </w:hyperlink>
        </w:p>
        <w:p w14:paraId="7DC6997B" w14:textId="4E47568F" w:rsidR="00BE597B" w:rsidRPr="00BE597B" w:rsidRDefault="004C71C8" w:rsidP="0028495F">
          <w:pPr>
            <w:pStyle w:val="TOC2"/>
            <w:tabs>
              <w:tab w:val="clear" w:pos="9350"/>
              <w:tab w:val="right" w:leader="dot" w:pos="9346"/>
            </w:tabs>
            <w:rPr>
              <w:rFonts w:eastAsiaTheme="minorEastAsia"/>
              <w:noProof/>
            </w:rPr>
          </w:pPr>
          <w:hyperlink w:anchor="_Toc102048040" w:history="1">
            <w:r w:rsidR="00BE597B" w:rsidRPr="00BE597B">
              <w:rPr>
                <w:rStyle w:val="Hyperlink"/>
                <w:rFonts w:ascii="Times New Roman" w:hAnsi="Times New Roman" w:cs="Times New Roman"/>
                <w:noProof/>
              </w:rPr>
              <w:t>Introduction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_Toc102048040 \h </w:instrText>
            </w:r>
            <w:r w:rsidR="00BE597B" w:rsidRPr="00BE597B">
              <w:rPr>
                <w:noProof/>
                <w:webHidden/>
              </w:rPr>
            </w:r>
            <w:r w:rsidR="00BE597B" w:rsidRPr="00BE597B">
              <w:rPr>
                <w:noProof/>
                <w:webHidden/>
              </w:rPr>
              <w:fldChar w:fldCharType="separate"/>
            </w:r>
            <w:r w:rsidR="00F74166">
              <w:rPr>
                <w:noProof/>
                <w:webHidden/>
              </w:rPr>
              <w:t>84</w:t>
            </w:r>
            <w:r w:rsidR="00BE597B" w:rsidRPr="00BE597B">
              <w:rPr>
                <w:noProof/>
                <w:webHidden/>
              </w:rPr>
              <w:fldChar w:fldCharType="end"/>
            </w:r>
          </w:hyperlink>
        </w:p>
        <w:p w14:paraId="46FB0F80" w14:textId="57D80E3B" w:rsidR="00BE597B" w:rsidRPr="00BE597B" w:rsidRDefault="004C71C8" w:rsidP="0028495F">
          <w:pPr>
            <w:pStyle w:val="TOC2"/>
            <w:tabs>
              <w:tab w:val="clear" w:pos="9350"/>
              <w:tab w:val="right" w:leader="dot" w:pos="9346"/>
            </w:tabs>
            <w:rPr>
              <w:rFonts w:eastAsiaTheme="minorEastAsia"/>
              <w:noProof/>
            </w:rPr>
          </w:pPr>
          <w:hyperlink w:anchor="_Toc102048041" w:history="1">
            <w:r w:rsidR="00BE597B" w:rsidRPr="00BE597B">
              <w:rPr>
                <w:rStyle w:val="Hyperlink"/>
                <w:rFonts w:ascii="Times New Roman" w:hAnsi="Times New Roman" w:cs="Times New Roman"/>
                <w:noProof/>
              </w:rPr>
              <w:t>Methods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_Toc102048041 \h </w:instrText>
            </w:r>
            <w:r w:rsidR="00BE597B" w:rsidRPr="00BE597B">
              <w:rPr>
                <w:noProof/>
                <w:webHidden/>
              </w:rPr>
            </w:r>
            <w:r w:rsidR="00BE597B" w:rsidRPr="00BE597B">
              <w:rPr>
                <w:noProof/>
                <w:webHidden/>
              </w:rPr>
              <w:fldChar w:fldCharType="separate"/>
            </w:r>
            <w:r w:rsidR="00F74166">
              <w:rPr>
                <w:noProof/>
                <w:webHidden/>
              </w:rPr>
              <w:t>86</w:t>
            </w:r>
            <w:r w:rsidR="00BE597B" w:rsidRPr="00BE597B">
              <w:rPr>
                <w:noProof/>
                <w:webHidden/>
              </w:rPr>
              <w:fldChar w:fldCharType="end"/>
            </w:r>
          </w:hyperlink>
        </w:p>
        <w:p w14:paraId="288E793E" w14:textId="33B16E89" w:rsidR="00BE597B" w:rsidRPr="00BE597B" w:rsidRDefault="004C71C8" w:rsidP="0028495F">
          <w:pPr>
            <w:pStyle w:val="TOC2"/>
            <w:tabs>
              <w:tab w:val="clear" w:pos="9350"/>
              <w:tab w:val="right" w:leader="dot" w:pos="9346"/>
            </w:tabs>
            <w:rPr>
              <w:rFonts w:eastAsiaTheme="minorEastAsia"/>
              <w:noProof/>
            </w:rPr>
          </w:pPr>
          <w:hyperlink w:anchor="_Toc102048042" w:history="1">
            <w:r w:rsidR="00BE597B" w:rsidRPr="00BE597B">
              <w:rPr>
                <w:rStyle w:val="Hyperlink"/>
                <w:rFonts w:ascii="Times New Roman" w:hAnsi="Times New Roman" w:cs="Times New Roman"/>
                <w:noProof/>
              </w:rPr>
              <w:t>Results</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_Toc102048042 \h </w:instrText>
            </w:r>
            <w:r w:rsidR="00BE597B" w:rsidRPr="00BE597B">
              <w:rPr>
                <w:noProof/>
                <w:webHidden/>
              </w:rPr>
            </w:r>
            <w:r w:rsidR="00BE597B" w:rsidRPr="00BE597B">
              <w:rPr>
                <w:noProof/>
                <w:webHidden/>
              </w:rPr>
              <w:fldChar w:fldCharType="separate"/>
            </w:r>
            <w:r w:rsidR="00F74166">
              <w:rPr>
                <w:noProof/>
                <w:webHidden/>
              </w:rPr>
              <w:t>88</w:t>
            </w:r>
            <w:r w:rsidR="00BE597B" w:rsidRPr="00BE597B">
              <w:rPr>
                <w:noProof/>
                <w:webHidden/>
              </w:rPr>
              <w:fldChar w:fldCharType="end"/>
            </w:r>
          </w:hyperlink>
        </w:p>
        <w:p w14:paraId="7CCE0DE5" w14:textId="44EFE1D2" w:rsidR="00BE597B" w:rsidRPr="00BE597B" w:rsidRDefault="004C71C8" w:rsidP="0028495F">
          <w:pPr>
            <w:pStyle w:val="TOC2"/>
            <w:tabs>
              <w:tab w:val="clear" w:pos="9350"/>
              <w:tab w:val="right" w:leader="dot" w:pos="9346"/>
            </w:tabs>
            <w:rPr>
              <w:rFonts w:eastAsiaTheme="minorEastAsia"/>
              <w:noProof/>
            </w:rPr>
          </w:pPr>
          <w:hyperlink w:anchor="_Toc102048043" w:history="1">
            <w:r w:rsidR="00BE597B" w:rsidRPr="00BE597B">
              <w:rPr>
                <w:rStyle w:val="Hyperlink"/>
                <w:rFonts w:ascii="Times New Roman" w:hAnsi="Times New Roman" w:cs="Times New Roman"/>
                <w:noProof/>
              </w:rPr>
              <w:t>Discussion</w:t>
            </w:r>
            <w:r w:rsidR="00BE597B" w:rsidRPr="00BE597B">
              <w:rPr>
                <w:noProof/>
                <w:webHidden/>
              </w:rPr>
              <w:tab/>
            </w:r>
            <w:r w:rsidR="00BE597B" w:rsidRPr="00BE597B">
              <w:rPr>
                <w:noProof/>
                <w:webHidden/>
              </w:rPr>
              <w:fldChar w:fldCharType="begin"/>
            </w:r>
            <w:r w:rsidR="00BE597B" w:rsidRPr="00BE597B">
              <w:rPr>
                <w:noProof/>
                <w:webHidden/>
              </w:rPr>
              <w:instrText xml:space="preserve"> PAGEREF _Toc102048043 \h </w:instrText>
            </w:r>
            <w:r w:rsidR="00BE597B" w:rsidRPr="00BE597B">
              <w:rPr>
                <w:noProof/>
                <w:webHidden/>
              </w:rPr>
            </w:r>
            <w:r w:rsidR="00BE597B" w:rsidRPr="00BE597B">
              <w:rPr>
                <w:noProof/>
                <w:webHidden/>
              </w:rPr>
              <w:fldChar w:fldCharType="separate"/>
            </w:r>
            <w:r w:rsidR="00F74166">
              <w:rPr>
                <w:noProof/>
                <w:webHidden/>
              </w:rPr>
              <w:t>95</w:t>
            </w:r>
            <w:r w:rsidR="00BE597B" w:rsidRPr="00BE597B">
              <w:rPr>
                <w:noProof/>
                <w:webHidden/>
              </w:rPr>
              <w:fldChar w:fldCharType="end"/>
            </w:r>
          </w:hyperlink>
        </w:p>
        <w:p w14:paraId="07F80A3F" w14:textId="77931B14" w:rsidR="00BE597B" w:rsidRPr="00BE597B" w:rsidRDefault="004C71C8" w:rsidP="006B02D1">
          <w:pPr>
            <w:pStyle w:val="TOC1"/>
            <w:rPr>
              <w:rFonts w:eastAsiaTheme="minorEastAsia"/>
              <w:sz w:val="24"/>
              <w:szCs w:val="24"/>
            </w:rPr>
          </w:pPr>
          <w:hyperlink w:anchor="_Toc102048044" w:history="1">
            <w:r w:rsidR="00BE597B" w:rsidRPr="00BE597B">
              <w:rPr>
                <w:rStyle w:val="Hyperlink"/>
                <w:rFonts w:ascii="Times New Roman" w:hAnsi="Times New Roman"/>
              </w:rPr>
              <w:t>CONCLUSION</w:t>
            </w:r>
            <w:r w:rsidR="00BE597B" w:rsidRPr="00BE597B">
              <w:rPr>
                <w:webHidden/>
              </w:rPr>
              <w:tab/>
            </w:r>
            <w:r w:rsidR="00BE597B" w:rsidRPr="00BE597B">
              <w:rPr>
                <w:webHidden/>
              </w:rPr>
              <w:fldChar w:fldCharType="begin"/>
            </w:r>
            <w:r w:rsidR="00BE597B" w:rsidRPr="00BE597B">
              <w:rPr>
                <w:webHidden/>
              </w:rPr>
              <w:instrText xml:space="preserve"> PAGEREF _Toc102048044 \h </w:instrText>
            </w:r>
            <w:r w:rsidR="00BE597B" w:rsidRPr="00BE597B">
              <w:rPr>
                <w:webHidden/>
              </w:rPr>
            </w:r>
            <w:r w:rsidR="00BE597B" w:rsidRPr="00BE597B">
              <w:rPr>
                <w:webHidden/>
              </w:rPr>
              <w:fldChar w:fldCharType="separate"/>
            </w:r>
            <w:r w:rsidR="00F74166">
              <w:rPr>
                <w:webHidden/>
              </w:rPr>
              <w:t>99</w:t>
            </w:r>
            <w:r w:rsidR="00BE597B" w:rsidRPr="00BE597B">
              <w:rPr>
                <w:webHidden/>
              </w:rPr>
              <w:fldChar w:fldCharType="end"/>
            </w:r>
          </w:hyperlink>
        </w:p>
        <w:p w14:paraId="51ADD6B2" w14:textId="5BFE9564" w:rsidR="00BE597B" w:rsidRPr="00BE597B" w:rsidRDefault="004C71C8" w:rsidP="006B02D1">
          <w:pPr>
            <w:pStyle w:val="TOC1"/>
            <w:rPr>
              <w:rFonts w:eastAsiaTheme="minorEastAsia"/>
              <w:sz w:val="24"/>
              <w:szCs w:val="24"/>
            </w:rPr>
          </w:pPr>
          <w:hyperlink w:anchor="_Toc102048045" w:history="1">
            <w:r w:rsidR="00BE597B" w:rsidRPr="00BE597B">
              <w:rPr>
                <w:rStyle w:val="Hyperlink"/>
                <w:rFonts w:ascii="Times New Roman" w:hAnsi="Times New Roman"/>
              </w:rPr>
              <w:t>LIST OF REFERENCES</w:t>
            </w:r>
            <w:r w:rsidR="00BE597B" w:rsidRPr="00BE597B">
              <w:rPr>
                <w:webHidden/>
              </w:rPr>
              <w:tab/>
            </w:r>
            <w:r w:rsidR="00BE597B" w:rsidRPr="00BE597B">
              <w:rPr>
                <w:webHidden/>
              </w:rPr>
              <w:fldChar w:fldCharType="begin"/>
            </w:r>
            <w:r w:rsidR="00BE597B" w:rsidRPr="00BE597B">
              <w:rPr>
                <w:webHidden/>
              </w:rPr>
              <w:instrText xml:space="preserve"> PAGEREF _Toc102048045 \h </w:instrText>
            </w:r>
            <w:r w:rsidR="00BE597B" w:rsidRPr="00BE597B">
              <w:rPr>
                <w:webHidden/>
              </w:rPr>
            </w:r>
            <w:r w:rsidR="00BE597B" w:rsidRPr="00BE597B">
              <w:rPr>
                <w:webHidden/>
              </w:rPr>
              <w:fldChar w:fldCharType="separate"/>
            </w:r>
            <w:r w:rsidR="00F74166">
              <w:rPr>
                <w:webHidden/>
              </w:rPr>
              <w:t>102</w:t>
            </w:r>
            <w:r w:rsidR="00BE597B" w:rsidRPr="00BE597B">
              <w:rPr>
                <w:webHidden/>
              </w:rPr>
              <w:fldChar w:fldCharType="end"/>
            </w:r>
          </w:hyperlink>
        </w:p>
        <w:p w14:paraId="15125344" w14:textId="5BF6F193" w:rsidR="00BE597B" w:rsidRPr="00BE597B" w:rsidRDefault="004C71C8" w:rsidP="006B02D1">
          <w:pPr>
            <w:pStyle w:val="TOC1"/>
            <w:rPr>
              <w:rFonts w:eastAsiaTheme="minorEastAsia"/>
              <w:sz w:val="24"/>
              <w:szCs w:val="24"/>
            </w:rPr>
          </w:pPr>
          <w:hyperlink w:anchor="_Toc102048046" w:history="1">
            <w:r w:rsidR="00BE597B" w:rsidRPr="00BE597B">
              <w:rPr>
                <w:rStyle w:val="Hyperlink"/>
                <w:rFonts w:ascii="Times New Roman" w:hAnsi="Times New Roman"/>
              </w:rPr>
              <w:t>APPENDIX</w:t>
            </w:r>
            <w:r w:rsidR="00BE597B" w:rsidRPr="00BE597B">
              <w:rPr>
                <w:webHidden/>
              </w:rPr>
              <w:tab/>
            </w:r>
            <w:r w:rsidR="00BE597B" w:rsidRPr="00BE597B">
              <w:rPr>
                <w:webHidden/>
              </w:rPr>
              <w:fldChar w:fldCharType="begin"/>
            </w:r>
            <w:r w:rsidR="00BE597B" w:rsidRPr="00BE597B">
              <w:rPr>
                <w:webHidden/>
              </w:rPr>
              <w:instrText xml:space="preserve"> PAGEREF _Toc102048046 \h </w:instrText>
            </w:r>
            <w:r w:rsidR="00BE597B" w:rsidRPr="00BE597B">
              <w:rPr>
                <w:webHidden/>
              </w:rPr>
            </w:r>
            <w:r w:rsidR="00BE597B" w:rsidRPr="00BE597B">
              <w:rPr>
                <w:webHidden/>
              </w:rPr>
              <w:fldChar w:fldCharType="separate"/>
            </w:r>
            <w:r w:rsidR="00F74166">
              <w:rPr>
                <w:webHidden/>
              </w:rPr>
              <w:t>117</w:t>
            </w:r>
            <w:r w:rsidR="00BE597B" w:rsidRPr="00BE597B">
              <w:rPr>
                <w:webHidden/>
              </w:rPr>
              <w:fldChar w:fldCharType="end"/>
            </w:r>
          </w:hyperlink>
        </w:p>
        <w:p w14:paraId="7B11210E" w14:textId="7B051715" w:rsidR="00BE597B" w:rsidRPr="00BE597B" w:rsidRDefault="004C71C8" w:rsidP="006B02D1">
          <w:pPr>
            <w:pStyle w:val="TOC1"/>
            <w:rPr>
              <w:rFonts w:eastAsiaTheme="minorEastAsia"/>
              <w:sz w:val="24"/>
              <w:szCs w:val="24"/>
            </w:rPr>
          </w:pPr>
          <w:hyperlink w:anchor="_Toc102048047" w:history="1">
            <w:r w:rsidR="00BE597B" w:rsidRPr="00BE597B">
              <w:rPr>
                <w:rStyle w:val="Hyperlink"/>
                <w:rFonts w:ascii="Times New Roman" w:hAnsi="Times New Roman"/>
              </w:rPr>
              <w:t>VITA</w:t>
            </w:r>
            <w:r w:rsidR="00BE597B" w:rsidRPr="00BE597B">
              <w:rPr>
                <w:webHidden/>
              </w:rPr>
              <w:tab/>
            </w:r>
            <w:r w:rsidR="00BE597B" w:rsidRPr="00BE597B">
              <w:rPr>
                <w:webHidden/>
              </w:rPr>
              <w:fldChar w:fldCharType="begin"/>
            </w:r>
            <w:r w:rsidR="00BE597B" w:rsidRPr="00BE597B">
              <w:rPr>
                <w:webHidden/>
              </w:rPr>
              <w:instrText xml:space="preserve"> PAGEREF _Toc102048047 \h </w:instrText>
            </w:r>
            <w:r w:rsidR="00BE597B" w:rsidRPr="00BE597B">
              <w:rPr>
                <w:webHidden/>
              </w:rPr>
            </w:r>
            <w:r w:rsidR="00BE597B" w:rsidRPr="00BE597B">
              <w:rPr>
                <w:webHidden/>
              </w:rPr>
              <w:fldChar w:fldCharType="separate"/>
            </w:r>
            <w:r w:rsidR="00F74166">
              <w:rPr>
                <w:webHidden/>
              </w:rPr>
              <w:t>1</w:t>
            </w:r>
            <w:r w:rsidR="00F74166">
              <w:rPr>
                <w:webHidden/>
              </w:rPr>
              <w:t>2</w:t>
            </w:r>
            <w:r w:rsidR="00F74166">
              <w:rPr>
                <w:webHidden/>
              </w:rPr>
              <w:t>8</w:t>
            </w:r>
            <w:r w:rsidR="00BE597B" w:rsidRPr="00BE597B">
              <w:rPr>
                <w:webHidden/>
              </w:rPr>
              <w:fldChar w:fldCharType="end"/>
            </w:r>
          </w:hyperlink>
        </w:p>
        <w:p w14:paraId="63B773AA" w14:textId="5B2E0F9E" w:rsidR="003F7FED" w:rsidRPr="00BE597B" w:rsidRDefault="00E91931" w:rsidP="0028495F">
          <w:pPr>
            <w:tabs>
              <w:tab w:val="right" w:leader="dot" w:pos="9346"/>
            </w:tabs>
          </w:pPr>
          <w:r w:rsidRPr="00BE597B">
            <w:rPr>
              <w:b/>
              <w:bCs/>
              <w:noProof/>
            </w:rPr>
            <w:fldChar w:fldCharType="end"/>
          </w:r>
        </w:p>
      </w:sdtContent>
    </w:sdt>
    <w:p w14:paraId="0FDD3443" w14:textId="77777777" w:rsidR="003F7FED" w:rsidRPr="00390FB1" w:rsidRDefault="003F7FED" w:rsidP="00390FB1">
      <w:pPr>
        <w:spacing w:line="360" w:lineRule="auto"/>
        <w:rPr>
          <w:b/>
          <w:bCs/>
        </w:rPr>
      </w:pPr>
      <w:r w:rsidRPr="00390FB1">
        <w:rPr>
          <w:b/>
          <w:bCs/>
        </w:rPr>
        <w:br w:type="page"/>
      </w:r>
    </w:p>
    <w:p w14:paraId="649708EE" w14:textId="0E888265" w:rsidR="007E085E" w:rsidRPr="00E10C5F" w:rsidRDefault="00236E6D" w:rsidP="00E10C5F">
      <w:pPr>
        <w:numPr>
          <w:ilvl w:val="12"/>
          <w:numId w:val="0"/>
        </w:numPr>
        <w:spacing w:line="360" w:lineRule="auto"/>
        <w:jc w:val="center"/>
        <w:rPr>
          <w:b/>
          <w:bCs/>
          <w:sz w:val="28"/>
          <w:szCs w:val="28"/>
        </w:rPr>
      </w:pPr>
      <w:r w:rsidRPr="00E10C5F">
        <w:rPr>
          <w:b/>
          <w:bCs/>
          <w:sz w:val="28"/>
          <w:szCs w:val="28"/>
        </w:rPr>
        <w:lastRenderedPageBreak/>
        <w:t>LIST OF TABLES</w:t>
      </w:r>
    </w:p>
    <w:p w14:paraId="0CE253AE" w14:textId="54FE5A18" w:rsidR="00B6110A" w:rsidRPr="00B6110A" w:rsidRDefault="005B5D83">
      <w:pPr>
        <w:pStyle w:val="TableofFigures"/>
        <w:tabs>
          <w:tab w:val="right" w:leader="dot" w:pos="9350"/>
        </w:tabs>
        <w:rPr>
          <w:rFonts w:eastAsiaTheme="minorEastAsia" w:cs="Times New Roman"/>
          <w:b w:val="0"/>
          <w:bCs/>
          <w:noProof/>
        </w:rPr>
      </w:pPr>
      <w:r w:rsidRPr="00F50C36">
        <w:rPr>
          <w:rFonts w:cs="Times New Roman"/>
          <w:b w:val="0"/>
        </w:rPr>
        <w:fldChar w:fldCharType="begin"/>
      </w:r>
      <w:r w:rsidRPr="00F50C36">
        <w:rPr>
          <w:rFonts w:cs="Times New Roman"/>
          <w:b w:val="0"/>
        </w:rPr>
        <w:instrText xml:space="preserve"> TOC \h \z \t "Subtitle,tablecap" \c </w:instrText>
      </w:r>
      <w:r w:rsidRPr="00F50C36">
        <w:rPr>
          <w:rFonts w:cs="Times New Roman"/>
          <w:b w:val="0"/>
        </w:rPr>
        <w:fldChar w:fldCharType="separate"/>
      </w:r>
      <w:hyperlink w:anchor="_Toc102118704" w:history="1">
        <w:r w:rsidR="00B6110A" w:rsidRPr="00B6110A">
          <w:rPr>
            <w:rStyle w:val="Hyperlink"/>
            <w:rFonts w:ascii="Times New Roman" w:hAnsi="Times New Roman" w:cs="Times New Roman"/>
            <w:b w:val="0"/>
            <w:bCs/>
            <w:noProof/>
          </w:rPr>
          <w:t xml:space="preserve">Table 1. Summary of the Type II Wald’s Χ2 test performed on alpha diversity across depths within the rhizosphere at </w:t>
        </w:r>
        <w:r w:rsidR="00B6110A" w:rsidRPr="00B6110A">
          <w:rPr>
            <w:rStyle w:val="Hyperlink"/>
            <w:rFonts w:ascii="Times New Roman" w:hAnsi="Times New Roman" w:cs="Times New Roman"/>
            <w:b w:val="0"/>
            <w:bCs/>
            <w:i/>
            <w:iCs/>
            <w:noProof/>
          </w:rPr>
          <w:t>q</w:t>
        </w:r>
        <w:r w:rsidR="00B6110A" w:rsidRPr="00B6110A">
          <w:rPr>
            <w:rStyle w:val="Hyperlink"/>
            <w:rFonts w:ascii="Times New Roman" w:hAnsi="Times New Roman" w:cs="Times New Roman"/>
            <w:b w:val="0"/>
            <w:bCs/>
            <w:noProof/>
          </w:rPr>
          <w:t>=0 to 5.</w:t>
        </w:r>
        <w:r w:rsidR="00B6110A" w:rsidRPr="00B6110A">
          <w:rPr>
            <w:rFonts w:cs="Times New Roman"/>
            <w:b w:val="0"/>
            <w:bCs/>
            <w:noProof/>
            <w:webHidden/>
          </w:rPr>
          <w:tab/>
        </w:r>
        <w:r w:rsidR="00B6110A" w:rsidRPr="00B6110A">
          <w:rPr>
            <w:rFonts w:cs="Times New Roman"/>
            <w:b w:val="0"/>
            <w:bCs/>
            <w:noProof/>
            <w:webHidden/>
          </w:rPr>
          <w:fldChar w:fldCharType="begin"/>
        </w:r>
        <w:r w:rsidR="00B6110A" w:rsidRPr="00B6110A">
          <w:rPr>
            <w:rFonts w:cs="Times New Roman"/>
            <w:b w:val="0"/>
            <w:bCs/>
            <w:noProof/>
            <w:webHidden/>
          </w:rPr>
          <w:instrText xml:space="preserve"> PAGEREF _Toc102118704 \h </w:instrText>
        </w:r>
        <w:r w:rsidR="00B6110A" w:rsidRPr="00B6110A">
          <w:rPr>
            <w:rFonts w:cs="Times New Roman"/>
            <w:b w:val="0"/>
            <w:bCs/>
            <w:noProof/>
            <w:webHidden/>
          </w:rPr>
        </w:r>
        <w:r w:rsidR="00B6110A" w:rsidRPr="00B6110A">
          <w:rPr>
            <w:rFonts w:cs="Times New Roman"/>
            <w:b w:val="0"/>
            <w:bCs/>
            <w:noProof/>
            <w:webHidden/>
          </w:rPr>
          <w:fldChar w:fldCharType="separate"/>
        </w:r>
        <w:r w:rsidR="00F74166">
          <w:rPr>
            <w:rFonts w:cs="Times New Roman"/>
            <w:b w:val="0"/>
            <w:bCs/>
            <w:noProof/>
            <w:webHidden/>
          </w:rPr>
          <w:t>21</w:t>
        </w:r>
        <w:r w:rsidR="00B6110A" w:rsidRPr="00B6110A">
          <w:rPr>
            <w:rFonts w:cs="Times New Roman"/>
            <w:b w:val="0"/>
            <w:bCs/>
            <w:noProof/>
            <w:webHidden/>
          </w:rPr>
          <w:fldChar w:fldCharType="end"/>
        </w:r>
      </w:hyperlink>
    </w:p>
    <w:p w14:paraId="61B0ECF0" w14:textId="0C84643C" w:rsidR="00B6110A" w:rsidRPr="00B6110A" w:rsidRDefault="00B6110A">
      <w:pPr>
        <w:pStyle w:val="TableofFigures"/>
        <w:tabs>
          <w:tab w:val="right" w:leader="dot" w:pos="9350"/>
        </w:tabs>
        <w:rPr>
          <w:rFonts w:eastAsiaTheme="minorEastAsia" w:cs="Times New Roman"/>
          <w:b w:val="0"/>
          <w:bCs/>
          <w:noProof/>
        </w:rPr>
      </w:pPr>
      <w:hyperlink w:anchor="_Toc102118705" w:history="1">
        <w:r w:rsidRPr="00B6110A">
          <w:rPr>
            <w:rStyle w:val="Hyperlink"/>
            <w:rFonts w:ascii="Times New Roman" w:hAnsi="Times New Roman" w:cs="Times New Roman"/>
            <w:b w:val="0"/>
            <w:bCs/>
            <w:noProof/>
          </w:rPr>
          <w:t xml:space="preserve">Table 2. Paired results comparing alpha diversity, or the effective number of species, between samples pooled </w:t>
        </w:r>
        <w:r w:rsidRPr="00B6110A">
          <w:rPr>
            <w:rStyle w:val="Hyperlink"/>
            <w:rFonts w:ascii="Times New Roman" w:hAnsi="Times New Roman" w:cs="Times New Roman"/>
            <w:b w:val="0"/>
            <w:bCs/>
            <w:i/>
            <w:noProof/>
          </w:rPr>
          <w:t>in vitro</w:t>
        </w:r>
        <w:r w:rsidRPr="00B6110A">
          <w:rPr>
            <w:rStyle w:val="Hyperlink"/>
            <w:rFonts w:ascii="Times New Roman" w:hAnsi="Times New Roman" w:cs="Times New Roman"/>
            <w:b w:val="0"/>
            <w:bCs/>
            <w:noProof/>
          </w:rPr>
          <w:t xml:space="preserve"> and </w:t>
        </w:r>
        <w:r w:rsidRPr="00B6110A">
          <w:rPr>
            <w:rStyle w:val="Hyperlink"/>
            <w:rFonts w:ascii="Times New Roman" w:hAnsi="Times New Roman" w:cs="Times New Roman"/>
            <w:b w:val="0"/>
            <w:bCs/>
            <w:i/>
            <w:noProof/>
          </w:rPr>
          <w:t>in silico</w:t>
        </w:r>
        <w:r w:rsidRPr="00B6110A">
          <w:rPr>
            <w:rStyle w:val="Hyperlink"/>
            <w:rFonts w:ascii="Times New Roman" w:hAnsi="Times New Roman" w:cs="Times New Roman"/>
            <w:b w:val="0"/>
            <w:bCs/>
            <w:noProof/>
          </w:rPr>
          <w:t xml:space="preserve"> at </w:t>
        </w:r>
        <w:r w:rsidRPr="00B6110A">
          <w:rPr>
            <w:rStyle w:val="Hyperlink"/>
            <w:rFonts w:ascii="Times New Roman" w:hAnsi="Times New Roman" w:cs="Times New Roman"/>
            <w:b w:val="0"/>
            <w:bCs/>
            <w:i/>
            <w:noProof/>
          </w:rPr>
          <w:t>q</w:t>
        </w:r>
        <w:r w:rsidRPr="00B6110A">
          <w:rPr>
            <w:rStyle w:val="Hyperlink"/>
            <w:rFonts w:ascii="Times New Roman" w:hAnsi="Times New Roman" w:cs="Times New Roman"/>
            <w:b w:val="0"/>
            <w:bCs/>
            <w:noProof/>
          </w:rPr>
          <w:t>=0 to 5.</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_Toc102118705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27</w:t>
        </w:r>
        <w:r w:rsidRPr="00B6110A">
          <w:rPr>
            <w:rFonts w:cs="Times New Roman"/>
            <w:b w:val="0"/>
            <w:bCs/>
            <w:noProof/>
            <w:webHidden/>
          </w:rPr>
          <w:fldChar w:fldCharType="end"/>
        </w:r>
      </w:hyperlink>
    </w:p>
    <w:p w14:paraId="5B7E8BE7" w14:textId="5932F285" w:rsidR="00B6110A" w:rsidRPr="00B6110A" w:rsidRDefault="00B6110A">
      <w:pPr>
        <w:pStyle w:val="TableofFigures"/>
        <w:tabs>
          <w:tab w:val="right" w:leader="dot" w:pos="9350"/>
        </w:tabs>
        <w:rPr>
          <w:rFonts w:eastAsiaTheme="minorEastAsia" w:cs="Times New Roman"/>
          <w:b w:val="0"/>
          <w:bCs/>
          <w:noProof/>
        </w:rPr>
      </w:pPr>
      <w:hyperlink w:anchor="_Toc102118706" w:history="1">
        <w:r w:rsidRPr="00B6110A">
          <w:rPr>
            <w:rStyle w:val="Hyperlink"/>
            <w:rFonts w:ascii="Times New Roman" w:hAnsi="Times New Roman" w:cs="Times New Roman"/>
            <w:b w:val="0"/>
            <w:bCs/>
            <w:noProof/>
          </w:rPr>
          <w:t>Table 3. An analysis of variance summary table showing the main effects on bacterial communities at the end of the monsoon season (Date B).</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_Toc102118706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47</w:t>
        </w:r>
        <w:r w:rsidRPr="00B6110A">
          <w:rPr>
            <w:rFonts w:cs="Times New Roman"/>
            <w:b w:val="0"/>
            <w:bCs/>
            <w:noProof/>
            <w:webHidden/>
          </w:rPr>
          <w:fldChar w:fldCharType="end"/>
        </w:r>
      </w:hyperlink>
    </w:p>
    <w:p w14:paraId="20C9F928" w14:textId="0B68EB43" w:rsidR="00B6110A" w:rsidRPr="00B6110A" w:rsidRDefault="00B6110A">
      <w:pPr>
        <w:pStyle w:val="TableofFigures"/>
        <w:tabs>
          <w:tab w:val="right" w:leader="dot" w:pos="9350"/>
        </w:tabs>
        <w:rPr>
          <w:rFonts w:eastAsiaTheme="minorEastAsia" w:cs="Times New Roman"/>
          <w:b w:val="0"/>
          <w:bCs/>
          <w:noProof/>
        </w:rPr>
      </w:pPr>
      <w:hyperlink w:anchor="_Toc102118707" w:history="1">
        <w:r w:rsidRPr="00B6110A">
          <w:rPr>
            <w:rStyle w:val="Hyperlink"/>
            <w:rFonts w:ascii="Times New Roman" w:hAnsi="Times New Roman" w:cs="Times New Roman"/>
            <w:b w:val="0"/>
            <w:bCs/>
            <w:noProof/>
          </w:rPr>
          <w:t xml:space="preserve">Table 4. Results from hypothesis testing on ∆ AM fungal richness. Hypotheses are listed per value of </w:t>
        </w:r>
        <w:r w:rsidRPr="00B6110A">
          <w:rPr>
            <w:rStyle w:val="Hyperlink"/>
            <w:rFonts w:ascii="Times New Roman" w:hAnsi="Times New Roman" w:cs="Times New Roman"/>
            <w:b w:val="0"/>
            <w:bCs/>
            <w:i/>
            <w:iCs/>
            <w:noProof/>
          </w:rPr>
          <w:t>q</w:t>
        </w:r>
        <w:r w:rsidRPr="00B6110A">
          <w:rPr>
            <w:rStyle w:val="Hyperlink"/>
            <w:rFonts w:ascii="Times New Roman" w:hAnsi="Times New Roman" w:cs="Times New Roman"/>
            <w:b w:val="0"/>
            <w:bCs/>
            <w:noProof/>
          </w:rPr>
          <w:t xml:space="preserve"> with the estimated median and 95% highest density interval (HDI).</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_Toc102118707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76</w:t>
        </w:r>
        <w:r w:rsidRPr="00B6110A">
          <w:rPr>
            <w:rFonts w:cs="Times New Roman"/>
            <w:b w:val="0"/>
            <w:bCs/>
            <w:noProof/>
            <w:webHidden/>
          </w:rPr>
          <w:fldChar w:fldCharType="end"/>
        </w:r>
      </w:hyperlink>
    </w:p>
    <w:p w14:paraId="7F683E02" w14:textId="1253AFFD" w:rsidR="00B6110A" w:rsidRPr="00B6110A" w:rsidRDefault="00B6110A">
      <w:pPr>
        <w:pStyle w:val="TableofFigures"/>
        <w:tabs>
          <w:tab w:val="right" w:leader="dot" w:pos="9350"/>
        </w:tabs>
        <w:rPr>
          <w:rFonts w:eastAsiaTheme="minorEastAsia" w:cs="Times New Roman"/>
          <w:b w:val="0"/>
          <w:bCs/>
          <w:noProof/>
        </w:rPr>
      </w:pPr>
      <w:hyperlink w:anchor="_Toc102118708" w:history="1">
        <w:r w:rsidRPr="00B6110A">
          <w:rPr>
            <w:rStyle w:val="Hyperlink"/>
            <w:rFonts w:ascii="Times New Roman" w:hAnsi="Times New Roman" w:cs="Times New Roman"/>
            <w:b w:val="0"/>
            <w:bCs/>
            <w:noProof/>
          </w:rPr>
          <w:t xml:space="preserve">Table 5. Hypothesis testing on pairwise AM fungal community turnover for each rainfall exclusion treatment and value of </w:t>
        </w:r>
        <w:r w:rsidRPr="00B6110A">
          <w:rPr>
            <w:rStyle w:val="Hyperlink"/>
            <w:rFonts w:ascii="Times New Roman" w:hAnsi="Times New Roman" w:cs="Times New Roman"/>
            <w:b w:val="0"/>
            <w:bCs/>
            <w:i/>
            <w:iCs/>
            <w:noProof/>
          </w:rPr>
          <w:t>q</w:t>
        </w:r>
        <w:r w:rsidRPr="00B6110A">
          <w:rPr>
            <w:rStyle w:val="Hyperlink"/>
            <w:rFonts w:ascii="Times New Roman" w:hAnsi="Times New Roman" w:cs="Times New Roman"/>
            <w:b w:val="0"/>
            <w:bCs/>
            <w:noProof/>
          </w:rPr>
          <w:t>.</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_Toc102118708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79</w:t>
        </w:r>
        <w:r w:rsidRPr="00B6110A">
          <w:rPr>
            <w:rFonts w:cs="Times New Roman"/>
            <w:b w:val="0"/>
            <w:bCs/>
            <w:noProof/>
            <w:webHidden/>
          </w:rPr>
          <w:fldChar w:fldCharType="end"/>
        </w:r>
      </w:hyperlink>
    </w:p>
    <w:p w14:paraId="5D1FC1B2" w14:textId="3E7D2313" w:rsidR="00B6110A" w:rsidRPr="00B6110A" w:rsidRDefault="00B6110A">
      <w:pPr>
        <w:pStyle w:val="TableofFigures"/>
        <w:tabs>
          <w:tab w:val="right" w:leader="dot" w:pos="9350"/>
        </w:tabs>
        <w:rPr>
          <w:rFonts w:eastAsiaTheme="minorEastAsia" w:cs="Times New Roman"/>
          <w:b w:val="0"/>
          <w:bCs/>
          <w:noProof/>
        </w:rPr>
      </w:pPr>
      <w:hyperlink w:anchor="_Toc102118709" w:history="1">
        <w:r w:rsidRPr="00B6110A">
          <w:rPr>
            <w:rStyle w:val="Hyperlink"/>
            <w:rFonts w:ascii="Times New Roman" w:hAnsi="Times New Roman" w:cs="Times New Roman"/>
            <w:b w:val="0"/>
            <w:bCs/>
            <w:noProof/>
          </w:rPr>
          <w:t xml:space="preserve">Table 6. Climate variables applied to the current climate model for tree and fungal species. The most informative climate variables used for modeling (a). </w:t>
        </w:r>
        <w:r w:rsidRPr="00B6110A">
          <w:rPr>
            <w:rStyle w:val="Hyperlink"/>
            <w:rFonts w:ascii="Times New Roman" w:hAnsi="Times New Roman" w:cs="Times New Roman"/>
            <w:b w:val="0"/>
            <w:bCs/>
            <w:i/>
            <w:iCs/>
            <w:noProof/>
          </w:rPr>
          <w:t>Pinus strobus</w:t>
        </w:r>
        <w:r w:rsidRPr="00B6110A">
          <w:rPr>
            <w:rStyle w:val="Hyperlink"/>
            <w:rFonts w:ascii="Times New Roman" w:hAnsi="Times New Roman" w:cs="Times New Roman"/>
            <w:b w:val="0"/>
            <w:bCs/>
            <w:noProof/>
          </w:rPr>
          <w:t xml:space="preserve"> and (b). </w:t>
        </w:r>
        <w:r w:rsidRPr="00B6110A">
          <w:rPr>
            <w:rStyle w:val="Hyperlink"/>
            <w:rFonts w:ascii="Times New Roman" w:hAnsi="Times New Roman" w:cs="Times New Roman"/>
            <w:b w:val="0"/>
            <w:bCs/>
            <w:i/>
            <w:iCs/>
            <w:noProof/>
          </w:rPr>
          <w:t>Suillus spraguei</w:t>
        </w:r>
        <w:r w:rsidRPr="00B6110A">
          <w:rPr>
            <w:rStyle w:val="Hyperlink"/>
            <w:rFonts w:ascii="Times New Roman" w:hAnsi="Times New Roman" w:cs="Times New Roman"/>
            <w:b w:val="0"/>
            <w:bCs/>
            <w:noProof/>
          </w:rPr>
          <w:t>, ranked by percent contribution.</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_Toc102118709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89</w:t>
        </w:r>
        <w:r w:rsidRPr="00B6110A">
          <w:rPr>
            <w:rFonts w:cs="Times New Roman"/>
            <w:b w:val="0"/>
            <w:bCs/>
            <w:noProof/>
            <w:webHidden/>
          </w:rPr>
          <w:fldChar w:fldCharType="end"/>
        </w:r>
      </w:hyperlink>
    </w:p>
    <w:p w14:paraId="2656A3F4" w14:textId="53D955C6" w:rsidR="00B6110A" w:rsidRPr="00B6110A" w:rsidRDefault="00B6110A">
      <w:pPr>
        <w:pStyle w:val="TableofFigures"/>
        <w:tabs>
          <w:tab w:val="right" w:leader="dot" w:pos="9350"/>
        </w:tabs>
        <w:rPr>
          <w:rFonts w:eastAsiaTheme="minorEastAsia" w:cs="Times New Roman"/>
          <w:b w:val="0"/>
          <w:bCs/>
          <w:noProof/>
        </w:rPr>
      </w:pPr>
      <w:hyperlink w:anchor="_Toc102118710" w:history="1">
        <w:r w:rsidRPr="00B6110A">
          <w:rPr>
            <w:rStyle w:val="Hyperlink"/>
            <w:rFonts w:ascii="Times New Roman" w:hAnsi="Times New Roman" w:cs="Times New Roman"/>
            <w:b w:val="0"/>
            <w:bCs/>
            <w:noProof/>
          </w:rPr>
          <w:t xml:space="preserve">Table 7. A cumulative table of empirical Schoener’s </w:t>
        </w:r>
        <w:r w:rsidRPr="00B6110A">
          <w:rPr>
            <w:rStyle w:val="Hyperlink"/>
            <w:rFonts w:ascii="Times New Roman" w:hAnsi="Times New Roman" w:cs="Times New Roman"/>
            <w:b w:val="0"/>
            <w:bCs/>
            <w:i/>
            <w:noProof/>
          </w:rPr>
          <w:t>D</w:t>
        </w:r>
        <w:r w:rsidRPr="00B6110A">
          <w:rPr>
            <w:rStyle w:val="Hyperlink"/>
            <w:rFonts w:ascii="Times New Roman" w:hAnsi="Times New Roman" w:cs="Times New Roman"/>
            <w:b w:val="0"/>
            <w:bCs/>
            <w:noProof/>
          </w:rPr>
          <w:t xml:space="preserve"> and ENMTool’s </w:t>
        </w:r>
        <w:r w:rsidRPr="00B6110A">
          <w:rPr>
            <w:rStyle w:val="Hyperlink"/>
            <w:rFonts w:ascii="Times New Roman" w:hAnsi="Times New Roman" w:cs="Times New Roman"/>
            <w:b w:val="0"/>
            <w:bCs/>
            <w:i/>
            <w:noProof/>
          </w:rPr>
          <w:t>I</w:t>
        </w:r>
        <w:r w:rsidRPr="00B6110A">
          <w:rPr>
            <w:rStyle w:val="Hyperlink"/>
            <w:rFonts w:ascii="Times New Roman" w:hAnsi="Times New Roman" w:cs="Times New Roman"/>
            <w:b w:val="0"/>
            <w:bCs/>
            <w:noProof/>
          </w:rPr>
          <w:t xml:space="preserve"> metrics from niche identity tests for the species pair per climate scenario.</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_Toc102118710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94</w:t>
        </w:r>
        <w:r w:rsidRPr="00B6110A">
          <w:rPr>
            <w:rFonts w:cs="Times New Roman"/>
            <w:b w:val="0"/>
            <w:bCs/>
            <w:noProof/>
            <w:webHidden/>
          </w:rPr>
          <w:fldChar w:fldCharType="end"/>
        </w:r>
      </w:hyperlink>
    </w:p>
    <w:p w14:paraId="64DC9CC2" w14:textId="7DF602C7" w:rsidR="00B6110A" w:rsidRPr="00B6110A" w:rsidRDefault="00B6110A">
      <w:pPr>
        <w:pStyle w:val="TableofFigures"/>
        <w:tabs>
          <w:tab w:val="right" w:leader="dot" w:pos="9350"/>
        </w:tabs>
        <w:rPr>
          <w:rFonts w:eastAsiaTheme="minorEastAsia" w:cs="Times New Roman"/>
          <w:b w:val="0"/>
          <w:bCs/>
          <w:noProof/>
        </w:rPr>
      </w:pPr>
      <w:hyperlink w:anchor="_Toc102118711" w:history="1">
        <w:r w:rsidRPr="00B6110A">
          <w:rPr>
            <w:rStyle w:val="Hyperlink"/>
            <w:rFonts w:ascii="Times New Roman" w:hAnsi="Times New Roman" w:cs="Times New Roman"/>
            <w:b w:val="0"/>
            <w:bCs/>
            <w:noProof/>
          </w:rPr>
          <w:t xml:space="preserve">Appendix Table 1. For the phylogenetically informed </w:t>
        </w:r>
        <w:r w:rsidRPr="00B6110A">
          <w:rPr>
            <w:rStyle w:val="Hyperlink"/>
            <w:rFonts w:ascii="Times New Roman" w:hAnsi="Times New Roman" w:cs="Times New Roman"/>
            <w:b w:val="0"/>
            <w:bCs/>
            <w:i/>
            <w:iCs/>
            <w:noProof/>
          </w:rPr>
          <w:t>q</w:t>
        </w:r>
        <w:r w:rsidRPr="00B6110A">
          <w:rPr>
            <w:rStyle w:val="Hyperlink"/>
            <w:rFonts w:ascii="Times New Roman" w:hAnsi="Times New Roman" w:cs="Times New Roman"/>
            <w:b w:val="0"/>
            <w:bCs/>
            <w:noProof/>
          </w:rPr>
          <w:t>=1, the median point estimates for ∆ AM fungal richness, the lower bound and the higher bound of the 95% highest density interval per treatment, evidence ratios, and posterior probabilities.</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_Toc102118711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123</w:t>
        </w:r>
        <w:r w:rsidRPr="00B6110A">
          <w:rPr>
            <w:rFonts w:cs="Times New Roman"/>
            <w:b w:val="0"/>
            <w:bCs/>
            <w:noProof/>
            <w:webHidden/>
          </w:rPr>
          <w:fldChar w:fldCharType="end"/>
        </w:r>
      </w:hyperlink>
    </w:p>
    <w:p w14:paraId="7E76A580" w14:textId="582E194D" w:rsidR="00B6110A" w:rsidRPr="00B6110A" w:rsidRDefault="00B6110A">
      <w:pPr>
        <w:pStyle w:val="TableofFigures"/>
        <w:tabs>
          <w:tab w:val="right" w:leader="dot" w:pos="9350"/>
        </w:tabs>
        <w:rPr>
          <w:rFonts w:eastAsiaTheme="minorEastAsia" w:cs="Times New Roman"/>
          <w:b w:val="0"/>
          <w:bCs/>
          <w:noProof/>
        </w:rPr>
      </w:pPr>
      <w:hyperlink w:anchor="_Toc102118712" w:history="1">
        <w:r w:rsidRPr="00B6110A">
          <w:rPr>
            <w:rStyle w:val="Hyperlink"/>
            <w:rFonts w:ascii="Times New Roman" w:hAnsi="Times New Roman" w:cs="Times New Roman"/>
            <w:b w:val="0"/>
            <w:bCs/>
            <w:noProof/>
          </w:rPr>
          <w:t>Appendix Table 2. For each value of Diversity (</w:t>
        </w:r>
        <w:r w:rsidRPr="00B6110A">
          <w:rPr>
            <w:rStyle w:val="Hyperlink"/>
            <w:rFonts w:ascii="Times New Roman" w:hAnsi="Times New Roman" w:cs="Times New Roman"/>
            <w:b w:val="0"/>
            <w:bCs/>
            <w:i/>
            <w:iCs/>
            <w:noProof/>
          </w:rPr>
          <w:t>q</w:t>
        </w:r>
        <w:r w:rsidRPr="00B6110A">
          <w:rPr>
            <w:rStyle w:val="Hyperlink"/>
            <w:rFonts w:ascii="Times New Roman" w:hAnsi="Times New Roman" w:cs="Times New Roman"/>
            <w:b w:val="0"/>
            <w:bCs/>
            <w:noProof/>
          </w:rPr>
          <w:t>), the median rarefied pairwise AM fungal community turnover, the lower bound and the higher bound of the 95% highest density interval per treatment.</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_Toc102118712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125</w:t>
        </w:r>
        <w:r w:rsidRPr="00B6110A">
          <w:rPr>
            <w:rFonts w:cs="Times New Roman"/>
            <w:b w:val="0"/>
            <w:bCs/>
            <w:noProof/>
            <w:webHidden/>
          </w:rPr>
          <w:fldChar w:fldCharType="end"/>
        </w:r>
      </w:hyperlink>
    </w:p>
    <w:p w14:paraId="28B81657" w14:textId="7CBCBC9A" w:rsidR="00B6110A" w:rsidRPr="00B6110A" w:rsidRDefault="00B6110A">
      <w:pPr>
        <w:pStyle w:val="TableofFigures"/>
        <w:tabs>
          <w:tab w:val="right" w:leader="dot" w:pos="9350"/>
        </w:tabs>
        <w:rPr>
          <w:rFonts w:eastAsiaTheme="minorEastAsia" w:cs="Times New Roman"/>
          <w:b w:val="0"/>
          <w:bCs/>
          <w:noProof/>
        </w:rPr>
      </w:pPr>
      <w:hyperlink w:anchor="_Toc102118713" w:history="1">
        <w:r w:rsidRPr="00B6110A">
          <w:rPr>
            <w:rStyle w:val="Hyperlink"/>
            <w:rFonts w:ascii="Times New Roman" w:hAnsi="Times New Roman" w:cs="Times New Roman"/>
            <w:b w:val="0"/>
            <w:bCs/>
            <w:noProof/>
          </w:rPr>
          <w:t>Appendix Table 3. Independent, noncorrelated climate variables included in each MaxEnt model per climate scenario based on a multicollinear test at a 0.7 threshold.</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_Toc102118713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126</w:t>
        </w:r>
        <w:r w:rsidRPr="00B6110A">
          <w:rPr>
            <w:rFonts w:cs="Times New Roman"/>
            <w:b w:val="0"/>
            <w:bCs/>
            <w:noProof/>
            <w:webHidden/>
          </w:rPr>
          <w:fldChar w:fldCharType="end"/>
        </w:r>
      </w:hyperlink>
    </w:p>
    <w:p w14:paraId="393DBE61" w14:textId="5DC81C0D" w:rsidR="00B6110A" w:rsidRPr="00B6110A" w:rsidRDefault="00B6110A">
      <w:pPr>
        <w:pStyle w:val="TableofFigures"/>
        <w:tabs>
          <w:tab w:val="right" w:leader="dot" w:pos="9350"/>
        </w:tabs>
        <w:rPr>
          <w:rFonts w:eastAsiaTheme="minorEastAsia" w:cs="Times New Roman"/>
          <w:b w:val="0"/>
          <w:bCs/>
          <w:noProof/>
        </w:rPr>
      </w:pPr>
      <w:hyperlink w:anchor="_Toc102118714" w:history="1">
        <w:r w:rsidRPr="00B6110A">
          <w:rPr>
            <w:rStyle w:val="Hyperlink"/>
            <w:rFonts w:ascii="Times New Roman" w:hAnsi="Times New Roman" w:cs="Times New Roman"/>
            <w:b w:val="0"/>
            <w:bCs/>
            <w:noProof/>
          </w:rPr>
          <w:t>Appendix Table 4. PCA axes and the proportion of variance each axes explains in multivariate space given the output of all ecological niche models for the species pair.</w:t>
        </w:r>
        <w:r w:rsidRPr="00B6110A">
          <w:rPr>
            <w:rFonts w:cs="Times New Roman"/>
            <w:b w:val="0"/>
            <w:bCs/>
            <w:noProof/>
            <w:webHidden/>
          </w:rPr>
          <w:tab/>
        </w:r>
        <w:r w:rsidRPr="00B6110A">
          <w:rPr>
            <w:rFonts w:cs="Times New Roman"/>
            <w:b w:val="0"/>
            <w:bCs/>
            <w:noProof/>
            <w:webHidden/>
          </w:rPr>
          <w:fldChar w:fldCharType="begin"/>
        </w:r>
        <w:r w:rsidRPr="00B6110A">
          <w:rPr>
            <w:rFonts w:cs="Times New Roman"/>
            <w:b w:val="0"/>
            <w:bCs/>
            <w:noProof/>
            <w:webHidden/>
          </w:rPr>
          <w:instrText xml:space="preserve"> PAGEREF _Toc102118714 \h </w:instrText>
        </w:r>
        <w:r w:rsidRPr="00B6110A">
          <w:rPr>
            <w:rFonts w:cs="Times New Roman"/>
            <w:b w:val="0"/>
            <w:bCs/>
            <w:noProof/>
            <w:webHidden/>
          </w:rPr>
        </w:r>
        <w:r w:rsidRPr="00B6110A">
          <w:rPr>
            <w:rFonts w:cs="Times New Roman"/>
            <w:b w:val="0"/>
            <w:bCs/>
            <w:noProof/>
            <w:webHidden/>
          </w:rPr>
          <w:fldChar w:fldCharType="separate"/>
        </w:r>
        <w:r w:rsidR="00F74166">
          <w:rPr>
            <w:rFonts w:cs="Times New Roman"/>
            <w:b w:val="0"/>
            <w:bCs/>
            <w:noProof/>
            <w:webHidden/>
          </w:rPr>
          <w:t>127</w:t>
        </w:r>
        <w:r w:rsidRPr="00B6110A">
          <w:rPr>
            <w:rFonts w:cs="Times New Roman"/>
            <w:b w:val="0"/>
            <w:bCs/>
            <w:noProof/>
            <w:webHidden/>
          </w:rPr>
          <w:fldChar w:fldCharType="end"/>
        </w:r>
      </w:hyperlink>
    </w:p>
    <w:p w14:paraId="6F81EB88" w14:textId="10BD609D" w:rsidR="003920DC" w:rsidRPr="00E10C5F" w:rsidRDefault="005B5D83" w:rsidP="00E10C5F">
      <w:pPr>
        <w:numPr>
          <w:ilvl w:val="12"/>
          <w:numId w:val="0"/>
        </w:numPr>
        <w:spacing w:line="360" w:lineRule="auto"/>
        <w:jc w:val="center"/>
        <w:rPr>
          <w:b/>
          <w:bCs/>
          <w:sz w:val="28"/>
          <w:szCs w:val="28"/>
        </w:rPr>
      </w:pPr>
      <w:r w:rsidRPr="00F50C36">
        <w:fldChar w:fldCharType="end"/>
      </w:r>
      <w:r w:rsidR="00236E6D" w:rsidRPr="00390FB1">
        <w:br w:type="page"/>
      </w:r>
      <w:r w:rsidR="00236E6D" w:rsidRPr="00E10C5F">
        <w:rPr>
          <w:b/>
          <w:sz w:val="28"/>
          <w:szCs w:val="28"/>
        </w:rPr>
        <w:lastRenderedPageBreak/>
        <w:t>LIST OF FIGURES</w:t>
      </w:r>
    </w:p>
    <w:p w14:paraId="45440539" w14:textId="43719D37" w:rsidR="008D71FC" w:rsidRPr="008D71FC" w:rsidRDefault="00FB0B50">
      <w:pPr>
        <w:pStyle w:val="TableofFigures"/>
        <w:tabs>
          <w:tab w:val="right" w:leader="dot" w:pos="9350"/>
        </w:tabs>
        <w:rPr>
          <w:rFonts w:eastAsiaTheme="minorEastAsia" w:cs="Times New Roman"/>
          <w:b w:val="0"/>
          <w:noProof/>
        </w:rPr>
      </w:pPr>
      <w:r w:rsidRPr="008D71FC">
        <w:rPr>
          <w:rFonts w:cs="Times New Roman"/>
          <w:b w:val="0"/>
        </w:rPr>
        <w:fldChar w:fldCharType="begin"/>
      </w:r>
      <w:r w:rsidRPr="008D71FC">
        <w:rPr>
          <w:rFonts w:cs="Times New Roman"/>
          <w:b w:val="0"/>
        </w:rPr>
        <w:instrText xml:space="preserve"> TOC \h \z \t "Caption,FigCaption" \c </w:instrText>
      </w:r>
      <w:r w:rsidRPr="008D71FC">
        <w:rPr>
          <w:rFonts w:cs="Times New Roman"/>
          <w:b w:val="0"/>
        </w:rPr>
        <w:fldChar w:fldCharType="separate"/>
      </w:r>
      <w:hyperlink w:anchor="_Toc102046871" w:history="1">
        <w:r w:rsidR="008D71FC" w:rsidRPr="008D71FC">
          <w:rPr>
            <w:rStyle w:val="Hyperlink"/>
            <w:rFonts w:ascii="Times New Roman" w:hAnsi="Times New Roman" w:cs="Times New Roman"/>
            <w:b w:val="0"/>
            <w:noProof/>
          </w:rPr>
          <w:t>Figure 1. Conceptual diagram outlining the influence sequencing resolution, spatial grain, abiotic conditions, and biotic interactions have on the characterization of microbial communities and their recent utility and incorporation into predictive climate models.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_Toc102046871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4</w:t>
        </w:r>
        <w:r w:rsidR="008D71FC" w:rsidRPr="008D71FC">
          <w:rPr>
            <w:rFonts w:cs="Times New Roman"/>
            <w:b w:val="0"/>
            <w:noProof/>
            <w:webHidden/>
          </w:rPr>
          <w:fldChar w:fldCharType="end"/>
        </w:r>
      </w:hyperlink>
    </w:p>
    <w:p w14:paraId="5D894342" w14:textId="3177FB33" w:rsidR="008D71FC" w:rsidRPr="008D71FC" w:rsidRDefault="004C71C8">
      <w:pPr>
        <w:pStyle w:val="TableofFigures"/>
        <w:tabs>
          <w:tab w:val="right" w:leader="dot" w:pos="9350"/>
        </w:tabs>
        <w:rPr>
          <w:rFonts w:eastAsiaTheme="minorEastAsia" w:cs="Times New Roman"/>
          <w:b w:val="0"/>
          <w:noProof/>
        </w:rPr>
      </w:pPr>
      <w:hyperlink w:anchor="_Toc102046872" w:history="1">
        <w:r w:rsidR="008D71FC" w:rsidRPr="008D71FC">
          <w:rPr>
            <w:rStyle w:val="Hyperlink"/>
            <w:rFonts w:ascii="Times New Roman" w:hAnsi="Times New Roman" w:cs="Times New Roman"/>
            <w:b w:val="0"/>
            <w:noProof/>
          </w:rPr>
          <w:t xml:space="preserve">Figure 2. A conceptual outline describing the spatial structure and sample pooling of the </w:t>
        </w:r>
        <w:r w:rsidR="008D71FC" w:rsidRPr="008D71FC">
          <w:rPr>
            <w:rStyle w:val="Hyperlink"/>
            <w:rFonts w:ascii="Times New Roman" w:hAnsi="Times New Roman" w:cs="Times New Roman"/>
            <w:b w:val="0"/>
            <w:i/>
            <w:noProof/>
          </w:rPr>
          <w:t>S. lyrata</w:t>
        </w:r>
        <w:r w:rsidR="008D71FC" w:rsidRPr="008D71FC">
          <w:rPr>
            <w:rStyle w:val="Hyperlink"/>
            <w:rFonts w:ascii="Times New Roman" w:hAnsi="Times New Roman" w:cs="Times New Roman"/>
            <w:b w:val="0"/>
            <w:noProof/>
          </w:rPr>
          <w:t xml:space="preserve"> rhizosphere microbiome outlined by three depths within the rhizosphere.</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_Toc102046872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10</w:t>
        </w:r>
        <w:r w:rsidR="008D71FC" w:rsidRPr="008D71FC">
          <w:rPr>
            <w:rFonts w:cs="Times New Roman"/>
            <w:b w:val="0"/>
            <w:noProof/>
            <w:webHidden/>
          </w:rPr>
          <w:fldChar w:fldCharType="end"/>
        </w:r>
      </w:hyperlink>
    </w:p>
    <w:p w14:paraId="75E615DD" w14:textId="74C1F940" w:rsidR="008D71FC" w:rsidRPr="008D71FC" w:rsidRDefault="004C71C8">
      <w:pPr>
        <w:pStyle w:val="TableofFigures"/>
        <w:tabs>
          <w:tab w:val="right" w:leader="dot" w:pos="9350"/>
        </w:tabs>
        <w:rPr>
          <w:rFonts w:eastAsiaTheme="minorEastAsia" w:cs="Times New Roman"/>
          <w:b w:val="0"/>
          <w:noProof/>
        </w:rPr>
      </w:pPr>
      <w:hyperlink w:anchor="_Toc102046873" w:history="1">
        <w:r w:rsidR="008D71FC" w:rsidRPr="008D71FC">
          <w:rPr>
            <w:rStyle w:val="Hyperlink"/>
            <w:rFonts w:ascii="Times New Roman" w:hAnsi="Times New Roman" w:cs="Times New Roman"/>
            <w:b w:val="0"/>
            <w:noProof/>
          </w:rPr>
          <w:t xml:space="preserve">Figure 3. Bacterial phyla that associate with </w:t>
        </w:r>
        <w:r w:rsidR="008D71FC" w:rsidRPr="008D71FC">
          <w:rPr>
            <w:rStyle w:val="Hyperlink"/>
            <w:rFonts w:ascii="Times New Roman" w:hAnsi="Times New Roman" w:cs="Times New Roman"/>
            <w:b w:val="0"/>
            <w:i/>
            <w:noProof/>
          </w:rPr>
          <w:t>Salvia lyrata</w:t>
        </w:r>
        <w:r w:rsidR="008D71FC" w:rsidRPr="008D71FC">
          <w:rPr>
            <w:rStyle w:val="Hyperlink"/>
            <w:rFonts w:ascii="Times New Roman" w:hAnsi="Times New Roman" w:cs="Times New Roman"/>
            <w:b w:val="0"/>
            <w:noProof/>
          </w:rPr>
          <w:t xml:space="preserve"> for samples pooled </w:t>
        </w:r>
        <w:r w:rsidR="008D71FC" w:rsidRPr="008D71FC">
          <w:rPr>
            <w:rStyle w:val="Hyperlink"/>
            <w:rFonts w:ascii="Times New Roman" w:hAnsi="Times New Roman" w:cs="Times New Roman"/>
            <w:b w:val="0"/>
            <w:i/>
            <w:noProof/>
          </w:rPr>
          <w:t>in vitro</w:t>
        </w:r>
        <w:r w:rsidR="008D71FC" w:rsidRPr="008D71FC">
          <w:rPr>
            <w:rStyle w:val="Hyperlink"/>
            <w:rFonts w:ascii="Times New Roman" w:hAnsi="Times New Roman" w:cs="Times New Roman"/>
            <w:b w:val="0"/>
            <w:noProof/>
          </w:rPr>
          <w:t>. On average, Proteobacteria represent 30% of all bacteria recovered.</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_Toc102046873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18</w:t>
        </w:r>
        <w:r w:rsidR="008D71FC" w:rsidRPr="008D71FC">
          <w:rPr>
            <w:rFonts w:cs="Times New Roman"/>
            <w:b w:val="0"/>
            <w:noProof/>
            <w:webHidden/>
          </w:rPr>
          <w:fldChar w:fldCharType="end"/>
        </w:r>
      </w:hyperlink>
    </w:p>
    <w:p w14:paraId="16E1A5CA" w14:textId="095108AD" w:rsidR="008D71FC" w:rsidRPr="008D71FC" w:rsidRDefault="004C71C8">
      <w:pPr>
        <w:pStyle w:val="TableofFigures"/>
        <w:tabs>
          <w:tab w:val="right" w:leader="dot" w:pos="9350"/>
        </w:tabs>
        <w:rPr>
          <w:rFonts w:eastAsiaTheme="minorEastAsia" w:cs="Times New Roman"/>
          <w:b w:val="0"/>
          <w:noProof/>
        </w:rPr>
      </w:pPr>
      <w:hyperlink w:anchor="_Toc102046874" w:history="1">
        <w:r w:rsidR="008D71FC" w:rsidRPr="008D71FC">
          <w:rPr>
            <w:rStyle w:val="Hyperlink"/>
            <w:rFonts w:ascii="Times New Roman" w:hAnsi="Times New Roman" w:cs="Times New Roman"/>
            <w:b w:val="0"/>
            <w:noProof/>
          </w:rPr>
          <w:t>Figure 4. Principal coordinate analysis on the reduced dimensional analysis based on a quantitative Jaccard distance with rhizosphere depth as a predictor variable. abundance between depths varied based on the quantitative Jaccard distance matrix provided in our permutational analysis of variance (p&lt;0.001).</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_Toc102046874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19</w:t>
        </w:r>
        <w:r w:rsidR="008D71FC" w:rsidRPr="008D71FC">
          <w:rPr>
            <w:rFonts w:cs="Times New Roman"/>
            <w:b w:val="0"/>
            <w:noProof/>
            <w:webHidden/>
          </w:rPr>
          <w:fldChar w:fldCharType="end"/>
        </w:r>
      </w:hyperlink>
    </w:p>
    <w:p w14:paraId="69A1FC70" w14:textId="2AF82C39" w:rsidR="008D71FC" w:rsidRPr="008D71FC" w:rsidRDefault="004C71C8">
      <w:pPr>
        <w:pStyle w:val="TableofFigures"/>
        <w:tabs>
          <w:tab w:val="right" w:leader="dot" w:pos="9350"/>
        </w:tabs>
        <w:rPr>
          <w:rFonts w:eastAsiaTheme="minorEastAsia" w:cs="Times New Roman"/>
          <w:b w:val="0"/>
          <w:noProof/>
        </w:rPr>
      </w:pPr>
      <w:hyperlink w:anchor="_Toc102046875" w:history="1">
        <w:r w:rsidR="008D71FC" w:rsidRPr="008D71FC">
          <w:rPr>
            <w:rStyle w:val="Hyperlink"/>
            <w:rFonts w:ascii="Times New Roman" w:hAnsi="Times New Roman" w:cs="Times New Roman"/>
            <w:b w:val="0"/>
            <w:noProof/>
          </w:rPr>
          <w:t xml:space="preserve">Figure 5. Alpha diversity profile plot showing intercepts from each fitted linear model a function of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_Toc102046875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22</w:t>
        </w:r>
        <w:r w:rsidR="008D71FC" w:rsidRPr="008D71FC">
          <w:rPr>
            <w:rFonts w:cs="Times New Roman"/>
            <w:b w:val="0"/>
            <w:noProof/>
            <w:webHidden/>
          </w:rPr>
          <w:fldChar w:fldCharType="end"/>
        </w:r>
      </w:hyperlink>
    </w:p>
    <w:p w14:paraId="065E4E86" w14:textId="5BFFB5AD" w:rsidR="008D71FC" w:rsidRPr="008D71FC" w:rsidRDefault="004C71C8">
      <w:pPr>
        <w:pStyle w:val="TableofFigures"/>
        <w:tabs>
          <w:tab w:val="right" w:leader="dot" w:pos="9350"/>
        </w:tabs>
        <w:rPr>
          <w:rFonts w:eastAsiaTheme="minorEastAsia" w:cs="Times New Roman"/>
          <w:b w:val="0"/>
          <w:noProof/>
        </w:rPr>
      </w:pPr>
      <w:hyperlink w:anchor="_Toc102046876" w:history="1">
        <w:r w:rsidR="008D71FC" w:rsidRPr="008D71FC">
          <w:rPr>
            <w:rStyle w:val="Hyperlink"/>
            <w:rFonts w:ascii="Times New Roman" w:hAnsi="Times New Roman" w:cs="Times New Roman"/>
            <w:b w:val="0"/>
            <w:noProof/>
          </w:rPr>
          <w:t>Figure 6. Indicator species analysis visualized at the family level for each rhizosphere depth. Each depth is illustrated here as sample A (0–1cm), sample B (1–2.5 cm), and sample C (2.5–4 cm).</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_Toc102046876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24</w:t>
        </w:r>
        <w:r w:rsidR="008D71FC" w:rsidRPr="008D71FC">
          <w:rPr>
            <w:rFonts w:cs="Times New Roman"/>
            <w:b w:val="0"/>
            <w:noProof/>
            <w:webHidden/>
          </w:rPr>
          <w:fldChar w:fldCharType="end"/>
        </w:r>
      </w:hyperlink>
    </w:p>
    <w:p w14:paraId="6AF72B7E" w14:textId="36D93B7C" w:rsidR="008D71FC" w:rsidRPr="008D71FC" w:rsidRDefault="004C71C8">
      <w:pPr>
        <w:pStyle w:val="TableofFigures"/>
        <w:tabs>
          <w:tab w:val="right" w:leader="dot" w:pos="9350"/>
        </w:tabs>
        <w:rPr>
          <w:rFonts w:eastAsiaTheme="minorEastAsia" w:cs="Times New Roman"/>
          <w:b w:val="0"/>
          <w:noProof/>
        </w:rPr>
      </w:pPr>
      <w:hyperlink w:anchor="_Toc102046877" w:history="1">
        <w:r w:rsidR="008D71FC" w:rsidRPr="008D71FC">
          <w:rPr>
            <w:rStyle w:val="Hyperlink"/>
            <w:rFonts w:ascii="Times New Roman" w:hAnsi="Times New Roman" w:cs="Times New Roman"/>
            <w:b w:val="0"/>
            <w:noProof/>
          </w:rPr>
          <w:t xml:space="preserve">Figure 7. Total relative abundance of reads for samples </w:t>
        </w:r>
        <w:r w:rsidR="008D71FC" w:rsidRPr="008D71FC">
          <w:rPr>
            <w:rStyle w:val="Hyperlink"/>
            <w:rFonts w:ascii="Times New Roman" w:hAnsi="Times New Roman" w:cs="Times New Roman"/>
            <w:b w:val="0"/>
            <w:i/>
            <w:noProof/>
          </w:rPr>
          <w:t>in silico</w:t>
        </w:r>
        <w:r w:rsidR="008D71FC" w:rsidRPr="008D71FC">
          <w:rPr>
            <w:rStyle w:val="Hyperlink"/>
            <w:rFonts w:ascii="Times New Roman" w:hAnsi="Times New Roman" w:cs="Times New Roman"/>
            <w:b w:val="0"/>
            <w:noProof/>
          </w:rPr>
          <w:t xml:space="preserve"> and </w:t>
        </w:r>
        <w:r w:rsidR="008D71FC" w:rsidRPr="008D71FC">
          <w:rPr>
            <w:rStyle w:val="Hyperlink"/>
            <w:rFonts w:ascii="Times New Roman" w:hAnsi="Times New Roman" w:cs="Times New Roman"/>
            <w:b w:val="0"/>
            <w:i/>
            <w:noProof/>
          </w:rPr>
          <w:t>in vitro</w:t>
        </w:r>
        <w:r w:rsidR="008D71FC" w:rsidRPr="008D71FC">
          <w:rPr>
            <w:rStyle w:val="Hyperlink"/>
            <w:rFonts w:ascii="Times New Roman" w:hAnsi="Times New Roman" w:cs="Times New Roman"/>
            <w:b w:val="0"/>
            <w:noProof/>
          </w:rPr>
          <w:t xml:space="preserve">. a) The total relative abundance of reads is greater for samples that were pooled </w:t>
        </w:r>
        <w:r w:rsidR="008D71FC" w:rsidRPr="008D71FC">
          <w:rPr>
            <w:rStyle w:val="Hyperlink"/>
            <w:rFonts w:ascii="Times New Roman" w:hAnsi="Times New Roman" w:cs="Times New Roman"/>
            <w:b w:val="0"/>
            <w:i/>
            <w:noProof/>
          </w:rPr>
          <w:t>in vitro</w:t>
        </w:r>
        <w:r w:rsidR="008D71FC" w:rsidRPr="008D71FC">
          <w:rPr>
            <w:rStyle w:val="Hyperlink"/>
            <w:rFonts w:ascii="Times New Roman" w:hAnsi="Times New Roman" w:cs="Times New Roman"/>
            <w:b w:val="0"/>
            <w:noProof/>
          </w:rPr>
          <w:t xml:space="preserve"> compared with those </w:t>
        </w:r>
        <w:r w:rsidR="008D71FC" w:rsidRPr="008D71FC">
          <w:rPr>
            <w:rStyle w:val="Hyperlink"/>
            <w:rFonts w:ascii="Times New Roman" w:hAnsi="Times New Roman" w:cs="Times New Roman"/>
            <w:b w:val="0"/>
            <w:i/>
            <w:noProof/>
          </w:rPr>
          <w:t>in silico</w:t>
        </w:r>
        <w:r w:rsidR="008D71FC" w:rsidRPr="008D71FC">
          <w:rPr>
            <w:rStyle w:val="Hyperlink"/>
            <w:rFonts w:ascii="Times New Roman" w:hAnsi="Times New Roman" w:cs="Times New Roman"/>
            <w:b w:val="0"/>
            <w:noProof/>
          </w:rPr>
          <w:t xml:space="preserve">. b) Alpha diversity at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 xml:space="preserve">=1 for pooled samples </w:t>
        </w:r>
        <w:r w:rsidR="008D71FC" w:rsidRPr="008D71FC">
          <w:rPr>
            <w:rStyle w:val="Hyperlink"/>
            <w:rFonts w:ascii="Times New Roman" w:hAnsi="Times New Roman" w:cs="Times New Roman"/>
            <w:b w:val="0"/>
            <w:i/>
            <w:noProof/>
          </w:rPr>
          <w:t>in silico</w:t>
        </w:r>
        <w:r w:rsidR="008D71FC" w:rsidRPr="008D71FC">
          <w:rPr>
            <w:rStyle w:val="Hyperlink"/>
            <w:rFonts w:ascii="Times New Roman" w:hAnsi="Times New Roman" w:cs="Times New Roman"/>
            <w:b w:val="0"/>
            <w:noProof/>
          </w:rPr>
          <w:t xml:space="preserve"> and </w:t>
        </w:r>
        <w:r w:rsidR="008D71FC" w:rsidRPr="008D71FC">
          <w:rPr>
            <w:rStyle w:val="Hyperlink"/>
            <w:rFonts w:ascii="Times New Roman" w:hAnsi="Times New Roman" w:cs="Times New Roman"/>
            <w:b w:val="0"/>
            <w:i/>
            <w:noProof/>
          </w:rPr>
          <w:t>in vitro</w:t>
        </w:r>
        <w:r w:rsidR="008D71FC" w:rsidRPr="008D71FC">
          <w:rPr>
            <w:rStyle w:val="Hyperlink"/>
            <w:rFonts w:ascii="Times New Roman" w:hAnsi="Times New Roman" w:cs="Times New Roman"/>
            <w:b w:val="0"/>
            <w:noProof/>
          </w:rPr>
          <w:t>.</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_Toc102046877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26</w:t>
        </w:r>
        <w:r w:rsidR="008D71FC" w:rsidRPr="008D71FC">
          <w:rPr>
            <w:rFonts w:cs="Times New Roman"/>
            <w:b w:val="0"/>
            <w:noProof/>
            <w:webHidden/>
          </w:rPr>
          <w:fldChar w:fldCharType="end"/>
        </w:r>
      </w:hyperlink>
    </w:p>
    <w:p w14:paraId="274C5F2F" w14:textId="77FF2915" w:rsidR="008D71FC" w:rsidRPr="008D71FC" w:rsidRDefault="004C71C8">
      <w:pPr>
        <w:pStyle w:val="TableofFigures"/>
        <w:tabs>
          <w:tab w:val="right" w:leader="dot" w:pos="9350"/>
        </w:tabs>
        <w:rPr>
          <w:rFonts w:eastAsiaTheme="minorEastAsia" w:cs="Times New Roman"/>
          <w:b w:val="0"/>
          <w:noProof/>
        </w:rPr>
      </w:pPr>
      <w:hyperlink w:anchor="_Toc102046878" w:history="1">
        <w:r w:rsidR="008D71FC" w:rsidRPr="008D71FC">
          <w:rPr>
            <w:rStyle w:val="Hyperlink"/>
            <w:rFonts w:ascii="Times New Roman" w:hAnsi="Times New Roman" w:cs="Times New Roman"/>
            <w:b w:val="0"/>
            <w:noProof/>
            <w:shd w:val="clear" w:color="auto" w:fill="FFFFFF"/>
          </w:rPr>
          <w:t>Figure 8. Visual representation of rainfall exclusion treatments set up near Rustler Park in the Chiricahua Mountain Range.</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_Toc102046878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37</w:t>
        </w:r>
        <w:r w:rsidR="008D71FC" w:rsidRPr="008D71FC">
          <w:rPr>
            <w:rFonts w:cs="Times New Roman"/>
            <w:b w:val="0"/>
            <w:noProof/>
            <w:webHidden/>
          </w:rPr>
          <w:fldChar w:fldCharType="end"/>
        </w:r>
      </w:hyperlink>
    </w:p>
    <w:p w14:paraId="37EC62D2" w14:textId="6D2EDFDB" w:rsidR="008D71FC" w:rsidRPr="008D71FC" w:rsidRDefault="004C71C8">
      <w:pPr>
        <w:pStyle w:val="TableofFigures"/>
        <w:tabs>
          <w:tab w:val="right" w:leader="dot" w:pos="9350"/>
        </w:tabs>
        <w:rPr>
          <w:rFonts w:eastAsiaTheme="minorEastAsia" w:cs="Times New Roman"/>
          <w:b w:val="0"/>
          <w:noProof/>
        </w:rPr>
      </w:pPr>
      <w:hyperlink w:anchor="_Toc102046879" w:history="1">
        <w:r w:rsidR="008D71FC" w:rsidRPr="008D71FC">
          <w:rPr>
            <w:rStyle w:val="Hyperlink"/>
            <w:rFonts w:ascii="Times New Roman" w:hAnsi="Times New Roman" w:cs="Times New Roman"/>
            <w:b w:val="0"/>
            <w:noProof/>
          </w:rPr>
          <w:t>Figure 9. A principal coordinate analysis from the dbRDA describing dissimilarity of bacterial community structure as a function of rainfall exclusion treatment and the log of phosphorous.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_Toc102046879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45</w:t>
        </w:r>
        <w:r w:rsidR="008D71FC" w:rsidRPr="008D71FC">
          <w:rPr>
            <w:rFonts w:cs="Times New Roman"/>
            <w:b w:val="0"/>
            <w:noProof/>
            <w:webHidden/>
          </w:rPr>
          <w:fldChar w:fldCharType="end"/>
        </w:r>
      </w:hyperlink>
    </w:p>
    <w:p w14:paraId="0297D67A" w14:textId="2C8A0830" w:rsidR="008D71FC" w:rsidRPr="008D71FC" w:rsidRDefault="004C71C8">
      <w:pPr>
        <w:pStyle w:val="TableofFigures"/>
        <w:tabs>
          <w:tab w:val="right" w:leader="dot" w:pos="9350"/>
        </w:tabs>
        <w:rPr>
          <w:rFonts w:eastAsiaTheme="minorEastAsia" w:cs="Times New Roman"/>
          <w:b w:val="0"/>
          <w:noProof/>
        </w:rPr>
      </w:pPr>
      <w:hyperlink w:anchor="_Toc102046880" w:history="1">
        <w:r w:rsidR="008D71FC" w:rsidRPr="008D71FC">
          <w:rPr>
            <w:rStyle w:val="Hyperlink"/>
            <w:rFonts w:ascii="Times New Roman" w:hAnsi="Times New Roman" w:cs="Times New Roman"/>
            <w:b w:val="0"/>
            <w:noProof/>
          </w:rPr>
          <w:t xml:space="preserve">Figure 10. Bacterial alpha diversity from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 xml:space="preserve">=0 to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=2, where the control, moderate rainfall exclusion treatment, and the high rainfall exclusion treatment are represented from left to right as black, teal, and pink.</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_Toc102046880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48</w:t>
        </w:r>
        <w:r w:rsidR="008D71FC" w:rsidRPr="008D71FC">
          <w:rPr>
            <w:rFonts w:cs="Times New Roman"/>
            <w:b w:val="0"/>
            <w:noProof/>
            <w:webHidden/>
          </w:rPr>
          <w:fldChar w:fldCharType="end"/>
        </w:r>
      </w:hyperlink>
    </w:p>
    <w:p w14:paraId="160BC50A" w14:textId="2EE3A24B" w:rsidR="008D71FC" w:rsidRPr="008D71FC" w:rsidRDefault="004C71C8">
      <w:pPr>
        <w:pStyle w:val="TableofFigures"/>
        <w:tabs>
          <w:tab w:val="right" w:leader="dot" w:pos="9350"/>
        </w:tabs>
        <w:rPr>
          <w:rFonts w:eastAsiaTheme="minorEastAsia" w:cs="Times New Roman"/>
          <w:b w:val="0"/>
          <w:noProof/>
        </w:rPr>
      </w:pPr>
      <w:hyperlink w:anchor="_Toc102046881" w:history="1">
        <w:r w:rsidR="008D71FC" w:rsidRPr="008D71FC">
          <w:rPr>
            <w:rStyle w:val="Hyperlink"/>
            <w:rFonts w:ascii="Times New Roman" w:hAnsi="Times New Roman" w:cs="Times New Roman"/>
            <w:b w:val="0"/>
            <w:noProof/>
          </w:rPr>
          <w:t xml:space="preserve">Figure 11. Beta diversity, or distance to the centroid in multivariate space at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=0, where significant differences in beta diversity were detected across the monsoon season.</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_Toc102046881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50</w:t>
        </w:r>
        <w:r w:rsidR="008D71FC" w:rsidRPr="008D71FC">
          <w:rPr>
            <w:rFonts w:cs="Times New Roman"/>
            <w:b w:val="0"/>
            <w:noProof/>
            <w:webHidden/>
          </w:rPr>
          <w:fldChar w:fldCharType="end"/>
        </w:r>
      </w:hyperlink>
    </w:p>
    <w:p w14:paraId="5C92C562" w14:textId="32455E9A" w:rsidR="008D71FC" w:rsidRPr="008D71FC" w:rsidRDefault="004C71C8">
      <w:pPr>
        <w:pStyle w:val="TableofFigures"/>
        <w:tabs>
          <w:tab w:val="right" w:leader="dot" w:pos="9350"/>
        </w:tabs>
        <w:rPr>
          <w:rFonts w:eastAsiaTheme="minorEastAsia" w:cs="Times New Roman"/>
          <w:b w:val="0"/>
          <w:noProof/>
        </w:rPr>
      </w:pPr>
      <w:hyperlink w:anchor="_Toc102046882" w:history="1">
        <w:r w:rsidR="008D71FC" w:rsidRPr="008D71FC">
          <w:rPr>
            <w:rStyle w:val="Hyperlink"/>
            <w:rFonts w:ascii="Times New Roman" w:hAnsi="Times New Roman" w:cs="Times New Roman"/>
            <w:b w:val="0"/>
            <w:noProof/>
          </w:rPr>
          <w:t>Figure 12. Principal coordinate analysis at q=0 for pairwise community turnover.</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_Toc102046882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51</w:t>
        </w:r>
        <w:r w:rsidR="008D71FC" w:rsidRPr="008D71FC">
          <w:rPr>
            <w:rFonts w:cs="Times New Roman"/>
            <w:b w:val="0"/>
            <w:noProof/>
            <w:webHidden/>
          </w:rPr>
          <w:fldChar w:fldCharType="end"/>
        </w:r>
      </w:hyperlink>
    </w:p>
    <w:p w14:paraId="05AB2CA7" w14:textId="75139C6C" w:rsidR="008D71FC" w:rsidRPr="008D71FC" w:rsidRDefault="004C71C8">
      <w:pPr>
        <w:pStyle w:val="TableofFigures"/>
        <w:tabs>
          <w:tab w:val="right" w:leader="dot" w:pos="9350"/>
        </w:tabs>
        <w:rPr>
          <w:rFonts w:eastAsiaTheme="minorEastAsia" w:cs="Times New Roman"/>
          <w:b w:val="0"/>
          <w:noProof/>
        </w:rPr>
      </w:pPr>
      <w:hyperlink w:anchor="_Toc102046883" w:history="1">
        <w:r w:rsidR="008D71FC" w:rsidRPr="008D71FC">
          <w:rPr>
            <w:rStyle w:val="Hyperlink"/>
            <w:rFonts w:ascii="Times New Roman" w:hAnsi="Times New Roman" w:cs="Times New Roman"/>
            <w:b w:val="0"/>
            <w:noProof/>
          </w:rPr>
          <w:t>Figure 13. An indicator species analysis based on rainfall exclusion treatments. Colors represent different bacterial families grouped at the class level for</w:t>
        </w:r>
        <w:r w:rsidR="008D71FC" w:rsidRPr="0008459E">
          <w:rPr>
            <w:rStyle w:val="Hyperlink"/>
            <w:rFonts w:ascii="Times New Roman" w:hAnsi="Times New Roman" w:cs="Times New Roman"/>
            <w:b w:val="0"/>
            <w:noProof/>
          </w:rPr>
          <w:t xml:space="preserve"> Actinobacteria, Alphaproteobacteria, Bacteroidia, Deltaproteobacteria, Gammaproteobacteria, and Verrucomicrobiae.</w:t>
        </w:r>
        <w:r w:rsidR="008D71FC" w:rsidRPr="0008459E">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_Toc102046883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53</w:t>
        </w:r>
        <w:r w:rsidR="008D71FC" w:rsidRPr="008D71FC">
          <w:rPr>
            <w:rFonts w:cs="Times New Roman"/>
            <w:b w:val="0"/>
            <w:noProof/>
            <w:webHidden/>
          </w:rPr>
          <w:fldChar w:fldCharType="end"/>
        </w:r>
      </w:hyperlink>
    </w:p>
    <w:p w14:paraId="12DCB34D" w14:textId="2A99F34F" w:rsidR="008D71FC" w:rsidRPr="008D71FC" w:rsidRDefault="004C71C8">
      <w:pPr>
        <w:pStyle w:val="TableofFigures"/>
        <w:tabs>
          <w:tab w:val="right" w:leader="dot" w:pos="9350"/>
        </w:tabs>
        <w:rPr>
          <w:rFonts w:eastAsiaTheme="minorEastAsia" w:cs="Times New Roman"/>
          <w:b w:val="0"/>
          <w:noProof/>
        </w:rPr>
      </w:pPr>
      <w:hyperlink w:anchor="_Toc102046884" w:history="1">
        <w:r w:rsidR="008D71FC" w:rsidRPr="008D71FC">
          <w:rPr>
            <w:rStyle w:val="Hyperlink"/>
            <w:rFonts w:ascii="Times New Roman" w:hAnsi="Times New Roman" w:cs="Times New Roman"/>
            <w:b w:val="0"/>
            <w:noProof/>
          </w:rPr>
          <w:t>Figure 14. Rainfall exclusion treatment designs to manipulate monsoon rainfall on AM fungal communities of the rhizosphere with 60% (moderate) exclusion, 80% (high) exclusion, and no shelter (control treatment).</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_Toc102046884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64</w:t>
        </w:r>
        <w:r w:rsidR="008D71FC" w:rsidRPr="008D71FC">
          <w:rPr>
            <w:rFonts w:cs="Times New Roman"/>
            <w:b w:val="0"/>
            <w:noProof/>
            <w:webHidden/>
          </w:rPr>
          <w:fldChar w:fldCharType="end"/>
        </w:r>
      </w:hyperlink>
    </w:p>
    <w:p w14:paraId="37D74007" w14:textId="549CA751" w:rsidR="008D71FC" w:rsidRPr="008D71FC" w:rsidRDefault="004C71C8">
      <w:pPr>
        <w:pStyle w:val="TableofFigures"/>
        <w:tabs>
          <w:tab w:val="right" w:leader="dot" w:pos="9350"/>
        </w:tabs>
        <w:rPr>
          <w:rFonts w:eastAsiaTheme="minorEastAsia" w:cs="Times New Roman"/>
          <w:b w:val="0"/>
          <w:noProof/>
        </w:rPr>
      </w:pPr>
      <w:hyperlink w:anchor="_Toc102046885" w:history="1">
        <w:r w:rsidR="008D71FC" w:rsidRPr="008D71FC">
          <w:rPr>
            <w:rStyle w:val="Hyperlink"/>
            <w:rFonts w:ascii="Times New Roman" w:hAnsi="Times New Roman" w:cs="Times New Roman"/>
            <w:b w:val="0"/>
            <w:noProof/>
          </w:rPr>
          <w:t>Figure 15. Heat map tree illustrating the AM Fungal variants recovered from Illumina MiSeq run from this study.</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_Toc102046885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70</w:t>
        </w:r>
        <w:r w:rsidR="008D71FC" w:rsidRPr="008D71FC">
          <w:rPr>
            <w:rFonts w:cs="Times New Roman"/>
            <w:b w:val="0"/>
            <w:noProof/>
            <w:webHidden/>
          </w:rPr>
          <w:fldChar w:fldCharType="end"/>
        </w:r>
      </w:hyperlink>
    </w:p>
    <w:p w14:paraId="57C02914" w14:textId="4622DAB3" w:rsidR="008D71FC" w:rsidRPr="008D71FC" w:rsidRDefault="004C71C8">
      <w:pPr>
        <w:pStyle w:val="TableofFigures"/>
        <w:tabs>
          <w:tab w:val="right" w:leader="dot" w:pos="9350"/>
        </w:tabs>
        <w:rPr>
          <w:rFonts w:eastAsiaTheme="minorEastAsia" w:cs="Times New Roman"/>
          <w:b w:val="0"/>
          <w:noProof/>
        </w:rPr>
      </w:pPr>
      <w:hyperlink w:anchor="_Toc102046886" w:history="1">
        <w:r w:rsidR="008D71FC" w:rsidRPr="008D71FC">
          <w:rPr>
            <w:rStyle w:val="Hyperlink"/>
            <w:rFonts w:ascii="Times New Roman" w:hAnsi="Times New Roman" w:cs="Times New Roman"/>
            <w:b w:val="0"/>
            <w:noProof/>
          </w:rPr>
          <w:t>Figure 16. Stacked bar chart for the orders</w:t>
        </w:r>
        <w:r w:rsidR="008D71FC" w:rsidRPr="0008459E">
          <w:rPr>
            <w:rStyle w:val="Hyperlink"/>
            <w:rFonts w:ascii="Times New Roman" w:hAnsi="Times New Roman" w:cs="Times New Roman"/>
            <w:b w:val="0"/>
            <w:noProof/>
          </w:rPr>
          <w:t xml:space="preserve"> Archaeosporales, Diversisporales, and Paraglomerales, and Glomerales.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_Toc102046886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72</w:t>
        </w:r>
        <w:r w:rsidR="008D71FC" w:rsidRPr="008D71FC">
          <w:rPr>
            <w:rFonts w:cs="Times New Roman"/>
            <w:b w:val="0"/>
            <w:noProof/>
            <w:webHidden/>
          </w:rPr>
          <w:fldChar w:fldCharType="end"/>
        </w:r>
      </w:hyperlink>
    </w:p>
    <w:p w14:paraId="01F4CA9F" w14:textId="5652E83C" w:rsidR="008D71FC" w:rsidRPr="008D71FC" w:rsidRDefault="004C71C8">
      <w:pPr>
        <w:pStyle w:val="TableofFigures"/>
        <w:tabs>
          <w:tab w:val="right" w:leader="dot" w:pos="9350"/>
        </w:tabs>
        <w:rPr>
          <w:rFonts w:eastAsiaTheme="minorEastAsia" w:cs="Times New Roman"/>
          <w:b w:val="0"/>
          <w:noProof/>
        </w:rPr>
      </w:pPr>
      <w:hyperlink w:anchor="_Toc102046887" w:history="1">
        <w:r w:rsidR="008D71FC" w:rsidRPr="008D71FC">
          <w:rPr>
            <w:rStyle w:val="Hyperlink"/>
            <w:rFonts w:ascii="Times New Roman" w:hAnsi="Times New Roman" w:cs="Times New Roman"/>
            <w:b w:val="0"/>
            <w:noProof/>
          </w:rPr>
          <w:t>Figure 17. Principal coordinate analysis for AM fungal community composition from the dbRDA using the mean quantitative Jaccard dissimilarity matrix of 1000 rarefied communities.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_Toc102046887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73</w:t>
        </w:r>
        <w:r w:rsidR="008D71FC" w:rsidRPr="008D71FC">
          <w:rPr>
            <w:rFonts w:cs="Times New Roman"/>
            <w:b w:val="0"/>
            <w:noProof/>
            <w:webHidden/>
          </w:rPr>
          <w:fldChar w:fldCharType="end"/>
        </w:r>
      </w:hyperlink>
    </w:p>
    <w:p w14:paraId="270DEDE3" w14:textId="4F248B1F" w:rsidR="008D71FC" w:rsidRPr="008D71FC" w:rsidRDefault="004C71C8">
      <w:pPr>
        <w:pStyle w:val="TableofFigures"/>
        <w:tabs>
          <w:tab w:val="right" w:leader="dot" w:pos="9350"/>
        </w:tabs>
        <w:rPr>
          <w:rFonts w:eastAsiaTheme="minorEastAsia" w:cs="Times New Roman"/>
          <w:b w:val="0"/>
          <w:noProof/>
        </w:rPr>
      </w:pPr>
      <w:hyperlink w:anchor="_Toc102046888" w:history="1">
        <w:r w:rsidR="008D71FC" w:rsidRPr="008D71FC">
          <w:rPr>
            <w:rStyle w:val="Hyperlink"/>
            <w:rFonts w:ascii="Times New Roman" w:hAnsi="Times New Roman" w:cs="Times New Roman"/>
            <w:b w:val="0"/>
            <w:noProof/>
          </w:rPr>
          <w:t>Figure 18. ∆ AM fungal richness and the 95% highest density interval around the median change in alpha diversity between the two time points.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_Toc102046888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75</w:t>
        </w:r>
        <w:r w:rsidR="008D71FC" w:rsidRPr="008D71FC">
          <w:rPr>
            <w:rFonts w:cs="Times New Roman"/>
            <w:b w:val="0"/>
            <w:noProof/>
            <w:webHidden/>
          </w:rPr>
          <w:fldChar w:fldCharType="end"/>
        </w:r>
      </w:hyperlink>
    </w:p>
    <w:p w14:paraId="5C6BD2D1" w14:textId="6CE03594" w:rsidR="008D71FC" w:rsidRPr="008D71FC" w:rsidRDefault="004C71C8">
      <w:pPr>
        <w:pStyle w:val="TableofFigures"/>
        <w:tabs>
          <w:tab w:val="right" w:leader="dot" w:pos="9350"/>
        </w:tabs>
        <w:rPr>
          <w:rFonts w:eastAsiaTheme="minorEastAsia" w:cs="Times New Roman"/>
          <w:b w:val="0"/>
          <w:noProof/>
        </w:rPr>
      </w:pPr>
      <w:hyperlink w:anchor="_Toc102046889" w:history="1">
        <w:r w:rsidR="008D71FC" w:rsidRPr="008D71FC">
          <w:rPr>
            <w:rStyle w:val="Hyperlink"/>
            <w:rFonts w:ascii="Times New Roman" w:hAnsi="Times New Roman" w:cs="Times New Roman"/>
            <w:b w:val="0"/>
            <w:noProof/>
          </w:rPr>
          <w:t>Figure 19. AM fungal community turnover between time points and the 95% highest density interval around the median between the two time points.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_Toc102046889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78</w:t>
        </w:r>
        <w:r w:rsidR="008D71FC" w:rsidRPr="008D71FC">
          <w:rPr>
            <w:rFonts w:cs="Times New Roman"/>
            <w:b w:val="0"/>
            <w:noProof/>
            <w:webHidden/>
          </w:rPr>
          <w:fldChar w:fldCharType="end"/>
        </w:r>
      </w:hyperlink>
    </w:p>
    <w:p w14:paraId="2F8372FE" w14:textId="69F0D5C2" w:rsidR="008D71FC" w:rsidRPr="008D71FC" w:rsidRDefault="004C71C8">
      <w:pPr>
        <w:pStyle w:val="TableofFigures"/>
        <w:tabs>
          <w:tab w:val="right" w:leader="dot" w:pos="9350"/>
        </w:tabs>
        <w:rPr>
          <w:rFonts w:eastAsiaTheme="minorEastAsia" w:cs="Times New Roman"/>
          <w:b w:val="0"/>
          <w:noProof/>
        </w:rPr>
      </w:pPr>
      <w:hyperlink w:anchor="_Toc102046890" w:history="1">
        <w:r w:rsidR="008D71FC" w:rsidRPr="008D71FC">
          <w:rPr>
            <w:rStyle w:val="Hyperlink"/>
            <w:rFonts w:ascii="Times New Roman" w:eastAsia="Arial" w:hAnsi="Times New Roman" w:cs="Times New Roman"/>
            <w:b w:val="0"/>
            <w:noProof/>
          </w:rPr>
          <w:t xml:space="preserve">Figure 20. Projected distributions of </w:t>
        </w:r>
        <w:r w:rsidR="008D71FC" w:rsidRPr="008D71FC">
          <w:rPr>
            <w:rStyle w:val="Hyperlink"/>
            <w:rFonts w:ascii="Times New Roman" w:eastAsia="Arial" w:hAnsi="Times New Roman" w:cs="Times New Roman"/>
            <w:b w:val="0"/>
            <w:i/>
            <w:noProof/>
          </w:rPr>
          <w:t xml:space="preserve">Pinus strobus </w:t>
        </w:r>
        <w:r w:rsidR="008D71FC" w:rsidRPr="008D71FC">
          <w:rPr>
            <w:rStyle w:val="Hyperlink"/>
            <w:rFonts w:ascii="Times New Roman" w:eastAsia="Arial" w:hAnsi="Times New Roman" w:cs="Times New Roman"/>
            <w:b w:val="0"/>
            <w:noProof/>
          </w:rPr>
          <w:t xml:space="preserve">(left) and </w:t>
        </w:r>
        <w:r w:rsidR="008D71FC" w:rsidRPr="008D71FC">
          <w:rPr>
            <w:rStyle w:val="Hyperlink"/>
            <w:rFonts w:ascii="Times New Roman" w:eastAsia="Arial" w:hAnsi="Times New Roman" w:cs="Times New Roman"/>
            <w:b w:val="0"/>
            <w:i/>
            <w:noProof/>
          </w:rPr>
          <w:t>Suillus spraguei</w:t>
        </w:r>
        <w:r w:rsidR="008D71FC" w:rsidRPr="008D71FC">
          <w:rPr>
            <w:rStyle w:val="Hyperlink"/>
            <w:rFonts w:ascii="Times New Roman" w:eastAsia="Arial" w:hAnsi="Times New Roman" w:cs="Times New Roman"/>
            <w:b w:val="0"/>
            <w:noProof/>
          </w:rPr>
          <w:t xml:space="preserve"> (right) in eastern North America under current baseline conditions. Dark green areas are more likely to be suitable habitat for either </w:t>
        </w:r>
        <w:r w:rsidR="008D71FC" w:rsidRPr="008D71FC">
          <w:rPr>
            <w:rStyle w:val="Hyperlink"/>
            <w:rFonts w:ascii="Times New Roman" w:eastAsia="Arial" w:hAnsi="Times New Roman" w:cs="Times New Roman"/>
            <w:b w:val="0"/>
            <w:i/>
            <w:noProof/>
          </w:rPr>
          <w:t>Pinus strobus</w:t>
        </w:r>
        <w:r w:rsidR="008D71FC" w:rsidRPr="008D71FC">
          <w:rPr>
            <w:rStyle w:val="Hyperlink"/>
            <w:rFonts w:ascii="Times New Roman" w:eastAsia="Arial" w:hAnsi="Times New Roman" w:cs="Times New Roman"/>
            <w:b w:val="0"/>
            <w:noProof/>
          </w:rPr>
          <w:t xml:space="preserve"> or </w:t>
        </w:r>
        <w:r w:rsidR="008D71FC" w:rsidRPr="008D71FC">
          <w:rPr>
            <w:rStyle w:val="Hyperlink"/>
            <w:rFonts w:ascii="Times New Roman" w:eastAsia="Arial" w:hAnsi="Times New Roman" w:cs="Times New Roman"/>
            <w:b w:val="0"/>
            <w:i/>
            <w:noProof/>
          </w:rPr>
          <w:t>Suillus spraguei</w:t>
        </w:r>
        <w:r w:rsidR="008D71FC" w:rsidRPr="008D71FC">
          <w:rPr>
            <w:rStyle w:val="Hyperlink"/>
            <w:rFonts w:ascii="Times New Roman" w:eastAsia="Arial" w:hAnsi="Times New Roman" w:cs="Times New Roman"/>
            <w:b w:val="0"/>
            <w:noProof/>
          </w:rPr>
          <w:t>.</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_Toc102046890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91</w:t>
        </w:r>
        <w:r w:rsidR="008D71FC" w:rsidRPr="008D71FC">
          <w:rPr>
            <w:rFonts w:cs="Times New Roman"/>
            <w:b w:val="0"/>
            <w:noProof/>
            <w:webHidden/>
          </w:rPr>
          <w:fldChar w:fldCharType="end"/>
        </w:r>
      </w:hyperlink>
    </w:p>
    <w:p w14:paraId="60DF56A9" w14:textId="477DD316" w:rsidR="008D71FC" w:rsidRPr="008D71FC" w:rsidRDefault="004C71C8">
      <w:pPr>
        <w:pStyle w:val="TableofFigures"/>
        <w:tabs>
          <w:tab w:val="right" w:leader="dot" w:pos="9350"/>
        </w:tabs>
        <w:rPr>
          <w:rFonts w:eastAsiaTheme="minorEastAsia" w:cs="Times New Roman"/>
          <w:b w:val="0"/>
          <w:noProof/>
        </w:rPr>
      </w:pPr>
      <w:hyperlink w:anchor="_Toc102046891" w:history="1">
        <w:r w:rsidR="008D71FC" w:rsidRPr="008D71FC">
          <w:rPr>
            <w:rStyle w:val="Hyperlink"/>
            <w:rFonts w:ascii="Times New Roman" w:eastAsia="Arial" w:hAnsi="Times New Roman" w:cs="Times New Roman"/>
            <w:b w:val="0"/>
            <w:noProof/>
          </w:rPr>
          <w:t xml:space="preserve">Figure 21. Predicted distributions of </w:t>
        </w:r>
        <w:r w:rsidR="008D71FC" w:rsidRPr="008D71FC">
          <w:rPr>
            <w:rStyle w:val="Hyperlink"/>
            <w:rFonts w:ascii="Times New Roman" w:eastAsia="Arial" w:hAnsi="Times New Roman" w:cs="Times New Roman"/>
            <w:b w:val="0"/>
            <w:i/>
            <w:noProof/>
          </w:rPr>
          <w:t xml:space="preserve">Pinus strobus </w:t>
        </w:r>
        <w:r w:rsidR="008D71FC" w:rsidRPr="008D71FC">
          <w:rPr>
            <w:rStyle w:val="Hyperlink"/>
            <w:rFonts w:ascii="Times New Roman" w:eastAsia="Arial" w:hAnsi="Times New Roman" w:cs="Times New Roman"/>
            <w:b w:val="0"/>
            <w:noProof/>
          </w:rPr>
          <w:t xml:space="preserve">(left) and </w:t>
        </w:r>
        <w:r w:rsidR="008D71FC" w:rsidRPr="008D71FC">
          <w:rPr>
            <w:rStyle w:val="Hyperlink"/>
            <w:rFonts w:ascii="Times New Roman" w:eastAsia="Arial" w:hAnsi="Times New Roman" w:cs="Times New Roman"/>
            <w:b w:val="0"/>
            <w:i/>
            <w:noProof/>
          </w:rPr>
          <w:t>Suillus spraguei</w:t>
        </w:r>
        <w:r w:rsidR="008D71FC" w:rsidRPr="008D71FC">
          <w:rPr>
            <w:rStyle w:val="Hyperlink"/>
            <w:rFonts w:ascii="Times New Roman" w:eastAsia="Arial" w:hAnsi="Times New Roman" w:cs="Times New Roman"/>
            <w:b w:val="0"/>
            <w:noProof/>
          </w:rPr>
          <w:t xml:space="preserve"> (right) in eastern North America the future climate scenarios (a) RCP4.5 INM-CM4 2055 and (b) RCP8.5 CCSM4 2085. Dark green areas are more likely to be suitable habitat for either </w:t>
        </w:r>
        <w:r w:rsidR="008D71FC" w:rsidRPr="008D71FC">
          <w:rPr>
            <w:rStyle w:val="Hyperlink"/>
            <w:rFonts w:ascii="Times New Roman" w:eastAsia="Arial" w:hAnsi="Times New Roman" w:cs="Times New Roman"/>
            <w:b w:val="0"/>
            <w:i/>
            <w:noProof/>
          </w:rPr>
          <w:t>Pinus strobus</w:t>
        </w:r>
        <w:r w:rsidR="008D71FC" w:rsidRPr="008D71FC">
          <w:rPr>
            <w:rStyle w:val="Hyperlink"/>
            <w:rFonts w:ascii="Times New Roman" w:eastAsia="Arial" w:hAnsi="Times New Roman" w:cs="Times New Roman"/>
            <w:b w:val="0"/>
            <w:noProof/>
          </w:rPr>
          <w:t xml:space="preserve"> or </w:t>
        </w:r>
        <w:r w:rsidR="008D71FC" w:rsidRPr="008D71FC">
          <w:rPr>
            <w:rStyle w:val="Hyperlink"/>
            <w:rFonts w:ascii="Times New Roman" w:eastAsia="Arial" w:hAnsi="Times New Roman" w:cs="Times New Roman"/>
            <w:b w:val="0"/>
            <w:i/>
            <w:noProof/>
          </w:rPr>
          <w:t>Suillus spraguei</w:t>
        </w:r>
        <w:r w:rsidR="008D71FC" w:rsidRPr="008D71FC">
          <w:rPr>
            <w:rStyle w:val="Hyperlink"/>
            <w:rFonts w:ascii="Times New Roman" w:eastAsia="Arial" w:hAnsi="Times New Roman" w:cs="Times New Roman"/>
            <w:b w:val="0"/>
            <w:noProof/>
          </w:rPr>
          <w:t>.</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_Toc102046891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92</w:t>
        </w:r>
        <w:r w:rsidR="008D71FC" w:rsidRPr="008D71FC">
          <w:rPr>
            <w:rFonts w:cs="Times New Roman"/>
            <w:b w:val="0"/>
            <w:noProof/>
            <w:webHidden/>
          </w:rPr>
          <w:fldChar w:fldCharType="end"/>
        </w:r>
      </w:hyperlink>
    </w:p>
    <w:p w14:paraId="730C69CF" w14:textId="22DD931E" w:rsidR="008D71FC" w:rsidRPr="008D71FC" w:rsidRDefault="004C71C8">
      <w:pPr>
        <w:pStyle w:val="TableofFigures"/>
        <w:tabs>
          <w:tab w:val="right" w:leader="dot" w:pos="9350"/>
        </w:tabs>
        <w:rPr>
          <w:rFonts w:eastAsiaTheme="minorEastAsia" w:cs="Times New Roman"/>
          <w:b w:val="0"/>
          <w:noProof/>
        </w:rPr>
      </w:pPr>
      <w:hyperlink w:anchor="_Toc102046892" w:history="1">
        <w:r w:rsidR="008D71FC" w:rsidRPr="008D71FC">
          <w:rPr>
            <w:rStyle w:val="Hyperlink"/>
            <w:rFonts w:ascii="Times New Roman" w:eastAsia="Arial" w:hAnsi="Times New Roman" w:cs="Times New Roman"/>
            <w:b w:val="0"/>
            <w:noProof/>
          </w:rPr>
          <w:t xml:space="preserve">Figure 22. Principal Components Analysis for the current baseline and future climate </w:t>
        </w:r>
        <w:r w:rsidR="008D71FC" w:rsidRPr="008D71FC">
          <w:rPr>
            <w:rStyle w:val="Hyperlink"/>
            <w:rFonts w:ascii="Times New Roman" w:eastAsia="Arial" w:hAnsi="Times New Roman" w:cs="Times New Roman"/>
            <w:b w:val="0"/>
            <w:noProof/>
          </w:rPr>
          <w:t>M</w:t>
        </w:r>
        <w:r w:rsidR="008D71FC" w:rsidRPr="008D71FC">
          <w:rPr>
            <w:rStyle w:val="Hyperlink"/>
            <w:rFonts w:ascii="Times New Roman" w:eastAsia="Arial" w:hAnsi="Times New Roman" w:cs="Times New Roman"/>
            <w:b w:val="0"/>
            <w:noProof/>
          </w:rPr>
          <w:t>axEnt models in multivariate space where the center of the ellipses represents model averages for each species.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_Toc102046892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93</w:t>
        </w:r>
        <w:r w:rsidR="008D71FC" w:rsidRPr="008D71FC">
          <w:rPr>
            <w:rFonts w:cs="Times New Roman"/>
            <w:b w:val="0"/>
            <w:noProof/>
            <w:webHidden/>
          </w:rPr>
          <w:fldChar w:fldCharType="end"/>
        </w:r>
      </w:hyperlink>
    </w:p>
    <w:p w14:paraId="3E4410ED" w14:textId="1BB87639" w:rsidR="008D71FC" w:rsidRPr="008D71FC" w:rsidRDefault="004C71C8">
      <w:pPr>
        <w:pStyle w:val="TableofFigures"/>
        <w:tabs>
          <w:tab w:val="right" w:leader="dot" w:pos="9350"/>
        </w:tabs>
        <w:rPr>
          <w:rFonts w:eastAsiaTheme="minorEastAsia" w:cs="Times New Roman"/>
          <w:b w:val="0"/>
          <w:noProof/>
        </w:rPr>
      </w:pPr>
      <w:hyperlink w:anchor="_Toc102046893" w:history="1">
        <w:r w:rsidR="008D71FC" w:rsidRPr="008D71FC">
          <w:rPr>
            <w:rStyle w:val="Hyperlink"/>
            <w:rFonts w:ascii="Times New Roman" w:eastAsia="Arial" w:hAnsi="Times New Roman" w:cs="Times New Roman"/>
            <w:b w:val="0"/>
            <w:noProof/>
          </w:rPr>
          <w:t>Figure 23. Suitable habitat (km</w:t>
        </w:r>
        <w:r w:rsidR="008D71FC" w:rsidRPr="008D71FC">
          <w:rPr>
            <w:rStyle w:val="Hyperlink"/>
            <w:rFonts w:ascii="Times New Roman" w:eastAsia="Arial" w:hAnsi="Times New Roman" w:cs="Times New Roman"/>
            <w:b w:val="0"/>
            <w:noProof/>
            <w:vertAlign w:val="superscript"/>
          </w:rPr>
          <w:t>2</w:t>
        </w:r>
        <w:r w:rsidR="008D71FC" w:rsidRPr="008D71FC">
          <w:rPr>
            <w:rStyle w:val="Hyperlink"/>
            <w:rFonts w:ascii="Times New Roman" w:eastAsia="Arial" w:hAnsi="Times New Roman" w:cs="Times New Roman"/>
            <w:b w:val="0"/>
            <w:noProof/>
          </w:rPr>
          <w:t xml:space="preserve">) for </w:t>
        </w:r>
        <w:r w:rsidR="008D71FC" w:rsidRPr="008D71FC">
          <w:rPr>
            <w:rStyle w:val="Hyperlink"/>
            <w:rFonts w:ascii="Times New Roman" w:eastAsia="Arial" w:hAnsi="Times New Roman" w:cs="Times New Roman"/>
            <w:b w:val="0"/>
            <w:i/>
            <w:noProof/>
          </w:rPr>
          <w:t>Pinus strobus</w:t>
        </w:r>
        <w:r w:rsidR="008D71FC" w:rsidRPr="008D71FC">
          <w:rPr>
            <w:rStyle w:val="Hyperlink"/>
            <w:rFonts w:ascii="Times New Roman" w:eastAsia="Arial" w:hAnsi="Times New Roman" w:cs="Times New Roman"/>
            <w:b w:val="0"/>
            <w:noProof/>
          </w:rPr>
          <w:t xml:space="preserve"> and </w:t>
        </w:r>
        <w:r w:rsidR="008D71FC" w:rsidRPr="008D71FC">
          <w:rPr>
            <w:rStyle w:val="Hyperlink"/>
            <w:rFonts w:ascii="Times New Roman" w:eastAsia="Arial" w:hAnsi="Times New Roman" w:cs="Times New Roman"/>
            <w:b w:val="0"/>
            <w:i/>
            <w:noProof/>
          </w:rPr>
          <w:t>Suillus spraguei</w:t>
        </w:r>
        <w:r w:rsidR="008D71FC" w:rsidRPr="008D71FC">
          <w:rPr>
            <w:rStyle w:val="Hyperlink"/>
            <w:rFonts w:ascii="Times New Roman" w:eastAsia="Arial" w:hAnsi="Times New Roman" w:cs="Times New Roman"/>
            <w:b w:val="0"/>
            <w:noProof/>
          </w:rPr>
          <w:t xml:space="preserve"> in Eastern North America under the current baseline model and the two best fit future climate models, RCP4.5 INM-CM4 2055 and RCP8.5 CCSM4 2055.</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_Toc102046893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96</w:t>
        </w:r>
        <w:r w:rsidR="008D71FC" w:rsidRPr="008D71FC">
          <w:rPr>
            <w:rFonts w:cs="Times New Roman"/>
            <w:b w:val="0"/>
            <w:noProof/>
            <w:webHidden/>
          </w:rPr>
          <w:fldChar w:fldCharType="end"/>
        </w:r>
      </w:hyperlink>
    </w:p>
    <w:p w14:paraId="544A2F22" w14:textId="22563481" w:rsidR="008D71FC" w:rsidRPr="008D71FC" w:rsidRDefault="004C71C8">
      <w:pPr>
        <w:pStyle w:val="TableofFigures"/>
        <w:tabs>
          <w:tab w:val="right" w:leader="dot" w:pos="9350"/>
        </w:tabs>
        <w:rPr>
          <w:rFonts w:eastAsiaTheme="minorEastAsia" w:cs="Times New Roman"/>
          <w:b w:val="0"/>
          <w:noProof/>
        </w:rPr>
      </w:pPr>
      <w:hyperlink w:anchor="_Toc102046894" w:history="1">
        <w:r w:rsidR="008D71FC" w:rsidRPr="008D71FC">
          <w:rPr>
            <w:rStyle w:val="Hyperlink"/>
            <w:rFonts w:ascii="Times New Roman" w:hAnsi="Times New Roman" w:cs="Times New Roman"/>
            <w:b w:val="0"/>
            <w:noProof/>
          </w:rPr>
          <w:t>Appendix Figure 1. Principal Coordinates Analysis based on a weighted UniFrac distance with rhizosphere depth as a predictor variable.</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_Toc102046894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118</w:t>
        </w:r>
        <w:r w:rsidR="008D71FC" w:rsidRPr="008D71FC">
          <w:rPr>
            <w:rFonts w:cs="Times New Roman"/>
            <w:b w:val="0"/>
            <w:noProof/>
            <w:webHidden/>
          </w:rPr>
          <w:fldChar w:fldCharType="end"/>
        </w:r>
      </w:hyperlink>
    </w:p>
    <w:p w14:paraId="3CFF1FCA" w14:textId="683495BE" w:rsidR="008D71FC" w:rsidRPr="008D71FC" w:rsidRDefault="004C71C8">
      <w:pPr>
        <w:pStyle w:val="TableofFigures"/>
        <w:tabs>
          <w:tab w:val="right" w:leader="dot" w:pos="9350"/>
        </w:tabs>
        <w:rPr>
          <w:rFonts w:eastAsiaTheme="minorEastAsia" w:cs="Times New Roman"/>
          <w:b w:val="0"/>
          <w:noProof/>
        </w:rPr>
      </w:pPr>
      <w:hyperlink w:anchor="_Toc102046895" w:history="1">
        <w:r w:rsidR="008D71FC" w:rsidRPr="008D71FC">
          <w:rPr>
            <w:rStyle w:val="Hyperlink"/>
            <w:rFonts w:ascii="Times New Roman" w:hAnsi="Times New Roman" w:cs="Times New Roman"/>
            <w:b w:val="0"/>
            <w:noProof/>
          </w:rPr>
          <w:t>Appendix Figure 2. Principal coordinate analysis on bacterial communities using constrained axes from the db-RDA that utilized a weighted UniFrac distance to describe bacterial phylogenetic membership among rainfall exclusion treatments.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_Toc102046895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119</w:t>
        </w:r>
        <w:r w:rsidR="008D71FC" w:rsidRPr="008D71FC">
          <w:rPr>
            <w:rFonts w:cs="Times New Roman"/>
            <w:b w:val="0"/>
            <w:noProof/>
            <w:webHidden/>
          </w:rPr>
          <w:fldChar w:fldCharType="end"/>
        </w:r>
      </w:hyperlink>
    </w:p>
    <w:p w14:paraId="22736C90" w14:textId="73E66D19" w:rsidR="008D71FC" w:rsidRPr="008D71FC" w:rsidRDefault="004C71C8">
      <w:pPr>
        <w:pStyle w:val="TableofFigures"/>
        <w:tabs>
          <w:tab w:val="right" w:leader="dot" w:pos="9350"/>
        </w:tabs>
        <w:rPr>
          <w:rFonts w:eastAsiaTheme="minorEastAsia" w:cs="Times New Roman"/>
          <w:b w:val="0"/>
          <w:noProof/>
        </w:rPr>
      </w:pPr>
      <w:hyperlink w:anchor="_Toc102046896" w:history="1">
        <w:r w:rsidR="008D71FC" w:rsidRPr="008D71FC">
          <w:rPr>
            <w:rStyle w:val="Hyperlink"/>
            <w:rFonts w:ascii="Times New Roman" w:hAnsi="Times New Roman" w:cs="Times New Roman"/>
            <w:b w:val="0"/>
            <w:noProof/>
          </w:rPr>
          <w:t xml:space="preserve">Appendix Figure 3. Principal coordinate analysis at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=1 from the db-RDA that utilized a pairwise beta diversity distance to describe bacterial community turnover among rainfall exclusion treatments.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_Toc102046896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120</w:t>
        </w:r>
        <w:r w:rsidR="008D71FC" w:rsidRPr="008D71FC">
          <w:rPr>
            <w:rFonts w:cs="Times New Roman"/>
            <w:b w:val="0"/>
            <w:noProof/>
            <w:webHidden/>
          </w:rPr>
          <w:fldChar w:fldCharType="end"/>
        </w:r>
      </w:hyperlink>
    </w:p>
    <w:p w14:paraId="4118A488" w14:textId="397AC157" w:rsidR="008D71FC" w:rsidRPr="008D71FC" w:rsidRDefault="004C71C8">
      <w:pPr>
        <w:pStyle w:val="TableofFigures"/>
        <w:tabs>
          <w:tab w:val="right" w:leader="dot" w:pos="9350"/>
        </w:tabs>
        <w:rPr>
          <w:rFonts w:eastAsiaTheme="minorEastAsia" w:cs="Times New Roman"/>
          <w:b w:val="0"/>
          <w:noProof/>
        </w:rPr>
      </w:pPr>
      <w:hyperlink w:anchor="_Toc102046897" w:history="1">
        <w:r w:rsidR="008D71FC" w:rsidRPr="008D71FC">
          <w:rPr>
            <w:rStyle w:val="Hyperlink"/>
            <w:rFonts w:ascii="Times New Roman" w:hAnsi="Times New Roman" w:cs="Times New Roman"/>
            <w:b w:val="0"/>
            <w:noProof/>
          </w:rPr>
          <w:t xml:space="preserve">Appendix Figure 4. Principal coordinate analysis at </w:t>
        </w:r>
        <w:r w:rsidR="008D71FC" w:rsidRPr="008D71FC">
          <w:rPr>
            <w:rStyle w:val="Hyperlink"/>
            <w:rFonts w:ascii="Times New Roman" w:hAnsi="Times New Roman" w:cs="Times New Roman"/>
            <w:b w:val="0"/>
            <w:i/>
            <w:noProof/>
          </w:rPr>
          <w:t>q</w:t>
        </w:r>
        <w:r w:rsidR="008D71FC" w:rsidRPr="008D71FC">
          <w:rPr>
            <w:rStyle w:val="Hyperlink"/>
            <w:rFonts w:ascii="Times New Roman" w:hAnsi="Times New Roman" w:cs="Times New Roman"/>
            <w:b w:val="0"/>
            <w:noProof/>
          </w:rPr>
          <w:t>=2 from the db-RDA that utilized a pairwise beta diversity distance to describe bacterial community turnover among rainfall exclusion treatments.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_Toc102046897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121</w:t>
        </w:r>
        <w:r w:rsidR="008D71FC" w:rsidRPr="008D71FC">
          <w:rPr>
            <w:rFonts w:cs="Times New Roman"/>
            <w:b w:val="0"/>
            <w:noProof/>
            <w:webHidden/>
          </w:rPr>
          <w:fldChar w:fldCharType="end"/>
        </w:r>
      </w:hyperlink>
    </w:p>
    <w:p w14:paraId="696CD589" w14:textId="611992C0" w:rsidR="008D71FC" w:rsidRPr="008D71FC" w:rsidRDefault="004C71C8">
      <w:pPr>
        <w:pStyle w:val="TableofFigures"/>
        <w:tabs>
          <w:tab w:val="right" w:leader="dot" w:pos="9350"/>
        </w:tabs>
        <w:rPr>
          <w:rFonts w:eastAsiaTheme="minorEastAsia" w:cs="Times New Roman"/>
          <w:b w:val="0"/>
          <w:noProof/>
        </w:rPr>
      </w:pPr>
      <w:hyperlink w:anchor="_Toc102046898" w:history="1">
        <w:r w:rsidR="008D71FC" w:rsidRPr="008D71FC">
          <w:rPr>
            <w:rStyle w:val="Hyperlink"/>
            <w:rFonts w:ascii="Times New Roman" w:hAnsi="Times New Roman" w:cs="Times New Roman"/>
            <w:b w:val="0"/>
            <w:noProof/>
          </w:rPr>
          <w:t>Appendix Figure 5. Rarefied ∆ AM fungal richness and the 95% highest density interval around the median change in alpha diversity between the two time points.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_Toc102046898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122</w:t>
        </w:r>
        <w:r w:rsidR="008D71FC" w:rsidRPr="008D71FC">
          <w:rPr>
            <w:rFonts w:cs="Times New Roman"/>
            <w:b w:val="0"/>
            <w:noProof/>
            <w:webHidden/>
          </w:rPr>
          <w:fldChar w:fldCharType="end"/>
        </w:r>
      </w:hyperlink>
    </w:p>
    <w:p w14:paraId="0F48EAB3" w14:textId="1C882E44" w:rsidR="008D71FC" w:rsidRPr="008D71FC" w:rsidRDefault="004C71C8">
      <w:pPr>
        <w:pStyle w:val="TableofFigures"/>
        <w:tabs>
          <w:tab w:val="right" w:leader="dot" w:pos="9350"/>
        </w:tabs>
        <w:rPr>
          <w:rFonts w:eastAsiaTheme="minorEastAsia" w:cs="Times New Roman"/>
          <w:b w:val="0"/>
          <w:noProof/>
        </w:rPr>
      </w:pPr>
      <w:hyperlink w:anchor="_Toc102046899" w:history="1">
        <w:r w:rsidR="008D71FC" w:rsidRPr="008D71FC">
          <w:rPr>
            <w:rStyle w:val="Hyperlink"/>
            <w:rFonts w:ascii="Times New Roman" w:hAnsi="Times New Roman" w:cs="Times New Roman"/>
            <w:b w:val="0"/>
            <w:noProof/>
          </w:rPr>
          <w:t>Appendix Figure 6. Rarefied AM fungal community turnover and the 95% highest density interval around the median between the two time points.</w:t>
        </w:r>
        <w:r w:rsidR="008D71FC" w:rsidRPr="008D71FC">
          <w:rPr>
            <w:rFonts w:cs="Times New Roman"/>
            <w:b w:val="0"/>
            <w:noProof/>
            <w:webHidden/>
          </w:rPr>
          <w:tab/>
        </w:r>
        <w:r w:rsidR="008D71FC" w:rsidRPr="008D71FC">
          <w:rPr>
            <w:rFonts w:cs="Times New Roman"/>
            <w:b w:val="0"/>
            <w:noProof/>
            <w:webHidden/>
          </w:rPr>
          <w:fldChar w:fldCharType="begin"/>
        </w:r>
        <w:r w:rsidR="008D71FC" w:rsidRPr="008D71FC">
          <w:rPr>
            <w:rFonts w:cs="Times New Roman"/>
            <w:b w:val="0"/>
            <w:noProof/>
            <w:webHidden/>
          </w:rPr>
          <w:instrText xml:space="preserve"> PAGEREF _Toc102046899 \h </w:instrText>
        </w:r>
        <w:r w:rsidR="008D71FC" w:rsidRPr="008D71FC">
          <w:rPr>
            <w:rFonts w:cs="Times New Roman"/>
            <w:b w:val="0"/>
            <w:noProof/>
            <w:webHidden/>
          </w:rPr>
        </w:r>
        <w:r w:rsidR="008D71FC" w:rsidRPr="008D71FC">
          <w:rPr>
            <w:rFonts w:cs="Times New Roman"/>
            <w:b w:val="0"/>
            <w:noProof/>
            <w:webHidden/>
          </w:rPr>
          <w:fldChar w:fldCharType="separate"/>
        </w:r>
        <w:r w:rsidR="00F74166">
          <w:rPr>
            <w:rFonts w:cs="Times New Roman"/>
            <w:b w:val="0"/>
            <w:noProof/>
            <w:webHidden/>
          </w:rPr>
          <w:t>124</w:t>
        </w:r>
        <w:r w:rsidR="008D71FC" w:rsidRPr="008D71FC">
          <w:rPr>
            <w:rFonts w:cs="Times New Roman"/>
            <w:b w:val="0"/>
            <w:noProof/>
            <w:webHidden/>
          </w:rPr>
          <w:fldChar w:fldCharType="end"/>
        </w:r>
      </w:hyperlink>
    </w:p>
    <w:p w14:paraId="28F50587" w14:textId="7B608727" w:rsidR="00F876A6" w:rsidRPr="008D71FC" w:rsidRDefault="00FB0B50" w:rsidP="003F6907">
      <w:pPr>
        <w:jc w:val="center"/>
      </w:pPr>
      <w:r w:rsidRPr="008D71FC">
        <w:fldChar w:fldCharType="end"/>
      </w:r>
      <w:r w:rsidR="00F876A6" w:rsidRPr="008D71FC">
        <w:br w:type="page"/>
      </w:r>
    </w:p>
    <w:p w14:paraId="11C9AB6D" w14:textId="44AED835" w:rsidR="00F876A6" w:rsidRPr="00E10C5F" w:rsidRDefault="00F876A6" w:rsidP="006C010F">
      <w:pPr>
        <w:numPr>
          <w:ilvl w:val="12"/>
          <w:numId w:val="0"/>
        </w:numPr>
        <w:spacing w:line="360" w:lineRule="auto"/>
        <w:jc w:val="center"/>
        <w:rPr>
          <w:b/>
          <w:bCs/>
          <w:sz w:val="28"/>
          <w:szCs w:val="28"/>
        </w:rPr>
      </w:pPr>
      <w:r w:rsidRPr="00E10C5F">
        <w:rPr>
          <w:b/>
          <w:bCs/>
          <w:sz w:val="28"/>
          <w:szCs w:val="28"/>
        </w:rPr>
        <w:lastRenderedPageBreak/>
        <w:t>LIST OF ATTACHMENTS</w:t>
      </w:r>
    </w:p>
    <w:p w14:paraId="00B45818" w14:textId="4169C259" w:rsidR="00F876A6" w:rsidRPr="00E8531A" w:rsidRDefault="00991B58" w:rsidP="006C010F">
      <w:pPr>
        <w:numPr>
          <w:ilvl w:val="12"/>
          <w:numId w:val="0"/>
        </w:numPr>
        <w:spacing w:line="360" w:lineRule="auto"/>
      </w:pPr>
      <w:r w:rsidRPr="00E8531A">
        <w:rPr>
          <w:color w:val="000000" w:themeColor="text1"/>
        </w:rPr>
        <w:t>Resource1.xslx</w:t>
      </w:r>
      <w:r>
        <w:t xml:space="preserve"> - </w:t>
      </w:r>
      <w:proofErr w:type="spellStart"/>
      <w:r w:rsidR="00F876A6">
        <w:t>Nextera</w:t>
      </w:r>
      <w:proofErr w:type="spellEnd"/>
      <w:r w:rsidR="00F876A6">
        <w:t xml:space="preserve"> XT primer combinations for samples analyzed in Chapter </w:t>
      </w:r>
      <w:r w:rsidR="00F876A6" w:rsidRPr="00E8531A">
        <w:t>One</w:t>
      </w:r>
      <w:r>
        <w:t>.</w:t>
      </w:r>
    </w:p>
    <w:p w14:paraId="11FEBCDB" w14:textId="50EE6F46" w:rsidR="00F876A6" w:rsidRPr="00E8531A" w:rsidRDefault="00991B58" w:rsidP="00C01719">
      <w:pPr>
        <w:numPr>
          <w:ilvl w:val="12"/>
          <w:numId w:val="0"/>
        </w:numPr>
        <w:spacing w:line="360" w:lineRule="auto"/>
      </w:pPr>
      <w:r w:rsidRPr="00E8531A">
        <w:rPr>
          <w:color w:val="000000" w:themeColor="text1"/>
        </w:rPr>
        <w:t>Resource2.xslx</w:t>
      </w:r>
      <w:r>
        <w:t xml:space="preserve"> - </w:t>
      </w:r>
      <w:r w:rsidR="00F876A6" w:rsidRPr="00E8531A">
        <w:t>Additional model summaries and analysis of variance for Chapter One</w:t>
      </w:r>
      <w:r>
        <w:t>.</w:t>
      </w:r>
    </w:p>
    <w:p w14:paraId="5702D3C6" w14:textId="6C86E49D" w:rsidR="00F876A6" w:rsidRDefault="00991B58" w:rsidP="00C01719">
      <w:pPr>
        <w:numPr>
          <w:ilvl w:val="12"/>
          <w:numId w:val="0"/>
        </w:numPr>
        <w:spacing w:line="360" w:lineRule="auto"/>
      </w:pPr>
      <w:r w:rsidRPr="00E8531A">
        <w:rPr>
          <w:color w:val="000000" w:themeColor="text1"/>
        </w:rPr>
        <w:t>Resource3.xslx</w:t>
      </w:r>
      <w:r>
        <w:t xml:space="preserve"> - </w:t>
      </w:r>
      <w:r w:rsidR="00F876A6" w:rsidRPr="00E8531A">
        <w:t xml:space="preserve">Indicator </w:t>
      </w:r>
      <w:r w:rsidR="00E8531A">
        <w:t>s</w:t>
      </w:r>
      <w:r w:rsidR="00F876A6" w:rsidRPr="00E8531A">
        <w:t xml:space="preserve">pecies </w:t>
      </w:r>
      <w:r w:rsidR="00E8531A">
        <w:t>a</w:t>
      </w:r>
      <w:r w:rsidR="00F876A6" w:rsidRPr="00E8531A">
        <w:t>nalysis output</w:t>
      </w:r>
      <w:r w:rsidR="00E8531A">
        <w:t xml:space="preserve"> for </w:t>
      </w:r>
      <w:r w:rsidR="00433E16">
        <w:t xml:space="preserve">soil depth in </w:t>
      </w:r>
      <w:r w:rsidR="00E8531A">
        <w:t>Chapter One</w:t>
      </w:r>
      <w:r>
        <w:t>.</w:t>
      </w:r>
    </w:p>
    <w:p w14:paraId="753CA854" w14:textId="3A04993A" w:rsidR="00E8531A" w:rsidRDefault="004D6606" w:rsidP="00C01719">
      <w:pPr>
        <w:numPr>
          <w:ilvl w:val="12"/>
          <w:numId w:val="0"/>
        </w:numPr>
        <w:spacing w:line="360" w:lineRule="auto"/>
      </w:pPr>
      <w:r>
        <w:t xml:space="preserve">Resource4.docx - </w:t>
      </w:r>
      <w:r w:rsidR="00433E16">
        <w:t xml:space="preserve">Interaction plots </w:t>
      </w:r>
      <w:r w:rsidR="00F91259">
        <w:t>for bacterial alpha diversity and soil edaphic factors</w:t>
      </w:r>
      <w:r>
        <w:t>.</w:t>
      </w:r>
    </w:p>
    <w:p w14:paraId="4EE9C881" w14:textId="4DFCBD5D" w:rsidR="00433E16" w:rsidRDefault="004D6606" w:rsidP="00C01719">
      <w:pPr>
        <w:numPr>
          <w:ilvl w:val="12"/>
          <w:numId w:val="0"/>
        </w:numPr>
        <w:spacing w:line="360" w:lineRule="auto"/>
      </w:pPr>
      <w:r>
        <w:t xml:space="preserve">Resource5.csv - </w:t>
      </w:r>
      <w:r w:rsidR="00433E16">
        <w:t>Indicator species analysis output for rainfall exclusion in Chapter Two</w:t>
      </w:r>
      <w:r>
        <w:t>.</w:t>
      </w:r>
    </w:p>
    <w:p w14:paraId="397468BA" w14:textId="2CA589E8" w:rsidR="00F91259" w:rsidRDefault="004D6606" w:rsidP="00C01719">
      <w:pPr>
        <w:numPr>
          <w:ilvl w:val="12"/>
          <w:numId w:val="0"/>
        </w:numPr>
        <w:spacing w:line="360" w:lineRule="auto"/>
      </w:pPr>
      <w:r>
        <w:t xml:space="preserve">Resource6.xslx - </w:t>
      </w:r>
      <w:r w:rsidR="00471C94">
        <w:t>Suitable niche habitat per species and climate scenario in Chapter Four</w:t>
      </w:r>
      <w:r>
        <w:t>.</w:t>
      </w:r>
    </w:p>
    <w:p w14:paraId="156B7897" w14:textId="77777777" w:rsidR="00F876A6" w:rsidRDefault="00F876A6" w:rsidP="00F876A6">
      <w:pPr>
        <w:numPr>
          <w:ilvl w:val="12"/>
          <w:numId w:val="0"/>
        </w:numPr>
        <w:spacing w:line="360" w:lineRule="auto"/>
      </w:pPr>
    </w:p>
    <w:p w14:paraId="77C3CA17" w14:textId="5D1BFAA5" w:rsidR="00F876A6" w:rsidRPr="00920A60" w:rsidRDefault="00F876A6">
      <w:pPr>
        <w:numPr>
          <w:ilvl w:val="12"/>
          <w:numId w:val="0"/>
        </w:numPr>
        <w:sectPr w:rsidR="00F876A6" w:rsidRPr="00920A60" w:rsidSect="00DE09B5">
          <w:headerReference w:type="even" r:id="rId8"/>
          <w:headerReference w:type="default" r:id="rId9"/>
          <w:footerReference w:type="default" r:id="rId10"/>
          <w:pgSz w:w="12240" w:h="15840" w:code="1"/>
          <w:pgMar w:top="1440" w:right="1440" w:bottom="1440" w:left="1440" w:header="720" w:footer="720" w:gutter="0"/>
          <w:pgNumType w:fmt="lowerRoman" w:start="1"/>
          <w:cols w:space="720"/>
          <w:noEndnote/>
          <w:titlePg/>
        </w:sectPr>
      </w:pPr>
    </w:p>
    <w:p w14:paraId="611EC49C" w14:textId="10C94390" w:rsidR="00D71F59" w:rsidRPr="00920A60" w:rsidRDefault="006E443B" w:rsidP="00E02779">
      <w:pPr>
        <w:pStyle w:val="Heading1"/>
      </w:pPr>
      <w:bookmarkStart w:id="0" w:name="_Toc102047988"/>
      <w:bookmarkStart w:id="1" w:name="_Toc420995890"/>
      <w:bookmarkStart w:id="2" w:name="_Toc422997477"/>
      <w:r>
        <w:lastRenderedPageBreak/>
        <w:t>INTRODUCTION</w:t>
      </w:r>
      <w:bookmarkEnd w:id="0"/>
    </w:p>
    <w:p w14:paraId="1BEDB45C" w14:textId="062C167C" w:rsidR="00D71F59" w:rsidRPr="00920A60" w:rsidRDefault="00D71F59" w:rsidP="00D71F59">
      <w:pPr>
        <w:spacing w:line="360" w:lineRule="auto"/>
      </w:pPr>
      <w:r w:rsidRPr="00920A60">
        <w:tab/>
        <w:t xml:space="preserve">Ecological units are organized hierarchically: scaling from an individual organism, to </w:t>
      </w:r>
      <w:r w:rsidRPr="001E4901">
        <w:t xml:space="preserve">populations, communities, and to the ecosystem level and beyond. </w:t>
      </w:r>
      <w:r w:rsidRPr="00B73E8F">
        <w:fldChar w:fldCharType="begin" w:fldLock="1"/>
      </w:r>
      <w:r w:rsidR="006E1F09">
        <w:instrText>ADDIN CSL_CITATION {"citationItems":[{"id":"ITEM-1","itemData":{"author":[{"dropping-particle":"","family":"Clements","given":"Frederic Edward","non-dropping-particle":"","parse-names":false,"suffix":""}],"id":"ITEM-1","issue":"290","issued":{"date-parts":[["1920"]]},"publisher":"Carnegie Institution of Washington","title":"Plant indicators: the relation of plant communities to process and practice","type":"book"},"uris":["http://www.mendeley.com/documents/?uuid=f75be455-2ff8-4b6e-9c40-feddc9b41847"]}],"mendeley":{"formattedCitation":"(Clements, 1920)","manualFormatting":"Clements (1920)","plainTextFormattedCitation":"(Clements, 1920)","previouslyFormattedCitation":"(Clements, 1920)"},"properties":{"noteIndex":0},"schema":"https://github.com/citation-style-language/schema/raw/master/csl-citation.json"}</w:instrText>
      </w:r>
      <w:r w:rsidRPr="00B73E8F">
        <w:fldChar w:fldCharType="separate"/>
      </w:r>
      <w:r w:rsidR="009C7019" w:rsidRPr="00B73E8F">
        <w:rPr>
          <w:noProof/>
        </w:rPr>
        <w:t>Clements (1920)</w:t>
      </w:r>
      <w:r w:rsidRPr="00B73E8F">
        <w:fldChar w:fldCharType="end"/>
      </w:r>
      <w:r w:rsidRPr="00B73E8F">
        <w:t xml:space="preserve"> described ecological communities as a distinct unit, or type, with little to no observed overlap in geographic space. However, communities can be described as artifacts of partially over</w:t>
      </w:r>
      <w:r w:rsidRPr="00920A60">
        <w:t xml:space="preserve">lapping species distributions at any given point in space and time by occupying available ecological conditions, or niches. This definition reflects the prevailing perception of ecological communities developed by </w:t>
      </w:r>
      <w:r w:rsidRPr="00B73E8F">
        <w:fldChar w:fldCharType="begin" w:fldLock="1"/>
      </w:r>
      <w:r w:rsidR="006E1F09">
        <w:instrText>ADDIN CSL_CITATION {"citationItems":[{"id":"ITEM-1","itemData":{"DOI":"10.1007/s","author":[{"dropping-particle":"","family":"Gleason","given":"H.","non-dropping-particle":"","parse-names":false,"suffix":""}],"container-title":"Society","id":"ITEM-1","issue":"1","issued":{"date-parts":[["1926"]]},"page":"7-26","title":"The Individualistic Concept of the Plant Association Author ( s ): H . A . Gleason Source : Bulletin of the Torrey Botanical Club , Vol . 53 , No . 1 , ( Jan ., 1926 ), pp . 7-26 Published by : Torrey Botanical Society Stable URL : http://www.jstor.org/st","type":"article-journal","volume":"53"},"uris":["http://www.mendeley.com/documents/?uuid=cb12049e-0642-4277-9958-5c6c6ef09604"]}],"mendeley":{"formattedCitation":"(Gleason, 1926)","manualFormatting":"Gleason (1926)","plainTextFormattedCitation":"(Gleason, 1926)","previouslyFormattedCitation":"(Gleason, 1926)"},"properties":{"noteIndex":0},"schema":"https://github.com/citation-style-language/schema/raw/master/csl-citation.json"}</w:instrText>
      </w:r>
      <w:r w:rsidRPr="00B73E8F">
        <w:fldChar w:fldCharType="separate"/>
      </w:r>
      <w:r w:rsidR="009C7019" w:rsidRPr="00B73E8F">
        <w:rPr>
          <w:noProof/>
        </w:rPr>
        <w:t>Gleason (1926)</w:t>
      </w:r>
      <w:r w:rsidRPr="00B73E8F">
        <w:fldChar w:fldCharType="end"/>
      </w:r>
      <w:r w:rsidRPr="00B73E8F">
        <w:t>, paving the way for ecologists to test hypotheses regarding the maintenance of species diversi</w:t>
      </w:r>
      <w:r w:rsidRPr="00920A60">
        <w:t xml:space="preserve">ty at multiple spatial scales. Yet, microbial ecologist </w:t>
      </w:r>
      <w:r w:rsidR="0088024C" w:rsidRPr="00920A60">
        <w:t>often</w:t>
      </w:r>
      <w:r w:rsidRPr="00920A60">
        <w:t xml:space="preserve"> </w:t>
      </w:r>
      <w:proofErr w:type="gramStart"/>
      <w:r w:rsidRPr="00920A60">
        <w:t>describe</w:t>
      </w:r>
      <w:proofErr w:type="gramEnd"/>
      <w:r w:rsidRPr="00920A60">
        <w:t xml:space="preserve"> communities in a </w:t>
      </w:r>
      <w:proofErr w:type="spellStart"/>
      <w:r w:rsidRPr="00920A60">
        <w:t>Clementsian</w:t>
      </w:r>
      <w:proofErr w:type="spellEnd"/>
      <w:r w:rsidRPr="00920A60">
        <w:t xml:space="preserve"> way, where “types” of communities are predictable and deterministic given ecological conditions. </w:t>
      </w:r>
      <w:r w:rsidRPr="001E4901">
        <w:rPr>
          <w:color w:val="000000" w:themeColor="text1"/>
        </w:rPr>
        <w:t>Robust advancements in sequencing technologies</w:t>
      </w:r>
      <w:r w:rsidRPr="001E4901">
        <w:t xml:space="preserve"> have allowed for a deeper evaluation of how spatially dependent abiotic conditions might pertain to microbial community richness</w:t>
      </w:r>
      <w:r w:rsidR="0088024C" w:rsidRPr="001E4901">
        <w:t xml:space="preserve"> </w:t>
      </w:r>
      <w:r w:rsidRPr="00B73E8F">
        <w:fldChar w:fldCharType="begin" w:fldLock="1"/>
      </w:r>
      <w:r w:rsidR="006E1F09">
        <w:instrText>ADDIN CSL_CITATION {"citationItems":[{"id":"ITEM-1","itemData":{"DOI":"10.1038/s41579-018-0029-9","ISBN":"4157901800","ISSN":"17401534","PMID":"29795328","abstract":"Complex microbial communities shape the dynamics of various environments, ranging from the mammalian gastrointestinal tract to the soil. Advances in DNA sequencing technologies and data analysis have provided drastic improvements in microbiome analyses, for example, in taxonomic resolution, false discovery rate control and other properties, over earlier methods. In this Review, we discuss the best practices for performing a microbiome study, including experimental design, choice of molecular analysis technology, methods for data analysis and the integration of multiple omics data sets. We focus on recent findings that suggest that operational taxonomic unit-based analyses should be replaced with new methods that are based on exact sequence variants, methods for integrating metagenomic and metabolomic data, and issues surrounding compositional data analysis, where advances have been particularly rapid. We note that although some of these approaches are new, it is important to keep sight of the classic issues that arise during experimental design and relate to research reproducibility. We describe how keeping these issues in mind allows researchers to obtain more insight from their microbiome data sets.","author":[{"dropping-particle":"","family":"Knight","given":"Rob","non-dropping-particle":"","parse-names":false,"suffix":""},{"dropping-particle":"","family":"Vrbanac","given":"Alison","non-dropping-particle":"","parse-names":false,"suffix":""},{"dropping-particle":"","family":"Taylor","given":"Bryn C.","non-dropping-particle":"","parse-names":false,"suffix":""},{"dropping-particle":"","family":"Aksenov","given":"Alexander","non-dropping-particle":"","parse-names":false,"suffix":""},{"dropping-particle":"","family":"Callewaert","given":"Chris","non-dropping-particle":"","parse-names":false,"suffix":""},{"dropping-particle":"","family":"Debelius","given":"Justine","non-dropping-particle":"","parse-names":false,"suffix":""},{"dropping-particle":"","family":"Gonzalez","given":"Antonio","non-dropping-particle":"","parse-names":false,"suffix":""},{"dropping-particle":"","family":"Kosciolek","given":"Tomasz","non-dropping-particle":"","parse-names":false,"suffix":""},{"dropping-particle":"","family":"McCall","given":"Laura Isobel","non-dropping-particle":"","parse-names":false,"suffix":""},{"dropping-particle":"","family":"McDonald","given":"Daniel","non-dropping-particle":"","parse-names":false,"suffix":""},{"dropping-particle":"V.","family":"Melnik","given":"Alexey","non-dropping-particle":"","parse-names":false,"suffix":""},{"dropping-particle":"","family":"Morton","given":"James T.","non-dropping-particle":"","parse-names":false,"suffix":""},{"dropping-particle":"","family":"Navas","given":"Jose","non-dropping-particle":"","parse-names":false,"suffix":""},{"dropping-particle":"","family":"Quinn","given":"Robert A.","non-dropping-particle":"","parse-names":false,"suffix":""},{"dropping-particle":"","family":"Sanders","given":"Jon G.","non-dropping-particle":"","parse-names":false,"suffix":""},{"dropping-particle":"","family":"Swafford","given":"Austin D.","non-dropping-particle":"","parse-names":false,"suffix":""},{"dropping-particle":"","family":"Thompson","given":"Luke R.","non-dropping-particle":"","parse-names":false,"suffix":""},{"dropping-particle":"","family":"Tripathi","given":"Anupriya","non-dropping-particle":"","parse-names":false,"suffix":""},{"dropping-particle":"","family":"Xu","given":"Zhenjiang Z.","non-dropping-particle":"","parse-names":false,"suffix":""},{"dropping-particle":"","family":"Zaneveld","given":"Jesse R.","non-dropping-particle":"","parse-names":false,"suffix":""},{"dropping-particle":"","family":"Zhu","given":"Qiyun","non-dropping-particle":"","parse-names":false,"suffix":""},{"dropping-particle":"","family":"Caporaso","given":"J. Gregory","non-dropping-particle":"","parse-names":false,"suffix":""},{"dropping-particle":"","family":"Dorrestein","given":"Pieter C.","non-dropping-particle":"","parse-names":false,"suffix":""}],"container-title":"Nature Reviews Microbiology","id":"ITEM-1","issue":"7","issued":{"date-parts":[["2018"]]},"page":"410-422","publisher":"Springer US","title":"Best practices for analysing microbiomes","type":"article-journal","volume":"16"},"uris":["http://www.mendeley.com/documents/?uuid=82476a6d-1355-4073-971e-e780b0217e74"]}],"mendeley":{"formattedCitation":"(Knight et al., 2018)","plainTextFormattedCitation":"(Knight et al., 2018)","previouslyFormattedCitation":"(Knight et al., 2018)"},"properties":{"noteIndex":0},"schema":"https://github.com/citation-style-language/schema/raw/master/csl-citation.json"}</w:instrText>
      </w:r>
      <w:r w:rsidRPr="00B73E8F">
        <w:fldChar w:fldCharType="separate"/>
      </w:r>
      <w:r w:rsidR="00CE6085" w:rsidRPr="00CE6085">
        <w:rPr>
          <w:noProof/>
        </w:rPr>
        <w:t>(Knight et al., 2018)</w:t>
      </w:r>
      <w:r w:rsidRPr="00B73E8F">
        <w:fldChar w:fldCharType="end"/>
      </w:r>
      <w:r w:rsidRPr="00B73E8F">
        <w:t>. For example,</w:t>
      </w:r>
      <w:r w:rsidRPr="00B73E8F" w:rsidDel="00CA5101">
        <w:rPr>
          <w:color w:val="000000" w:themeColor="text1"/>
        </w:rPr>
        <w:t xml:space="preserve"> </w:t>
      </w:r>
      <w:r w:rsidRPr="00B73E8F">
        <w:rPr>
          <w:color w:val="000000" w:themeColor="text1"/>
        </w:rPr>
        <w:t>rhizosphere (i.e. the soil that is influenced by plant roots) microbial communities are dependent on spatiotemporal soil conditions, such as pH</w:t>
      </w:r>
      <w:r w:rsidR="0088024C" w:rsidRPr="00B73E8F">
        <w:rPr>
          <w:color w:val="000000" w:themeColor="text1"/>
        </w:rPr>
        <w:t xml:space="preserve"> </w:t>
      </w:r>
      <w:r w:rsidRPr="00B73E8F">
        <w:rPr>
          <w:color w:val="000000" w:themeColor="text1"/>
        </w:rPr>
        <w:fldChar w:fldCharType="begin" w:fldLock="1"/>
      </w:r>
      <w:r w:rsidR="006E1F09">
        <w:rPr>
          <w:color w:val="000000" w:themeColor="text1"/>
        </w:rPr>
        <w:instrText>ADDIN CSL_CITATION {"citationItems":[{"id":"ITEM-1","itemData":{"DOI":"10.1073/pnas.0507535103","ISBN":"0507535103","ISSN":"00278424","PMID":"16407148","abstract":"For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 © 2006 by The National Academy of Sciences of the USA.","author":[{"dropping-particle":"","family":"Fierer","given":"Noah","non-dropping-particle":"","parse-names":false,"suffix":""},{"dropping-particle":"","family":"Jackson","given":"Robert B.","non-dropping-particle":"","parse-names":false,"suffix":""}],"container-title":"Proceedings of the National Academy of Sciences of the United States of America","id":"ITEM-1","issue":"3","issued":{"date-parts":[["2006"]]},"page":"626-631","title":"The diversity and biogeography of soil bacterial communities","type":"article-journal","volume":"103"},"uris":["http://www.mendeley.com/documents/?uuid=9fa0626f-a197-40d6-acd9-2889abd2e7c6"]}],"mendeley":{"formattedCitation":"(Fierer and Jackson, 2006a)","manualFormatting":"(Fierer &amp; Jackson, 2006)","plainTextFormattedCitation":"(Fierer and Jackson, 2006a)","previouslyFormattedCitation":"(Fierer and Jackson, 2006a)"},"properties":{"noteIndex":0},"schema":"https://github.com/citation-style-language/schema/raw/master/csl-citation.json"}</w:instrText>
      </w:r>
      <w:r w:rsidRPr="00B73E8F">
        <w:rPr>
          <w:color w:val="000000" w:themeColor="text1"/>
        </w:rPr>
        <w:fldChar w:fldCharType="separate"/>
      </w:r>
      <w:r w:rsidR="009C7019" w:rsidRPr="00B73E8F">
        <w:rPr>
          <w:noProof/>
          <w:color w:val="000000" w:themeColor="text1"/>
        </w:rPr>
        <w:t>(Fierer &amp; Jackson, 2006)</w:t>
      </w:r>
      <w:r w:rsidRPr="00B73E8F">
        <w:rPr>
          <w:color w:val="000000" w:themeColor="text1"/>
        </w:rPr>
        <w:fldChar w:fldCharType="end"/>
      </w:r>
      <w:r w:rsidRPr="00B73E8F">
        <w:rPr>
          <w:color w:val="000000" w:themeColor="text1"/>
        </w:rPr>
        <w:t>. Further, biotic interactions, such as herbivory, can modify available microbial niches and community assembly by transferring microbial endosymbionts throughout the interaction</w:t>
      </w:r>
      <w:r w:rsidR="0088024C" w:rsidRPr="00B73E8F">
        <w:rPr>
          <w:color w:val="000000" w:themeColor="text1"/>
        </w:rPr>
        <w:t xml:space="preserve"> </w:t>
      </w:r>
      <w:r w:rsidRPr="00B73E8F">
        <w:rPr>
          <w:color w:val="000000" w:themeColor="text1"/>
        </w:rPr>
        <w:fldChar w:fldCharType="begin" w:fldLock="1"/>
      </w:r>
      <w:r w:rsidR="006E1F09">
        <w:rPr>
          <w:color w:val="000000" w:themeColor="text1"/>
        </w:rPr>
        <w:instrText>ADDIN CSL_CITATION {"citationItems":[{"id":"ITEM-1","itemData":{"ISBN":"0080504957","author":[{"dropping-particle":"","family":"Pickett","given":"Steward T A","non-dropping-particle":"","parse-names":false,"suffix":""},{"dropping-particle":"","family":"White","given":"Peter S","non-dropping-particle":"","parse-names":false,"suffix":""}],"id":"ITEM-1","issued":{"date-parts":[["2013"]]},"number-of-pages":"307-321","publisher":"Elsevier","title":"The ecology of natural disturbance and patch dynamics","type":"book"},"uris":["http://www.mendeley.com/documents/?uuid=de79a100-afd4-4379-9bfc-2a78471a4490"]}],"mendeley":{"formattedCitation":"(Pickett and White, 2013)","plainTextFormattedCitation":"(Pickett and White, 2013)","previouslyFormattedCitation":"(Pickett and White,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(Pickett and White, 2013)</w:t>
      </w:r>
      <w:r w:rsidRPr="00B73E8F">
        <w:rPr>
          <w:color w:val="000000" w:themeColor="text1"/>
        </w:rPr>
        <w:fldChar w:fldCharType="end"/>
      </w:r>
      <w:r w:rsidRPr="00B73E8F">
        <w:rPr>
          <w:color w:val="000000" w:themeColor="text1"/>
        </w:rPr>
        <w:t xml:space="preserve">. Thus, small-scale biotic interactions might buffer host responses </w:t>
      </w:r>
      <w:r w:rsidRPr="00B73E8F">
        <w:t>to changing regional or global environmental conditions. By synthesizing empi</w:t>
      </w:r>
      <w:r w:rsidRPr="00920A60">
        <w:t>rical microbiome data with global modeling techniques, such as ecological niche modeling, we can further understand how changing abiotic conditions and biotic interactions might influence plant host-microbiome coexistence.</w:t>
      </w:r>
    </w:p>
    <w:p w14:paraId="092CE912" w14:textId="30247382" w:rsidR="00D71F59" w:rsidRPr="001E4901" w:rsidRDefault="00D71F59" w:rsidP="00D71F59">
      <w:pPr>
        <w:spacing w:line="360" w:lineRule="auto"/>
      </w:pPr>
      <w:r w:rsidRPr="001E4901">
        <w:tab/>
      </w:r>
      <w:r w:rsidRPr="001E4901">
        <w:rPr>
          <w:color w:val="000000" w:themeColor="text1"/>
        </w:rPr>
        <w:t xml:space="preserve">Spatial laws and theory have only recently been applied to community ecology in general </w:t>
      </w:r>
      <w:r w:rsidRPr="00B73E8F">
        <w:rPr>
          <w:color w:val="000000" w:themeColor="text1"/>
        </w:rPr>
        <w:fldChar w:fldCharType="begin" w:fldLock="1"/>
      </w:r>
      <w:r w:rsidR="006E1F09">
        <w:rPr>
          <w:color w:val="000000" w:themeColor="text1"/>
        </w:rPr>
        <w:instrText>ADDIN CSL_CITATION {"citationItems":[{"id":"ITEM-1","itemData":{"DOI":"10.1086/303385","ISSN":"00030147","author":[{"dropping-particle":"","family":"Brown","given":"James H.","non-dropping-particle":"","parse-names":false,"suffix":""},{"dropping-particle":"","family":"Fox","given":"Barry J.","non-dropping-particle":"","parse-names":false,"suffix":""},{"dropping-particle":"","family":"Kelt","given":"Douglas A.","non-dropping-particle":"","parse-names":false,"suffix":""}],"container-title":"American Naturalist","id":"ITEM-1","issue":"3","issued":{"date-parts":[["2000"]]},"page":"314-321","title":"Assembly rules: Desert rodent communities are structured at scales from local to continental","type":"article-journal","volume":"156"},"uris":["http://www.mendeley.com/documents/?uuid=a9564256-def5-4503-9edc-39c1cbaa6a94"]},{"id":"ITEM-2","itemData":{"DOI":"10.1111/j.1461-0248.2004.00608.x","ISSN":"1461023X","abstract":"The metacommunity concept is an important way to think about linkages between different spatial scales in ecology. Here we review current understanding about this concept. We first investigate issues related to its definition as a set of local communities that are linked by dispersal of multiple potentially interacting species. We then identify four paradigms for metacommunities: the patch-dynamic view, the species-sorting view, the mass effects view and the neutral view, that each emphasizes different processes of potential importance in metacommunities. These have somewhat distinct intellectual histories and we discuss elements related to their potential future synthesis. We then use this framework to discuss why the concept is useful in modifying existing ecological thinking and illustrate this with a number of both theoretical and empirical examples. As ecologists strive to understand increasingly complex mechanisms and strive to work across multiple scales of spatio-temporal organization, concepts like the metacommunity can provide important insights that frequently contrast with those that would be obtained with more conventional approaches based on local communities alone.","author":[{"dropping-particle":"","family":"Leibold","given":"M. A.","non-dropping-particle":"","parse-names":false,"suffix":""},{"dropping-particle":"","family":"Holyoak","given":"M.","non-dropping-particle":"","parse-names":false,"suffix":""},{"dropping-particle":"","family":"Mouquet","given":"N.","non-dropping-particle":"","parse-names":false,"suffix":""},{"dropping-particle":"","family":"Amarasekare","given":"P.","non-dropping-particle":"","parse-names":false,"suffix":""},{"dropping-particle":"","family":"Chase","given":"J. M.","non-dropping-particle":"","parse-names":false,"suffix":""},{"dropping-particle":"","family":"Hoopes","given":"M. F.","non-dropping-particle":"","parse-names":false,"suffix":""},{"dropping-particle":"","family":"Holt","given":"R. D.","non-dropping-particle":"","parse-names":false,"suffix":""},{"dropping-particle":"","family":"Shurin","given":"J. B.","non-dropping-particle":"","parse-names":false,"suffix":""},{"dropping-particle":"","family":"Law","given":"R.","non-dropping-particle":"","parse-names":false,"suffix":""},{"dropping-particle":"","family":"Tilman","given":"D.","non-dropping-particle":"","parse-names":false,"suffix":""},{"dropping-particle":"","family":"Loreau","given":"M.","non-dropping-particle":"","parse-names":false,"suffix":""},{"dropping-particle":"","family":"Gonzalez","given":"A.","non-dropping-particle":"","parse-names":false,"suffix":""}],"container-title":"Ecology Letters","id":"ITEM-2","issue":"7","issued":{"date-parts":[["2004"]]},"page":"601-613","title":"The metacommunity concept: A framework for multi-scale community ecology","type":"article-journal","volume":"7"},"uris":["http://www.mendeley.com/documents/?uuid=ebb796c4-3450-4629-a59c-1077aa81a887"]}],"mendeley":{"formattedCitation":"(Brown et al., 2000; Leibold et al., 2004)","plainTextFormattedCitation":"(Brown et al., 2000; Leibold et al., 2004)","previouslyFormattedCitation":"(Brown et al., 2000; Leibold et al., 2004)"},"properties":{"noteIndex":0},"schema":"https://github.com/citation-style-language/schema/raw/master/csl-citation.json"}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(Brown et al., 2000; Leibold et al., 2004)</w:t>
      </w:r>
      <w:r w:rsidRPr="00B73E8F">
        <w:rPr>
          <w:color w:val="000000" w:themeColor="text1"/>
        </w:rPr>
        <w:fldChar w:fldCharType="end"/>
      </w:r>
      <w:r w:rsidRPr="00B73E8F">
        <w:rPr>
          <w:color w:val="000000" w:themeColor="text1"/>
        </w:rPr>
        <w:t xml:space="preserve">. Plant microbiome richness has been described across the full spatial extent of plant hosts illustrating that host-associated microbial taxa coexist via niche preemption and differentiation </w:t>
      </w:r>
      <w:r w:rsidRPr="00B73E8F">
        <w:rPr>
          <w:color w:val="000000" w:themeColor="text1"/>
        </w:rPr>
        <w:fldChar w:fldCharType="begin" w:fldLock="1"/>
      </w:r>
      <w:r w:rsidR="006E1F09">
        <w:rPr>
          <w:color w:val="000000" w:themeColor="text1"/>
        </w:rPr>
        <w:instrText>ADDIN CSL_CITATION {"citationItems":[{"id":"ITEM-1","itemData":{"DOI":"10.1186/s40168-018-0413-8","ISSN":"20492618","abstract":"Background: Microorganisms serve important functions within numerous eukaryotic host organisms. An understanding of the variation in the plant niche-level microbiome, from rhizosphere soils to plant canopies, is imperative to gain a better understanding of how both the structural and functional processes of microbiomes impact the health of the overall plant holobiome. Using Populus trees as a model ecosystem, we characterized the archaeal/bacterial and fungal microbiome across 30 different tissue-level niches within replicated Populus deltoides and hybrid Populus trichocarpa × deltoides individuals using 16S and ITS2 rRNA gene analyses. Results: Our analyses indicate that archaeal/bacterial and fungal microbiomes varied primarily across broader plant habitat classes (leaves, stems, roots, soils) regardless of plant genotype, except for fungal communities within leaf niches, which were greatly impacted by the host genotype. Differences between tree genotypes are evident in the elevated presence of two potential fungal pathogens, Marssonina brunnea and Septoria sp., on hybrid P. trichocarpa × deltoides trees which may in turn be contributing to divergence in overall microbiome composition. Archaeal/bacterial diversity increased from leaves, to stem, to root, and to soil habitats, whereas fungal diversity was the greatest in stems and soils. Conclusions: This study provides a holistic understanding of microbiome structure within a bioenergy relevant plant host, one of the most complete niche-level analyses of any plant. As such, it constitutes a detailed atlas or map for further hypothesis testing on the significance of individual microbial taxa within specific niches and habitats of Populus and a baseline for comparisons to other plant species.","author":[{"dropping-particle":"","family":"Cregger","given":"M. A.","non-dropping-particle":"","parse-names":false,"suffix":""},{"dropping-particle":"","family":"Veach","given":"A. M.","non-dropping-particle":"","parse-names":false,"suffix":""},{"dropping-particle":"","family":"Yang","given":"Z. K.","non-dropping-particle":"","parse-names":false,"suffix":""},{"dropping-particle":"","family":"Crouch","given":"M. J.","non-dropping-particle":"","parse-names":false,"suffix":""},{"dropping-particle":"","family":"Vilgalys","given":"R.","non-dropping-particle":"","parse-names":false,"suffix":""},{"dropping-particle":"","family":"Tuskan","given":"G. A.","non-dropping-particle":"","parse-names":false,"suffix":""},{"dropping-particle":"","family":"Schadt","given":"C. W.","non-dropping-particle":"","parse-names":false,"suffix":""}],"container-title":"Microbiome","id":"ITEM-1","issue":"1","issued":{"date-parts":[["2018"]]},"page":"1-14","publisher":"Microbiome","title":"The Populus holobiont: Dissecting the effects of plant niches and genotype on the microbiome","type":"article-journal","volume":"6"},"uris":["http://www.mendeley.com/documents/?uuid=8365acce-513b-4bcd-9cc8-691a6392075b"]},{"id":"ITEM-2","itemData":{"DOI":"10.7287/peerj.preprints.27393v1","abstract":"Plant-associated microbes are critical players in host health, fitness and productivity. Despite microbes' importance in plants, seeds are mostly sterile, and most plant microbes are recruited from an environmental pool. Surprisingly little is known about the processes that govern how environmental microbes assemble on plants in nature. In this study we examine how bacteria are distributed across plant parts, and how these distributions interact with spatial gradients. We sequenced amplicons of bacteria from six plant parts and adjacent soil of Scaevola taccada, a common beach shrub, along a 60 km transect spanning Oʻahu island's windward coast, as well as within a single intensively-sampled site. Bacteria are more strongly partitioned by plant part as compared with location. Within S. taccada plants, microbial communities are highly nested: soil and rhizosphere communities contain much of the diversity found elsewhere, whereas reproductive parts fall at the bottom of the nestedness hierarchy. Nestedness patterns suggest either that microbes follow a source/sink gradient from the ground up, or else that assembly processes correlate with other traits, such as tissue persistence, that are vertically stratified. Our work shines light on the origins and determinants of plant-associated microbes across plant and landscape scales. PeerJ Preprints | https://doi.org/10.7287/peerj.preprints.27393v1 | CC BY 4.0","author":[{"dropping-particle":"","family":"Amend","given":"Anthony S","non-dropping-particle":"","parse-names":false,"suffix":""},{"dropping-particle":"","family":"Cobian","given":"Gerald M","non-dropping-particle":"","parse-names":false,"suffix":""},{"dropping-particle":"","family":"Laruson","given":"Aki J","non-dropping-particle":"","parse-names":false,"suffix":""},{"dropping-particle":"","family":"Remple","given":"Kristina","non-dropping-particle":"","parse-names":false,"suffix":""},{"dropping-particle":"","family":"Tucker","given":"Sarah J","non-dropping-particle":"","parse-names":false,"suffix":""},{"dropping-particle":"","family":"Kirsten","given":"E","non-dropping-particle":"","parse-names":false,"suffix":""},{"dropping-particle":"","family":"Antaky","given":"Carmen","non-dropping-particle":"","parse-names":false,"suffix":""},{"dropping-particle":"","family":"Boraks","given":"Andre","non-dropping-particle":"","parse-names":false,"suffix":""},{"dropping-particle":"","family":"Jones","given":"Casey A","non-dropping-particle":"","parse-names":false,"suffix":""},{"dropping-particle":"","family":"Kuehu","given":"Donna","non-dropping-particle":"","parse-names":false,"suffix":""},{"dropping-particle":"","family":"Lensing","given":"Becca R","non-dropping-particle":"","parse-names":false,"suffix":""},{"dropping-particle":"","family":"Richardson","given":"Daniel T","non-dropping-particle":"","parse-names":false,"suffix":""},{"dropping-particle":"","family":"Riley","given":"Paul P","non-dropping-particle":"","parse-names":false,"suffix":""}],"container-title":"PeerJPreprints","id":"ITEM-2","issued":{"date-parts":[["2018"]]},"page":"1-18","title":"Phytobiomes are compositionally nested from the ground up Phytobiomes are compositionally nested from the ground up","type":"article-journal"},"uris":["http://www.mendeley.com/documents/?uuid=e0363598-29b8-4560-98d1-138cde5a9413"]},{"id":"ITEM-3","itemData":{"DOI":"10.1186/s40168-017-0241-2","ISBN":"4016801702","ISSN":"20492618","abstract":"Background: The plant microbiome represents one of the key determinants of plant health and productivity by providing a plethora of functional capacities such as access to low-abundance nutrients, suppression of phytopathogens, and resistance to biotic and/or abiotic stressors. However, a robust understanding of the structural composition of the bacterial microbiome present in different plant microenvironments and especially the relationship between below-ground and above-ground communities has remained elusive. In this work, we addressed hypotheses regarding microbiome niche differentiation and structural stability of the bacterial communities within different ecological plant niches. Methods: We sampled the rhizosphere soil, root, stem, and leaf endosphere of field-grown poplar trees (Populus tremula × Populus alba) and applied 16S rRNA amplicon pyrosequencing to unravel the bacterial communities associated with the different plant habitats. Results: We found that the structural variability of rhizosphere microbiomes in field-grown poplar trees (P. tremula × P. alba) is much lower than that of the endosphere microbiomes. Furthermore, our data not only confirm microbiome niche differentiation reports at the rhizosphere soil-root interface but also clearly show additional fine-tuning and adaptation of the endosphere microbiome in the stem and leaf compartment. Each plant compartment represents an unique ecological niche for the bacterial communities. Finally, we identified the core bacterial microbiome associated with the different ecological niches of Populus. Conclusions: Understanding the complex host-microbe interactions of Populus could provide the basis for the exploitation of the eukaryote-prokaryote associations in phytoremediation applications, sustainable crop production (bio-energy efficiency), and/or the production of secondary metabolites.","author":[{"dropping-particle":"","family":"Beckers","given":"Bram","non-dropping-particle":"","parse-names":false,"suffix":""},{"dropping-particle":"","family":"Beeck","given":"Michiel Op","non-dropping-particle":"De","parse-names":false,"suffix":""},{"dropping-particle":"","family":"Weyens","given":"Nele","non-dropping-particle":"","parse-names":false,"suffix":""},{"dropping-particle":"","family":"Boerjan","given":"Wout","non-dropping-particle":"","parse-names":false,"suffix":""},{"dropping-particle":"","family":"Vangronsveld","given":"Jaco","non-dropping-particle":"","parse-names":false,"suffix":""}],"container-title":"Microbiome","id":"ITEM-3","issue":"1","issued":{"date-parts":[["2017"]]},"page":"1-17","publisher":"Microbiome","title":"Structural variability and niche differentiation in the rhizosphere and endosphere bacterial microbiome of field-grown poplar trees","type":"article-journal","volume":"5"},"uris":["http://www.mendeley.com/documents/?uuid=80f9b53a-84ee-429e-bf04-ebe6b0f412de"]}],"mendeley":{"formattedCitation":"(Beckers et al., 2017; Amend et al., 2018; Cregger et al., 2018)","plainTextFormattedCitation":"(Beckers et al., 2017; Amend et al., 2018; Cregger et al., 2018)","previouslyFormattedCitation":"(Beckers et al., 2017; Amend et al., 2018; Cregger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(Beckers et al., 2017; Amend et al., 2018; Cregger et al., 2018)</w:t>
      </w:r>
      <w:r w:rsidRPr="00B73E8F">
        <w:rPr>
          <w:color w:val="000000" w:themeColor="text1"/>
        </w:rPr>
        <w:fldChar w:fldCharType="end"/>
      </w:r>
      <w:r w:rsidRPr="00B73E8F">
        <w:rPr>
          <w:color w:val="000000" w:themeColor="text1"/>
        </w:rPr>
        <w:t xml:space="preserve">. These studies examine microbial richness at the scale of the host </w:t>
      </w:r>
      <w:r w:rsidR="003F1C81" w:rsidRPr="00B73E8F">
        <w:rPr>
          <w:color w:val="000000" w:themeColor="text1"/>
        </w:rPr>
        <w:t>organism yet</w:t>
      </w:r>
      <w:r w:rsidRPr="00B73E8F">
        <w:rPr>
          <w:color w:val="000000" w:themeColor="text1"/>
        </w:rPr>
        <w:t xml:space="preserve"> fail to capture the spatial heterogeneity of microbial richness within single tissue types or within the rhizos</w:t>
      </w:r>
      <w:r w:rsidRPr="00920A60">
        <w:rPr>
          <w:color w:val="000000" w:themeColor="text1"/>
        </w:rPr>
        <w:t xml:space="preserve">phere niche itself. </w:t>
      </w:r>
      <w:r w:rsidRPr="00920A60">
        <w:t>For example,</w:t>
      </w:r>
      <w:r w:rsidRPr="00920A60">
        <w:rPr>
          <w:color w:val="000000" w:themeColor="text1"/>
        </w:rPr>
        <w:t xml:space="preserve"> </w:t>
      </w:r>
      <w:r w:rsidRPr="00920A60">
        <w:t xml:space="preserve">rhizosphere richness is dependent on host and environmental components and plays a large role in mediating plant productivity (e.g. survival, growth, and fecundity), plant community richness, and ecosystem functioning </w:t>
      </w:r>
      <w:r w:rsidRPr="00B73E8F">
        <w:fldChar w:fldCharType="begin" w:fldLock="1"/>
      </w:r>
      <w:r w:rsidR="006E1F09">
        <w:instrText>ADDIN CSL_CITATION {"citationItems":[{"id":"ITEM-1","itemData":{"DOI":"10.1038/nrmicro3109","ISSN":"1740-1534","PMID":"24056930","abstract":"The rhizosphere is the interface between plant roots and soil where interactions among a myriad of microorganisms and invertebrates affect biogeochemical cycling, plant growth and tolerance to biotic and abiotic stress. The rhizosphere is intriguingly complex and dynamic, and understanding its ecology and evolution is key to enhancing plant productivity and ecosystem functioning. Novel insights into key factors and evolutionary processes shaping the rhizosphere microbiome will greatly benefit from integrating reductionist and systems-based approaches in both agricultural and natural ecosystems. Here, we discuss recent developments in rhizosphere research in relation to assessing the contribution of the micro- and macroflora to sustainable agriculture, nature conservation, the development of bio-energy crops and the mitigation of climate change.","author":[{"dropping-particle":"","family":"Philippot","given":"Laurent","non-dropping-particle":"","parse-names":false,"suffix":""},{"dropping-particle":"","family":"Raaijmakers","given":"Jos M","non-dropping-particle":"","parse-names":false,"suffix":""},{"dropping-particle":"","family":"Lemanceau","given":"Philippe","non-dropping-particle":"","parse-names":false,"suffix":""},{"dropping-particle":"","family":"Putten","given":"Wim H","non-dropping-particle":"van der","parse-names":false,"suffix":""}],"container-title":"Nature reviews. Microbiology","id":"ITEM-1","issue":"11","issued":{"date-parts":[["2013"]]},"page":"789-99","publisher":"Nature Publishing Group","title":"Going back to the roots: the microbial ecology of the rhizosphere.","type":"article-journal","volume":"11"},"uris":["http://www.mendeley.com/documents/?uuid=22e74fb9-3f8c-494a-ad9e-92725fdd9246"]},{"id":"ITEM-2","itemData":{"author":[{"dropping-particle":"","family":"Bever","given":"James D","non-dropping-particle":"","parse-names":false,"suffix":""},{"dropping-particle":"","family":"Westover","given":"Kristi M","non-dropping-particle":"","parse-names":false,"suffix":""},{"dropping-particle":"","family":"Antonovics","given":"Janis","non-dropping-particle":"","parse-names":false,"suffix":""}],"container-title":"Journal of Ecology","id":"ITEM-2","issue":"5","issued":{"date-parts":[["1997"]]},"page":"561-573","title":"Incorporating the Soil Community into Plant Population Dynamics : The Utility of the Feedback Approach","type":"article-journal","volume":"85"},"uris":["http://www.mendeley.com/documents/?uuid=37c2e7ce-5a5f-4c9d-91c0-174f22ead42d"]},{"id":"ITEM-3","itemData":{"DOI":"10.1111/j.1461-0248.2007.01139.x","ISBN":"1461-023X","ISSN":"1461023X","PMID":"18047587","abstract":"Microbes are the unseen majority in soil and comprise a large portion of life's genetic diversity. Despite their abundance, the impact of soil microbes on ecosystem processes is still poorly understood. Here we explore the various roles that soil microbes play in terrestrial ecosystems with special emphasis on their contribution to plant productivity and diversity. Soil microbes are important regulators of plant productivity, especially in nutrient poor ecosystems where plant symbionts are responsible for the acquisition of limiting nutrients. Mycorrhizal fungi and nitrogen-fixing bacteria are responsible for c. 5-20% (grassland and savannah) to 80% (temperate and boreal forests) of all nitrogen, and up to 75% of phosphorus, that is acquired by plants annually. Free-living microbes also strongly regulate plant productivity, through the mineralization of, and competition for, nutrients that sustain plant productivity. Soil microbes, including microbial pathogens, are also important regulators of plant community dynamics and plant diversity, determining plant abundance and, in some cases, facilitating invasion by exotic plants. Conservative estimates suggest that c. 20 000 plant species are completely dependent on microbial symbionts for growth and survival pointing to the importance of soil microbes as regulators of plant species richness on Earth. Overall, this review shows that soil microbes must be considered as important drivers of plant diversity and productivity in terrestrial ecosystems.","author":[{"dropping-particle":"","family":"Heijden","given":"Marcel G.A.","non-dropping-particle":"Van Der","parse-names":false,"suffix":""},{"dropping-particle":"","family":"Bardgett","given":"Richard D.","non-dropping-particle":"","parse-names":false,"suffix":""},{"dropping-particle":"","family":"Straalen","given":"Nico M.","non-dropping-particle":"Van","parse-names":false,"suffix":""}],"container-title":"Ecology Letters","id":"ITEM-3","issue":"3","issued":{"date-parts":[["2008"]]},"page":"296-310","title":"The unseen majority: Soil microbes as drivers of plant diversity and productivity in terrestrial ecosystems","type":"article-journal","volume":"11"},"uris":["http://www.mendeley.com/documents/?uuid=ff0c5cd2-7c94-41db-872e-ed1d8c97c4bf"]},{"id":"ITEM-4","itemData":{"DOI":"10.1126/science.1143082","ISSN":"00368075","abstract":"Ecology seeks to explain species coexistence and its functional consequences, but experimental tests of mechanisms that simultaneously account for both processes are difficult. We used an experimental mycorrhizal plant system to test whether functional similarity among closely related species (phylogenetic conservatism) can drive community assembly and ecosystem functioning. Communities were constructed with the same number of fungal species, but after 1 year of growth, realized species richness was highest where the starting species were more distantly related to each other. Communities with high realized species richness also stimulated plant productivity more than those with low realized species richness. Our findings suggest that phylogenetic trait conservatism can promote coexistence because of reduced competition between distinct evolutionary lineages and enhance ecosystem function because of functional complementarity among those same lineages.","author":[{"dropping-particle":"","family":"Maherali","given":"Hafiz","non-dropping-particle":"","parse-names":false,"suffix":""},{"dropping-particle":"","family":"Klironomos","given":"John N.","non-dropping-particle":"","parse-names":false,"suffix":""}],"container-title":"Science","id":"ITEM-4","issue":"5832","issued":{"date-parts":[["2007"]]},"page":"1746-1748","title":"Influence of phylogeny on fungal community assembly and ecosystem functioning","type":"article-journal","volume":"316"},"uris":["http://www.mendeley.com/documents/?uuid=761c19bb-1a5c-401d-ba8c-3ac68ae7a181"]}],"mendeley":{"formattedCitation":"(Bever et al., 1997; Maherali and Klironomos, 2007; Van Der Heijden et al., 2008; Philippot et al., 2013)","plainTextFormattedCitation":"(Bever et al., 1997; Maherali and Klironomos, 2007; Van Der Heijden et al., 2008; Philippot et al., 2013)","previouslyFormattedCitation":"(Bever et al., 1997; Maherali and Klironomos, 2007; Van Der Heijden et al., 2008; Philippot et al., 2013)"},"properties":{"noteIndex":0},"schema":"https://github.com/citation-style-language/schema/raw/master/csl-citation.json"}</w:instrText>
      </w:r>
      <w:r w:rsidRPr="00B73E8F">
        <w:fldChar w:fldCharType="separate"/>
      </w:r>
      <w:r w:rsidR="00CE6085" w:rsidRPr="00CE6085">
        <w:rPr>
          <w:noProof/>
        </w:rPr>
        <w:t>(Bever et al., 1997; Maherali and Klironomos, 2007; Van Der Heijden et al., 2008; Philippot et al., 2013)</w:t>
      </w:r>
      <w:r w:rsidRPr="00B73E8F">
        <w:fldChar w:fldCharType="end"/>
      </w:r>
      <w:r w:rsidRPr="00B73E8F">
        <w:t xml:space="preserve">. </w:t>
      </w:r>
      <w:r w:rsidRPr="00B73E8F">
        <w:lastRenderedPageBreak/>
        <w:t>With further investigations into the appropriate spatial scale at which to examine complex rhizosphere soil associated microbes, the impact of key microbial taxa on plant productivity could be further illuminated. In ad</w:t>
      </w:r>
      <w:r w:rsidRPr="00920A60">
        <w:t xml:space="preserve">dition, the resolution, or the size of the sequencing unit can also impact our interpretations of microbial communities. Thus, there is a much-needed shift in ideology towards describing microbial communities as those that gradually shift </w:t>
      </w:r>
      <w:r w:rsidR="00CD0545" w:rsidRPr="00920A60">
        <w:t>regarding</w:t>
      </w:r>
      <w:r w:rsidRPr="00920A60">
        <w:t xml:space="preserve"> spat</w:t>
      </w:r>
      <w:r w:rsidRPr="001E4901">
        <w:t xml:space="preserve">ial gradients. </w:t>
      </w:r>
    </w:p>
    <w:p w14:paraId="69B0058A" w14:textId="32D61D4D" w:rsidR="00D71F59" w:rsidRPr="00920A60" w:rsidRDefault="00D71F59" w:rsidP="00D71F59">
      <w:pPr>
        <w:spacing w:line="360" w:lineRule="auto"/>
        <w:rPr>
          <w:color w:val="000000" w:themeColor="text1"/>
        </w:rPr>
      </w:pPr>
      <w:r w:rsidRPr="001E4901">
        <w:rPr>
          <w:color w:val="000000" w:themeColor="text1"/>
        </w:rPr>
        <w:tab/>
        <w:t xml:space="preserve">Abiotic conditions, biogeography, and seasonality also have been shown to influence soil and rhizosphere microbial communities as the plant develops </w:t>
      </w:r>
      <w:r w:rsidRPr="00B73E8F">
        <w:rPr>
          <w:color w:val="000000" w:themeColor="text1"/>
        </w:rPr>
        <w:fldChar w:fldCharType="begin" w:fldLock="1"/>
      </w:r>
      <w:r w:rsidR="006E1F09">
        <w:rPr>
          <w:color w:val="000000" w:themeColor="text1"/>
        </w:rPr>
        <w:instrText>ADDIN CSL_CITATION {"citationItems":[{"id":"ITEM-1","itemData":{"DOI":"10.1073/pnas.0507535103","ISBN":"0507535103","ISSN":"0027-8424","PMID":"16407148","abstract":"For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organisms.","author":[{"dropping-particle":"","family":"Fierer","given":"Noah","non-dropping-particle":"","parse-names":false,"suffix":""},{"dropping-particle":"","family":"Jackson","given":"Robert B","non-dropping-particle":"","parse-names":false,"suffix":""}],"container-title":"Proceedings of the National Academy of Sciences of the United States of America","id":"ITEM-1","issue":"3","issued":{"date-parts":[["2006"]]},"page":"626-31","title":"The diversity and biogeography of soil bacterial communities","type":"article-journal","volume":"103"},"uris":["http://www.mendeley.com/documents/?uuid=9b61d678-3884-493e-9d34-61ceb59183df"]},{"id":"ITEM-2","itemData":{"DOI":"10.1016/j.soilbio.2004.08.005","ISSN":"00380717","abstract":"The relative importance of specific plant properties versus soil characteristics in shaping the bacterial community structure of the rhizosphere is a topic of considerable debate. Here, we report the results of a study on the bacterial composition of the rhizosphere of the wild plant Carex arenaria (sand sedge) growing at 10 natural sites in The Netherlands. The soil properties of the sandy soils at these sites were highly disparate, most notably in pH, chloride and organic matter content. Rhizosphere and bulk soil bacterial communities were examined by culture-independent means, namely, 16S rDNA-directed PCR-DGGE profiling. Large differences were observed between the bacterial communities of the different sites for both bulk and rhizosphere soil. Cluster analysis of bacterial profiles revealed that the rhizosphere community of each site was generally more closely related to the bulk soil community of that site rather than to rhizosphere communities of other sites. Hence, bacterial community structure within the rhizosphere of C. arenaria appeared to be determined to a large extent by the bulk soil community composition. This conclusion was supported by a reciprocal planting experiment, where C. arenaria shoots of different sites yielded highly similar rhizosphere communities when planted in the same soil. © 2004 Elsevier Ltd. All rights reserved.","author":[{"dropping-particle":"","family":"Ridder-Duine","given":"Annelies S.","non-dropping-particle":"De","parse-names":false,"suffix":""},{"dropping-particle":"","family":"Kowalchuk","given":"George A.","non-dropping-particle":"","parse-names":false,"suffix":""},{"dropping-particle":"","family":"Klein Gunnewiek","given":"Paulien J.A.","non-dropping-particle":"","parse-names":false,"suffix":""},{"dropping-particle":"","family":"Smant","given":"Wiecher","non-dropping-particle":"","parse-names":false,"suffix":""},{"dropping-particle":"","family":"Veen","given":"Johannes A.","non-dropping-particle":"Van","parse-names":false,"suffix":""},{"dropping-particle":"","family":"Boer","given":"Wietse","non-dropping-particle":"De","parse-names":false,"suffix":""}],"container-title":"Soil Biology and Biochemistry","id":"ITEM-2","issue":"2","issued":{"date-parts":[["2005"]]},"page":"349-357","title":"Rhizosphere bacterial community composition in natural stands of Carex arenaria (sand sedge) is determined by bulk soil community composition","type":"article-journal","volume":"37"},"uris":["http://www.mendeley.com/documents/?uuid=d8bf1146-64a2-4e4a-900a-2a995d8fe12d"]},{"id":"ITEM-3","itemData":{"DOI":"10.1038/nrmicro3109","ISSN":"1740-1534","PMID":"24056930","abstract":"The rhizosphere is the interface between plant roots and soil where interactions among a myriad of microorganisms and invertebrates affect biogeochemical cycling, plant growth and tolerance to biotic and abiotic stress. The rhizosphere is intriguingly complex and dynamic, and understanding its ecology and evolution is key to enhancing plant productivity and ecosystem functioning. Novel insights into key factors and evolutionary processes shaping the rhizosphere microbiome will greatly benefit from integrating reductionist and systems-based approaches in both agricultural and natural ecosystems. Here, we discuss recent developments in rhizosphere research in relation to assessing the contribution of the micro- and macroflora to sustainable agriculture, nature conservation, the development of bio-energy crops and the mitigation of climate change.","author":[{"dropping-particle":"","family":"Philippot","given":"Laurent","non-dropping-particle":"","parse-names":false,"suffix":""},{"dropping-particle":"","family":"Raaijmakers","given":"Jos M","non-dropping-particle":"","parse-names":false,"suffix":""},{"dropping-particle":"","family":"Lemanceau","given":"Philippe","non-dropping-particle":"","parse-names":false,"suffix":""},{"dropping-particle":"","family":"Putten","given":"Wim H","non-dropping-particle":"van der","parse-names":false,"suffix":""}],"container-title":"Nature reviews. Microbiology","id":"ITEM-3","issue":"11","issued":{"date-parts":[["2013"]]},"page":"789-99","publisher":"Nature Publishing Group","title":"Going back to the roots: the microbial ecology of the rhizosphere.","type":"article-journal","volume":"11"},"uris":["http://www.mendeley.com/documents/?uuid=22e74fb9-3f8c-494a-ad9e-92725fdd9246"]}],"mendeley":{"formattedCitation":"(De Ridder-Duine et al., 2005; Fierer and Jackson, 2006b; Philippot et al., 2013)","plainTextFormattedCitation":"(De Ridder-Duine et al., 2005; Fierer and Jackson, 2006b; Philippot et al., 2013)","previouslyFormattedCitation":"(De Ridder-Duine et al., 2005; Fierer and Jackson, 2006b; Philippot et al.,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(De Ridder-Duine et al., 2005; Fierer and Jackson, 2006b; Philippot et al., 2013)</w:t>
      </w:r>
      <w:r w:rsidRPr="00B73E8F">
        <w:rPr>
          <w:color w:val="000000" w:themeColor="text1"/>
        </w:rPr>
        <w:fldChar w:fldCharType="end"/>
      </w:r>
      <w:r w:rsidRPr="00B73E8F">
        <w:rPr>
          <w:color w:val="000000" w:themeColor="text1"/>
        </w:rPr>
        <w:t xml:space="preserve">. For example, realized niches within rhizosphere microhabitats can change temporally, or with seasons, having effects on microbial richness and abundance </w:t>
      </w:r>
      <w:r w:rsidRPr="00B73E8F">
        <w:rPr>
          <w:color w:val="000000" w:themeColor="text1"/>
        </w:rPr>
        <w:fldChar w:fldCharType="begin" w:fldLock="1"/>
      </w:r>
      <w:r w:rsidR="006E1F09">
        <w:rPr>
          <w:color w:val="000000" w:themeColor="text1"/>
        </w:rPr>
        <w:instrText>ADDIN CSL_CITATION {"citationItems":[{"id":"ITEM-1","itemData":{"DOI":"10.1128/mBio.00746-15","ISSN":"21507511","PMID":"26242625","abstract":"It is well known that rhizosphere microbiomes differ from those of surrounding soil, and yet we know little about how these root-associated microbial communities change through the growing season and between seasons. We analyzed the response of soil bacteria to roots of the common annual grass Avena fatua over two growing seasons using high-throughput sequencing of 16S rRNA genes. Over the two periods of growth, the rhizosphere bacterial communities followed consistent successional patterns as plants grew, although the starting communities were distinct. Succession in the rhizosphere was characterized by a significant decrease in both taxonomic and phylogenetic diversity relative to background soil communities, driven by reductions in both richness and evenness of the bacterial communities. Plant roots selectively stimulated the relative abundance of Alphaproteobacteria, Betaproteobacteria, and Bacteroidetes but reduced the abundance of Acidobacteria, Actinobacteria, and Firmicutes. Taxa that increased in relative abundance in the rhizosphere soil displayed phylogenetic clustering, suggesting some conservation and an evolutionary basis for the response of complex soil bacterial communities to the presence of plant roots. The reproducibility of rhizosphere succession and the apparent phylogenetic conservation of rhizosphere competence traits suggest adaptation of the indigenous bacterial community to this common grass over the many decades of its presence. IMPORTANCE We document the successional patterns of rhizosphere bacterial communities associated with a “wild” annual grass, Avena fatua, which is commonly a dominant plant in Mediterranean-type annual grasslands around the world; the plant was grown in its grassland soil. Most studies documenting rhizosphere microbiomes address “domesticated” plants growing in soils to which they are introduced. Rhizosphere bacterial communities exhibited a pattern of temporal succession that was consistent and repeatable over two growing seasons. There are few studies assessing the reproducibility over multiple seasons. Through the growing season, the rhizosphere community became progressively less diverse, likely reflecting root homogenization of soil microniches. Phylogenetic clustering of the rhizosphere dynamic taxa suggests evolutionary adaptation to Avena roots. The reproducibility of rhizosphere succession and the apparent phylogenetic conservation of rhizosphere competence traits suggest adaptation of the ind…","author":[{"dropping-particle":"","family":"Shi","given":"Shengjing","non-dropping-particle":"","parse-names":false,"suffix":""},{"dropping-particle":"","family":"Nuccio","given":"Erin","non-dropping-particle":"","parse-names":false,"suffix":""},{"dropping-particle":"","family":"Herman","given":"Donald J.","non-dropping-particle":"","parse-names":false,"suffix":""},{"dropping-particle":"","family":"Rijkers","given":"Ruud","non-dropping-particle":"","parse-names":false,"suffix":""},{"dropping-particle":"","family":"Estera","given":"Katerina","non-dropping-particle":"","parse-names":false,"suffix":""},{"dropping-particle":"","family":"Li","given":"Jiabao","non-dropping-particle":"","parse-names":false,"suffix":""},{"dropping-particle":"","family":"Rocha","given":"Ulisses Nunes","non-dropping-particle":"Da","parse-names":false,"suffix":""},{"dropping-particle":"","family":"He","given":"Zhili","non-dropping-particle":"","parse-names":false,"suffix":""},{"dropping-particle":"","family":"Pett-Ridge","given":"Jennifer","non-dropping-particle":"","parse-names":false,"suffix":""},{"dropping-particle":"","family":"Brodie","given":"Eoin L.","non-dropping-particle":"","parse-names":false,"suffix":""},{"dropping-particle":"","family":"Zhou","given":"Jizhong","non-dropping-particle":"","parse-names":false,"suffix":""},{"dropping-particle":"","family":"Firestone","given":"Mary","non-dropping-particle":"","parse-names":false,"suffix":""}],"container-title":"mBio","id":"ITEM-1","issue":"4","issued":{"date-parts":[["2015"]]},"page":"13-20","title":"Successional trajectories of rhizosphere bacterial communities over consecutive seasons","type":"article-journal","volume":"6"},"uris":["http://www.mendeley.com/documents/?uuid=89c0eb12-c74b-41db-bd0c-7ae09cd52d95"]}],"mendeley":{"formattedCitation":"(Shi et al., 2015)","plainTextFormattedCitation":"(Shi et al., 2015)","previouslyFormattedCitation":"(Shi et al., 2015)"},"properties":{"noteIndex":0},"schema":"https://github.com/citation-style-language/schema/raw/master/csl-citation.json"}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(Shi et al., 2015)</w:t>
      </w:r>
      <w:r w:rsidRPr="00B73E8F">
        <w:rPr>
          <w:color w:val="000000" w:themeColor="text1"/>
        </w:rPr>
        <w:fldChar w:fldCharType="end"/>
      </w:r>
      <w:r w:rsidRPr="00B73E8F">
        <w:rPr>
          <w:color w:val="000000" w:themeColor="text1"/>
        </w:rPr>
        <w:t>. Seasonal disturbance events, such as dry/wet cycles or fire seasons, can also alter spatial heterogeneity in soil habitats, with various effects on species richn</w:t>
      </w:r>
      <w:r w:rsidRPr="00920A60">
        <w:rPr>
          <w:color w:val="000000" w:themeColor="text1"/>
        </w:rPr>
        <w:t xml:space="preserve">ess and relative abundance that depend on the historical contingency of the region </w:t>
      </w:r>
      <w:r w:rsidRPr="00B73E8F">
        <w:rPr>
          <w:color w:val="000000" w:themeColor="text1"/>
        </w:rPr>
        <w:fldChar w:fldCharType="begin" w:fldLock="1"/>
      </w:r>
      <w:r w:rsidR="006E1F09">
        <w:rPr>
          <w:color w:val="000000" w:themeColor="text1"/>
        </w:rPr>
        <w:instrText>ADDIN CSL_CITATION {"citationItems":[{"id":"ITEM-1","itemData":{"ISBN":"0080504957","author":[{"dropping-particle":"","family":"Pickett","given":"Steward T A","non-dropping-particle":"","parse-names":false,"suffix":""},{"dropping-particle":"","family":"White","given":"Peter S","non-dropping-particle":"","parse-names":false,"suffix":""}],"id":"ITEM-1","issued":{"date-parts":[["2013"]]},"number-of-pages":"307-321","publisher":"Elsevier","title":"The ecology of natural disturbance and patch dynamics","type":"book"},"uris":["http://www.mendeley.com/documents/?uuid=de79a100-afd4-4379-9bfc-2a78471a4490"]}],"mendeley":{"formattedCitation":"(Pickett and White, 2013)","plainTextFormattedCitation":"(Pickett and White, 2013)","previouslyFormattedCitation":"(Pickett and White,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(Pickett and White, 2013)</w:t>
      </w:r>
      <w:r w:rsidRPr="00B73E8F">
        <w:rPr>
          <w:color w:val="000000" w:themeColor="text1"/>
        </w:rPr>
        <w:fldChar w:fldCharType="end"/>
      </w:r>
      <w:r w:rsidRPr="00B73E8F">
        <w:rPr>
          <w:color w:val="000000" w:themeColor="text1"/>
        </w:rPr>
        <w:t xml:space="preserve">. </w:t>
      </w:r>
      <w:r w:rsidR="00D84FD8">
        <w:rPr>
          <w:color w:val="000000" w:themeColor="text1"/>
        </w:rPr>
        <w:t xml:space="preserve">Further, </w:t>
      </w:r>
      <w:r w:rsidR="00D84FD8" w:rsidRPr="00D84FD8">
        <w:rPr>
          <w:color w:val="000000" w:themeColor="text1"/>
        </w:rPr>
        <w:t xml:space="preserve">variation in the composition of rhizosphere microbiomes is often explained by host effects, for example plants species that coexist in the same environment have been shown to have species specific microbial associations </w:t>
      </w:r>
      <w:r w:rsidR="00D84FD8" w:rsidRPr="00D84FD8">
        <w:rPr>
          <w:color w:val="000000" w:themeColor="text1"/>
        </w:rPr>
        <w:fldChar w:fldCharType="begin" w:fldLock="1"/>
      </w:r>
      <w:r w:rsidR="006E1F09">
        <w:rPr>
          <w:color w:val="000000" w:themeColor="text1"/>
        </w:rPr>
        <w:instrText>ADDIN CSL_CITATION {"citationItems":[{"id":"ITEM-1","itemData":{"DOI":"10.1111/j.1574-6941.2009.00654.x","ISBN":"0168-6496","ISSN":"01686496","PMID":"19243436","abstract":"The rhizosphere is of central importance not only for plant nutrition, health and quality but also for microorganism-driven carbon sequestration, ecosystem functioning and nutrient cycling in terrestrial ecosystems. A multitude of biotic and abiotic factors are assumed to influence the structural and functional diversity of microbial communities in the rhizosphere. In this review, recent studies on the influence of the two factors, plant species and soil type, on rhizosphere-associated microbial communities are discussed. Root exudates and the response of microorganisms to the latter as well as to root morphology were shown to shape rhizosphere microbial communities. All studies revealed that soil is the main reservoir for rhizosphere microorganisms. Many secrets of microbial life in the rhizosphere were recently uncovered due to the enormous progress in molecular and microscopic tools. Physiological and molecular data on the factors that drive selection processes in the rhizosphere are presented here. Furthermore, implications for agriculture, nature conservation and biotechnology will also be discussed.","author":[{"dropping-particle":"","family":"Berg","given":"Gabriele","non-dropping-particle":"","parse-names":false,"suffix":""},{"dropping-particle":"","family":"Smalla","given":"Kornelia","non-dropping-particle":"","parse-names":false,"suffix":""}],"container-title":"FEMS Microbiology Ecology","id":"ITEM-1","issue":"1","issued":{"date-parts":[["2009"]]},"page":"1-13","title":"Plant species and soil type cooperatively shape the structure and function of microbial communities in the rhizosphere","type":"article-journal","volume":"68"},"uris":["http://www.mendeley.com/documents/?uuid=9c860310-67c9-465b-80d5-686c941363a7"]},{"id":"ITEM-2","itemData":{"DOI":"10.1016/S0038-0717(01)00052-9","ISBN":"0038-0717","ISSN":"00380717","abstract":"Eubacterial community structures in the plant rhizosphere were examined with respect to plant species, soil type, and root zone location. Three plant species (chickpea, rape and Sudan grass) were grown in intact cores of three California soils (a sandy soil, a sandy loam, and a clay) and were provided with a complete fertilizer solution with or without nitrogen supplied as ammonium nitrate. After 7.5 weeks, the plants were harvested and DNA was extracted from soil adhering to the root tips and from mature root zones at the sites of lateral root emergence. Eubacterial community structures were examined by PCR-DGGE of 16S rDNA to determine the relative abundance and species diversity. While both soil type and nitrogen fertilization affected plant growth, canonical correspondence analyses showed that nitrogen had no significant effect on eubacterial community structures. Eubacterial species diversity was higher in the mature root zones than at the root tips in the sandy soil and the clay but not in the loamy sand. Monte Carlo permutation tests indicated that plant species, root zone and soil type as well as the interactions between these variables had significant effects on community structure. The bacterial rhizosphere community of chickpea was influenced primarily by soil type, whereas root zone was less important. In contrast to chickpea, the community in the rhizosphere of rape and Sudan grass was more affected by the root zone than the soil type. In the sandy soil and the loamy sand, the eubacterial rhizosphere community structure was more affected by the root zone than the plant species and the three plant species had distinct communities. In the clay however, the root zone was less important than the plant species and the rhizosphere communities of chickpea differed from those of rape and Sudan grass. It is concluded that the bacterial community composition in the rhizosphere is affected by a complex interaction between soil type, plant species and root zone location.","author":[{"dropping-particle":"","family":"Marschner","given":"P.","non-dropping-particle":"","parse-names":false,"suffix":""},{"dropping-particle":"","family":"Yang","given":"C.-H.","non-dropping-particle":"","parse-names":false,"suffix":""},{"dropping-particle":"","family":"Lieberei","given":"R.","non-dropping-particle":"","parse-names":false,"suffix":""},{"dropping-particle":"","family":"Crowley","given":"D. E.","non-dropping-particle":"","parse-names":false,"suffix":""}],"container-title":"Soil Biology and Biochemistry","id":"ITEM-2","issued":{"date-parts":[["2001"]]},"page":"1437-1445","title":"Soil and plant species effects on bacterial community composition in the rhizosphere","type":"article-journal","volume":"33"},"uris":["http://www.mendeley.com/documents/?uuid=e6d8e50d-a738-4db3-8df6-4e422f326cfb"]},{"id":"ITEM-3","itemData":{"DOI":"10.1023/A:1020565523615","ISSN":"00036072","PMID":"12448746","abstract":"A coupling of above-ground plant diversity and below-ground microbial diversity has been implied in studies dedicated to assessing the role of macrophyte diversity on the stability, resilience, and functioning of ecosystems. Indeed, above-ground plant communities have long been assumed to drive below-ground microbial diversity, but to date very little is known as to how plant species composition and diversity influence the community composition of micro-organisms in the soil. We examined this relationship in fields subjected to different above-ground biodiversity treatments and in field experiments designed to examine the influence of plant species on soil-borne microbial communities. Culture-independent strategies were applied to examine the role of wild or native plant species composition on bacterial diversity and community structure in bulk soil and in the rhizosphere. In comparing the influence of Cynoglossum officinale (hound's tongue) and Cirsium vulgare (spear thistle) on soil-borne bacterial communities, detectable differences in microbial community structure were confined to the rhizosphere. The colonisation of the rhizosphere of both plants was highly reproducible, and maintained throughout the growing season. In a separate experiment, effects of plant diversity on bacterial community profiles were also only observed for the rhizosphere. Rhizosphere soil from experimental plots with lower macrophyte diversity showed lower diversity, and bacterial diversity was generally lower in the rhizosphere than in bulk soil. These results demonstrate that the level of coupling between above-ground macrophyte communities and below-ground microbial communities is related to the tightness of the interactions involved. Although plant species composition and community structure appear to have little discernible effect on microbial communities inhabiting bulk soil, clear and reproducible changes in microbial community structure and diversity are observed in the rhizosphere.","author":[{"dropping-particle":"","family":"Kowalchuk","given":"George A.","non-dropping-particle":"","parse-names":false,"suffix":""},{"dropping-particle":"","family":"Buma","given":"Douwe S.","non-dropping-particle":"","parse-names":false,"suffix":""},{"dropping-particle":"","family":"Boer","given":"Wietse","non-dropping-particle":"De","parse-names":false,"suffix":""},{"dropping-particle":"","family":"Klinkhamer","given":"Peter G.L.","non-dropping-particle":"","parse-names":false,"suffix":""},{"dropping-particle":"","family":"Veen","given":"Johannes A.","non-dropping-particle":"Van","parse-names":false,"suffix":""}],"container-title":"Antonie van Leeuwenhoek, International Journal of General and Molecular Microbiology","id":"ITEM-3","issue":"1-4","issued":{"date-parts":[["2002"]]},"page":"509-520","title":"Effects of above-ground plant species composition and diversity on the diversity of soil-borne microorganisms","type":"article-journal","volume":"81"},"uris":["http://www.mendeley.com/documents/?uuid=f1f55ab5-21da-4c3f-8944-a7163a1d7c3a"]}],"mendeley":{"formattedCitation":"(Marschner et al., 2001; Kowalchuk et al., 2002; Berg and Smalla, 2009)","plainTextFormattedCitation":"(Marschner et al., 2001; Kowalchuk et al., 2002; Berg and Smalla, 2009)","previouslyFormattedCitation":"(Marschner et al., 2001; Kowalchuk et al., 2002; Berg and Smalla, 2009)"},"properties":{"noteIndex":0},"schema":"https://github.com/citation-style-language/schema/raw/master/csl-citation.json"}</w:instrText>
      </w:r>
      <w:r w:rsidR="00D84FD8" w:rsidRPr="00D84FD8">
        <w:rPr>
          <w:color w:val="000000" w:themeColor="text1"/>
        </w:rPr>
        <w:fldChar w:fldCharType="separate"/>
      </w:r>
      <w:r w:rsidR="00CE6085" w:rsidRPr="00CE6085">
        <w:rPr>
          <w:noProof/>
          <w:color w:val="000000" w:themeColor="text1"/>
        </w:rPr>
        <w:t>(Marschner et al., 2001; Kowalchuk et al., 2002; Berg and Smalla, 2009)</w:t>
      </w:r>
      <w:r w:rsidR="00D84FD8" w:rsidRPr="00D84FD8">
        <w:rPr>
          <w:color w:val="000000" w:themeColor="text1"/>
        </w:rPr>
        <w:fldChar w:fldCharType="end"/>
      </w:r>
      <w:r w:rsidR="00D84FD8" w:rsidRPr="00D84FD8">
        <w:rPr>
          <w:color w:val="000000" w:themeColor="text1"/>
        </w:rPr>
        <w:t xml:space="preserve">. Root exudates and rhizo-deposition are substances that attract particular microbes to the rhizosphere, and often the variation in substance quality contributes to within plant species heterogeneity of rhizosphere microbial composition </w:t>
      </w:r>
      <w:r w:rsidR="00D84FD8" w:rsidRPr="00D84FD8">
        <w:rPr>
          <w:color w:val="000000" w:themeColor="text1"/>
        </w:rPr>
        <w:fldChar w:fldCharType="begin" w:fldLock="1"/>
      </w:r>
      <w:r w:rsidR="006E1F09">
        <w:rPr>
          <w:color w:val="000000" w:themeColor="text1"/>
        </w:rPr>
        <w:instrText>ADDIN CSL_CITATION {"citationItems":[{"id":"ITEM-1","itemData":{"DOI":"10.1023/A:1020646011229","ISSN":"0032079X","abstract":"The literature on genetics of root exudation and on genotypic differences in qualitative and quantitative composition of root exudates in crop and native plant species was critically assessed. Differences in exudation have been reported for genotypes that differ in tolerance to nutrient deficiencies, ion toxicities, and pathogen attack. The exudation profile of a limited number of genotypes (frequently only two genotypes with the contrasting response to the environmental stress) have been reported to date. Little is known about the variability in larger samples of the germplasm or about actual genetics behind differential qualitative and quantitative composition of root exudates. Changing the exudation profile of a given genotype may be achieved by manipulating the biosynthetic capacity and by increasing the capacity of the plasma membrane to transport the specific compound out into the rhizosphere. Overexpression of the bacterial citrate synthase gene in the cytoplasm of tobacco plants resulted in exudation of large quantities of citrate into the rhizosphere and partial alleviation of the aluminium (Al) toxicity stress. A similar strategy of transforming plants with citrate synthase gene is being tried as a way of improving plant capacity to extract phosphorus (P) from soils with notoriously low P availability. More research into the genetic basis of qualitative and quantitative differences in root exudation is warranted. Understanding the genetic control of root exudation, followed by manipulation of qualitative and quantitative composition of root exudates, will result in better adaptation of plants to environmental conditions and a greater yield of crops.","author":[{"dropping-particle":"","family":"Rengel","given":"Z.","non-dropping-particle":"","parse-names":false,"suffix":""}],"container-title":"Plant and Soil","id":"ITEM-1","issue":"1","issued":{"date-parts":[["2002"]]},"page":"59-70","title":"Genetic control of root exudation","type":"article-journal","volume":"245"},"uris":["http://www.mendeley.com/documents/?uuid=ce2fd807-bf63-4a2c-9be6-52eab830c56e"]},{"id":"ITEM-2","itemData":{"DOI":"10.1128/AEM.66.1.345-351.2000.Updated","author":[{"dropping-particle":"","family":"Yang","given":"Ching-hong","non-dropping-particle":"","parse-names":false,"suffix":""},{"dropping-particle":"","family":"Crowley","given":"David E","non-dropping-particle":"","parse-names":false,"suffix":""}],"container-title":"Applied and Environmental Microbiology","id":"ITEM-2","issue":"1","issued":{"date-parts":[["2000"]]},"page":"345-351","title":"Rhizosphere Microbial Community Structure in Relation to Root Location and Plant Iron Nutritional Status Downloaded from http://aem.asm.org/ on January 11 , 2018 by NATIONAL CENTRE FOR CELL SCIENCE ( NCCS )","type":"article-journal","volume":"66"},"uris":["http://www.mendeley.com/documents/?uuid=ec08baf3-ae0b-4b58-88d2-edf1f72f4db6"]}],"mendeley":{"formattedCitation":"(Yang and Crowley, 2000; Rengel, 2002)","plainTextFormattedCitation":"(Yang and Crowley, 2000; Rengel, 2002)","previouslyFormattedCitation":"(Yang and Crowley, 2000; Rengel, 2002)"},"properties":{"noteIndex":0},"schema":"https://github.com/citation-style-language/schema/raw/master/csl-citation.json"}</w:instrText>
      </w:r>
      <w:r w:rsidR="00D84FD8" w:rsidRPr="00D84FD8">
        <w:rPr>
          <w:color w:val="000000" w:themeColor="text1"/>
        </w:rPr>
        <w:fldChar w:fldCharType="separate"/>
      </w:r>
      <w:r w:rsidR="00CE6085" w:rsidRPr="00CE6085">
        <w:rPr>
          <w:noProof/>
          <w:color w:val="000000" w:themeColor="text1"/>
        </w:rPr>
        <w:t>(Yang and Crowley, 2000; Rengel, 2002)</w:t>
      </w:r>
      <w:r w:rsidR="00D84FD8" w:rsidRPr="00D84FD8">
        <w:rPr>
          <w:color w:val="000000" w:themeColor="text1"/>
        </w:rPr>
        <w:fldChar w:fldCharType="end"/>
      </w:r>
      <w:r w:rsidR="00D84FD8" w:rsidRPr="00D84FD8">
        <w:rPr>
          <w:color w:val="000000" w:themeColor="text1"/>
        </w:rPr>
        <w:t xml:space="preserve">. This contributes to the delicate balance between persistent and labile mineralized forms of C and N concentrations, effectively pulling resource-dependent microbes towards these sources at the root </w:t>
      </w:r>
      <w:r w:rsidR="00D84FD8" w:rsidRPr="00D84FD8">
        <w:rPr>
          <w:color w:val="000000" w:themeColor="text1"/>
        </w:rPr>
        <w:fldChar w:fldCharType="begin" w:fldLock="1"/>
      </w:r>
      <w:r w:rsidR="006E1F09">
        <w:rPr>
          <w:color w:val="000000" w:themeColor="text1"/>
        </w:rPr>
        <w:instrText>ADDIN CSL_CITATION {"citationItems":[{"id":"ITEM-1","itemData":{"DOI":"10.1128/JB.188.10.3697-3708.2006","ISSN":"0021-9193","PMID":"16672623","abstract":"Ralstonia solanacearum, a soilborne plant pathogen of considerable economic importance, invades host plant roots from the soil. Qualitative and quantitative chemotaxis assays revealed that this bacterium is specifically attracted to diverse amino acids and organic acids, and especially to root exudates from the host plant tomato. Exudates from rice, a nonhost plant, were less attractive. Eight different strains from this heterogeneous species complex varied significantly in their attraction to a panel of carbohydrate stimuli, raising the possibility that chemotactic responses may be differentially selected traits that confer adaptation to various hosts or ecological conditions. Previous studies found that an aflagellate mutant lacking swimming motility is significantly reduced in virulence, but the role of directed motility mediated by the chemotaxis system was not known. Two site-directed R. solanacearum mutants lacking either CheA or CheW, which are core chemotaxis signal transduction proteins, were completely nonchemotactic but retained normal swimming motility. In biologically realistic soil soak virulence assays on tomato plants, both nonchemotactic mutants had significantly reduced virulence indistinguishable from that of a nonmotile mutant, demonstrating that directed motility, not simply random motion, is required for full virulence. In contrast, nontactic strains were as virulent as the wild-type strain was when bacteria were introduced directly into the plant stem through a cut petiole, indicating that taxis makes its contribution to virulence in the early stages of host invasion and colonization. When inoculated individually by soaking the soil, both nontactic mutants reached the same population sizes as the wild type did in the stems of tomato plants just beginning to wilt. However, when tomato plants were coinoculated with a 1:1 mixture of a nontactic mutant and its wild-type parent, the wild-type strain outcompeted both nontactic mutants by 100-fold. Together, these results indicate that chemotaxis is an important trait for virulence and pathogenic fitness in this plant pathogen.","author":[{"dropping-particle":"","family":"Yao","given":"Jian","non-dropping-particle":"","parse-names":false,"suffix":""},{"dropping-particle":"","family":"Allen","given":"Caitilyn","non-dropping-particle":"","parse-names":false,"suffix":""}],"container-title":"Journal of bacteriology","id":"ITEM-1","issue":"10","issued":{"date-parts":[["2006"]]},"page":"3697-708","title":"Chemotaxis is required for virulence and competitive fitness of the bacterial wilt pathogen Ralstonia solanacearum.","type":"article-journal","volume":"188"},"uris":["http://www.mendeley.com/documents/?uuid=0de297b3-81d0-4346-8eb3-ed5207486708"]}],"mendeley":{"formattedCitation":"(Yao and Allen, 2006)","plainTextFormattedCitation":"(Yao and Allen, 2006)","previouslyFormattedCitation":"(Yao and Allen, 2006)"},"properties":{"noteIndex":0},"schema":"https://github.com/citation-style-language/schema/raw/master/csl-citation.json"}</w:instrText>
      </w:r>
      <w:r w:rsidR="00D84FD8" w:rsidRPr="00D84FD8">
        <w:rPr>
          <w:color w:val="000000" w:themeColor="text1"/>
        </w:rPr>
        <w:fldChar w:fldCharType="separate"/>
      </w:r>
      <w:r w:rsidR="00CE6085" w:rsidRPr="00CE6085">
        <w:rPr>
          <w:noProof/>
          <w:color w:val="000000" w:themeColor="text1"/>
        </w:rPr>
        <w:t>(Yao and Allen, 2006)</w:t>
      </w:r>
      <w:r w:rsidR="00D84FD8" w:rsidRPr="00D84FD8">
        <w:rPr>
          <w:color w:val="000000" w:themeColor="text1"/>
        </w:rPr>
        <w:fldChar w:fldCharType="end"/>
      </w:r>
      <w:r w:rsidR="00D84FD8" w:rsidRPr="00D84FD8">
        <w:rPr>
          <w:color w:val="000000" w:themeColor="text1"/>
        </w:rPr>
        <w:t xml:space="preserve">. However, there is a strong consensus that rhizosphere microbiomes are host filtered from bulk soil regional species pools </w:t>
      </w:r>
      <w:r w:rsidR="00D84FD8" w:rsidRPr="00D84FD8">
        <w:rPr>
          <w:color w:val="000000" w:themeColor="text1"/>
        </w:rPr>
        <w:fldChar w:fldCharType="begin" w:fldLock="1"/>
      </w:r>
      <w:r w:rsidR="006E1F09">
        <w:rPr>
          <w:color w:val="000000" w:themeColor="text1"/>
        </w:rPr>
        <w:instrText>ADDIN CSL_CITATION {"citationItems":[{"id":"ITEM-1","itemData":{"DOI":"10.1016/j.soilbio.2004.08.005","ISSN":"00380717","abstract":"The relative importance of specific plant properties versus soil characteristics in shaping the bacterial community structure of the rhizosphere is a topic of considerable debate. Here, we report the results of a study on the bacterial composition of the rhizosphere of the wild plant Carex arenaria (sand sedge) growing at 10 natural sites in The Netherlands. The soil properties of the sandy soils at these sites were highly disparate, most notably in pH, chloride and organic matter content. Rhizosphere and bulk soil bacterial communities were examined by culture-independent means, namely, 16S rDNA-directed PCR-DGGE profiling. Large differences were observed between the bacterial communities of the different sites for both bulk and rhizosphere soil. Cluster analysis of bacterial profiles revealed that the rhizosphere community of each site was generally more closely related to the bulk soil community of that site rather than to rhizosphere communities of other sites. Hence, bacterial community structure within the rhizosphere of C. arenaria appeared to be determined to a large extent by the bulk soil community composition. This conclusion was supported by a reciprocal planting experiment, where C. arenaria shoots of different sites yielded highly similar rhizosphere communities when planted in the same soil. © 2004 Elsevier Ltd. All rights reserved.","author":[{"dropping-particle":"","family":"Ridder-Duine","given":"Annelies S.","non-dropping-particle":"De","parse-names":false,"suffix":""},{"dropping-particle":"","family":"Kowalchuk","given":"George A.","non-dropping-particle":"","parse-names":false,"suffix":""},{"dropping-particle":"","family":"Klein Gunnewiek","given":"Paulien J.A.","non-dropping-particle":"","parse-names":false,"suffix":""},{"dropping-particle":"","family":"Smant","given":"Wiecher","non-dropping-particle":"","parse-names":false,"suffix":""},{"dropping-particle":"","family":"Veen","given":"Johannes A.","non-dropping-particle":"Van","parse-names":false,"suffix":""},{"dropping-particle":"","family":"Boer","given":"Wietse","non-dropping-particle":"De","parse-names":false,"suffix":""}],"container-title":"Soil Biology and Biochemistry","id":"ITEM-1","issue":"2","issued":{"date-parts":[["2005"]]},"page":"349-357","title":"Rhizosphere bacterial community composition in natural stands of Carex arenaria (sand sedge) is determined by bulk soil community composition","type":"article-journal","volume":"37"},"uris":["http://www.mendeley.com/documents/?uuid=d8bf1146-64a2-4e4a-900a-2a995d8fe12d"]}],"mendeley":{"formattedCitation":"(De Ridder-Duine et al., 2005)","plainTextFormattedCitation":"(De Ridder-Duine et al., 2005)","previouslyFormattedCitation":"(De Ridder-Duine et al., 2005)"},"properties":{"noteIndex":0},"schema":"https://github.com/citation-style-language/schema/raw/master/csl-citation.json"}</w:instrText>
      </w:r>
      <w:r w:rsidR="00D84FD8" w:rsidRPr="00D84FD8">
        <w:rPr>
          <w:color w:val="000000" w:themeColor="text1"/>
        </w:rPr>
        <w:fldChar w:fldCharType="separate"/>
      </w:r>
      <w:r w:rsidR="00CE6085" w:rsidRPr="00CE6085">
        <w:rPr>
          <w:noProof/>
          <w:color w:val="000000" w:themeColor="text1"/>
        </w:rPr>
        <w:t>(De Ridder-Duine et al., 2005)</w:t>
      </w:r>
      <w:r w:rsidR="00D84FD8" w:rsidRPr="00D84FD8">
        <w:rPr>
          <w:color w:val="000000" w:themeColor="text1"/>
        </w:rPr>
        <w:fldChar w:fldCharType="end"/>
      </w:r>
      <w:r w:rsidR="00D84FD8" w:rsidRPr="00D84FD8">
        <w:rPr>
          <w:color w:val="000000" w:themeColor="text1"/>
        </w:rPr>
        <w:t xml:space="preserve">. Thus, soil properties such as pH, organic C quality and quantity, and concentration of oxygen should also directly drive similar patterns in rhizosphere microbiomes </w:t>
      </w:r>
      <w:r w:rsidR="00D84FD8" w:rsidRPr="00D84FD8">
        <w:rPr>
          <w:color w:val="000000" w:themeColor="text1"/>
        </w:rPr>
        <w:fldChar w:fldCharType="begin" w:fldLock="1"/>
      </w:r>
      <w:r w:rsidR="006E1F09">
        <w:rPr>
          <w:color w:val="000000" w:themeColor="text1"/>
        </w:rPr>
        <w:instrText>ADDIN CSL_CITATION {"citationItems":[{"id":"ITEM-1","itemData":{"DOI":"10.1038/nrmicro.2017.87","ISSN":"17401534","abstract":"Soil contains a vast diversity of microorganisms that can directly or indirectly modulate soil processes and terrestrial ecosystems. In this Review, Fierer summarizes the challenges in characterizing the composition and functions of the soil microbiome, and discusses key future research directions.","author":[{"dropping-particle":"","family":"Fierer","given":"Noah","non-dropping-particle":"","parse-names":false,"suffix":""}],"container-title":"Nature Reviews Microbiology","id":"ITEM-1","issue":"10","issued":{"date-parts":[["2017"]]},"page":"579-590","publisher":"Nature Publishing Group","title":"Embracing the unknown: Disentangling the complexities of the soil microbiome","type":"article-journal","volume":"15"},"uris":["http://www.mendeley.com/documents/?uuid=ba6198e2-9d61-432c-8e8c-484ffdcb122d"]}],"mendeley":{"formattedCitation":"(Fierer, 2017)","plainTextFormattedCitation":"(Fierer, 2017)","previouslyFormattedCitation":"(Fierer, 2017)"},"properties":{"noteIndex":0},"schema":"https://github.com/citation-style-language/schema/raw/master/csl-citation.json"}</w:instrText>
      </w:r>
      <w:r w:rsidR="00D84FD8" w:rsidRPr="00D84FD8">
        <w:rPr>
          <w:color w:val="000000" w:themeColor="text1"/>
        </w:rPr>
        <w:fldChar w:fldCharType="separate"/>
      </w:r>
      <w:r w:rsidR="00CE6085" w:rsidRPr="00CE6085">
        <w:rPr>
          <w:noProof/>
          <w:color w:val="000000" w:themeColor="text1"/>
        </w:rPr>
        <w:t>(Fierer, 2017)</w:t>
      </w:r>
      <w:r w:rsidR="00D84FD8" w:rsidRPr="00D84FD8">
        <w:rPr>
          <w:color w:val="000000" w:themeColor="text1"/>
        </w:rPr>
        <w:fldChar w:fldCharType="end"/>
      </w:r>
      <w:r w:rsidR="00D84FD8" w:rsidRPr="00D84FD8">
        <w:rPr>
          <w:color w:val="000000" w:themeColor="text1"/>
        </w:rPr>
        <w:t>.</w:t>
      </w:r>
      <w:r w:rsidR="00D84FD8" w:rsidRPr="009843C2">
        <w:rPr>
          <w:color w:val="000000" w:themeColor="text1"/>
          <w:sz w:val="20"/>
        </w:rPr>
        <w:t xml:space="preserve"> </w:t>
      </w:r>
      <w:r w:rsidRPr="00B73E8F">
        <w:rPr>
          <w:color w:val="000000" w:themeColor="text1"/>
        </w:rPr>
        <w:t>While there is extensive knowledge on how abiotic</w:t>
      </w:r>
      <w:r w:rsidR="00EB660C">
        <w:rPr>
          <w:color w:val="000000" w:themeColor="text1"/>
        </w:rPr>
        <w:t xml:space="preserve"> and host</w:t>
      </w:r>
      <w:r w:rsidRPr="00B73E8F">
        <w:rPr>
          <w:color w:val="000000" w:themeColor="text1"/>
        </w:rPr>
        <w:t xml:space="preserve"> conditions alter rhizosphere mic</w:t>
      </w:r>
      <w:r w:rsidRPr="00920A60">
        <w:rPr>
          <w:color w:val="000000" w:themeColor="text1"/>
        </w:rPr>
        <w:t xml:space="preserve">robial richness, there is a large need to understand the temporal effects in this </w:t>
      </w:r>
      <w:r w:rsidR="00EB660C">
        <w:rPr>
          <w:color w:val="000000" w:themeColor="text1"/>
        </w:rPr>
        <w:t xml:space="preserve">host </w:t>
      </w:r>
      <w:r w:rsidRPr="00920A60">
        <w:rPr>
          <w:color w:val="000000" w:themeColor="text1"/>
        </w:rPr>
        <w:t xml:space="preserve">microhabitat as a </w:t>
      </w:r>
      <w:r w:rsidR="00EB660C">
        <w:rPr>
          <w:color w:val="000000" w:themeColor="text1"/>
        </w:rPr>
        <w:t>response</w:t>
      </w:r>
      <w:r w:rsidRPr="00920A60">
        <w:rPr>
          <w:color w:val="000000" w:themeColor="text1"/>
        </w:rPr>
        <w:t xml:space="preserve"> to seasonal disturbances. </w:t>
      </w:r>
      <w:r w:rsidR="00EB660C">
        <w:rPr>
          <w:color w:val="000000" w:themeColor="text1"/>
        </w:rPr>
        <w:t>With</w:t>
      </w:r>
      <w:r w:rsidRPr="00920A60">
        <w:rPr>
          <w:color w:val="000000" w:themeColor="text1"/>
        </w:rPr>
        <w:t xml:space="preserve"> increased climate variation potentially modifying both </w:t>
      </w:r>
      <w:r w:rsidR="00EB660C">
        <w:rPr>
          <w:color w:val="000000" w:themeColor="text1"/>
        </w:rPr>
        <w:t>abiotic</w:t>
      </w:r>
      <w:r w:rsidRPr="00920A60">
        <w:rPr>
          <w:color w:val="000000" w:themeColor="text1"/>
        </w:rPr>
        <w:t xml:space="preserve"> conditions in the rhizosphere and host population dynamics, it remains imperative to tease apart the direct and indirect effects of </w:t>
      </w:r>
      <w:r w:rsidR="00EB660C">
        <w:rPr>
          <w:color w:val="000000" w:themeColor="text1"/>
        </w:rPr>
        <w:t xml:space="preserve">abiotic conditions on </w:t>
      </w:r>
      <w:r w:rsidRPr="00920A60">
        <w:rPr>
          <w:color w:val="000000" w:themeColor="text1"/>
        </w:rPr>
        <w:t>alternative stable states of microbiomes.</w:t>
      </w:r>
    </w:p>
    <w:p w14:paraId="0F43AF8C" w14:textId="0FF22C3C" w:rsidR="00D71F59" w:rsidRPr="00B73E8F" w:rsidRDefault="00D71F59" w:rsidP="0094075F">
      <w:pPr>
        <w:pBdr>
          <w:top w:val="nil"/>
          <w:left w:val="nil"/>
          <w:bottom w:val="nil"/>
          <w:right w:val="nil"/>
          <w:between w:val="nil"/>
        </w:pBdr>
        <w:spacing w:line="360" w:lineRule="auto"/>
      </w:pPr>
      <w:r w:rsidRPr="001E4901">
        <w:rPr>
          <w:color w:val="000000" w:themeColor="text1"/>
        </w:rPr>
        <w:lastRenderedPageBreak/>
        <w:tab/>
        <w:t xml:space="preserve">Researchers apply long term climate projections to organism’s occurrence records </w:t>
      </w:r>
      <w:r w:rsidR="00CD0545" w:rsidRPr="001E4901">
        <w:rPr>
          <w:color w:val="000000" w:themeColor="text1"/>
        </w:rPr>
        <w:t>to</w:t>
      </w:r>
      <w:r w:rsidRPr="001E4901">
        <w:rPr>
          <w:color w:val="000000" w:themeColor="text1"/>
        </w:rPr>
        <w:t xml:space="preserve"> understand how population distributions and niche utilization respond to varying climate scenarios on large biogeographic or regional scales. Ecological niche modeling has been applied to a variety of </w:t>
      </w:r>
      <w:r w:rsidR="00CD0545" w:rsidRPr="001E4901">
        <w:rPr>
          <w:color w:val="000000" w:themeColor="text1"/>
        </w:rPr>
        <w:t>macroorganisms and are used to</w:t>
      </w:r>
      <w:r w:rsidRPr="001E4901">
        <w:rPr>
          <w:color w:val="000000" w:themeColor="text1"/>
        </w:rPr>
        <w:t xml:space="preserve"> </w:t>
      </w:r>
      <w:r w:rsidR="00CD0545" w:rsidRPr="001E4901">
        <w:rPr>
          <w:rFonts w:eastAsia="Arial"/>
          <w:color w:val="000000" w:themeColor="text1"/>
        </w:rPr>
        <w:t xml:space="preserve">predicting </w:t>
      </w:r>
      <w:r w:rsidRPr="001E4901">
        <w:rPr>
          <w:rFonts w:eastAsia="Arial"/>
          <w:color w:val="000000" w:themeColor="text1"/>
        </w:rPr>
        <w:t xml:space="preserve">species distributions, </w:t>
      </w:r>
      <w:r w:rsidR="00CD0545" w:rsidRPr="001E4901">
        <w:rPr>
          <w:rFonts w:eastAsia="Arial"/>
          <w:color w:val="000000" w:themeColor="text1"/>
        </w:rPr>
        <w:t xml:space="preserve">with studies often converging towards mean annual temperature and precipitation as strong indicators for niche breadth </w:t>
      </w:r>
      <w:r w:rsidRPr="00B73E8F">
        <w:rPr>
          <w:rFonts w:eastAsia="Arial"/>
          <w:color w:val="000000" w:themeColor="text1"/>
        </w:rPr>
        <w:fldChar w:fldCharType="begin" w:fldLock="1"/>
      </w:r>
      <w:r w:rsidR="006E1F09">
        <w:rPr>
          <w:rFonts w:eastAsia="Arial"/>
          <w:color w:val="000000" w:themeColor="text1"/>
        </w:rPr>
        <w:instrText>ADDIN CSL_CITATION {"citationItems":[{"id":"ITEM-1","itemData":{"DOI":"10.1111/jbi.12894","ISSN":"13652699","abstract":"Aim: To synthesize the species distribution modelling (SDM) literature to inform which variables have been used in MaxEnt models for different taxa and to quantify how frequently they have been important for species’ distributions. Location: Global. Methods: We conducted a quantitative synthesis analysing the contribution of over 400 distinct environmental variables to 2040 MaxEnt SDMs for nearly 1900 species representing over 300 families. Environmental variables were grouped into 24 related factors and results were analysed by examining the frequency with which variables were found to be most important, the mean contribution of each variable (at various taxonomic levels), and using TrueSkill™, a Bayesian skill rating system. Results: Precipitation, temperature, bathymetry, distance to water and habitat patch characteristics were the most important variables overall. Precipitation and temperature were analysed most frequently and one of these variables was often the most important predictor in the model (nearly 80% of models, when tested). Notably, distance to water was the most important variable in the highest proportion of models in which it was tested (42% of 225 models). For terrestrial species, precipitation, temperature and distance to water had the highest overall contributions, whereas for aquatic species, bathymetry, precipitation and temperature were most important. Main conclusions: Over all MaxEnt models published, the ability to discriminate occurrence from reference sites was high (average AUC = 0.92). Much of this discriminatory ability was due to temperature and precipitation variables. Further, variability (temperature) and extremes (minimum precipitation) were the most predictive. More generally, the most commonly tested variables were not always the most predictive, with, for instance, ‘distance to water’ infrequently tested, but found to be very important when it was. Thus, the results from this study summarize the MaxEnt SDM literature, and can aid in variable selection by identifying underutilized, but potentially important variables, which could be incorporated in future modelling efforts.","author":[{"dropping-particle":"","family":"Bradie","given":"Johanna","non-dropping-particle":"","parse-names":false,"suffix":""},{"dropping-particle":"","family":"Leung","given":"Brian","non-dropping-particle":"","parse-names":false,"suffix":""}],"container-title":"Journal of Biogeography","id":"ITEM-1","issue":"6","issued":{"date-parts":[["2017"]]},"page":"1344-1361","title":"A quantitative synthesis of the importance of variables used in MaxEnt species distribution models","type":"article-journal","volume":"44"},"uris":["http://www.mendeley.com/documents/?uuid=dc7b9b05-77b9-409a-adeb-dfc1062c8e57"]}],"mendeley":{"formattedCitation":"(Bradie and Leung, 2017)","plainTextFormattedCitation":"(Bradie and Leung, 2017)","previouslyFormattedCitation":"(Bradie and Leung, 2017)"},"properties":{"noteIndex":0},"schema":"https://github.com/citation-style-language/schema/raw/master/csl-citation.json"}</w:instrText>
      </w:r>
      <w:r w:rsidRPr="00B73E8F">
        <w:rPr>
          <w:rFonts w:eastAsia="Arial"/>
          <w:color w:val="000000" w:themeColor="text1"/>
        </w:rPr>
        <w:fldChar w:fldCharType="separate"/>
      </w:r>
      <w:r w:rsidR="00CE6085" w:rsidRPr="00CE6085">
        <w:rPr>
          <w:rFonts w:eastAsia="Arial"/>
          <w:noProof/>
          <w:color w:val="000000" w:themeColor="text1"/>
        </w:rPr>
        <w:t>(Bradie and Leung, 2017)</w:t>
      </w:r>
      <w:r w:rsidRPr="00B73E8F">
        <w:rPr>
          <w:rFonts w:eastAsia="Arial"/>
          <w:color w:val="000000" w:themeColor="text1"/>
        </w:rPr>
        <w:fldChar w:fldCharType="end"/>
      </w:r>
      <w:r w:rsidRPr="00B73E8F">
        <w:rPr>
          <w:rFonts w:eastAsia="Arial"/>
          <w:color w:val="000000" w:themeColor="text1"/>
        </w:rPr>
        <w:t>.</w:t>
      </w:r>
      <w:r w:rsidRPr="00B73E8F">
        <w:rPr>
          <w:color w:val="000000" w:themeColor="text1"/>
        </w:rPr>
        <w:t xml:space="preserve"> </w:t>
      </w:r>
      <w:r w:rsidRPr="00B73E8F">
        <w:rPr>
          <w:rFonts w:eastAsia="Arial"/>
          <w:color w:val="000000"/>
        </w:rPr>
        <w:t>In general</w:t>
      </w:r>
      <w:r w:rsidRPr="00B73E8F">
        <w:t>,</w:t>
      </w:r>
      <w:r w:rsidRPr="00B73E8F">
        <w:rPr>
          <w:rFonts w:eastAsia="Arial"/>
          <w:color w:val="000000"/>
        </w:rPr>
        <w:t xml:space="preserve"> there is a loose consensus on which climate variables best predict microbial distributions, particularly for those species that form ti</w:t>
      </w:r>
      <w:r w:rsidRPr="00920A60">
        <w:rPr>
          <w:rFonts w:eastAsia="Arial"/>
          <w:color w:val="000000"/>
        </w:rPr>
        <w:t xml:space="preserve">ght mutualisms with plant hosts, such as ectomycorrhizal fungi. </w:t>
      </w:r>
      <w:r w:rsidRPr="00920A60">
        <w:rPr>
          <w:rFonts w:eastAsia="Arial"/>
          <w:color w:val="000000" w:themeColor="text1"/>
        </w:rPr>
        <w:t xml:space="preserve">Given that most fungal occurrences </w:t>
      </w:r>
      <w:r w:rsidR="00CD0545" w:rsidRPr="00920A60">
        <w:rPr>
          <w:rFonts w:eastAsia="Arial"/>
          <w:color w:val="000000" w:themeColor="text1"/>
        </w:rPr>
        <w:t xml:space="preserve">are </w:t>
      </w:r>
      <w:r w:rsidRPr="001E4901">
        <w:rPr>
          <w:rFonts w:eastAsia="Arial"/>
          <w:color w:val="000000" w:themeColor="text1"/>
        </w:rPr>
        <w:t>recorded as presence-only data, Maximum Entropy (</w:t>
      </w:r>
      <w:proofErr w:type="spellStart"/>
      <w:r w:rsidRPr="001E4901">
        <w:rPr>
          <w:rFonts w:eastAsia="Arial"/>
          <w:color w:val="000000" w:themeColor="text1"/>
        </w:rPr>
        <w:t>MaxEnt</w:t>
      </w:r>
      <w:proofErr w:type="spellEnd"/>
      <w:r w:rsidRPr="001E4901">
        <w:rPr>
          <w:rFonts w:eastAsia="Arial"/>
          <w:color w:val="000000" w:themeColor="text1"/>
        </w:rPr>
        <w:t xml:space="preserve">) </w:t>
      </w:r>
      <w:r w:rsidR="00CD0545" w:rsidRPr="001E4901">
        <w:rPr>
          <w:rFonts w:eastAsia="Arial"/>
          <w:color w:val="000000" w:themeColor="text1"/>
        </w:rPr>
        <w:t>serves</w:t>
      </w:r>
      <w:r w:rsidRPr="001E4901">
        <w:rPr>
          <w:rFonts w:eastAsia="Arial"/>
          <w:color w:val="000000" w:themeColor="text1"/>
        </w:rPr>
        <w:t xml:space="preserve"> as the best predictive tool for f</w:t>
      </w:r>
      <w:r w:rsidR="00CD0545" w:rsidRPr="001E4901">
        <w:rPr>
          <w:rFonts w:eastAsia="Arial"/>
          <w:color w:val="000000" w:themeColor="text1"/>
        </w:rPr>
        <w:t>uture studies investigating the distribution of fungi</w:t>
      </w:r>
      <w:r w:rsidRPr="001E4901">
        <w:rPr>
          <w:rFonts w:eastAsia="Arial"/>
          <w:color w:val="000000" w:themeColor="text1"/>
        </w:rPr>
        <w:t xml:space="preserve">. </w:t>
      </w:r>
      <w:r w:rsidR="00CD0545" w:rsidRPr="001E4901">
        <w:rPr>
          <w:rFonts w:eastAsia="Arial"/>
          <w:color w:val="000000" w:themeColor="text1"/>
        </w:rPr>
        <w:t xml:space="preserve">So far, the </w:t>
      </w:r>
      <w:proofErr w:type="spellStart"/>
      <w:r w:rsidRPr="001E4901">
        <w:rPr>
          <w:rFonts w:eastAsia="Arial"/>
          <w:color w:val="000000" w:themeColor="text1"/>
        </w:rPr>
        <w:t>MaxEnt</w:t>
      </w:r>
      <w:proofErr w:type="spellEnd"/>
      <w:r w:rsidRPr="001E4901">
        <w:rPr>
          <w:rFonts w:eastAsia="Arial"/>
          <w:color w:val="000000" w:themeColor="text1"/>
        </w:rPr>
        <w:t xml:space="preserve"> algorithm has been </w:t>
      </w:r>
      <w:r w:rsidR="00CD0545" w:rsidRPr="001E4901">
        <w:rPr>
          <w:rFonts w:eastAsia="Arial"/>
          <w:color w:val="000000" w:themeColor="text1"/>
        </w:rPr>
        <w:t>on</w:t>
      </w:r>
      <w:r w:rsidRPr="001E4901">
        <w:rPr>
          <w:rFonts w:eastAsia="Arial"/>
          <w:color w:val="000000" w:themeColor="text1"/>
        </w:rPr>
        <w:t xml:space="preserve"> parasitic fungi </w:t>
      </w:r>
      <w:r w:rsidRPr="00B73E8F">
        <w:rPr>
          <w:rFonts w:eastAsia="Arial"/>
          <w:color w:val="000000" w:themeColor="text1"/>
        </w:rPr>
        <w:fldChar w:fldCharType="begin" w:fldLock="1"/>
      </w:r>
      <w:r w:rsidR="006E1F09">
        <w:rPr>
          <w:rFonts w:eastAsia="Arial"/>
          <w:color w:val="000000" w:themeColor="text1"/>
        </w:rPr>
        <w:instrText>ADDIN CSL_CITATION {"citationItems":[{"id":"ITEM-1","itemData":{"DOI":"10.1371/journal.pone.0064479","ISSN":"19326203","abstract":"Puccinia psidii sensu lato (s.l.) is an invasive rust fungus threatening a wide range of plant species in the family Myrtaceae. Originating from Central and South America, it has invaded mainland USA and Hawai'i, parts of Asia and Australia. We used CLIMEX to develop a semi-mechanistic global climatic niche model based on new data on the distribution and biology of P. psidii s.l. The model was validated using independent distribution data from recently invaded areas in Australia, China and Japan. We combined this model with distribution data of its potential Myrtaceae host plant species present in Australia to identify areas and ecosystems most at risk. Myrtaceaeous species richness, threatened Myrtaceae and eucalypt plantations within the climatically suitable envelope for P. psidii s.l in Australia were mapped. Globally the model identifies climatically suitable areas for P. psidii s.l. throughout the wet tropics and sub-tropics where moist conditions with moderate temperatures prevail, and also into some cool regions with a mild Mediterranean climate. In Australia, the map of species richness of Myrtaceae within the P. psidii s.l. climatic envelope shows areas where epidemics are hypothetically more likely to be frequent and severe. These hotspots for epidemics are along the eastern coast of New South Wales, including the Sydney Basin, in the Brisbane and Cairns areas in Queensland, and in the coastal region from the south of Bunbury to Esperance in Western Australia. This new climatic niche model for P. psidii s.l. indicates a higher degree of cold tolerance; and hence a potential range that extends into higher altitudes and latitudes than has been indicated previously. The methods demonstrated here provide some insight into the impacts an invasive species might have within its climatically suited range, and can help inform biosecurity policies regarding the management of its spread and protection of valued threatened assets. © 2013 Kriticos et al.","author":[{"dropping-particle":"","family":"Kriticos","given":"Darren J.","non-dropping-particle":"","parse-names":false,"suffix":""},{"dropping-particle":"","family":"Morin","given":"Louise","non-dropping-particle":"","parse-names":false,"suffix":""},{"dropping-particle":"","family":"Leriche","given":"Agathe","non-dropping-particle":"","parse-names":false,"suffix":""},{"dropping-particle":"","family":"Anderson","given":"Robert C.","non-dropping-particle":"","parse-names":false,"suffix":""},{"dropping-particle":"","family":"Caley","given":"Peter","non-dropping-particle":"","parse-names":false,"suffix":""}],"container-title":"PLoS ONE","id":"ITEM-1","issue":"5","issued":{"date-parts":[["2013"]]},"title":"Combining a Climatic Niche Model of an Invasive Fungus with Its Host Species Distributions to Identify Risks to Natural Assets: Puccinia psidii Sensu Lato in Australia","type":"article-journal","volume":"8"},"uris":["http://www.mendeley.com/documents/?uuid=d04631cc-fb1e-4f27-b15e-dfe35782b1fb"]}],"mendeley":{"formattedCitation":"(Kriticos et al., 2013)","plainTextFormattedCitation":"(Kriticos et al., 2013)","previouslyFormattedCitation":"(Kriticos et al., 2013)"},"properties":{"noteIndex":0},"schema":"https://github.com/citation-style-language/schema/raw/master/csl-citation.json"}</w:instrText>
      </w:r>
      <w:r w:rsidRPr="00B73E8F">
        <w:rPr>
          <w:rFonts w:eastAsia="Arial"/>
          <w:color w:val="000000" w:themeColor="text1"/>
        </w:rPr>
        <w:fldChar w:fldCharType="separate"/>
      </w:r>
      <w:r w:rsidR="00CE6085" w:rsidRPr="00CE6085">
        <w:rPr>
          <w:rFonts w:eastAsia="Arial"/>
          <w:noProof/>
          <w:color w:val="000000" w:themeColor="text1"/>
        </w:rPr>
        <w:t>(Kriticos et al., 2013)</w:t>
      </w:r>
      <w:r w:rsidRPr="00B73E8F">
        <w:rPr>
          <w:rFonts w:eastAsia="Arial"/>
          <w:color w:val="000000" w:themeColor="text1"/>
        </w:rPr>
        <w:fldChar w:fldCharType="end"/>
      </w:r>
      <w:r w:rsidRPr="00B73E8F">
        <w:rPr>
          <w:rFonts w:eastAsia="Arial"/>
          <w:color w:val="000000" w:themeColor="text1"/>
        </w:rPr>
        <w:t xml:space="preserve"> and </w:t>
      </w:r>
      <w:r w:rsidR="00CD0545" w:rsidRPr="00B73E8F">
        <w:rPr>
          <w:rFonts w:eastAsia="Arial"/>
          <w:color w:val="000000" w:themeColor="text1"/>
        </w:rPr>
        <w:t xml:space="preserve">economically-valuable </w:t>
      </w:r>
      <w:r w:rsidRPr="00B73E8F">
        <w:rPr>
          <w:rFonts w:eastAsia="Arial"/>
          <w:color w:val="000000" w:themeColor="text1"/>
        </w:rPr>
        <w:t xml:space="preserve">fungi </w:t>
      </w:r>
      <w:r w:rsidRPr="00B73E8F">
        <w:rPr>
          <w:rFonts w:eastAsia="Arial"/>
          <w:color w:val="000000" w:themeColor="text1"/>
        </w:rPr>
        <w:fldChar w:fldCharType="begin" w:fldLock="1"/>
      </w:r>
      <w:r w:rsidR="006E1F09">
        <w:rPr>
          <w:rFonts w:eastAsia="Arial"/>
          <w:color w:val="000000" w:themeColor="text1"/>
        </w:rPr>
        <w:instrText>ADDIN CSL_CITATION {"citationItems":[{"id":"ITEM-1","itemData":{"DOI":"10.1016/j.funeco.2015.06.001","ISSN":"17545048","abstract":"The ability to identify the spatial distribution of economically important fungal species is crucial for understanding the environmental factors that affect them and for conservation management. A potentially valuable approach for this is maximum entropy (Maxent) spatial distribution modeling, which was applied here to map the potential distribution of three \"Sanghuang\" mushrooms in China, which include Phellinus baumii, Phellinus igniarius and Phellinus vaninii. Nineteen WorldClim bioclimatic variables, with corresponding altitude data, and 89 spatially well-dispersed species occurrence records were used in the modeling. The relative importance of the environmental variables was evaluated by Jackknife tests in the modeling analysis. The maximum entropy models obtained have high Area Under Receiver Operating Characteristic Curve (AUC) values: 0.956, 0.967 and 0.960, for P. baumii, P. igniarius and P. vaninii, respectively. The bioclimatic variable that most strongly affected distributions of P. baumii and P. vaninii was precipitation in the warmest quarter, while the mean temperature in the warmest quarter affected the distribution of P. igniarius most strongly. Overall, these models could provide valuable help in searching for the target species in areas where it is hitherto unknown, and be the reference of conservation measures for these medicinal fungal species.","author":[{"dropping-particle":"","family":"Yuan","given":"Hai Sheng","non-dropping-particle":"","parse-names":false,"suffix":""},{"dropping-particle":"","family":"Wei","given":"Yu Lian","non-dropping-particle":"","parse-names":false,"suffix":""},{"dropping-particle":"","family":"Wang","given":"Xu Gao","non-dropping-particle":"","parse-names":false,"suffix":""}],"container-title":"Fungal Ecology","id":"ITEM-1","issued":{"date-parts":[["2015"]]},"page":"140-145","publisher":"Elsevier Ltd","title":"Maxent modeling for predicting the potential distribution of Sanghuang, an important group of medicinal fungi in China","type":"article-journal","volume":"17"},"uris":["http://www.mendeley.com/documents/?uuid=c1112a47-36c7-453b-8892-255c21d0ee09"]}],"mendeley":{"formattedCitation":"(Yuan et al., 2015)","plainTextFormattedCitation":"(Yuan et al., 2015)","previouslyFormattedCitation":"(Yuan et al., 2015)"},"properties":{"noteIndex":0},"schema":"https://github.com/citation-style-language/schema/raw/master/csl-citation.json"}</w:instrText>
      </w:r>
      <w:r w:rsidRPr="00B73E8F">
        <w:rPr>
          <w:rFonts w:eastAsia="Arial"/>
          <w:color w:val="000000" w:themeColor="text1"/>
        </w:rPr>
        <w:fldChar w:fldCharType="separate"/>
      </w:r>
      <w:r w:rsidR="00CE6085" w:rsidRPr="00CE6085">
        <w:rPr>
          <w:rFonts w:eastAsia="Arial"/>
          <w:noProof/>
          <w:color w:val="000000" w:themeColor="text1"/>
        </w:rPr>
        <w:t>(Yuan et al., 2015)</w:t>
      </w:r>
      <w:r w:rsidRPr="00B73E8F">
        <w:rPr>
          <w:rFonts w:eastAsia="Arial"/>
          <w:color w:val="000000" w:themeColor="text1"/>
        </w:rPr>
        <w:fldChar w:fldCharType="end"/>
      </w:r>
      <w:r w:rsidRPr="00B73E8F">
        <w:rPr>
          <w:rFonts w:eastAsia="Arial"/>
          <w:color w:val="000000" w:themeColor="text1"/>
        </w:rPr>
        <w:t xml:space="preserve">. Additionally, </w:t>
      </w:r>
      <w:proofErr w:type="spellStart"/>
      <w:r w:rsidRPr="00B73E8F">
        <w:rPr>
          <w:rFonts w:eastAsia="Arial"/>
          <w:color w:val="000000" w:themeColor="text1"/>
        </w:rPr>
        <w:t>MaxEnt</w:t>
      </w:r>
      <w:proofErr w:type="spellEnd"/>
      <w:r w:rsidRPr="00B73E8F">
        <w:rPr>
          <w:rFonts w:eastAsia="Arial"/>
          <w:color w:val="000000" w:themeColor="text1"/>
        </w:rPr>
        <w:t xml:space="preserve"> modeling has </w:t>
      </w:r>
      <w:r w:rsidR="00CD0545" w:rsidRPr="00B73E8F">
        <w:rPr>
          <w:rFonts w:eastAsia="Arial"/>
          <w:color w:val="000000" w:themeColor="text1"/>
        </w:rPr>
        <w:t>b</w:t>
      </w:r>
      <w:r w:rsidRPr="00B73E8F">
        <w:rPr>
          <w:rFonts w:eastAsia="Arial"/>
          <w:color w:val="000000" w:themeColor="text1"/>
        </w:rPr>
        <w:t xml:space="preserve">een used to </w:t>
      </w:r>
      <w:r w:rsidR="00CD0545" w:rsidRPr="00B73E8F">
        <w:rPr>
          <w:rFonts w:eastAsia="Arial"/>
          <w:color w:val="000000" w:themeColor="text1"/>
        </w:rPr>
        <w:t>estimate important climate variables</w:t>
      </w:r>
      <w:r w:rsidR="00CD0545" w:rsidRPr="00920A60">
        <w:rPr>
          <w:rFonts w:eastAsia="Arial"/>
          <w:color w:val="000000" w:themeColor="text1"/>
        </w:rPr>
        <w:t xml:space="preserve"> in circumscribing</w:t>
      </w:r>
      <w:r w:rsidRPr="00920A60">
        <w:rPr>
          <w:rFonts w:eastAsia="Arial"/>
          <w:color w:val="000000" w:themeColor="text1"/>
        </w:rPr>
        <w:t xml:space="preserve"> </w:t>
      </w:r>
      <w:r w:rsidR="00CD0545" w:rsidRPr="00920A60">
        <w:rPr>
          <w:rFonts w:eastAsia="Arial"/>
          <w:color w:val="000000" w:themeColor="text1"/>
        </w:rPr>
        <w:t>the subp</w:t>
      </w:r>
      <w:r w:rsidR="00CD0545" w:rsidRPr="001E4901">
        <w:rPr>
          <w:rFonts w:eastAsia="Arial"/>
          <w:color w:val="000000" w:themeColor="text1"/>
        </w:rPr>
        <w:t xml:space="preserve">hylum </w:t>
      </w:r>
      <w:proofErr w:type="spellStart"/>
      <w:r w:rsidR="00CD0545" w:rsidRPr="001E4901">
        <w:rPr>
          <w:rFonts w:eastAsia="Arial"/>
          <w:i/>
          <w:iCs/>
          <w:color w:val="000000" w:themeColor="text1"/>
        </w:rPr>
        <w:t>Glomeromycotina</w:t>
      </w:r>
      <w:proofErr w:type="spellEnd"/>
      <w:r w:rsidR="00CD0545" w:rsidRPr="001E4901">
        <w:rPr>
          <w:rFonts w:eastAsia="Arial"/>
          <w:color w:val="000000" w:themeColor="text1"/>
        </w:rPr>
        <w:t xml:space="preserve"> (</w:t>
      </w:r>
      <w:r w:rsidRPr="001E4901">
        <w:rPr>
          <w:rFonts w:eastAsia="Arial"/>
          <w:color w:val="000000" w:themeColor="text1"/>
        </w:rPr>
        <w:t xml:space="preserve">arbuscular mycorrhizal </w:t>
      </w:r>
      <w:r w:rsidR="00CD0545" w:rsidRPr="001E4901">
        <w:rPr>
          <w:rFonts w:eastAsia="Arial"/>
          <w:color w:val="000000" w:themeColor="text1"/>
        </w:rPr>
        <w:t>fungi;</w:t>
      </w:r>
      <w:r w:rsidRPr="001E4901">
        <w:rPr>
          <w:rFonts w:eastAsia="Arial"/>
          <w:color w:val="000000" w:themeColor="text1"/>
        </w:rPr>
        <w:t xml:space="preserve"> </w:t>
      </w:r>
      <w:r w:rsidRPr="00B73E8F">
        <w:rPr>
          <w:rFonts w:eastAsia="Arial"/>
          <w:color w:val="000000" w:themeColor="text1"/>
        </w:rPr>
        <w:fldChar w:fldCharType="begin" w:fldLock="1"/>
      </w:r>
      <w:r w:rsidR="006E1F09">
        <w:rPr>
          <w:rFonts w:eastAsia="Arial"/>
          <w:color w:val="000000" w:themeColor="text1"/>
        </w:rPr>
        <w:instrText>ADDIN CSL_CITATION {"citationItems":[{"id":"ITEM-1","itemData":{"DOI":"10.1007/978-3-319-56363-3","ISBN":"9783319563633","author":[{"dropping-particle":"","family":"Kivlin","given":"Stephanie N.","non-dropping-particle":"","parse-names":false,"suffix":""},{"dropping-particle":"","family":"Muscarella","given":"Robert","non-dropping-particle":"","parse-names":false,"suffix":""},{"dropping-particle":"V.","family":"Hawkes","given":"Christine","non-dropping-particle":"","parse-names":false,"suffix":""},{"dropping-particle":"","family":"Treseder","given":"Kathleen K.","non-dropping-particle":"","parse-names":false,"suffix":""}],"container-title":"Ecological Studies","id":"ITEM-1","issued":{"date-parts":[["2017"]]},"page":"143-158","title":"The Predictive Power of Ecological Niche Modeling for Global Arbuscular Mycorrhizal Fungal Biogeography","type":"article-journal","volume":"230"},"uris":["http://www.mendeley.com/documents/?uuid=05aa6756-a3c1-481a-96a8-e696e71ad532"]}],"mendeley":{"formattedCitation":"(Kivlin et al., 2017)","manualFormatting":"Kivlin, Muscarella, Hawkes, &amp; Treseder, 2017)","plainTextFormattedCitation":"(Kivlin et al., 2017)","previouslyFormattedCitation":"(Kivlin et al., 2017)"},"properties":{"noteIndex":0},"schema":"https://github.com/citation-style-language/schema/raw/master/csl-citation.json"}</w:instrText>
      </w:r>
      <w:r w:rsidRPr="00B73E8F">
        <w:rPr>
          <w:rFonts w:eastAsia="Arial"/>
          <w:color w:val="000000" w:themeColor="text1"/>
        </w:rPr>
        <w:fldChar w:fldCharType="separate"/>
      </w:r>
      <w:r w:rsidR="009C7019" w:rsidRPr="00B73E8F">
        <w:rPr>
          <w:rFonts w:eastAsia="Arial"/>
          <w:noProof/>
          <w:color w:val="000000" w:themeColor="text1"/>
        </w:rPr>
        <w:t>Kivlin, Muscarella, Hawkes, &amp; Treseder, 2017)</w:t>
      </w:r>
      <w:r w:rsidRPr="00B73E8F">
        <w:rPr>
          <w:rFonts w:eastAsia="Arial"/>
          <w:color w:val="000000" w:themeColor="text1"/>
        </w:rPr>
        <w:fldChar w:fldCharType="end"/>
      </w:r>
      <w:r w:rsidRPr="00B73E8F">
        <w:rPr>
          <w:rFonts w:eastAsia="Arial"/>
          <w:color w:val="000000" w:themeColor="text1"/>
        </w:rPr>
        <w:t xml:space="preserve">. </w:t>
      </w:r>
      <w:r w:rsidRPr="00B73E8F">
        <w:rPr>
          <w:rFonts w:eastAsia="Arial"/>
          <w:color w:val="000000"/>
        </w:rPr>
        <w:t xml:space="preserve">Despite </w:t>
      </w:r>
      <w:r w:rsidR="00CD0545" w:rsidRPr="00B73E8F">
        <w:rPr>
          <w:rFonts w:eastAsia="Arial"/>
          <w:color w:val="000000"/>
        </w:rPr>
        <w:t>fungi as key players in decomposition and nutrient recycling</w:t>
      </w:r>
      <w:r w:rsidRPr="00B73E8F">
        <w:rPr>
          <w:rFonts w:eastAsia="Arial"/>
          <w:color w:val="000000"/>
        </w:rPr>
        <w:t xml:space="preserve">, it remains unclear how fungal distributions are forecast under future climate scenarios, especially in comparison to how plant hosts respond to climate change </w:t>
      </w:r>
      <w:r w:rsidRPr="00B73E8F">
        <w:rPr>
          <w:rFonts w:eastAsia="Arial"/>
          <w:color w:val="000000"/>
        </w:rPr>
        <w:fldChar w:fldCharType="begin" w:fldLock="1"/>
      </w:r>
      <w:r w:rsidR="006E1F09">
        <w:rPr>
          <w:rFonts w:eastAsia="Arial"/>
          <w:color w:val="000000"/>
        </w:rPr>
        <w:instrText>ADDIN CSL_CITATION {"citationItems":[{"id":"ITEM-1","itemData":{"DOI":"10.1023/B:MITI.0000029922.31110.97","ISSN":"13812386","abstract":"All plants studied in natural ecosystems are symbiotic with fungi that either reside entirely (endophytes) or partially (mycorrhizae) within plants. These symbioses appear to adapt to biotic and abiotic stresses and may be responsible for the survival of both plant hosts and fungal symbionts in high stress habitats. Here we describe the role of symbiotic fungi in plant stress tolerance and present a strategy based on adaptive symbiosis to potentially mitigate the impacts of global change on plant communities.","author":[{"dropping-particle":"","family":"Rodriguez","given":"Russell J.","non-dropping-particle":"","parse-names":false,"suffix":""},{"dropping-particle":"","family":"Redman","given":"Regina S.","non-dropping-particle":"","parse-names":false,"suffix":""},{"dropping-particle":"","family":"Henson","given":"Joan M.","non-dropping-particle":"","parse-names":false,"suffix":""}],"container-title":"Mitigation and Adaptation Strategies for Global Change","id":"ITEM-1","issue":"3","issued":{"date-parts":[["2004"]]},"page":"261-272","title":"The role of fungal symbioses in the adaptation of plants to high stress environments","type":"article-journal","volume":"9"},"uris":["http://www.mendeley.com/documents/?uuid=7deae51b-be18-4f1c-b1b2-a186d4335906"]},{"id":"ITEM-2","itemData":{"DOI":"10.4161/psb.6.2.14146","ISSN":"15592316","abstract":"Fungal symbionts have been found associated with every plant studied in natural ecosystem, where they colonize and reside entirely in the internal tissues of their host plant or partially. Fungal endophytes can express/form a range of different lifestyle/relationships with different host including symbiotic, mutualistic, commensalistic and parasitic in response to host genotype and environmental factors. in mutualistic association fungal endophyte can enhance growth, increase reproductive success and confer biotic and abiotic stress tolerance to its host plant. Since abiotic stress such as, drought, high soil salinity, heat, cold, oxidative stress, heavy metal toxicity is the common adverse environmental conditions that affect and limit crop productivity worldwide. it may be a promising alternative strategy to exploit fungal endophytes to overcome the limitations to crop production brought by abiotic stress. There is increasing interest in developing the potential biotechnological applications of fungal endophytes for improving plant stress tolerance and sustainable production of food crops. Here we have described the fungal symbioses, fungal symbionts and their role in abiotic stress tolerance. A putative mechanism of stress tolerance by symbionts has also been covered. © 2011 Landes Bioscience.","author":[{"dropping-particle":"","family":"Singh","given":"Lamabam Peter","non-dropping-particle":"","parse-names":false,"suffix":""},{"dropping-particle":"","family":"Gill","given":"Sarvajeet Singh","non-dropping-particle":"","parse-names":false,"suffix":""},{"dropping-particle":"","family":"Tuteja","given":"Narendra","non-dropping-particle":"","parse-names":false,"suffix":""}],"container-title":"Plant Signaling and Behavior","id":"ITEM-2","issue":"2","issued":{"date-parts":[["2011"]]},"page":"175-191","title":"Unraveling the role of fungal symbionts in plant abiotic stress tolerance","type":"article-journal","volume":"6"},"uris":["http://www.mendeley.com/documents/?uuid=5c76182b-63cd-41df-90d9-cdb5e63fcbb6"]},{"id":"ITEM-3","itemData":{"DOI":"10.1038/srep46221","ISSN":"20452322","abstract":"Effective conservation and utilization strategies for natural biological resources require a clear understanding of the geographic distribution of the target species. Tricholoma matsutake is an ectomycorrhizal (ECM) mushroom with high ecological and economic value. In this study, the potential geographic distribution of T. matsutake under current conditions in China was simulated using MaxEnt software based on species presence data and 24 environmental variables. The future distributions of T. matsutake in the 2050s and 2070s were also projected under the RCP 8.5, RCP 6, RCP 4.5 and RCP 2.6 climate change emission scenarios described in the Special Report on Emissions Scenarios (SRES) by the Intergovernmental Panel on Climate Change (IPCC). The areas of marginally suitable, suitable and highly suitable habitats for T. matsutake in China were approximately 0.22 × 106 km2, 0.14 × 106 km2, and 0.11 × 106 km2, respectively. The model simulations indicated that the area of marginally suitable habitats would undergo a relatively small change under all four climate change scenarios; however, suitable habitats would significantly decrease, and highly suitable habitat would nearly disappear. Our results will be influential in the future ecological conservation and management of T. matsutake and can be used as a reference for studies on other ectomycorrhizal mushroom species.","author":[{"dropping-particle":"","family":"Guo","given":"Yanlong","non-dropping-particle":"","parse-names":false,"suffix":""},{"dropping-particle":"","family":"Li","given":"Xin","non-dropping-particle":"","parse-names":false,"suffix":""},{"dropping-particle":"","family":"Zhao","given":"Zefang","non-dropping-particle":"","parse-names":false,"suffix":""},{"dropping-particle":"","family":"Wei","given":"Haiyan","non-dropping-particle":"","parse-names":false,"suffix":""},{"dropping-particle":"","family":"Gao","given":"Bei","non-dropping-particle":"","parse-names":false,"suffix":""},{"dropping-particle":"","family":"Gu","given":"Wei","non-dropping-particle":"","parse-names":false,"suffix":""}],"container-title":"Scientific Reports","id":"ITEM-3","issue":"April","issued":{"date-parts":[["2017"]]},"page":"1-11","publisher":"Nature Publishing Group","title":"Prediction of the potential geographic distribution of the ectomycorrhizal mushroom Tricholoma matsutake under multiple climate change scenarios","type":"article-journal","volume":"7"},"uris":["http://www.mendeley.com/documents/?uuid=539241ee-c90a-4f47-b486-03b0478149aa"]}],"mendeley":{"formattedCitation":"(Rodriguez et al., 2004; Singh et al., 2011; Guo et al., 2017)","plainTextFormattedCitation":"(Rodriguez et al., 2004; Singh et al., 2011; Guo et al., 2017)","previouslyFormattedCitation":"(Rodriguez et al., 2004; Singh et al., 2011; Guo et al., 2017)"},"properties":{"noteIndex":0},"schema":"https://github.com/citation-style-language/schema/raw/master/csl-citation.json"}</w:instrText>
      </w:r>
      <w:r w:rsidRPr="00B73E8F">
        <w:rPr>
          <w:rFonts w:eastAsia="Arial"/>
          <w:color w:val="000000"/>
        </w:rPr>
        <w:fldChar w:fldCharType="separate"/>
      </w:r>
      <w:r w:rsidR="00CE6085" w:rsidRPr="00CE6085">
        <w:rPr>
          <w:rFonts w:eastAsia="Arial"/>
          <w:noProof/>
          <w:color w:val="000000"/>
        </w:rPr>
        <w:t>(Rodriguez et al., 2004; Singh et al., 2011; Guo et al., 2017)</w:t>
      </w:r>
      <w:r w:rsidRPr="00B73E8F">
        <w:rPr>
          <w:rFonts w:eastAsia="Arial"/>
          <w:color w:val="000000"/>
        </w:rPr>
        <w:fldChar w:fldCharType="end"/>
      </w:r>
      <w:r w:rsidRPr="00B73E8F">
        <w:rPr>
          <w:color w:val="000000" w:themeColor="text1"/>
        </w:rPr>
        <w:t xml:space="preserve">. </w:t>
      </w:r>
    </w:p>
    <w:p w14:paraId="02A51802" w14:textId="0DE06351" w:rsidR="0094075F" w:rsidRDefault="00D71F59" w:rsidP="0094075F">
      <w:pPr>
        <w:spacing w:line="360" w:lineRule="auto"/>
      </w:pPr>
      <w:r w:rsidRPr="00920A60">
        <w:tab/>
        <w:t xml:space="preserve">Ecological communities have been described amongst many systems; however, it has only been until recently that the </w:t>
      </w:r>
      <w:r w:rsidR="006634B1">
        <w:t>temporal and spatial patterns of microbial communities</w:t>
      </w:r>
      <w:r w:rsidRPr="00920A60">
        <w:t xml:space="preserve"> are beginning to be clarified. Throughout my dissertation, I investigate how microbial community richness</w:t>
      </w:r>
      <w:r w:rsidR="00941ECB">
        <w:t xml:space="preserve"> and community turnover</w:t>
      </w:r>
      <w:r w:rsidRPr="00920A60">
        <w:t xml:space="preserve"> respond to </w:t>
      </w:r>
      <w:r w:rsidR="00941ECB">
        <w:t xml:space="preserve">sequencing grain, spatial scale, and </w:t>
      </w:r>
      <w:r w:rsidRPr="00920A60">
        <w:t>modified microbial niches by altered short term weather. Further, I illustrate how plant-microbe interactions at fine</w:t>
      </w:r>
      <w:r w:rsidRPr="001E4901">
        <w:t xml:space="preserve"> scales can </w:t>
      </w:r>
      <w:r w:rsidR="00053B30">
        <w:t>influence</w:t>
      </w:r>
      <w:r w:rsidRPr="001E4901">
        <w:t xml:space="preserve"> the conclusions we derive from models at larger geographic </w:t>
      </w:r>
      <w:r w:rsidR="00941ECB">
        <w:t xml:space="preserve">and temporal </w:t>
      </w:r>
      <w:r w:rsidRPr="001E4901">
        <w:t>scales. Thus, the predictions generated here will show how variation in climate</w:t>
      </w:r>
      <w:r w:rsidR="00053B30">
        <w:t xml:space="preserve"> and scale</w:t>
      </w:r>
      <w:r w:rsidRPr="001E4901">
        <w:t xml:space="preserve"> can modify </w:t>
      </w:r>
      <w:r w:rsidR="00053B30">
        <w:t xml:space="preserve">our interpretations of </w:t>
      </w:r>
      <w:r w:rsidRPr="001E4901">
        <w:t>host-microbe interactions</w:t>
      </w:r>
      <w:r w:rsidR="00053B30">
        <w:t xml:space="preserve"> (</w:t>
      </w:r>
      <w:r w:rsidR="00053B30" w:rsidRPr="00B83D11">
        <w:rPr>
          <w:b/>
          <w:bCs/>
        </w:rPr>
        <w:t>Figure 1</w:t>
      </w:r>
      <w:r w:rsidR="00053B30">
        <w:t>)</w:t>
      </w:r>
      <w:r w:rsidRPr="001E4901">
        <w:t>. To understand how plant-microbe interactions respond to changing e</w:t>
      </w:r>
      <w:r w:rsidR="00B83D11">
        <w:t>cological</w:t>
      </w:r>
      <w:r w:rsidRPr="001E4901">
        <w:t xml:space="preserve"> conditions, it is imperative to first describe how microbial richness spatially varies amongst host provided niches. I address these concepts in four chapters. In </w:t>
      </w:r>
      <w:r w:rsidRPr="001E4901">
        <w:rPr>
          <w:b/>
          <w:bCs/>
        </w:rPr>
        <w:t>Chapter 1,</w:t>
      </w:r>
      <w:r w:rsidRPr="001E4901">
        <w:t xml:space="preserve"> I catalogue biodiversity that pertains to the rhizosphere of </w:t>
      </w:r>
      <w:r w:rsidRPr="001E4901">
        <w:rPr>
          <w:i/>
          <w:iCs/>
        </w:rPr>
        <w:t>Salvia lyrata</w:t>
      </w:r>
      <w:r w:rsidRPr="001E4901">
        <w:t xml:space="preserve"> in an eastern Tennessee landscape, describe the spatial heterogeneity of bacterial richness in this rhizosphere system, and investigate the impact sampling grain (i.e.</w:t>
      </w:r>
      <w:r w:rsidR="00F66F5D">
        <w:t>,</w:t>
      </w:r>
      <w:r w:rsidRPr="001E4901">
        <w:t xml:space="preserve"> the defined individual unit of sampling) has on our understanding of </w:t>
      </w:r>
      <w:r w:rsidR="0094075F">
        <w:br w:type="page"/>
      </w:r>
    </w:p>
    <w:p w14:paraId="1296B3B6" w14:textId="0C49BF19" w:rsidR="0094075F" w:rsidRDefault="00F10C68" w:rsidP="0094075F">
      <w:r>
        <w:rPr>
          <w:noProof/>
        </w:rPr>
        <w:lastRenderedPageBreak/>
        <w:drawing>
          <wp:inline distT="0" distB="0" distL="0" distR="0" wp14:anchorId="0434C946" wp14:editId="13CC4A29">
            <wp:extent cx="5943600" cy="3374390"/>
            <wp:effectExtent l="0" t="0" r="0" b="3810"/>
            <wp:docPr id="26" name="Picture 2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374390"/>
                    </a:xfrm>
                    <a:prstGeom prst="rect">
                      <a:avLst/>
                    </a:prstGeom>
                  </pic:spPr>
                </pic:pic>
              </a:graphicData>
            </a:graphic>
          </wp:inline>
        </w:drawing>
      </w:r>
    </w:p>
    <w:p w14:paraId="3A78FC53" w14:textId="77777777" w:rsidR="0094075F" w:rsidRDefault="0094075F" w:rsidP="0094075F">
      <w:pPr>
        <w:pStyle w:val="Caption"/>
      </w:pPr>
      <w:bookmarkStart w:id="3" w:name="_Toc102046871"/>
      <w:r>
        <w:t>Figure 1. Conceptual diagram outlining the influence sequencing resolution, spatial grain, abiotic conditions, and biotic interactions have on the characterization of microbial communities and their recent utility and incorporation into predictive climate models.</w:t>
      </w:r>
      <w:bookmarkEnd w:id="3"/>
      <w:r>
        <w:t xml:space="preserve"> </w:t>
      </w:r>
    </w:p>
    <w:p w14:paraId="4E74D744" w14:textId="77777777" w:rsidR="0094075F" w:rsidRPr="001E4901" w:rsidRDefault="0094075F" w:rsidP="0094075F">
      <w:r>
        <w:br w:type="page"/>
      </w:r>
    </w:p>
    <w:p w14:paraId="32B23AE4" w14:textId="737320BE" w:rsidR="0032391B" w:rsidRDefault="00D71F59" w:rsidP="00D71F59">
      <w:pPr>
        <w:spacing w:line="360" w:lineRule="auto"/>
      </w:pPr>
      <w:r w:rsidRPr="001E4901">
        <w:lastRenderedPageBreak/>
        <w:t xml:space="preserve">microbial community richness within a host specific system. In </w:t>
      </w:r>
      <w:r w:rsidRPr="001E4901">
        <w:rPr>
          <w:b/>
          <w:bCs/>
        </w:rPr>
        <w:t>Chapter 2</w:t>
      </w:r>
      <w:r w:rsidRPr="001E4901">
        <w:t xml:space="preserve">, I address how short-term </w:t>
      </w:r>
      <w:r w:rsidR="00CD0545" w:rsidRPr="001E4901">
        <w:t>rainfall exclusion</w:t>
      </w:r>
      <w:r w:rsidRPr="001E4901">
        <w:t xml:space="preserve"> directly alters rhizosphere </w:t>
      </w:r>
      <w:r w:rsidR="00857473">
        <w:t>bacteria</w:t>
      </w:r>
      <w:r w:rsidRPr="001E4901">
        <w:t xml:space="preserve">l community richness of the Sonoran Desert native </w:t>
      </w:r>
      <w:r w:rsidRPr="001E4901">
        <w:rPr>
          <w:i/>
          <w:iCs/>
        </w:rPr>
        <w:t xml:space="preserve">Lupinus </w:t>
      </w:r>
      <w:proofErr w:type="spellStart"/>
      <w:r w:rsidRPr="001E4901">
        <w:rPr>
          <w:i/>
          <w:iCs/>
        </w:rPr>
        <w:t>neomexicanus</w:t>
      </w:r>
      <w:proofErr w:type="spellEnd"/>
      <w:r w:rsidRPr="001E4901">
        <w:t>.</w:t>
      </w:r>
      <w:r w:rsidR="00857473">
        <w:t xml:space="preserve"> In </w:t>
      </w:r>
      <w:r w:rsidR="00857473" w:rsidRPr="00857473">
        <w:rPr>
          <w:b/>
          <w:bCs/>
        </w:rPr>
        <w:t>Chapter 3</w:t>
      </w:r>
      <w:r w:rsidR="00857473">
        <w:t xml:space="preserve">, I investigate how short-term rainfall exclusion effects arbuscular mycorrhizal fungal communities of </w:t>
      </w:r>
      <w:r w:rsidR="00857473" w:rsidRPr="00857473">
        <w:rPr>
          <w:i/>
          <w:iCs/>
        </w:rPr>
        <w:t xml:space="preserve">Lupinus </w:t>
      </w:r>
      <w:proofErr w:type="spellStart"/>
      <w:r w:rsidR="00857473" w:rsidRPr="00857473">
        <w:rPr>
          <w:i/>
          <w:iCs/>
        </w:rPr>
        <w:t>neomexicanus</w:t>
      </w:r>
      <w:proofErr w:type="spellEnd"/>
      <w:r w:rsidR="00857473">
        <w:t xml:space="preserve">. Chapters </w:t>
      </w:r>
      <w:r w:rsidR="00F66F5D">
        <w:t xml:space="preserve">2 and 3 additionally address the impact soil edaphic factors have on structuring microbial community composition. </w:t>
      </w:r>
      <w:r w:rsidRPr="001E4901">
        <w:t xml:space="preserve">Lastly, in </w:t>
      </w:r>
      <w:r w:rsidRPr="001E4901">
        <w:rPr>
          <w:b/>
          <w:bCs/>
        </w:rPr>
        <w:t xml:space="preserve">Chapter </w:t>
      </w:r>
      <w:r w:rsidR="00857473">
        <w:rPr>
          <w:b/>
          <w:bCs/>
        </w:rPr>
        <w:t>4</w:t>
      </w:r>
      <w:r w:rsidRPr="001E4901">
        <w:t xml:space="preserve">, I </w:t>
      </w:r>
      <w:r w:rsidR="00CD0545" w:rsidRPr="001E4901">
        <w:t xml:space="preserve">use </w:t>
      </w:r>
      <w:proofErr w:type="spellStart"/>
      <w:r w:rsidR="00CD0545" w:rsidRPr="001E4901">
        <w:t>MaxEnt</w:t>
      </w:r>
      <w:proofErr w:type="spellEnd"/>
      <w:r w:rsidR="00CD0545" w:rsidRPr="001E4901">
        <w:t xml:space="preserve"> as a tool to describe</w:t>
      </w:r>
      <w:r w:rsidRPr="001E4901">
        <w:t xml:space="preserve"> the </w:t>
      </w:r>
      <w:r w:rsidR="00CD0545" w:rsidRPr="001E4901">
        <w:t xml:space="preserve">niche breadth and illuminate the </w:t>
      </w:r>
      <w:r w:rsidRPr="001E4901">
        <w:t xml:space="preserve">primary </w:t>
      </w:r>
      <w:r w:rsidR="00CD0545" w:rsidRPr="001E4901">
        <w:t>climate variables</w:t>
      </w:r>
      <w:r w:rsidRPr="001E4901">
        <w:t xml:space="preserve"> of </w:t>
      </w:r>
      <w:proofErr w:type="spellStart"/>
      <w:r w:rsidRPr="001E4901">
        <w:rPr>
          <w:i/>
          <w:iCs/>
        </w:rPr>
        <w:t>Suillus</w:t>
      </w:r>
      <w:proofErr w:type="spellEnd"/>
      <w:r w:rsidRPr="001E4901">
        <w:rPr>
          <w:i/>
          <w:iCs/>
        </w:rPr>
        <w:t xml:space="preserve"> </w:t>
      </w:r>
      <w:proofErr w:type="spellStart"/>
      <w:r w:rsidRPr="001E4901">
        <w:rPr>
          <w:i/>
          <w:iCs/>
        </w:rPr>
        <w:t>spraguei</w:t>
      </w:r>
      <w:proofErr w:type="spellEnd"/>
      <w:r w:rsidRPr="001E4901">
        <w:t xml:space="preserve">, a beneficial microbe, and its host </w:t>
      </w:r>
      <w:r w:rsidRPr="001E4901">
        <w:rPr>
          <w:i/>
          <w:iCs/>
        </w:rPr>
        <w:t xml:space="preserve">Pinus </w:t>
      </w:r>
      <w:proofErr w:type="spellStart"/>
      <w:r w:rsidRPr="001E4901">
        <w:rPr>
          <w:i/>
          <w:iCs/>
        </w:rPr>
        <w:t>strobus</w:t>
      </w:r>
      <w:proofErr w:type="spellEnd"/>
      <w:r w:rsidRPr="001E4901">
        <w:t xml:space="preserve">. This chapter aims to illustrate how niche space of an obligate symbiont follows that of its host over </w:t>
      </w:r>
      <w:r w:rsidR="00CD0545" w:rsidRPr="001E4901">
        <w:t xml:space="preserve">future </w:t>
      </w:r>
      <w:r w:rsidRPr="001E4901">
        <w:t>long-term climate scenarios.</w:t>
      </w:r>
    </w:p>
    <w:p w14:paraId="357B73B6" w14:textId="7FDD9D2E" w:rsidR="00D71F59" w:rsidRPr="001E4901" w:rsidRDefault="0032391B" w:rsidP="005D5E71">
      <w:r>
        <w:br w:type="page"/>
      </w:r>
    </w:p>
    <w:p w14:paraId="1E14CF3C" w14:textId="79F4A2E2" w:rsidR="004F08CE" w:rsidRPr="001E4901" w:rsidRDefault="001E4901" w:rsidP="00E02779">
      <w:pPr>
        <w:pStyle w:val="Heading1"/>
      </w:pPr>
      <w:bookmarkStart w:id="4" w:name="_Toc102047989"/>
      <w:r w:rsidRPr="001E4901">
        <w:lastRenderedPageBreak/>
        <w:t>C</w:t>
      </w:r>
      <w:r w:rsidR="0062430E">
        <w:t>HAPTER ONE</w:t>
      </w:r>
      <w:r w:rsidR="00D53E92">
        <w:t>:</w:t>
      </w:r>
      <w:r w:rsidR="00965FBD" w:rsidRPr="001E4901">
        <w:br/>
      </w:r>
      <w:bookmarkEnd w:id="1"/>
      <w:bookmarkEnd w:id="2"/>
      <w:r w:rsidR="0062430E">
        <w:rPr>
          <w:sz w:val="24"/>
        </w:rPr>
        <w:t xml:space="preserve">BACTERIAL COMMUNITIES OF THE </w:t>
      </w:r>
      <w:r w:rsidR="0062430E" w:rsidRPr="0062430E">
        <w:rPr>
          <w:i/>
          <w:iCs/>
          <w:sz w:val="24"/>
        </w:rPr>
        <w:t>SALVIA LYRATA</w:t>
      </w:r>
      <w:r w:rsidR="0062430E">
        <w:rPr>
          <w:sz w:val="24"/>
        </w:rPr>
        <w:t xml:space="preserve"> RHIZOSPHERE EXPLAINED BY SPATIAL STRUCTURE AND SAMPLING GRAIN</w:t>
      </w:r>
      <w:bookmarkEnd w:id="4"/>
    </w:p>
    <w:p w14:paraId="080C11EF" w14:textId="77777777" w:rsidR="00A7561B" w:rsidRDefault="00A7561B">
      <w:r>
        <w:rPr>
          <w:b/>
          <w:bCs/>
          <w:iCs/>
        </w:rPr>
        <w:br w:type="page"/>
      </w:r>
    </w:p>
    <w:p w14:paraId="1F5EEF11" w14:textId="0EBD1CF1" w:rsidR="004F08CE" w:rsidRPr="001E4901" w:rsidRDefault="00A548B9" w:rsidP="002A797A">
      <w:pPr>
        <w:pStyle w:val="Heading2"/>
        <w:spacing w:line="360" w:lineRule="auto"/>
      </w:pPr>
      <w:bookmarkStart w:id="5" w:name="_Toc102047990"/>
      <w:r w:rsidRPr="001E4901">
        <w:lastRenderedPageBreak/>
        <w:t>A</w:t>
      </w:r>
      <w:r w:rsidR="00E951CC">
        <w:t>bstract</w:t>
      </w:r>
      <w:bookmarkEnd w:id="5"/>
    </w:p>
    <w:p w14:paraId="3BB30617" w14:textId="2A455E59" w:rsidR="004F08CE" w:rsidRPr="001E4901" w:rsidRDefault="00A548B9" w:rsidP="002A797A">
      <w:pPr>
        <w:numPr>
          <w:ilvl w:val="12"/>
          <w:numId w:val="0"/>
        </w:numPr>
        <w:spacing w:line="360" w:lineRule="auto"/>
      </w:pPr>
      <w:r w:rsidRPr="001E4901">
        <w:tab/>
        <w:t>Advancements in molecular technology have reduced the constraints that the grain of observation, or the spatial resolution and volume of the sampling unit, has on the characterization of plant-associated microbiomes. With discrete ecological sampling and massive parallel sequencing, we can more precisely portray microbiome community assembly and microbial recruitment to host tissue over space and time. Here, we differentiate rarefied community richness and relative abundance in bacterial microbiomes of Salvia lyrata dependent on three spatial depths, which are discrete physical distances from the soil surface within the rhizosphere microhabitat as a proxy for the root system zones. To assess the impact of sampling grain on rarefied community richness and relative abundance, we evaluated the variation of these metrics between samples pooled prior to DNA extraction and samples pooled after sequencing. A distance-based redundancy analysis with the quantitative Jaccard distance revealed that rhizosphere microbiomes vary in richness between rhizosphere soil depths. At all orders of diversity, rarefied microbial richness was consistently lowest at the deepest samples taken (approximately 4 cm from soil surface) in comparison with other rhizo- sphere soil depths. We additionally show that finer grain sampling (i.e., three samples of equal volume pooled after sequencing) recovers greater microbial richness when using 16S rRNA gene sequencing to describe microbial communities found within the rhizosphere system. In summary, to further elucidate the extent host-specific microbiomes assemble within the rhizosphere, the grain at which bacterial communities are sampled should reflect and encompass fine-scale heterogeneity of the system.</w:t>
      </w:r>
    </w:p>
    <w:p w14:paraId="5DFD7E2A" w14:textId="37CA314C" w:rsidR="004F08CE" w:rsidRPr="001E4901" w:rsidRDefault="00A548B9" w:rsidP="002A797A">
      <w:pPr>
        <w:pStyle w:val="Heading2"/>
        <w:spacing w:line="360" w:lineRule="auto"/>
      </w:pPr>
      <w:bookmarkStart w:id="6" w:name="_Toc102047991"/>
      <w:r w:rsidRPr="001E4901">
        <w:t>I</w:t>
      </w:r>
      <w:r w:rsidR="00E951CC">
        <w:t>ntroduction</w:t>
      </w:r>
      <w:bookmarkEnd w:id="6"/>
    </w:p>
    <w:p w14:paraId="32F0890F" w14:textId="6C499EA1" w:rsidR="00220221" w:rsidRPr="001E4901" w:rsidRDefault="00220221" w:rsidP="002A797A">
      <w:pPr>
        <w:spacing w:line="360" w:lineRule="auto"/>
        <w:ind w:firstLine="720"/>
        <w:rPr>
          <w:color w:val="000000" w:themeColor="text1"/>
        </w:rPr>
      </w:pPr>
      <w:r w:rsidRPr="001E4901">
        <w:rPr>
          <w:color w:val="000000" w:themeColor="text1"/>
        </w:rPr>
        <w:t xml:space="preserve">Plants transform the soil that surrounds their roots (i.e. the rhizosphere) with primary metabolites like amino acids, secondary metabolites like alkaloids, and macronutrients through litter deposition </w:t>
      </w:r>
      <w:r w:rsidRPr="00B73E8F">
        <w:rPr>
          <w:color w:val="000000" w:themeColor="text1"/>
        </w:rPr>
        <w:fldChar w:fldCharType="begin" w:fldLock="1"/>
      </w:r>
      <w:r w:rsidR="006E1F09">
        <w:rPr>
          <w:color w:val="000000" w:themeColor="text1"/>
        </w:rPr>
        <w:instrText>ADDIN CSL_CITATION {"citationItems":[{"id":"ITEM-1","itemData":{"DOI":"10.1038/s41467-018-05122-7","ISBN":"4146701805","ISSN":"20411723","abstract":"By changing soil properties, plants can modify their growth environment. Although the soil microbiota is known to play a key role in the resulting plant-soil feedbacks, the proximal mechanisms underlying this phenomenon remain unknown. We found that benzoxazinoids, a class of defensive secondary metabolites that are released by roots of cereals such as wheat and maize, alter root-associated fungal and bacterial communities, decrease plant growth, increase jasmonate signaling and plant defenses, and suppress herbivore performance in the next plant generation. Complementation experiments demonstrate that the benzoxazinoid breakdown product 6-methoxy-benzoxazolin-2-one (MBOA), which accumulates in the soil during the conditioning phase, is both sufficient and necessary to trigger the observed phenotypic changes. Sterilization, fungal and bacterial profiling and complementation experiments reveal that MBOA acts indirectly by altering root-associated microbiota. Our results reveal a mechanism by which plants determine the composition of rhizosphere microbiota, plant performance and plant-herbivore interactions of the next generation.","author":[{"dropping-particle":"","family":"Hu","given":"Lingfei","non-dropping-particle":"","parse-names":false,"suffix":""},{"dropping-particle":"","family":"Robert","given":"Christelle A.M.","non-dropping-particle":"","parse-names":false,"suffix":""},{"dropping-particle":"","family":"Cadot","given":"Selma","non-dropping-particle":"","parse-names":false,"suffix":""},{"dropping-particle":"","family":"Zhang","given":"Xi","non-dropping-particle":"","parse-names":false,"suffix":""},{"dropping-particle":"","family":"Ye","given":"Meng","non-dropping-particle":"","parse-names":false,"suffix":""},{"dropping-particle":"","family":"Li","given":"Beibei","non-dropping-particle":"","parse-names":false,"suffix":""},{"dropping-particle":"","family":"Manzo","given":"Daniele","non-dropping-particle":"","parse-names":false,"suffix":""},{"dropping-particle":"","family":"Chervet","given":"Noemie","non-dropping-particle":"","parse-names":false,"suffix":""},{"dropping-particle":"","family":"Steinger","given":"Thomas","non-dropping-particle":"","parse-names":false,"suffix":""},{"dropping-particle":"","family":"Heijden","given":"Marcel G.A.","non-dropping-particle":"Van Der","parse-names":false,"suffix":""},{"dropping-particle":"","family":"Schlaeppi","given":"Klaus","non-dropping-particle":"","parse-names":false,"suffix":""},{"dropping-particle":"","family":"Erb","given":"Matthias","non-dropping-particle":"","parse-names":false,"suffix":""}],"container-title":"Nature Communications","id":"ITEM-1","issue":"1","issued":{"date-parts":[["2018"]]},"page":"1-13","title":"Root exudate metabolites drive plant-soil feedbacks on growth and defense by shaping the rhizosphere microbiota","type":"article-journal","volume":"9"},"uris":["http://www.mendeley.com/documents/?uuid=9ea14587-e0be-49c6-8e03-38c0d8a492c5"]}],"mendeley":{"formattedCitation":"(Hu et al., 2018)","plainTextFormattedCitation":"(Hu et al., 2018)","previouslyFormattedCitation":"(Hu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(Hu et al., 2018)</w:t>
      </w:r>
      <w:r w:rsidRPr="00B73E8F">
        <w:rPr>
          <w:color w:val="000000" w:themeColor="text1"/>
        </w:rPr>
        <w:fldChar w:fldCharType="end"/>
      </w:r>
      <w:r w:rsidRPr="00B73E8F">
        <w:rPr>
          <w:color w:val="000000" w:themeColor="text1"/>
        </w:rPr>
        <w:t xml:space="preserve">. Rhizosphere modifications by plants influence critical relationships with microorganisms, such as fungi and bacteria, that utilize the rhizosphere niche </w:t>
      </w:r>
      <w:r w:rsidRPr="00B73E8F">
        <w:rPr>
          <w:color w:val="000000" w:themeColor="text1"/>
        </w:rPr>
        <w:fldChar w:fldCharType="begin" w:fldLock="1"/>
      </w:r>
      <w:r w:rsidR="006E1F09">
        <w:rPr>
          <w:color w:val="000000" w:themeColor="text1"/>
        </w:rPr>
        <w:instrText>ADDIN CSL_CITATION {"citationItems":[{"id":"ITEM-1","itemData":{"DOI":"10.1126/science.1094875","author":[{"dropping-particle":"","family":"Wardle","given":"David A","non-dropping-particle":"","parse-names":false,"suffix":""},{"dropping-particle":"","family":"Bardgett","given":"Richard D","non-dropping-particle":"","parse-names":false,"suffix":""},{"dropping-particle":"","family":"Klironomos","given":"John N","non-dropping-particle":"","parse-names":false,"suffix":""},{"dropping-particle":"","family":"Setala","given":"H","non-dropping-particle":"","parse-names":false,"suffix":""},{"dropping-particle":"van der","family":"Putten","given":"Wim H","non-dropping-particle":"","parse-names":false,"suffix":""},{"dropping-particle":"","family":"Wall","given":"Diana H","non-dropping-particle":"","parse-names":false,"suffix":""}],"container-title":"Science","id":"ITEM-1","issued":{"date-parts":[["2004"]]},"page":"1629-1633","title":"Ecological Linkages Between Aboveground and Belowground Biota","type":"article-journal","volume":"304"},"uris":["http://www.mendeley.com/documents/?uuid=5d3d2d16-dcbc-4023-b126-e147301f9b03"]}],"mendeley":{"formattedCitation":"(Wardle et al., 2004)","plainTextFormattedCitation":"(Wardle et al., 2004)","previouslyFormattedCitation":"(Wardle et al., 2004)"},"properties":{"noteIndex":0},"schema":"https://github.com/citation-style-language/schema/raw/master/csl-citation.json"}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(Wardle et al., 2004)</w:t>
      </w:r>
      <w:r w:rsidRPr="00B73E8F">
        <w:rPr>
          <w:color w:val="000000" w:themeColor="text1"/>
        </w:rPr>
        <w:fldChar w:fldCharType="end"/>
      </w:r>
      <w:r w:rsidRPr="00B73E8F">
        <w:rPr>
          <w:color w:val="000000" w:themeColor="text1"/>
        </w:rPr>
        <w:t>. Plant-microbe interactions exist over multiple plant and microbial generations, establishing complex plant-soil feedbacks (PSF</w:t>
      </w:r>
      <w:r w:rsidR="00CD0545" w:rsidRPr="00B73E8F">
        <w:rPr>
          <w:color w:val="000000" w:themeColor="text1"/>
        </w:rPr>
        <w:t>;</w:t>
      </w:r>
      <w:r w:rsidRPr="00B73E8F">
        <w:rPr>
          <w:color w:val="000000" w:themeColor="text1"/>
        </w:rPr>
        <w:t xml:space="preserve"> </w:t>
      </w:r>
      <w:r w:rsidRPr="00B73E8F">
        <w:rPr>
          <w:color w:val="000000" w:themeColor="text1"/>
        </w:rPr>
        <w:fldChar w:fldCharType="begin" w:fldLock="1"/>
      </w:r>
      <w:r w:rsidR="006E1F09">
        <w:rPr>
          <w:color w:val="000000" w:themeColor="text1"/>
        </w:rPr>
        <w:instrText>ADDIN CSL_CITATION {"citationItems":[{"id":"ITEM-1","itemData":{"author":[{"dropping-particle":"","family":"Bever","given":"James D","non-dropping-particle":"","parse-names":false,"suffix":""},{"dropping-particle":"","family":"Westover","given":"Kristi M","non-dropping-particle":"","parse-names":false,"suffix":""},{"dropping-particle":"","family":"Antonovics","given":"Janis","non-dropping-particle":"","parse-names":false,"suffix":""}],"container-title":"Journal of Ecology","id":"ITEM-1","issue":"5","issued":{"date-parts":[["1997"]]},"page":"561-573","title":"Incorporating the Soil Community into Plant Population Dynamics : The Utility of the Feedback Approach","type":"article-journal","volume":"85"},"uris":["http://www.mendeley.com/documents/?uuid=37c2e7ce-5a5f-4c9d-91c0-174f22ead42d"]}],"mendeley":{"formattedCitation":"(Bever et al., 1997)","manualFormatting":"Bever et al., 1997)","plainTextFormattedCitation":"(Bever et al., 1997)","previouslyFormattedCitation":"(Bever et al., 1997)"},"properties":{"noteIndex":0},"schema":"https://github.com/citation-style-language/schema/raw/master/csl-citation.json"}</w:instrText>
      </w:r>
      <w:r w:rsidRPr="00B73E8F">
        <w:rPr>
          <w:color w:val="000000" w:themeColor="text1"/>
        </w:rPr>
        <w:fldChar w:fldCharType="separate"/>
      </w:r>
      <w:r w:rsidR="009C7019" w:rsidRPr="00B73E8F">
        <w:rPr>
          <w:noProof/>
          <w:color w:val="000000" w:themeColor="text1"/>
        </w:rPr>
        <w:t>Bever et al., 1997)</w:t>
      </w:r>
      <w:r w:rsidRPr="00B73E8F">
        <w:rPr>
          <w:color w:val="000000" w:themeColor="text1"/>
        </w:rPr>
        <w:fldChar w:fldCharType="end"/>
      </w:r>
      <w:r w:rsidRPr="00B73E8F">
        <w:rPr>
          <w:color w:val="000000" w:themeColor="text1"/>
        </w:rPr>
        <w:t xml:space="preserve">. Microbiota mediate available carbon and nitrogen directly in the rhizosphere, in turn affecting plant defense strategies, productivity, and fitness </w:t>
      </w:r>
      <w:r w:rsidRPr="00B73E8F">
        <w:rPr>
          <w:color w:val="000000" w:themeColor="text1"/>
        </w:rPr>
        <w:fldChar w:fldCharType="begin" w:fldLock="1"/>
      </w:r>
      <w:r w:rsidR="006E1F09">
        <w:rPr>
          <w:color w:val="000000" w:themeColor="text1"/>
        </w:rPr>
        <w:instrText>ADDIN CSL_CITATION {"citationItems":[{"id":"ITEM-1","itemData":{"DOI":"10.1111/j.1461-0248.2007.01139.x","ISBN":"1461-023X","ISSN":"1461023X","PMID":"18047587","abstract":"Microbes are the unseen majority in soil and comprise a large portion of life's genetic diversity. Despite their abundance, the impact of soil microbes on ecosystem processes is still poorly understood. Here we explore the various roles that soil microbes play in terrestrial ecosystems with special emphasis on their contribution to plant productivity and diversity. Soil microbes are important regulators of plant productivity, especially in nutrient poor ecosystems where plant symbionts are responsible for the acquisition of limiting nutrients. Mycorrhizal fungi and nitrogen-fixing bacteria are responsible for c. 5-20% (grassland and savannah) to 80% (temperate and boreal forests) of all nitrogen, and up to 75% of phosphorus, that is acquired by plants annually. Free-living microbes also strongly regulate plant productivity, through the mineralization of, and competition for, nutrients that sustain plant productivity. Soil microbes, including microbial pathogens, are also important regulators of plant community dynamics and plant diversity, determining plant abundance and, in some cases, facilitating invasion by exotic plants. Conservative estimates suggest that c. 20 000 plant species are completely dependent on microbial symbionts for growth and survival pointing to the importance of soil microbes as regulators of plant species richness on Earth. Overall, this review shows that soil microbes must be considered as important drivers of plant diversity and productivity in terrestrial ecosystems.","author":[{"dropping-particle":"","family":"Heijden","given":"Marcel G.A.","non-dropping-particle":"Van Der","parse-names":false,"suffix":""},{"dropping-particle":"","family":"Bardgett","given":"Richard D.","non-dropping-particle":"","parse-names":false,"suffix":""},{"dropping-particle":"","family":"Straalen","given":"Nico M.","non-dropping-particle":"Van","parse-names":false,"suffix":""}],"container-title":"Ecology Letters","id":"ITEM-1","issue":"3","issued":{"date-parts":[["2008"]]},"page":"296-310","title":"The unseen majority: Soil microbes as drivers of plant diversity and productivity in terrestrial ecosystems","type":"article-journal","volume":"11"},"uris":["http://www.mendeley.com/documents/?uuid=ff0c5cd2-7c94-41db-872e-ed1d8c97c4bf"]},{"id":"ITEM-2","itemData":{"DOI":"10.1111/j.1469-8137.2011.03790.x","ISSN":"0028-646X","abstract":"&amp;#x2022; Below-ground microbial communities influence plant diversity, plant productivity, and plant community composition. Given these strong ecological effects, are interactions with below-ground microbes also important for understanding natural selection on plant traits? &amp;#x2022; Here, we manipulated below-ground microbial communities and the soil moisture environment on replicated populations of Brassica rapa to examine how microbial community structure influences selection on plant traits and mediates plant responses to abiotic environmental stress. &amp;#x2022; In soils with experimentally simplified microbial communities, plants were smaller, had reduced chlorophyll content, produced fewer flowers, and were less fecund when compared with plant populations grown in association with more complex soil microbial communities. Selection on plant growth and phenological traits also was stronger when plants were grown in simplified, less diverse soil microbial communities, and these effects typically were consistent across soil moisture treatments. &amp;#x2022; Our results suggest that microbial community structure affects patterns of natural selection on plant traits. Thus, the below-ground microbial community can influence evolutionary processes, just as recent studies have demonstrated that microbial diversity can influence plant community and ecosystem processes.","author":[{"dropping-particle":"","family":"Lau","given":"Jennifer A.","non-dropping-particle":"","parse-names":false,"suffix":""},{"dropping-particle":"","family":"Lennon","given":"Jay T.","non-dropping-particle":"","parse-names":false,"suffix":""}],"container-title":"New Phytologist","id":"ITEM-2","issued":{"date-parts":[["2011"]]},"page":"215-224","title":"Evolutionary ecology of plant-microbe interactions: soil microbial structure alters selection on plant traits.","type":"article-journal","volume":"192"},"uris":["http://www.mendeley.com/documents/?uuid=8f257621-4263-41c3-8490-8c1a4eaa6363"]},{"id":"ITEM-3","itemData":{"DOI":"10.1111/1365-2435.12690","ISBN":"1365-2435","ISSN":"13652435","abstract":"\\n\\n\\n\\n* While an appreciation of plant–soil feedbacks (PSF) continues to expand for community and ecosystem ecology, the eco-evolutionary mechanisms and consequences of such feedbacks remain largely unknown or untested.\\n\\n\\n* Determining the cause and effect of plant phenotypes is central for understanding these eco-evolutionary dynamics since phenotypes respond to soil selective gradients that are, in turn, modified by plant traits. Genetic variation in plant phenotypes can change soil processes and biotic communities; oppositely, soil gradients and microbial communities can influence the expression and evolution of plant phenotypes.\\n\\n\\n* Although these processes represent the two halves of genetic based PSF, research in these areas has developed independently from one another. Greater connectivity between research on ecosystem consequences of plant genetic variation and soil selective gradients that drive plant phenotypic evolution will create novel and important opportunities to link ecology and evolution in natural systems.\\n\\n\\n* Papers in this special feature build on the inherent ecological and evolutionary processes involved in PSF, outlining many ways to identify and test mechanisms that connect ecosystem ecology and evolution.\\n\\n","author":[{"dropping-particle":"","family":"Nuland","given":"Michael E.","non-dropping-particle":"Van","parse-names":false,"suffix":""},{"dropping-particle":"","family":"Wooliver","given":"Rachel C.","non-dropping-particle":"","parse-names":false,"suffix":""},{"dropping-particle":"","family":"Pfennigwerth","given":"Alix A.","non-dropping-particle":"","parse-names":false,"suffix":""},{"dropping-particle":"","family":"Read","given":"Quentin D.","non-dropping-particle":"","parse-names":false,"suffix":""},{"dropping-particle":"","family":"Ware","given":"Ian M.","non-dropping-particle":"","parse-names":false,"suffix":""},{"dropping-particle":"","family":"Mueller","given":"Liam","non-dropping-particle":"","parse-names":false,"suffix":""},{"dropping-particle":"","family":"Fordyce","given":"James A.","non-dropping-particle":"","parse-names":false,"suffix":""},{"dropping-particle":"","family":"Schweitzer","given":"Jennifer A.","non-dropping-particle":"","parse-names":false,"suffix":""},{"dropping-particle":"","family":"Bailey","given":"Joseph K.","non-dropping-particle":"","parse-names":false,"suffix":""}],"container-title":"Functional Ecology","id":"ITEM-3","issue":"7","issued":{"date-parts":[["2016"]]},"page":"1032-1042","title":"Plant–soil feedbacks: connecting ecosystem ecology and evolution","type":"article-journal","volume":"30"},"uris":["http://www.mendeley.com/documents/?uuid=254b1611-c9a6-4e00-a148-b462076708ff"]},{"id":"ITEM-4","itemData":{"DOI":"10.1038/s41467-018-05122-7","ISBN":"4146701805","ISSN":"20411723","abstract":"By changing soil properties, plants can modify their growth environment. Although the soil microbiota is known to play a key role in the resulting plant-soil feedbacks, the proximal mechanisms underlying this phenomenon remain unknown. We found that benzoxazinoids, a class of defensive secondary metabolites that are released by roots of cereals such as wheat and maize, alter root-associated fungal and bacterial communities, decrease plant growth, increase jasmonate signaling and plant defenses, and suppress herbivore performance in the next plant generation. Complementation experiments demonstrate that the benzoxazinoid breakdown product 6-methoxy-benzoxazolin-2-one (MBOA), which accumulates in the soil during the conditioning phase, is both sufficient and necessary to trigger the observed phenotypic changes. Sterilization, fungal and bacterial profiling and complementation experiments reveal that MBOA acts indirectly by altering root-associated microbiota. Our results reveal a mechanism by which plants determine the composition of rhizosphere microbiota, plant performance and plant-herbivore interactions of the next generation.","author":[{"dropping-particle":"","family":"Hu","given":"Lingfei","non-dropping-particle":"","parse-names":false,"suffix":""},{"dropping-particle":"","family":"Robert","given":"Christelle A.M.","non-dropping-particle":"","parse-names":false,"suffix":""},{"dropping-particle":"","family":"Cadot","given":"Selma","non-dropping-particle":"","parse-names":false,"suffix":""},{"dropping-particle":"","family":"Zhang","given":"Xi","non-dropping-particle":"","parse-names":false,"suffix":""},{"dropping-particle":"","family":"Ye","given":"Meng","non-dropping-particle":"","parse-names":false,"suffix":""},{"dropping-particle":"","family":"Li","given":"Beibei","non-dropping-particle":"","parse-names":false,"suffix":""},{"dropping-particle":"","family":"Manzo","given":"Daniele","non-dropping-particle":"","parse-names":false,"suffix":""},{"dropping-particle":"","family":"Chervet","given":"Noemie","non-dropping-particle":"","parse-names":false,"suffix":""},{"dropping-particle":"","family":"Steinger","given":"Thomas","non-dropping-particle":"","parse-names":false,"suffix":""},{"dropping-particle":"","family":"Heijden","given":"Marcel G.A.","non-dropping-particle":"Van Der","parse-names":false,"suffix":""},{"dropping-particle":"","family":"Schlaeppi","given":"Klaus","non-dropping-particle":"","parse-names":false,"suffix":""},{"dropping-particle":"","family":"Erb","given":"Matthias","non-dropping-particle":"","parse-names":false,"suffix":""}],"container-title":"Nature Communications","id":"ITEM-4","issue":"1","issued":{"date-parts":[["2018"]]},"page":"1-13","title":"Root exudate metabolites drive plant-soil feedbacks on growth and defense by shaping the rhizosphere microbiota","type":"article-journal","volume":"9"},"uris":["http://www.mendeley.com/documents/?uuid=9ea14587-e0be-49c6-8e03-38c0d8a492c5"]}],"mendeley":{"formattedCitation":"(Van Der Heijden et al., 2008; Lau and Lennon, 2011; Van Nuland et al., 2016; Hu et al., 2018)","plainTextFormattedCitation":"(Van Der Heijden et al., 2008; Lau and Lennon, 2011; Van Nuland et al., 2016; Hu et al., 2018)","previouslyFormattedCitation":"(Van Der Heijden et al., 2008; Lau and Lennon, 2011; Van Nuland et al., 2016; Hu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 xml:space="preserve">(Van Der Heijden et al., 2008; Lau and Lennon, 2011; Van </w:t>
      </w:r>
      <w:r w:rsidR="00CE6085" w:rsidRPr="00CE6085">
        <w:rPr>
          <w:noProof/>
          <w:color w:val="000000" w:themeColor="text1"/>
        </w:rPr>
        <w:lastRenderedPageBreak/>
        <w:t>Nuland et al., 2016; Hu et al., 2018)</w:t>
      </w:r>
      <w:r w:rsidRPr="00B73E8F">
        <w:rPr>
          <w:color w:val="000000" w:themeColor="text1"/>
        </w:rPr>
        <w:fldChar w:fldCharType="end"/>
      </w:r>
      <w:r w:rsidRPr="00B73E8F">
        <w:rPr>
          <w:color w:val="000000" w:themeColor="text1"/>
        </w:rPr>
        <w:t>. Measuring microbial community richness</w:t>
      </w:r>
      <w:r w:rsidRPr="001E4901">
        <w:rPr>
          <w:color w:val="000000" w:themeColor="text1"/>
        </w:rPr>
        <w:t xml:space="preserve"> and abundance of rhizosphere microbes through massive parallel sequencing illuminates intricacies of how microbes moderate nutrient cycling and interact with plants </w:t>
      </w:r>
      <w:r w:rsidRPr="00B73E8F">
        <w:rPr>
          <w:color w:val="000000" w:themeColor="text1"/>
        </w:rPr>
        <w:fldChar w:fldCharType="begin" w:fldLock="1"/>
      </w:r>
      <w:r w:rsidR="006E1F09">
        <w:rPr>
          <w:color w:val="000000" w:themeColor="text1"/>
        </w:rPr>
        <w:instrText>ADDIN CSL_CITATION {"citationItems":[{"id":"ITEM-1","itemData":{"author":[{"dropping-particle":"","family":"Hobbie","given":"Sarah E.","non-dropping-particle":"","parse-names":false,"suffix":""}],"container-title":"TREE","id":"ITEM-1","issue":"1975","issued":{"date-parts":[["1992"]]},"page":"336-339","title":"Effects of Plant Species Nutrient Cycling","type":"article-journal","volume":"7"},"uris":["http://www.mendeley.com/documents/?uuid=2bc1e5da-8736-40aa-9b10-14cfc7486101"]},{"id":"ITEM-2","itemData":{"DOI":"10.1111/2041-210X.12574","ISBN":"2041-210X","ISSN":"2041210X","PMID":"24487721","abstract":"Invasive species are one of the most significant problem in freshwater ecosystems. Most common non-native freshwater species in Turkish freshwater fish fauna are Prussian Carp (Carassius gibelio), North African Catfish (Clarias gariepinus), Nile Tilapia (Oreochromis niloticus) and Topmouth Gudgeon (Pseudorasbora parva).Recent studies showed that environmental DNA could be used to detect target species inhabiting the ecosystem with higher precision and less effort compared to traditional field surveys. In this study, eDNA approach was used to investigate non-native freshwater fish species from fifteen different locations of Upper Sakarya Basin. eDNA was successfully extracted from the water samples of locations where the species were visually observed. Mean amplification rate of eDNA was calculated as 77.03%.This study is the first environmental DNA study used in detection of four of the most common invasive freshwater fish species. Results clearly indicating that eDNA surveys could be used as an important molecular tool to monitor invasive fish species in freshwater ecosystems. ?? 2014 Elsevier Ltd.","author":[{"dropping-particle":"","family":"Creer","given":"Simon","non-dropping-particle":"","parse-names":false,"suffix":""},{"dropping-particle":"","family":"Deiner","given":"Kristy","non-dropping-particle":"","parse-names":false,"suffix":""},{"dropping-particle":"","family":"Frey","given":"Serita","non-dropping-particle":"","parse-names":false,"suffix":""},{"dropping-particle":"","family":"Porazinska","given":"Dorota","non-dropping-particle":"","parse-names":false,"suffix":""},{"dropping-particle":"","family":"Taberlet","given":"Pierre","non-dropping-particle":"","parse-names":false,"suffix":""},{"dropping-particle":"","family":"Thomas","given":"W. Kelley","non-dropping-particle":"","parse-names":false,"suffix":""},{"dropping-particle":"","family":"Potter","given":"Caitlin","non-dropping-particle":"","parse-names":false,"suffix":""},{"dropping-particle":"","family":"Bik","given":"Holly M.","non-dropping-particle":"","parse-names":false,"suffix":""}],"container-title":"Methods in Ecology and Evolution","id":"ITEM-2","issue":"9","issued":{"date-parts":[["2016"]]},"page":"1008-1018","title":"The ecologist's field guide to sequence-based identification of biodiversity","type":"article-journal","volume":"7"},"uris":["http://www.mendeley.com/documents/?uuid=2c12b92d-11ea-49c4-bfc8-540e65cbec8e"]}],"mendeley":{"formattedCitation":"(Hobbie, 1992; Creer et al., 2016)","plainTextFormattedCitation":"(Hobbie, 1992; Creer et al., 2016)","previouslyFormattedCitation":"(Hobbie, 1992; Creer et al.,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(Hobbie, 1992; Creer et al., 2016)</w:t>
      </w:r>
      <w:r w:rsidRPr="00B73E8F">
        <w:rPr>
          <w:color w:val="000000" w:themeColor="text1"/>
        </w:rPr>
        <w:fldChar w:fldCharType="end"/>
      </w:r>
      <w:r w:rsidRPr="00B73E8F">
        <w:rPr>
          <w:color w:val="000000" w:themeColor="text1"/>
        </w:rPr>
        <w:t xml:space="preserve">. Further, the grain, or the defined individual microbiome sampling unit amongst rhizosphere studies, is often variable and may </w:t>
      </w:r>
      <w:r w:rsidRPr="001E4901">
        <w:rPr>
          <w:color w:val="000000" w:themeColor="text1"/>
        </w:rPr>
        <w:t xml:space="preserve">not consistently capture spatial variation of bacterial communities found within the rhizosphere. Yet within the rhizosphere, spatial heterogeneity of microbial communities is poorly understood </w:t>
      </w:r>
      <w:r w:rsidRPr="00B73E8F">
        <w:rPr>
          <w:color w:val="000000" w:themeColor="text1"/>
        </w:rPr>
        <w:fldChar w:fldCharType="begin" w:fldLock="1"/>
      </w:r>
      <w:r w:rsidR="006E1F09">
        <w:rPr>
          <w:color w:val="000000" w:themeColor="text1"/>
        </w:rPr>
        <w:instrText>ADDIN CSL_CITATION {"citationItems":[{"id":"ITEM-1","itemData":{"DOI":"10.1111/1462-2920.13026","ISBN":"1462-2920 (Electronic)\\r1462-2912 (Linking)","ISSN":"14622920","PMID":"26286355","abstract":"Understanding the ecology of coniferous forests is very important because these environments represent globally largest carbon sinks. Metatranscriptomics, microbial community, and enzyme analyses were combined to describe the detailed role of microbial taxa in the functioning of the Picea abies-dominated coniferous forest soil in two contrasting seasons. These seasons were the summer, representing the peak of plant photosynthetic activity, and late winter, after an extended period with no photosynthate input. The results show that microbial communities were characterized by a high activity of fungi especially in litter where their contribution to microbial transcription was over 50%. Differences in abundance between summer and winter were recorded for 26-33% of bacteria genera and &lt;15% of fungal genera, but thetranscript profiles of fungi, archaea and most bacterial phyla were significantly different among seasons. Further, the seasonal differences were larger in soil than in litter. Most importantly, fungal contribution to total microbial transcription in soil decreased from 33% in summer to 16% in winter. In particular, the activity of the abundant ectomycorrhizal fungi was reduced in winter which indicates that plant photosynthetic production was likely one of the major drivers of changes in the functioning of microbial communities in this coniferous forest.","author":[{"dropping-particle":"","family":"Žifčáková","given":"Lucia","non-dropping-particle":"","parse-names":false,"suffix":""},{"dropping-particle":"","family":"Větrovský","given":"Tomáš","non-dropping-particle":"","parse-names":false,"suffix":""},{"dropping-particle":"","family":"Howe","given":"Adina","non-dropping-particle":"","parse-names":false,"suffix":""},{"dropping-particle":"","family":"Baldrian","given":"Petr","non-dropping-particle":"","parse-names":false,"suffix":""}],"container-title":"Environmental Microbiology","id":"ITEM-1","issue":"1","issued":{"date-parts":[["2016"]]},"page":"288-301","title":"Microbial activity in forest soil reflects the changes in ecosystem properties between summer and winter","type":"article-journal","volume":"18"},"uris":["http://www.mendeley.com/documents/?uuid=7f0cdc01-adba-4727-a68e-b5c24a3c230e"]}],"mendeley":{"formattedCitation":"(Žifčáková et al., 2016)","plainTextFormattedCitation":"(Žifčáková et al., 2016)","previouslyFormattedCitation":"(Žifčáková et al.,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(Žifčáková et al., 2016)</w:t>
      </w:r>
      <w:r w:rsidRPr="00B73E8F">
        <w:rPr>
          <w:color w:val="000000" w:themeColor="text1"/>
        </w:rPr>
        <w:fldChar w:fldCharType="end"/>
      </w:r>
      <w:r w:rsidRPr="00B73E8F">
        <w:rPr>
          <w:color w:val="000000" w:themeColor="text1"/>
        </w:rPr>
        <w:t xml:space="preserve"> necessitating a field-wide standard of resolution for comparison among disparate studies. By incorporating spatial structure into sampling protocols, microbiome richness in the rhizosphere can be captu</w:t>
      </w:r>
      <w:r w:rsidRPr="001E4901">
        <w:rPr>
          <w:color w:val="000000" w:themeColor="text1"/>
        </w:rPr>
        <w:t xml:space="preserve">red as a transitional gradient of species distributions responding to root maturity and exudates across plant taxa. </w:t>
      </w:r>
    </w:p>
    <w:p w14:paraId="50C6E28F" w14:textId="54978649" w:rsidR="00220221" w:rsidRPr="00B73E8F" w:rsidRDefault="00220221" w:rsidP="002A797A">
      <w:pPr>
        <w:spacing w:line="360" w:lineRule="auto"/>
        <w:ind w:firstLine="720"/>
        <w:rPr>
          <w:color w:val="000000" w:themeColor="text1"/>
        </w:rPr>
      </w:pPr>
      <w:r w:rsidRPr="001E4901">
        <w:rPr>
          <w:color w:val="000000" w:themeColor="text1"/>
        </w:rPr>
        <w:t xml:space="preserve">Variation in community richness and abundance of rhizosphere microbiomes can be partially explained by numerous biotic interactions and abiotic conditions. For example, plant species receive microbes from bulk soil, forming distinct rhizosphere communities over time </w:t>
      </w:r>
      <w:r w:rsidRPr="00B73E8F">
        <w:rPr>
          <w:color w:val="000000" w:themeColor="text1"/>
        </w:rPr>
        <w:fldChar w:fldCharType="begin" w:fldLock="1"/>
      </w:r>
      <w:r w:rsidR="006E1F09">
        <w:rPr>
          <w:color w:val="000000" w:themeColor="text1"/>
        </w:rPr>
        <w:instrText>ADDIN CSL_CITATION {"citationItems":[{"id":"ITEM-1","itemData":{"DOI":"10.1111/j.1574-6941.2009.00654.x","ISBN":"0168-6496","ISSN":"01686496","PMID":"19243436","abstract":"The rhizosphere is of central importance not only for plant nutrition, health and quality but also for microorganism-driven carbon sequestration, ecosystem functioning and nutrient cycling in terrestrial ecosystems. A multitude of biotic and abiotic factors are assumed to influence the structural and functional diversity of microbial communities in the rhizosphere. In this review, recent studies on the influence of the two factors, plant species and soil type, on rhizosphere-associated microbial communities are discussed. Root exudates and the response of microorganisms to the latter as well as to root morphology were shown to shape rhizosphere microbial communities. All studies revealed that soil is the main reservoir for rhizosphere microorganisms. Many secrets of microbial life in the rhizosphere were recently uncovered due to the enormous progress in molecular and microscopic tools. Physiological and molecular data on the factors that drive selection processes in the rhizosphere are presented here. Furthermore, implications for agriculture, nature conservation and biotechnology will also be discussed.","author":[{"dropping-particle":"","family":"Berg","given":"Gabriele","non-dropping-particle":"","parse-names":false,"suffix":""},{"dropping-particle":"","family":"Smalla","given":"Kornelia","non-dropping-particle":"","parse-names":false,"suffix":""}],"container-title":"FEMS Microbiology Ecology","id":"ITEM-1","issue":"1","issued":{"date-parts":[["2009"]]},"page":"1-13","title":"Plant species and soil type cooperatively shape the structure and function of microbial communities in the rhizosphere","type":"article-journal","volume":"68"},"uris":["http://www.mendeley.com/documents/?uuid=9c860310-67c9-465b-80d5-686c941363a7"]},{"id":"ITEM-2","itemData":{"DOI":"10.1016/S0038-0717(01)00052-9","ISBN":"0038-0717","ISSN":"00380717","abstract":"Eubacterial community structures in the plant rhizosphere were examined with respect to plant species, soil type, and root zone location. Three plant species (chickpea, rape and Sudan grass) were grown in intact cores of three California soils (a sandy soil, a sandy loam, and a clay) and were provided with a complete fertilizer solution with or without nitrogen supplied as ammonium nitrate. After 7.5 weeks, the plants were harvested and DNA was extracted from soil adhering to the root tips and from mature root zones at the sites of lateral root emergence. Eubacterial community structures were examined by PCR-DGGE of 16S rDNA to determine the relative abundance and species diversity. While both soil type and nitrogen fertilization affected plant growth, canonical correspondence analyses showed that nitrogen had no significant effect on eubacterial community structures. Eubacterial species diversity was higher in the mature root zones than at the root tips in the sandy soil and the clay but not in the loamy sand. Monte Carlo permutation tests indicated that plant species, root zone and soil type as well as the interactions between these variables had significant effects on community structure. The bacterial rhizosphere community of chickpea was influenced primarily by soil type, whereas root zone was less important. In contrast to chickpea, the community in the rhizosphere of rape and Sudan grass was more affected by the root zone than the soil type. In the sandy soil and the loamy sand, the eubacterial rhizosphere community structure was more affected by the root zone than the plant species and the three plant species had distinct communities. In the clay however, the root zone was less important than the plant species and the rhizosphere communities of chickpea differed from those of rape and Sudan grass. It is concluded that the bacterial community composition in the rhizosphere is affected by a complex interaction between soil type, plant species and root zone location.","author":[{"dropping-particle":"","family":"Marschner","given":"P.","non-dropping-particle":"","parse-names":false,"suffix":""},{"dropping-particle":"","family":"Yang","given":"C.-H.","non-dropping-particle":"","parse-names":false,"suffix":""},{"dropping-particle":"","family":"Lieberei","given":"R.","non-dropping-particle":"","parse-names":false,"suffix":""},{"dropping-particle":"","family":"Crowley","given":"D. E.","non-dropping-particle":"","parse-names":false,"suffix":""}],"container-title":"Soil Biology and Biochemistry","id":"ITEM-2","issued":{"date-parts":[["2001"]]},"page":"1437-1445","title":"Soil and plant species effects on bacterial community composition in the rhizosphere","type":"article-journal","volume":"33"},"uris":["http://www.mendeley.com/documents/?uuid=e6d8e50d-a738-4db3-8df6-4e422f326cfb"]}],"mendeley":{"formattedCitation":"(Marschner et al., 2001; Berg and Smalla, 2009)","plainTextFormattedCitation":"(Marschner et al., 2001; Berg and Smalla, 2009)","previouslyFormattedCitation":"(Marschner et al., 2001; Berg and Smalla, 2009)"},"properties":{"noteIndex":0},"schema":"https://github.com/citation-style-language/schema/raw/master/csl-citation.json"}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(Marschner et al., 2001; Berg and Smalla, 2009)</w:t>
      </w:r>
      <w:r w:rsidRPr="00B73E8F">
        <w:rPr>
          <w:color w:val="000000" w:themeColor="text1"/>
        </w:rPr>
        <w:fldChar w:fldCharType="end"/>
      </w:r>
      <w:r w:rsidRPr="00B73E8F">
        <w:rPr>
          <w:color w:val="000000" w:themeColor="text1"/>
        </w:rPr>
        <w:t>. Plant genotypes may regulate rhizodeposition and decomposition rates of plant derived organic matter and can serve as s</w:t>
      </w:r>
      <w:r w:rsidRPr="001E4901">
        <w:rPr>
          <w:color w:val="000000" w:themeColor="text1"/>
        </w:rPr>
        <w:t xml:space="preserve">trong drivers of rhizosphere microbial richness </w:t>
      </w:r>
      <w:r w:rsidRPr="00B73E8F">
        <w:rPr>
          <w:color w:val="000000" w:themeColor="text1"/>
        </w:rPr>
        <w:fldChar w:fldCharType="begin" w:fldLock="1"/>
      </w:r>
      <w:r w:rsidR="006E1F09">
        <w:rPr>
          <w:color w:val="000000" w:themeColor="text1"/>
        </w:rPr>
        <w:instrText>ADDIN CSL_CITATION {"citationItems":[{"id":"ITEM-1","itemData":{"DOI":"10.1111/j.0030-1299.2005.13650.x","ISSN":"00301299","abstract":"We examined how plant genetic variation and a common herbivore (the leaf-galling aphid, Pemphigus betae) influenced leaf litter quality, decomposition, and nutrient dynamics in a dominant riparian tree (Populus spp.). Based on both observational studies and a herbivore exclusion experiment using trees of known genotype, we found four major patterns: 1) the quality of galled vs non-galled or gall-excluded litter significantly differed in the concentration of condensed tannins, lignin, nitrogen and phosphorus; 2) the difference in litter quality resulted in galled litter decomposing at rates 34 to 40% slower than non-galled litter; 3) plant genotype and herbivory had similar effects on the magnitude of decomposition rate constants; and 4) plant genotype mediated the herbivore effects on leaf litter quality and decomposition, as there were genotype-specific responses to herbivory independent of herbivore density. In contrast to other studies that have demonstrated accelerated ecosystem properties in response to arthropod herbivory, our findings argue that herbivore-induced secondary compounds decelerated ecosystem properties though their ‘‘after-life’’ effects on litter quality. Furthermore, these data are among the first to suggest that genotype-specific responses to herbivores can have a major impact on decomposition and nutrient flux, which likely has important consequences for the spatial distribution of nutrients at the landscape level. Due to the magnitude of these effects, we contend that it is important to incorporate a genetic perspective into ecosystem studies.","author":[{"dropping-particle":"","family":"Schweitzer","given":"Jennifer A.","non-dropping-particle":"","parse-names":false,"suffix":""},{"dropping-particle":"","family":"Bailey","given":"Joseph K.","non-dropping-particle":"","parse-names":false,"suffix":""},{"dropping-particle":"","family":"Hart","given":"Stephen C.","non-dropping-particle":"","parse-names":false,"suffix":""},{"dropping-particle":"","family":"Wimp","given":"Gina M.","non-dropping-particle":"","parse-names":false,"suffix":""},{"dropping-particle":"","family":"Chapman","given":"Samantha K.","non-dropping-particle":"","parse-names":false,"suffix":""},{"dropping-particle":"","family":"Whitham","given":"Thomas G.","non-dropping-particle":"","parse-names":false,"suffix":""}],"container-title":"Oikos","id":"ITEM-1","issue":"1","issued":{"date-parts":[["2005"]]},"page":"133-145","title":"The interaction of plant genotype and herbivory decelerate leaf litter decomposition and alter nutrient dynamics","type":"article-journal","volume":"110"},"uris":["http://www.mendeley.com/documents/?uuid=d56fde73-fca2-4064-8f35-7cd72e561d20"]},{"id":"ITEM-2","itemData":{"DOI":"10.1111/j.1574-6968.2006.00416.x","ISSN":"03781097","abstract":"Lignin is a major determinant of the decomposition of plant materials in soils. Advances in transgenic technology have led to the possibility of modifying lignin to improve the pulping properties of plant materials for papermaking. Previous studies have shown that lignin modifications also affect the rate of plant material decay in soil. The aim of this work was to investigate short-term changes in soil microbial community structures when tobacco residues with reduced activity of enzymes in the monolignol pathway decompose. The residues from lignin-modified plants all decomposed faster than unmodified plant materials. The relative proportions of some of the structural groups of microbial phospholipid fatty acids were affected by genetic modifications, especially the proportion of double unsaturated chain fatty acids, indicative of fungi.","author":[{"dropping-particle":"","family":"Hénault","given":"Catherine","non-dropping-particle":"","parse-names":false,"suffix":""},{"dropping-particle":"","family":"English","given":"Lorna C.","non-dropping-particle":"","parse-names":false,"suffix":""},{"dropping-particle":"","family":"Halpin","given":"Claire","non-dropping-particle":"","parse-names":false,"suffix":""},{"dropping-particle":"","family":"Andreux","given":"Francis","non-dropping-particle":"","parse-names":false,"suffix":""},{"dropping-particle":"","family":"Hopkins","given":"David W.","non-dropping-particle":"","parse-names":false,"suffix":""}],"container-title":"FEMS Microbiology Letters","id":"ITEM-2","issue":"1","issued":{"date-parts":[["2006"]]},"page":"68-75","title":"Microbial community structure in soils with decomposing residues from plants with genetic modifications to lignin biosynthesis","type":"article-journal","volume":"263"},"uris":["http://www.mendeley.com/documents/?uuid=6572a2d6-cf25-4b90-8046-f0b32da68b92"]},{"id":"ITEM-3","itemData":{"DOI":"10.1038/nrmicro3109","ISSN":"1740-1534","PMID":"24056930","abstract":"The rhizosphere is the interface between plant roots and soil where interactions among a myriad of microorganisms and invertebrates affect biogeochemical cycling, plant growth and tolerance to biotic and abiotic stress. The rhizosphere is intriguingly complex and dynamic, and understanding its ecology and evolution is key to enhancing plant productivity and ecosystem functioning. Novel insights into key factors and evolutionary processes shaping the rhizosphere microbiome will greatly benefit from integrating reductionist and systems-based approaches in both agricultural and natural ecosystems. Here, we discuss recent developments in rhizosphere research in relation to assessing the contribution of the micro- and macroflora to sustainable agriculture, nature conservation, the development of bio-energy crops and the mitigation of climate change.","author":[{"dropping-particle":"","family":"Philippot","given":"Laurent","non-dropping-particle":"","parse-names":false,"suffix":""},{"dropping-particle":"","family":"Raaijmakers","given":"Jos M","non-dropping-particle":"","parse-names":false,"suffix":""},{"dropping-particle":"","family":"Lemanceau","given":"Philippe","non-dropping-particle":"","parse-names":false,"suffix":""},{"dropping-particle":"","family":"Putten","given":"Wim H","non-dropping-particle":"van der","parse-names":false,"suffix":""}],"container-title":"Nature reviews. Microbiology","id":"ITEM-3","issue":"11","issued":{"date-parts":[["2013"]]},"page":"789-99","publisher":"Nature Publishing Group","title":"Going back to the roots: the microbial ecology of the rhizosphere.","type":"article-journal","volume":"11"},"uris":["http://www.mendeley.com/documents/?uuid=22e74fb9-3f8c-494a-ad9e-92725fdd9246"]}],"mendeley":{"formattedCitation":"(Schweitzer et al., 2005; Hénault et al., 2006; Philippot et al., 2013)","plainTextFormattedCitation":"(Schweitzer et al., 2005; Hénault et al., 2006; Philippot et al., 2013)","previouslyFormattedCitation":"(Schweitzer et al., 2005; Hénault et al., 2006; Philippot et al.,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(Schweitzer et al., 2005; Hénault et al., 2006; Philippot et al., 2013)</w:t>
      </w:r>
      <w:r w:rsidRPr="00B73E8F">
        <w:rPr>
          <w:color w:val="000000" w:themeColor="text1"/>
        </w:rPr>
        <w:fldChar w:fldCharType="end"/>
      </w:r>
      <w:r w:rsidRPr="00B73E8F">
        <w:rPr>
          <w:color w:val="000000" w:themeColor="text1"/>
        </w:rPr>
        <w:t>. Plant derived organic matter affects soil properties such as pH, organic carbon (C) content, moisture, and nitrogen (N) availability, which directly shape how microorganisms colonize unique microhabitats within soils across large geogr</w:t>
      </w:r>
      <w:r w:rsidRPr="001E4901">
        <w:rPr>
          <w:color w:val="000000" w:themeColor="text1"/>
        </w:rPr>
        <w:t xml:space="preserve">aphic scales </w:t>
      </w:r>
      <w:r w:rsidRPr="00B73E8F">
        <w:rPr>
          <w:color w:val="000000" w:themeColor="text1"/>
        </w:rPr>
        <w:fldChar w:fldCharType="begin" w:fldLock="1"/>
      </w:r>
      <w:r w:rsidR="006E1F09">
        <w:rPr>
          <w:color w:val="000000" w:themeColor="text1"/>
        </w:rPr>
        <w:instrText>ADDIN CSL_CITATION {"citationItems":[{"id":"ITEM-1","itemData":{"DOI":"10.1073/pnas.0507535103","ISBN":"0507535103","ISSN":"0027-8424","PMID":"16407148","abstract":"For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organisms.","author":[{"dropping-particle":"","family":"Fierer","given":"Noah","non-dropping-particle":"","parse-names":false,"suffix":""},{"dropping-particle":"","family":"Jackson","given":"Robert B","non-dropping-particle":"","parse-names":false,"suffix":""}],"container-title":"Proceedings of the National Academy of Sciences of the United States of America","id":"ITEM-1","issue":"3","issued":{"date-parts":[["2006"]]},"page":"626-31","title":"The diversity and biogeography of soil bacterial communities","type":"article-journal","volume":"103"},"uris":["http://www.mendeley.com/documents/?uuid=9b61d678-3884-493e-9d34-61ceb59183df"]},{"id":"ITEM-2","itemData":{"DOI":"10.1038/nrmicro.2017.87","ISSN":"17401534","abstract":"Soil contains a vast diversity of microorganisms that can directly or indirectly modulate soil processes and terrestrial ecosystems. In this Review, Fierer summarizes the challenges in characterizing the composition and functions of the soil microbiome, and discusses key future research directions.","author":[{"dropping-particle":"","family":"Fierer","given":"Noah","non-dropping-particle":"","parse-names":false,"suffix":""}],"container-title":"Nature Reviews Microbiology","id":"ITEM-2","issue":"10","issued":{"date-parts":[["2017"]]},"page":"579-590","publisher":"Nature Publishing Group","title":"Embracing the unknown: Disentangling the complexities of the soil microbiome","type":"article-journal","volume":"15"},"uris":["http://www.mendeley.com/documents/?uuid=ba6198e2-9d61-432c-8e8c-484ffdcb122d"]}],"mendeley":{"formattedCitation":"(Fierer and Jackson, 2006b; Fierer, 2017)","plainTextFormattedCitation":"(Fierer and Jackson, 2006b; Fierer, 2017)","previouslyFormattedCitation":"(Fierer and Jackson, 2006b; Fierer, 2017)"},"properties":{"noteIndex":0},"schema":"https://github.com/citation-style-language/schema/raw/master/csl-citation.json"}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(Fierer and Jackson, 2006b; Fierer, 2017)</w:t>
      </w:r>
      <w:r w:rsidRPr="00B73E8F">
        <w:rPr>
          <w:color w:val="000000" w:themeColor="text1"/>
        </w:rPr>
        <w:fldChar w:fldCharType="end"/>
      </w:r>
      <w:r w:rsidRPr="00B73E8F">
        <w:rPr>
          <w:color w:val="000000" w:themeColor="text1"/>
        </w:rPr>
        <w:t xml:space="preserve">. Further, N-cycling is considerably more specialized within the rhizosphere than in bulk soils lending to their unique species composition </w:t>
      </w:r>
      <w:r w:rsidRPr="00B73E8F">
        <w:rPr>
          <w:color w:val="000000" w:themeColor="text1"/>
        </w:rPr>
        <w:fldChar w:fldCharType="begin" w:fldLock="1"/>
      </w:r>
      <w:r w:rsidR="006E1F09">
        <w:rPr>
          <w:color w:val="000000" w:themeColor="text1"/>
        </w:rPr>
        <w:instrText>ADDIN CSL_CITATION {"citationItems":[{"id":"ITEM-1","itemData":{"DOI":"10.1016/S0168-6496(97)00091-3","ISSN":"01686496","abstract":"The importance of microbial urea turnover in N cycling was investigated in three agricultural soils by comparison of gross N mineralization determined by the 15N-NH4+ dilution technique and urea turnover determined by a new 14C-urea tracer technique. Average urea turnover rates were 1.5 to 4.2 μg N g-1 d-1 indicating that the soil urea pool was turned over every 9 to 30 min. Urea turnover rates were generally lowest in set-aside soil with increasing activities in bulk and rhizosphere soil from a barley field. Gross N mineralization and urea turnover rates were correlated (r = 0.79, P &lt; 0.05) and of similar size in the three soils. The high urea turnover rates indicated that urea-N was immobilized directly in soil microorganisms, rather than mineralized to the free NH4+ pool. Our study suggests that microbial urea turnover, by-passing the conventional mineralization-immobilization pathway involving a free NH4+ pool, has a significant role in N cycling of agricultural soils.","author":[{"dropping-particle":"","family":"Nielsen","given":"Tommy Harder","non-dropping-particle":"","parse-names":false,"suffix":""},{"dropping-particle":"","family":"Bonde","given":"Torben Andreas","non-dropping-particle":"","parse-names":false,"suffix":""},{"dropping-particle":"","family":"Sørensen","given":"Jan","non-dropping-particle":"","parse-names":false,"suffix":""}],"container-title":"FEMS Microbiology Ecology","id":"ITEM-1","issue":"2","issued":{"date-parts":[["1998"]]},"page":"147-157","title":"Significance of microbial urea turnover in N cycling of three Danish agricultural soils","type":"article-journal","volume":"25"},"uris":["http://www.mendeley.com/documents/?uuid=72d9f7b4-7c4f-4ece-874c-6ddc6f8f9489"]}],"mendeley":{"formattedCitation":"(Nielsen et al., 1998)","plainTextFormattedCitation":"(Nielsen et al., 1998)","previouslyFormattedCitation":"(Nielsen et al., 1998)"},"properties":{"noteIndex":0},"schema":"https://github.com/citation-style-language/schema/raw/master/csl-citation.json"}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(Nielsen et al., 1998)</w:t>
      </w:r>
      <w:r w:rsidRPr="00B73E8F">
        <w:rPr>
          <w:color w:val="000000" w:themeColor="text1"/>
        </w:rPr>
        <w:fldChar w:fldCharType="end"/>
      </w:r>
      <w:r w:rsidRPr="00B73E8F">
        <w:rPr>
          <w:color w:val="000000" w:themeColor="text1"/>
        </w:rPr>
        <w:t>. This contributes to the delicate balance between persistent and labile mineralized forms of C and N concentr</w:t>
      </w:r>
      <w:r w:rsidRPr="001E4901">
        <w:rPr>
          <w:color w:val="000000" w:themeColor="text1"/>
        </w:rPr>
        <w:t xml:space="preserve">ations within the rhizosphere, effectively pulling resource-dependent, microbes towards these sources at the root </w:t>
      </w:r>
      <w:r w:rsidRPr="00B73E8F">
        <w:rPr>
          <w:color w:val="000000" w:themeColor="text1"/>
        </w:rPr>
        <w:fldChar w:fldCharType="begin" w:fldLock="1"/>
      </w:r>
      <w:r w:rsidR="006E1F09">
        <w:rPr>
          <w:color w:val="000000" w:themeColor="text1"/>
        </w:rPr>
        <w:instrText>ADDIN CSL_CITATION {"citationItems":[{"id":"ITEM-1","itemData":{"DOI":"10.1128/JB.188.10.3697-3708.2006","ISSN":"0021-9193","PMID":"16672623","abstract":"Ralstonia solanacearum, a soilborne plant pathogen of considerable economic importance, invades host plant roots from the soil. Qualitative and quantitative chemotaxis assays revealed that this bacterium is specifically attracted to diverse amino acids and organic acids, and especially to root exudates from the host plant tomato. Exudates from rice, a nonhost plant, were less attractive. Eight different strains from this heterogeneous species complex varied significantly in their attraction to a panel of carbohydrate stimuli, raising the possibility that chemotactic responses may be differentially selected traits that confer adaptation to various hosts or ecological conditions. Previous studies found that an aflagellate mutant lacking swimming motility is significantly reduced in virulence, but the role of directed motility mediated by the chemotaxis system was not known. Two site-directed R. solanacearum mutants lacking either CheA or CheW, which are core chemotaxis signal transduction proteins, were completely nonchemotactic but retained normal swimming motility. In biologically realistic soil soak virulence assays on tomato plants, both nonchemotactic mutants had significantly reduced virulence indistinguishable from that of a nonmotile mutant, demonstrating that directed motility, not simply random motion, is required for full virulence. In contrast, nontactic strains were as virulent as the wild-type strain was when bacteria were introduced directly into the plant stem through a cut petiole, indicating that taxis makes its contribution to virulence in the early stages of host invasion and colonization. When inoculated individually by soaking the soil, both nontactic mutants reached the same population sizes as the wild type did in the stems of tomato plants just beginning to wilt. However, when tomato plants were coinoculated with a 1:1 mixture of a nontactic mutant and its wild-type parent, the wild-type strain outcompeted both nontactic mutants by 100-fold. Together, these results indicate that chemotaxis is an important trait for virulence and pathogenic fitness in this plant pathogen.","author":[{"dropping-particle":"","family":"Yao","given":"Jian","non-dropping-particle":"","parse-names":false,"suffix":""},{"dropping-particle":"","family":"Allen","given":"Caitilyn","non-dropping-particle":"","parse-names":false,"suffix":""}],"container-title":"Journal of bacteriology","id":"ITEM-1","issue":"10","issued":{"date-parts":[["2006"]]},"page":"3697-708","title":"Chemotaxis is required for virulence and competitive fitness of the bacterial wilt pathogen Ralstonia solanacearum.","type":"article-journal","volume":"188"},"uris":["http://www.mendeley.com/documents/?uuid=0de297b3-81d0-4346-8eb3-ed5207486708"]}],"mendeley":{"formattedCitation":"(Yao and Allen, 2006)","plainTextFormattedCitation":"(Yao and Allen, 2006)","previouslyFormattedCitation":"(Yao and Allen, 2006)"},"properties":{"noteIndex":0},"schema":"https://github.com/citation-style-language/schema/raw/master/csl-citation.json"}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(Yao and Allen, 2006)</w:t>
      </w:r>
      <w:r w:rsidRPr="00B73E8F">
        <w:rPr>
          <w:color w:val="000000" w:themeColor="text1"/>
        </w:rPr>
        <w:fldChar w:fldCharType="end"/>
      </w:r>
      <w:r w:rsidRPr="00B73E8F">
        <w:rPr>
          <w:color w:val="000000" w:themeColor="text1"/>
        </w:rPr>
        <w:t xml:space="preserve">. </w:t>
      </w:r>
    </w:p>
    <w:p w14:paraId="78EE672E" w14:textId="37E6D0F7" w:rsidR="00220221" w:rsidRPr="001E4901" w:rsidRDefault="00220221" w:rsidP="002A797A">
      <w:pPr>
        <w:spacing w:line="360" w:lineRule="auto"/>
        <w:ind w:firstLine="720"/>
        <w:rPr>
          <w:color w:val="000000" w:themeColor="text1"/>
        </w:rPr>
      </w:pPr>
      <w:r w:rsidRPr="001E4901">
        <w:rPr>
          <w:color w:val="000000" w:themeColor="text1"/>
        </w:rPr>
        <w:t xml:space="preserve">A contributing factor in the structure of microbial communities of the rhizosphere may be the spatial relationship with root developmental age. The root can be divided into several spatial components based on developmental maturity, also known as root zones. Yang and Crowley </w:t>
      </w:r>
      <w:r w:rsidRPr="00B73E8F">
        <w:rPr>
          <w:color w:val="000000" w:themeColor="text1"/>
        </w:rPr>
        <w:fldChar w:fldCharType="begin" w:fldLock="1"/>
      </w:r>
      <w:r w:rsidR="006E1F09">
        <w:rPr>
          <w:color w:val="000000" w:themeColor="text1"/>
        </w:rPr>
        <w:instrText>ADDIN CSL_CITATION {"citationItems":[{"id":"ITEM-1","itemData":{"DOI":"10.1128/AEM.66.1.345-351.2000.Updated","author":[{"dropping-particle":"","family":"Yang","given":"Ching-hong","non-dropping-particle":"","parse-names":false,"suffix":""},{"dropping-particle":"","family":"Crowley","given":"David E","non-dropping-particle":"","parse-names":false,"suffix":""}],"container-title":"Applied and Environmental Microbiology","id":"ITEM-1","issue":"1","issued":{"date-parts":[["2000"]]},"page":"345-351","title":"Rhizosphere Microbial Community Structure in Relation to Root Location and Plant Iron Nutritional Status Downloaded from http://aem.asm.org/ on January 11 , 2018 by NATIONAL CENTRE FOR CELL SCIENCE ( NCCS )","type":"article-journal","volume":"66"},"uris":["http://www.mendeley.com/documents/?uuid=ec08baf3-ae0b-4b58-88d2-edf1f72f4db6"]}],"mendeley":{"formattedCitation":"(Yang and Crowley, 2000)","plainTextFormattedCitation":"(Yang and Crowley, 2000)","previouslyFormattedCitation":"(Yang and Crowley, 2000)"},"properties":{"noteIndex":0},"schema":"https://github.com/citation-style-language/schema/raw/master/csl-citation.json"}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(Yang and Crowley, 2000)</w:t>
      </w:r>
      <w:r w:rsidRPr="00B73E8F">
        <w:rPr>
          <w:color w:val="000000" w:themeColor="text1"/>
        </w:rPr>
        <w:fldChar w:fldCharType="end"/>
      </w:r>
      <w:r w:rsidRPr="00B73E8F">
        <w:rPr>
          <w:color w:val="000000" w:themeColor="text1"/>
        </w:rPr>
        <w:t xml:space="preserve"> showed that eubacterial communities vary in respect to developmental zones along the root by measuring community structure with a PCR-denaturing gel electrophoresis. They also discovered that community richness within each zone is de</w:t>
      </w:r>
      <w:r w:rsidRPr="001E4901">
        <w:rPr>
          <w:color w:val="000000" w:themeColor="text1"/>
        </w:rPr>
        <w:t xml:space="preserve">pendent upon differences among soil types. Therefore, an amalgam of host effects and abiotic conditions </w:t>
      </w:r>
      <w:r w:rsidRPr="001E4901">
        <w:rPr>
          <w:color w:val="000000" w:themeColor="text1"/>
        </w:rPr>
        <w:lastRenderedPageBreak/>
        <w:t xml:space="preserve">in the rhizosphere environment are strong determinants of microbial survival and assemblages </w:t>
      </w:r>
      <w:r w:rsidRPr="00B73E8F">
        <w:rPr>
          <w:color w:val="000000" w:themeColor="text1"/>
        </w:rPr>
        <w:fldChar w:fldCharType="begin" w:fldLock="1"/>
      </w:r>
      <w:r w:rsidR="006E1F09">
        <w:rPr>
          <w:color w:val="000000" w:themeColor="text1"/>
        </w:rPr>
        <w:instrText>ADDIN CSL_CITATION {"citationItems":[{"id":"ITEM-1","itemData":{"DOI":"10.1111/1758-2229.12194","ISBN":"1758-2229","ISSN":"17582229","PMID":"25870878","abstract":"Nitrogen (N) deposition in many areas of the world is over an order of magnitude greater than it would be in absence of human activity. We ask how abiotic (N) and biotic (plant host and neighborhood) effects interact to influence root-associated bacterial (RAB) community assembly. Using 454 pyrosequencing, we examined RAB communities from two dominant alpine tundra plants, Geum rossii and Deschampsia cespitosa, under control, N addition and D. cespitosa removal treatments, implemented in a factorial design. We hypothesized that host would have the strongest effect on RAB assembly, followed by N, then neighbor effects. The most dominant phyla were Proteobacte- ria (mostly Gammaproteobacteria), Actinobacteria, Bacteroidetes and Acidobacteria. We found RAB communities were host specific, with only 17% overlap in operational taxonomic units. Host effects on composition were over twice as strong as N effects. D. cespitosa RAB diversity declined with N, while G. rossii RAB did not. D. cespitosa removal did not influence G. rossii RAB community composition, but G. rossii RAB diversity declined with N only when D. cespitosa was absent. We conclude that RAB of both hosts are sensitive to N enrichment, and RAB response to N is influenced by host identity and plant neighborhood.","author":[{"dropping-particle":"","family":"Dean","given":"Sarah L","non-dropping-particle":"","parse-names":false,"suffix":""},{"dropping-particle":"","family":"Farrer","given":"Emily C","non-dropping-particle":"","parse-names":false,"suffix":""},{"dropping-particle":"","family":"Porras-Alfaro","given":"Andrea","non-dropping-particle":"","parse-names":false,"suffix":""},{"dropping-particle":"","family":"Suding","given":"Katharine N","non-dropping-particle":"","parse-names":false,"suffix":""},{"dropping-particle":"","family":"Sinsabaugh","given":"Robert L","non-dropping-particle":"","parse-names":false,"suffix":""}],"container-title":"Environmental Microbiology Reports","id":"ITEM-1","issue":"1","issued":{"date-parts":[["2015"]]},"page":"102-110","title":"Assembly of root-associated bacteria communities: Interactions between abiotic and biotic factors","type":"article-journal","volume":"7"},"uris":["http://www.mendeley.com/documents/?uuid=b48fb728-33df-47e8-a5d2-8ab0466f640c"]}],"mendeley":{"formattedCitation":"(Dean et al., 2015)","plainTextFormattedCitation":"(Dean et al., 2015)","previouslyFormattedCitation":"(Dean et al., 2015)"},"properties":{"noteIndex":0},"schema":"https://github.com/citation-style-language/schema/raw/master/csl-citation.json"}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(Dean et al., 2015)</w:t>
      </w:r>
      <w:r w:rsidRPr="00B73E8F">
        <w:rPr>
          <w:color w:val="000000" w:themeColor="text1"/>
        </w:rPr>
        <w:fldChar w:fldCharType="end"/>
      </w:r>
      <w:r w:rsidRPr="00B73E8F">
        <w:rPr>
          <w:color w:val="000000" w:themeColor="text1"/>
        </w:rPr>
        <w:t>. With a firm understanding of how host associated microbial communities respond to these selective agents, it is imperative to further investigate how spatial sampling within the rhizosphe</w:t>
      </w:r>
      <w:r w:rsidRPr="001E4901">
        <w:rPr>
          <w:color w:val="000000" w:themeColor="text1"/>
        </w:rPr>
        <w:t>re contributes to heterogeneity in bacterial richness recovered with high resolution 16S rRNA gene sequencing.</w:t>
      </w:r>
    </w:p>
    <w:p w14:paraId="6CF94ABE" w14:textId="7B405B61" w:rsidR="00220221" w:rsidRPr="001E4901" w:rsidRDefault="00220221" w:rsidP="00597264">
      <w:pPr>
        <w:spacing w:line="360" w:lineRule="auto"/>
        <w:ind w:firstLine="720"/>
        <w:rPr>
          <w:color w:val="000000" w:themeColor="text1"/>
        </w:rPr>
      </w:pPr>
      <w:r w:rsidRPr="001E4901">
        <w:rPr>
          <w:color w:val="000000" w:themeColor="text1"/>
        </w:rPr>
        <w:t xml:space="preserve">Developmental root zones can serve as a means to understand the spatial structure and maintenance of community level heterogeneity in the context of plant rhizosphere-microbiome interactions </w:t>
      </w:r>
      <w:r w:rsidRPr="00B73E8F">
        <w:rPr>
          <w:color w:val="000000" w:themeColor="text1"/>
        </w:rPr>
        <w:fldChar w:fldCharType="begin" w:fldLock="1"/>
      </w:r>
      <w:r w:rsidR="006E1F09">
        <w:rPr>
          <w:color w:val="000000" w:themeColor="text1"/>
        </w:rPr>
        <w:instrText>ADDIN CSL_CITATION {"citationItems":[{"id":"ITEM-1","itemData":{"author":[{"dropping-particle":"","family":"Borcard","given":"Daniel","non-dropping-particle":"","parse-names":false,"suffix":""},{"dropping-particle":"","family":"Legendre","given":"Pierre","non-dropping-particle":"","parse-names":false,"suffix":""},{"dropping-particle":"","family":"Drapeau","given":"Pierre","non-dropping-particle":"","parse-names":false,"suffix":""}],"container-title":"Ecology","id":"ITEM-1","issue":"3","issued":{"date-parts":[["1992"]]},"page":"1045-1055","title":"Partialling out the Spatial Component of Ecological Variation","type":"article-journal","volume":"73"},"uris":["http://www.mendeley.com/documents/?uuid=919b6a83-c26c-482d-8e43-bd10ef711152"]},{"id":"ITEM-2","itemData":{"abstract":"Robert H. Whittaker defined beta diversity as the variation in species com- position among sites in a geographic area. Beta diversity is a key concept for understanding the functioning of ecosystems, for the conservation of biodiversity, and for ecosystem management. This paper explains how hypotheses about the origin of beta diversity can be tested by partitioning the spatial variation of community composition data (presence– absence or abundance data) with respect to environmental variables and spatial base func- tions. We compare two statistical methods to accomplish that. The sum-of-squares of a community composition data table, which is one possible measure of beta diversity, is correctly partitioned by canonical ordination; hence, canonical partitioning produces correct estimates of the different portions of community composition variation. In recent years, several authors interested in the variation in community composition among sites (beta diversity) have used another method, variation partitioning on distance matrices (Mantel approach). Their results led us to compare the two partitioning approaches, using simulated data generated under hypotheses about the variation of community composition among sites. The theoretical developments and simulation results led to the following observations: (1) the variance of a community composition table is a measure of beta diversity. (2) The variance of a dissimilarity matrix among sites is not the variance of the community com- position table nor a measure of beta diversity; hence, partitioning on distance matrices should not be used to study the variation in community composition among sites. (3) In all of our simulations, partitioning on distance matrices underestimated the amount of variation in community composition explained by the raw-data approach, and (4) the tests of significance had less power than the tests of canonical ordination. Hence, the proper statistical procedure for partitioning the spatial variation of community composition data among environmental and spatial components, and for testing hypotheses about the origin and maintenance of variation in community composition among sites, is canonical parti- tioning. The Mantel approach is appropriate for testing other hypotheses, such as the var- iation in beta diversity among groups of sites. Regression on distance matrices is also appropriate for fitting models to similarity decay plots.","author":[{"dropping-particle":"","family":"Legendre","given":"Pierre","non-dropping-particle":"","parse-names":false,"suffix":""},{"dropping-particle":"","family":"Borcard","given":"Daniel","non-dropping-particle":"","parse-names":false,"suffix":""},{"dropping-particle":"","family":"Peres-Neto","given":"Pedro R","non-dropping-particle":"","parse-names":false,"suffix":""}],"container-title":"Ecological Monographs","id":"ITEM-2","issue":"4","issued":{"date-parts":[["2005"]]},"page":"435-450","title":"Analyzing beta diversity: Partioning the spatial variation of community composition data","type":"article-journal","volume":"75"},"uris":["http://www.mendeley.com/documents/?uuid=9e1d91ab-4267-4e41-8a20-799a27fe7b8b"]},{"id":"ITEM-3","itemData":{"author":[{"dropping-particle":"","family":"Agrawal","given":"Anurag A","non-dropping-particle":"","parse-names":false,"suffix":""},{"dropping-particle":"","family":"Ackerly","given":"David D","non-dropping-particle":"","parse-names":false,"suffix":""},{"dropping-particle":"","family":"Adler","given":"Fred","non-dropping-particle":"","parse-names":false,"suffix":""},{"dropping-particle":"","family":"Arnold","given":"A Elizabeth","non-dropping-particle":"","parse-names":false,"suffix":""},{"dropping-particle":"","family":"Cáceres","given":"Carla","non-dropping-particle":"","parse-names":false,"suffix":""},{"dropping-particle":"","family":"Doak","given":"Daniel F","non-dropping-particle":"","parse-names":false,"suffix":""},{"dropping-particle":"","family":"Post","given":"Eric","non-dropping-particle":"","parse-names":false,"suffix":""},{"dropping-particle":"","family":"Hudson","given":"Peter J","non-dropping-particle":"","parse-names":false,"suffix":""},{"dropping-particle":"","family":"Maron","given":"John","non-dropping-particle":"","parse-names":false,"suffix":""},{"dropping-particle":"","family":"Mooney","given":"Kailen A","non-dropping-particle":"","parse-names":false,"suffix":""},{"dropping-particle":"","family":"Power","given":"Mary","non-dropping-particle":"","parse-names":false,"suffix":""},{"dropping-particle":"","family":"Schemske","given":"Doug","non-dropping-particle":"","parse-names":false,"suffix":""},{"dropping-particle":"","family":"Stachowicz","given":"Jay","non-dropping-particle":"","parse-names":false,"suffix":""},{"dropping-particle":"","family":"Strauss","given":"Sharon","non-dropping-particle":"","parse-names":false,"suffix":""},{"dropping-particle":"","family":"Turner","given":"Monica G","non-dropping-particle":"","parse-names":false,"suffix":""},{"dropping-particle":"","family":"Werner","given":"Earl","non-dropping-particle":"","parse-names":false,"suffix":""}],"container-title":"Fronteirs of Ecology","id":"ITEM-3","issue":"3","issued":{"date-parts":[["2007"]]},"page":"145-152","title":"Filling key gaps in population and community ecology","type":"article-journal","volume":"5"},"uris":["http://www.mendeley.com/documents/?uuid=173f7936-3e2c-421b-b6d8-b3c0d7951153"]}],"mendeley":{"formattedCitation":"(Borcard et al., 1992; Legendre et al., 2005; Agrawal et al., 2007)","plainTextFormattedCitation":"(Borcard et al., 1992; Legendre et al., 2005; Agrawal et al., 2007)","previouslyFormattedCitation":"(Borcard et al., 1992; Legendre et al., 2005; Agrawal et al., 2007)"},"properties":{"noteIndex":0},"schema":"https://github.com/citation-style-language/schema/raw/master/csl-citation.json"}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(Borcard et al., 1992; Legendre et al., 2005; Agrawal et al., 2007)</w:t>
      </w:r>
      <w:r w:rsidRPr="00B73E8F">
        <w:rPr>
          <w:color w:val="000000" w:themeColor="text1"/>
        </w:rPr>
        <w:fldChar w:fldCharType="end"/>
      </w:r>
      <w:r w:rsidRPr="00B73E8F">
        <w:rPr>
          <w:color w:val="000000" w:themeColor="text1"/>
        </w:rPr>
        <w:t xml:space="preserve">. The development of root tissue is regulated by plant or bacterial produced auxins and environmental factors like soil aggregates </w:t>
      </w:r>
      <w:r w:rsidRPr="00B73E8F">
        <w:rPr>
          <w:color w:val="000000" w:themeColor="text1"/>
        </w:rPr>
        <w:fldChar w:fldCharType="begin" w:fldLock="1"/>
      </w:r>
      <w:r w:rsidR="006E1F09">
        <w:rPr>
          <w:color w:val="000000" w:themeColor="text1"/>
        </w:rPr>
        <w:instrText>ADDIN CSL_CITATION {"citationItems":[{"id":"ITEM-1","itemData":{"DOI":"10.1016/j.pbi.2011.10.006","ISSN":"13695266","abstract":"A key question in plant developmental biology is how cell division and cell differentiation are balanced to modulate organ growth and shape organ size. In recent years, several advances have been made in understanding how this balance is achieved during root development. In the Arabidopsis root meristem, stem cells in the apical region of the meristem self-renew and produce daughter cells that differentiate in the distal meristem transition zone. Several factors have been implicated in controlling the different functional zones of the root meristem to modulate root growth; among these, plant hormones have been shown to play a main role. In this review, we summarize recent findings regarding the role of hormone signaling and transcriptional networks in regulating root development. © 2011 Elsevier Ltd.","author":[{"dropping-particle":"","family":"Perilli","given":"Serena","non-dropping-particle":"","parse-names":false,"suffix":""},{"dropping-particle":"","family":"Mambro","given":"Riccardo","non-dropping-particle":"Di","parse-names":false,"suffix":""},{"dropping-particle":"","family":"Sabatini","given":"Sabrina","non-dropping-particle":"","parse-names":false,"suffix":""}],"container-title":"Current Opinion in Plant Biology","id":"ITEM-1","issue":"1","issued":{"date-parts":[["2012"]]},"page":"17-23","publisher":"Elsevier Ltd","title":"Growth and development of the root apical meristem","type":"article-journal","volume":"15"},"uris":["http://www.mendeley.com/documents/?uuid=64ebbd22-7a0a-483a-8c30-331302ab1cbc"]},{"id":"ITEM-2","itemData":{"author":[{"dropping-particle":"","family":"Smucker","given":"A. J. M.","non-dropping-particle":"","parse-names":false,"suffix":""}],"container-title":"Annual Review of Phytopathology","id":"ITEM-2","issue":"1","issued":{"date-parts":[["1993"]]},"page":"191-216","title":"Soil enviornmental modifications of root dynamics and measurment","type":"article-journal","volume":"31"},"uris":["http://www.mendeley.com/documents/?uuid=14bc56e4-6ea7-41b6-8846-45e2f74e858e"]}],"mendeley":{"formattedCitation":"(Smucker, 1993; Perilli et al., 2012)","plainTextFormattedCitation":"(Smucker, 1993; Perilli et al., 2012)","previouslyFormattedCitation":"(Smucker, 1993; Perilli et al., 2012)"},"properties":{"noteIndex":0},"schema":"https://github.com/citation-style-language/schema/raw/master/csl-citation.json"}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(Smucker, 1993; Perilli et al., 2012)</w:t>
      </w:r>
      <w:r w:rsidRPr="00B73E8F">
        <w:rPr>
          <w:color w:val="000000" w:themeColor="text1"/>
        </w:rPr>
        <w:fldChar w:fldCharType="end"/>
      </w:r>
      <w:r w:rsidRPr="00B73E8F">
        <w:rPr>
          <w:color w:val="000000" w:themeColor="text1"/>
        </w:rPr>
        <w:t xml:space="preserve">. Each root zone harbors unique microbial reservoirs due to favorable plant compounds, soil nutrients, and limited competition among other microbes </w:t>
      </w:r>
      <w:r w:rsidRPr="00B73E8F">
        <w:rPr>
          <w:color w:val="000000" w:themeColor="text1"/>
        </w:rPr>
        <w:fldChar w:fldCharType="begin" w:fldLock="1"/>
      </w:r>
      <w:r w:rsidR="006E1F09">
        <w:rPr>
          <w:color w:val="000000" w:themeColor="text1"/>
        </w:rPr>
        <w:instrText>ADDIN CSL_CITATION {"citationItems":[{"id":"ITEM-1","itemData":{"DOI":"10.1038/s41564-018-0129-3","ISSN":"20585276","abstract":"© 2018 The Author(s) Like all higher organisms, plants have evolved in the context of a microbial world, shaping both their evolution and their contemporary ecology. Interactions between plant roots and soil microorganisms are critical for plant fitness in natural environments. Given this co-evolution and the pivotal importance of plant–microbial interactions, it has been hypothesized, and a growing body of literature suggests, that plants may regulate the composition of their rhizosphere to promote the growth of microorganisms that improve plant fitness in a given ecosystem. Here, using a combination of comparative genomics and exometabolomics, we show that pre-programmed developmental processes in plants (Avena barbata) result in consistent patterns in the chemical composition of root exudates. This chemical succession in the rhizosphere interacts with microbial metabolite substrate preferences that are predictable from genome sequences. Specifically, we observed a preference by rhizosphere bacteria for consumption of aromatic organic acids exuded by plants (nicotinic, shikimic, salicylic, cinnamic and indole-3-acetic). The combination of these plant exudation traits and microbial substrate uptake traits interact to yield the patterns of microbial community assembly observed in the rhizosphere of an annual grass. This discovery provides a mechanistic underpinning for the process of rhizosphere microbial community assembly and provides an attractive direction for the manipulation of the rhizosphere microbiome for beneficial outcomes.","author":[{"dropping-particle":"","family":"Zhalnina","given":"Kateryna","non-dropping-particle":"","parse-names":false,"suffix":""},{"dropping-particle":"","family":"Louie","given":"Katherine B","non-dropping-particle":"","parse-names":false,"suffix":""},{"dropping-particle":"","family":"Hao","given":"Zhao","non-dropping-particle":"","parse-names":false,"suffix":""},{"dropping-particle":"","family":"Mansoori","given":"Nasim","non-dropping-particle":"","parse-names":false,"suffix":""},{"dropping-particle":"","family":"Rocha","given":"Ulisses Nunes","non-dropping-particle":"Da","parse-names":false,"suffix":""},{"dropping-particle":"","family":"Shi","given":"Shengjing","non-dropping-particle":"","parse-names":false,"suffix":""},{"dropping-particle":"","family":"Cho","given":"Heejung","non-dropping-particle":"","parse-names":false,"suffix":""},{"dropping-particle":"","family":"Karaoz","given":"Ulas","non-dropping-particle":"","parse-names":false,"suffix":""},{"dropping-particle":"","family":"Loqué","given":"Dominique","non-dropping-particle":"","parse-names":false,"suffix":""},{"dropping-particle":"","family":"Bowen","given":"Benjamin P","non-dropping-particle":"","parse-names":false,"suffix":""},{"dropping-particle":"","family":"Firestone","given":"Mary K","non-dropping-particle":"","parse-names":false,"suffix":""},{"dropping-particle":"","family":"Northen","given":"Trent R","non-dropping-particle":"","parse-names":false,"suffix":""},{"dropping-particle":"","family":"Brodie","given":"Eoin L","non-dropping-particle":"","parse-names":false,"suffix":""}],"container-title":"Nature Microbiology","id":"ITEM-1","issue":"4","issued":{"date-parts":[["2018"]]},"page":"470-480","title":"Dynamic root exudate chemistry and microbial substrate preferences drive patterns in rhizosphere microbial community assembly","type":"article-journal","volume":"3"},"uris":["http://www.mendeley.com/documents/?uuid=16a9a842-2736-45d8-8458-6376db56e5bf"]},{"id":"ITEM-2","itemData":{"DOI":"10.1007/978-3-319-08575-3","ISBN":"9783319085753","abstract":"The use of microbial plant protection products is growing and their importance will strongly increase due to political and public pressure. World population is growing and the amount of food needed by 2050 will be double of what is produced now whereas the area of agricultural land is decreasing. We must increase crop yield in a sustainable way. Chemical plant growth promoters must be replaced by microbiological products. Also here, the use of microbial products is growing and their importance will strongly increase. A growing area of agricultural land is salinated. Global warming will increase this process. Plants growth is inhibited by salt or even made impossible and farmers tend to disuse the most salinated lands. Microbes have been very successfully used to alleviate salt stress of plants. Chemical pollution of land can make plant growth difficult and crops grown are often polluted and not suitable for consumption. Microbes have been used to degrade these chemical pollutants.","author":[{"dropping-particle":"","family":"Lugtenberg","given":"Ben","non-dropping-particle":"","parse-names":false,"suffix":""}],"container-title":"Principles of Plant-Microbe Interactions: Microbes for Sustainable Agriculture","id":"ITEM-2","issued":{"date-parts":[["2015"]]},"number-of-pages":"7-15","title":"Life of Microbes in the Rhizosphere","type":"book","volume":"3"},"uris":["http://www.mendeley.com/documents/?uuid=8d9640f2-17ac-4f21-b778-27a7bb94558c"]}],"mendeley":{"formattedCitation":"(Lugtenberg, 2015; Zhalnina et al., 2018)","plainTextFormattedCitation":"(Lugtenberg, 2015; Zhalnina et al., 2018)","previouslyFormattedCitation":"(Lugtenberg, 2015; Zhalnina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(Lugtenberg, 2015; Zhalnina et al., 2018)</w:t>
      </w:r>
      <w:r w:rsidRPr="00B73E8F">
        <w:rPr>
          <w:color w:val="000000" w:themeColor="text1"/>
        </w:rPr>
        <w:fldChar w:fldCharType="end"/>
      </w:r>
      <w:r w:rsidRPr="00B73E8F">
        <w:rPr>
          <w:color w:val="000000" w:themeColor="text1"/>
        </w:rPr>
        <w:t>. Most studies using a pooled, coarse sampling resolution to characterize plant associated microbiomes fail to capture this heterogeneity across root zones, or corresponding rhizosphere m</w:t>
      </w:r>
      <w:r w:rsidRPr="001E4901">
        <w:rPr>
          <w:color w:val="000000" w:themeColor="text1"/>
        </w:rPr>
        <w:t>icrohabitats. Thus, combining multiple, fine grain samples from different root zones, or from multiple depths within the rhizosphere might explain scale dependent variation of the rhizosphere microbiome.</w:t>
      </w:r>
    </w:p>
    <w:p w14:paraId="0BCECCD9" w14:textId="7495C350" w:rsidR="00597264" w:rsidRPr="00B73E8F" w:rsidRDefault="00597264" w:rsidP="00597264">
      <w:pPr>
        <w:spacing w:line="360" w:lineRule="auto"/>
        <w:rPr>
          <w:color w:val="000000" w:themeColor="text1"/>
        </w:rPr>
      </w:pPr>
      <w:r>
        <w:rPr>
          <w:color w:val="000000" w:themeColor="text1"/>
        </w:rPr>
        <w:tab/>
      </w:r>
      <w:r w:rsidR="00220221" w:rsidRPr="001E4901">
        <w:rPr>
          <w:color w:val="000000" w:themeColor="text1"/>
        </w:rPr>
        <w:t xml:space="preserve">In this study, we sampled from three depths, or distances from the soil surface, within the rhizosphere microhabitat of </w:t>
      </w:r>
      <w:r w:rsidR="00220221" w:rsidRPr="001E4901">
        <w:rPr>
          <w:i/>
          <w:color w:val="000000" w:themeColor="text1"/>
        </w:rPr>
        <w:t>Salvia lyrata</w:t>
      </w:r>
      <w:r w:rsidR="00220221" w:rsidRPr="001E4901">
        <w:rPr>
          <w:color w:val="000000" w:themeColor="text1"/>
        </w:rPr>
        <w:t xml:space="preserve"> to ask: How does rarefied bacterial richness and relative abundance compare between discrete rhizosphere depths and a combined rhizosphere sample from the same plant? Further, we ask how does rarefied bacterial richness, the raw number of reads, and relative abundance in reads compare between differences in sampling grain? To achieve this, we utilized two types of pooling methods to examine the impact of sampling resolution. These were pooling rhizosphere samples from each depth prior to DNA extraction (</w:t>
      </w:r>
      <w:r w:rsidR="00220221" w:rsidRPr="001E4901">
        <w:rPr>
          <w:i/>
          <w:color w:val="000000" w:themeColor="text1"/>
        </w:rPr>
        <w:t>in vitro</w:t>
      </w:r>
      <w:r w:rsidR="00220221" w:rsidRPr="001E4901">
        <w:rPr>
          <w:color w:val="000000" w:themeColor="text1"/>
        </w:rPr>
        <w:t>) and combining community data tables post sequencing and processing (</w:t>
      </w:r>
      <w:r w:rsidR="00220221" w:rsidRPr="001E4901">
        <w:rPr>
          <w:i/>
          <w:color w:val="000000" w:themeColor="text1"/>
        </w:rPr>
        <w:t>in silico</w:t>
      </w:r>
      <w:r w:rsidR="005355D9">
        <w:rPr>
          <w:iCs/>
          <w:color w:val="000000" w:themeColor="text1"/>
        </w:rPr>
        <w:t xml:space="preserve">, </w:t>
      </w:r>
      <w:r w:rsidR="005355D9">
        <w:rPr>
          <w:b/>
          <w:bCs/>
          <w:iCs/>
          <w:color w:val="000000" w:themeColor="text1"/>
        </w:rPr>
        <w:t>Figure</w:t>
      </w:r>
      <w:r w:rsidR="00220221" w:rsidRPr="00E05741">
        <w:rPr>
          <w:b/>
          <w:bCs/>
          <w:iCs/>
          <w:color w:val="000000" w:themeColor="text1"/>
        </w:rPr>
        <w:t xml:space="preserve"> </w:t>
      </w:r>
      <w:r w:rsidR="0005015C">
        <w:rPr>
          <w:b/>
          <w:bCs/>
          <w:iCs/>
          <w:color w:val="000000" w:themeColor="text1"/>
        </w:rPr>
        <w:t>2</w:t>
      </w:r>
      <w:r w:rsidR="00220221" w:rsidRPr="001E4901">
        <w:rPr>
          <w:iCs/>
          <w:color w:val="000000" w:themeColor="text1"/>
        </w:rPr>
        <w:t>)</w:t>
      </w:r>
      <w:r w:rsidR="00220221" w:rsidRPr="001E4901">
        <w:rPr>
          <w:color w:val="000000" w:themeColor="text1"/>
        </w:rPr>
        <w:t>. Our overarching hypothesis is that rhizosphere bacterial richness and relative abundance correlates with spatially dependent sampling conditions that exist along root depth in the rhizosphere environment. We predict that microbiomes from each rhizosphere depth capture more information on rare species (i.e.</w:t>
      </w:r>
      <w:r w:rsidR="00E05741">
        <w:rPr>
          <w:color w:val="000000" w:themeColor="text1"/>
        </w:rPr>
        <w:t>,</w:t>
      </w:r>
      <w:r w:rsidR="00220221" w:rsidRPr="001E4901">
        <w:rPr>
          <w:color w:val="000000" w:themeColor="text1"/>
        </w:rPr>
        <w:t xml:space="preserve"> rare across all samples) than a single coarse grain representative sample from the same rhizosphere. Additionally, we predict that sampling resolution will impact the characterization of rarefied bacterial community richness via differences in 16S rRNA gene capture, where coarse resolutions favor predominant groups of </w:t>
      </w:r>
      <w:r>
        <w:rPr>
          <w:color w:val="000000" w:themeColor="text1"/>
        </w:rPr>
        <w:br w:type="page"/>
      </w:r>
      <w:r w:rsidRPr="00B73E8F">
        <w:rPr>
          <w:noProof/>
          <w:color w:val="000000" w:themeColor="text1"/>
        </w:rPr>
        <w:lastRenderedPageBreak/>
        <w:drawing>
          <wp:inline distT="0" distB="0" distL="0" distR="0" wp14:anchorId="56356CAE" wp14:editId="5A972C92">
            <wp:extent cx="5486400" cy="297561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2975610"/>
                    </a:xfrm>
                    <a:prstGeom prst="rect">
                      <a:avLst/>
                    </a:prstGeom>
                  </pic:spPr>
                </pic:pic>
              </a:graphicData>
            </a:graphic>
          </wp:inline>
        </w:drawing>
      </w:r>
    </w:p>
    <w:p w14:paraId="17954FAA" w14:textId="77777777" w:rsidR="00597264" w:rsidRDefault="00597264" w:rsidP="00597264">
      <w:pPr>
        <w:pStyle w:val="Caption"/>
        <w:rPr>
          <w:b/>
        </w:rPr>
      </w:pPr>
      <w:bookmarkStart w:id="7" w:name="_Toc102046872"/>
      <w:bookmarkStart w:id="8" w:name="_Toc82431282"/>
      <w:bookmarkStart w:id="9" w:name="_Toc82433606"/>
      <w:r w:rsidRPr="00B73E8F">
        <w:t xml:space="preserve">Figure </w:t>
      </w:r>
      <w:r>
        <w:t>2</w:t>
      </w:r>
      <w:r w:rsidRPr="00B73E8F">
        <w:t xml:space="preserve">. </w:t>
      </w:r>
      <w:r w:rsidRPr="001E4901">
        <w:t xml:space="preserve">A conceptual outline describing the spatial structure </w:t>
      </w:r>
      <w:r w:rsidRPr="00C20753">
        <w:t>and sample pooling of</w:t>
      </w:r>
      <w:r w:rsidRPr="001E4901">
        <w:t xml:space="preserve"> the </w:t>
      </w:r>
      <w:r w:rsidRPr="001E4901">
        <w:rPr>
          <w:i/>
        </w:rPr>
        <w:t>S. lyrata</w:t>
      </w:r>
      <w:r w:rsidRPr="001E4901">
        <w:t xml:space="preserve"> rhizosphere microbiome outlined by three depths within the rhizosphere.</w:t>
      </w:r>
      <w:bookmarkEnd w:id="7"/>
      <w:r w:rsidRPr="001E4901">
        <w:t xml:space="preserve"> </w:t>
      </w:r>
      <w:bookmarkEnd w:id="8"/>
      <w:bookmarkEnd w:id="9"/>
    </w:p>
    <w:p w14:paraId="455129AD" w14:textId="7EE897A6" w:rsidR="00220221" w:rsidRPr="00597264" w:rsidRDefault="00597264" w:rsidP="00597264">
      <w:pPr>
        <w:spacing w:line="360" w:lineRule="auto"/>
        <w:rPr>
          <w:color w:val="000000" w:themeColor="text1"/>
        </w:rPr>
      </w:pPr>
      <w:r>
        <w:rPr>
          <w:color w:val="000000" w:themeColor="text1"/>
        </w:rPr>
        <w:br w:type="page"/>
      </w:r>
      <w:r w:rsidR="00220221" w:rsidRPr="001E4901">
        <w:rPr>
          <w:color w:val="000000" w:themeColor="text1"/>
        </w:rPr>
        <w:lastRenderedPageBreak/>
        <w:t xml:space="preserve">bacteria found in highly diverse samples. Finally, the following analyses provide a needed spatial characterization of rhizosphere microbiota that associate with the genus </w:t>
      </w:r>
      <w:r w:rsidR="00220221" w:rsidRPr="001E4901">
        <w:rPr>
          <w:i/>
          <w:color w:val="000000" w:themeColor="text1"/>
        </w:rPr>
        <w:t>Salvia</w:t>
      </w:r>
      <w:r w:rsidR="00220221" w:rsidRPr="001E4901">
        <w:rPr>
          <w:iCs/>
          <w:color w:val="000000" w:themeColor="text1"/>
        </w:rPr>
        <w:t>, which contains many species utilized for medicinal purposes</w:t>
      </w:r>
      <w:r w:rsidR="00220221" w:rsidRPr="001E4901">
        <w:rPr>
          <w:color w:val="000000" w:themeColor="text1"/>
        </w:rPr>
        <w:t>.</w:t>
      </w:r>
    </w:p>
    <w:p w14:paraId="43EAA756" w14:textId="314452DD" w:rsidR="004F08CE" w:rsidRPr="001E4901" w:rsidRDefault="00A548B9" w:rsidP="00597264">
      <w:pPr>
        <w:pStyle w:val="Heading2"/>
        <w:spacing w:line="360" w:lineRule="auto"/>
      </w:pPr>
      <w:bookmarkStart w:id="10" w:name="_Toc102047992"/>
      <w:r w:rsidRPr="001E4901">
        <w:t>M</w:t>
      </w:r>
      <w:r w:rsidR="00E951CC">
        <w:t>aterials and Methods</w:t>
      </w:r>
      <w:bookmarkEnd w:id="10"/>
    </w:p>
    <w:p w14:paraId="1C225F51" w14:textId="4A230D69" w:rsidR="00236E6D" w:rsidRPr="001E4901" w:rsidRDefault="00A548B9" w:rsidP="00597264">
      <w:pPr>
        <w:pStyle w:val="Heading3"/>
        <w:spacing w:before="0" w:after="0"/>
      </w:pPr>
      <w:bookmarkStart w:id="11" w:name="_Toc102047993"/>
      <w:r w:rsidRPr="001E4901">
        <w:t>Study System</w:t>
      </w:r>
      <w:bookmarkEnd w:id="11"/>
    </w:p>
    <w:p w14:paraId="3953DD5E" w14:textId="6A1335C1" w:rsidR="00CD0545" w:rsidRPr="0032391B" w:rsidRDefault="00220221" w:rsidP="00597264">
      <w:pPr>
        <w:spacing w:line="360" w:lineRule="auto"/>
        <w:ind w:firstLine="720"/>
        <w:contextualSpacing/>
        <w:rPr>
          <w:color w:val="000000" w:themeColor="text1"/>
        </w:rPr>
      </w:pPr>
      <w:r w:rsidRPr="001E4901">
        <w:rPr>
          <w:i/>
          <w:color w:val="000000" w:themeColor="text1"/>
        </w:rPr>
        <w:t>Salvia lyrata</w:t>
      </w:r>
      <w:r w:rsidRPr="001E4901">
        <w:rPr>
          <w:iCs/>
          <w:color w:val="000000" w:themeColor="text1"/>
        </w:rPr>
        <w:t xml:space="preserve"> L.</w:t>
      </w:r>
      <w:r w:rsidRPr="001E4901">
        <w:rPr>
          <w:color w:val="000000" w:themeColor="text1"/>
        </w:rPr>
        <w:t xml:space="preserve">, or </w:t>
      </w:r>
      <w:proofErr w:type="spellStart"/>
      <w:r w:rsidRPr="001E4901">
        <w:rPr>
          <w:color w:val="000000" w:themeColor="text1"/>
        </w:rPr>
        <w:t>Lyreleaf</w:t>
      </w:r>
      <w:proofErr w:type="spellEnd"/>
      <w:r w:rsidRPr="001E4901">
        <w:rPr>
          <w:color w:val="000000" w:themeColor="text1"/>
        </w:rPr>
        <w:t xml:space="preserve"> Sage, is a flowering, biennial mint with a shallow fibrous root ball consisting of roughly 8-12 individual primary roots, and pinnately lobed basal rosette leaves. In general, microbiomes associated with the genus </w:t>
      </w:r>
      <w:r w:rsidRPr="001E4901">
        <w:rPr>
          <w:i/>
          <w:iCs/>
          <w:color w:val="000000" w:themeColor="text1"/>
        </w:rPr>
        <w:t>Salvia</w:t>
      </w:r>
      <w:r w:rsidRPr="001E4901">
        <w:rPr>
          <w:color w:val="000000" w:themeColor="text1"/>
        </w:rPr>
        <w:t xml:space="preserve"> have been underexplored. Recent research efforts have characterized seed and foliar microbiomes associated with the genus </w:t>
      </w:r>
      <w:r w:rsidRPr="001E4901">
        <w:rPr>
          <w:i/>
          <w:iCs/>
          <w:color w:val="000000" w:themeColor="text1"/>
        </w:rPr>
        <w:t>Salvia</w:t>
      </w:r>
      <w:r w:rsidRPr="001E4901">
        <w:rPr>
          <w:color w:val="000000" w:themeColor="text1"/>
        </w:rPr>
        <w:t xml:space="preserve">. However, little to no attention has been given to rhizosphere microbiomes </w:t>
      </w:r>
      <w:r w:rsidRPr="00B73E8F">
        <w:rPr>
          <w:color w:val="000000" w:themeColor="text1"/>
        </w:rPr>
        <w:fldChar w:fldCharType="begin" w:fldLock="1"/>
      </w:r>
      <w:r w:rsidR="006E1F09">
        <w:rPr>
          <w:color w:val="000000" w:themeColor="text1"/>
        </w:rPr>
        <w:instrText>ADDIN CSL_CITATION {"citationItems":[{"id":"ITEM-1","itemData":{"DOI":"10.3390/ijms19030672","ISSN":"14220067","abstract":"© 2018 by the authors. Licensee MDPI, Basel, Switzerland. Seed microbiome includes special endophytic or epiphytic microbial taxa associated with seeds, which affects seed germination, plant growth, and health. Here, we analyzed the core microbiome of 21 Salvia miltiorrhiza seeds from seven different geographic origins using 16S rDNA and ITS amplicon sequencing, followed by bioinformatics analysis. The whole bacterial microbiome was classified into 17 microbial phyla and 39 classes. Gammaproteobacteria (67.6%), Alphaproteobacteria (15.6%), Betaproteobacteria (2.6%), Sphingobacteria (5.0%), Bacilli (4.6%), and Actinobacteria (2.9%) belonged to the core bacterial microbiome. Dothideomycetes comprised 94% of core fungal microbiome in S. miltiorrhiza seeds, and another two dominant classes were Leotiomycetes (3.0%) and Tremellomycetes (2.0%). We found that terpenoid backbone biosynthesis, degradation of limonene, pinene, and geraniol, and prenyltransferases, were overrepresented in the core bacterial microbiome using phylogenetic examination of communities by reconstruction of unobserved states (PICRUSt) software. We also found that the bacterial genera Pantoea, Pseudomonas, and Sphingomonas were enriched core taxa and overlapped among S. miltiorrhiza, maize, bean, and rice, while a fungal genus, Alternaria , was shared within S. miltiorrhiza, bean, and Brassicaceae families. These findings highlight that seed-associated microbiomeis an important component of plant microbiomes, which may be a gene reservoir for secondary metabolism in medicinal plants.","author":[{"dropping-particle":"","family":"Chen","given":"Haimin","non-dropping-particle":"","parse-names":false,"suffix":""},{"dropping-particle":"","family":"Wu","given":"Hongxia","non-dropping-particle":"","parse-names":false,"suffix":""},{"dropping-particle":"","family":"Yan","given":"Bin","non-dropping-particle":"","parse-names":false,"suffix":""},{"dropping-particle":"","family":"Zhao","given":"Hongguang","non-dropping-particle":"","parse-names":false,"suffix":""},{"dropping-particle":"","family":"Liu","given":"Fenghua","non-dropping-particle":"","parse-names":false,"suffix":""},{"dropping-particle":"","family":"Zhang","given":"Haihua","non-dropping-particle":"","parse-names":false,"suffix":""},{"dropping-particle":"","family":"Sheng","given":"Qing","non-dropping-particle":"","parse-names":false,"suffix":""},{"dropping-particle":"","family":"Miao","given":"Fang","non-dropping-particle":"","parse-names":false,"suffix":""},{"dropping-particle":"","family":"Liang","given":"Zongsuo","non-dropping-particle":"","parse-names":false,"suffix":""}],"container-title":"International Journal of Molecular Sciences","id":"ITEM-1","issue":"3","issued":{"date-parts":[["2018"]]},"title":"Core microbiome of medicinal plant Salvia miltiorrhiza seed: A rich reservoir of beneficial microbes for secondary metabolism?","type":"article-journal","volume":"19"},"uris":["http://www.mendeley.com/documents/?uuid=b3031b05-0846-4989-80d1-fc899307008d"]},{"id":"ITEM-2","itemData":{"DOI":"10.1016/j.tplants.2018.05.003","ISSN":"13601385","abstract":"The microbiome of medicinal plants may directly impact the metabolome of the host, and thus could influence the efficacy of herbal medicine. We advocate a herb for traditional Chinese medicine (TCM), Salvia miltiorrhiza, as a prime model system to study how microbes may interact with medicinal plants to modify phytochemical production.","author":[{"dropping-particle":"","family":"Huang","given":"Weijuan","non-dropping-particle":"","parse-names":false,"suffix":""},{"dropping-particle":"","family":"Long","given":"Chunlin","non-dropping-particle":"","parse-names":false,"suffix":""},{"dropping-particle":"","family":"Lam","given":"Eric","non-dropping-particle":"","parse-names":false,"suffix":""}],"container-title":"Trends in Plant Science","id":"ITEM-2","issue":"7","issued":{"date-parts":[["2018"]]},"page":"559-562","title":"Roles of Plant-Associated Microbiota in Traditional Herbal Medicine","type":"article-journal","volume":"23"},"uris":["http://www.mendeley.com/documents/?uuid=6a1822f6-dc32-484c-ad0d-52388235b15b"]}],"mendeley":{"formattedCitation":"(Chen et al., 2018; Huang et al., 2018)","plainTextFormattedCitation":"(Chen et al., 2018; Huang et al., 2018)","previouslyFormattedCitation":"(Chen et al., 2018; Huang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(Chen et al., 2018; Huang et al., 2018)</w:t>
      </w:r>
      <w:r w:rsidRPr="00B73E8F">
        <w:rPr>
          <w:color w:val="000000" w:themeColor="text1"/>
        </w:rPr>
        <w:fldChar w:fldCharType="end"/>
      </w:r>
      <w:r w:rsidRPr="00B73E8F">
        <w:rPr>
          <w:color w:val="000000" w:themeColor="text1"/>
        </w:rPr>
        <w:t>. Field sampling occurred at Forks of the River Wildlife Management Area (35°56'30.6" N, 83°50'43.3" W) in Knox County, Tennessee during July 1</w:t>
      </w:r>
      <w:r w:rsidRPr="00B73E8F">
        <w:rPr>
          <w:color w:val="000000" w:themeColor="text1"/>
          <w:vertAlign w:val="superscript"/>
        </w:rPr>
        <w:t>st</w:t>
      </w:r>
      <w:r w:rsidRPr="00B73E8F">
        <w:rPr>
          <w:color w:val="000000" w:themeColor="text1"/>
        </w:rPr>
        <w:t>- July 5</w:t>
      </w:r>
      <w:r w:rsidRPr="00B73E8F">
        <w:rPr>
          <w:color w:val="000000" w:themeColor="text1"/>
          <w:vertAlign w:val="superscript"/>
        </w:rPr>
        <w:t>th</w:t>
      </w:r>
      <w:r w:rsidRPr="00B73E8F">
        <w:rPr>
          <w:color w:val="000000" w:themeColor="text1"/>
        </w:rPr>
        <w:t xml:space="preserve">, 2018. The plant community at </w:t>
      </w:r>
      <w:r w:rsidR="00CD0545" w:rsidRPr="001E4901">
        <w:rPr>
          <w:color w:val="000000" w:themeColor="text1"/>
        </w:rPr>
        <w:t xml:space="preserve">this site has been historically disturbed and consists primarily of perennial grasses and mixed hardwoods along the edge of trails where </w:t>
      </w:r>
      <w:r w:rsidR="00CD0545" w:rsidRPr="001E4901">
        <w:rPr>
          <w:i/>
          <w:color w:val="000000" w:themeColor="text1"/>
        </w:rPr>
        <w:t>S. lyrata</w:t>
      </w:r>
      <w:r w:rsidR="00CD0545" w:rsidRPr="001E4901">
        <w:rPr>
          <w:color w:val="000000" w:themeColor="text1"/>
        </w:rPr>
        <w:t xml:space="preserve"> is often found. The soil material found here is characterized as both highly weathered, acidic red clay and brown silty clay loam. Three 25 meter transects were drawn and 30 plants were flagged based on occurrence within one meter of this line. Plant individuals (N=10) were chosen per transect for rhizosphere microbiome sampling by using a random number generator. All microbial rhizosphere samples were collected </w:t>
      </w:r>
      <w:r w:rsidR="00CD0545" w:rsidRPr="001E4901">
        <w:rPr>
          <w:bCs/>
        </w:rPr>
        <w:t xml:space="preserve">from juvenile plant individuals of </w:t>
      </w:r>
      <w:r w:rsidR="00CD0545" w:rsidRPr="001E4901">
        <w:rPr>
          <w:bCs/>
          <w:i/>
        </w:rPr>
        <w:t>S. lyrata</w:t>
      </w:r>
      <w:r w:rsidR="00CD0545" w:rsidRPr="001E4901">
        <w:rPr>
          <w:bCs/>
        </w:rPr>
        <w:t xml:space="preserve"> to control for phenological and temporal, effects on the colonization of host specific microbiomes. Juvenile individuals were identified by the absence of a racemose scape.</w:t>
      </w:r>
    </w:p>
    <w:p w14:paraId="34845213" w14:textId="4D6B5590" w:rsidR="00220221" w:rsidRPr="00B73E8F" w:rsidRDefault="00220221" w:rsidP="002A797A">
      <w:pPr>
        <w:pStyle w:val="Heading3"/>
        <w:contextualSpacing/>
      </w:pPr>
      <w:bookmarkStart w:id="12" w:name="_Toc102047994"/>
      <w:r w:rsidRPr="00B73E8F">
        <w:t>Rhizosphere microbiome sampling</w:t>
      </w:r>
      <w:bookmarkEnd w:id="12"/>
    </w:p>
    <w:p w14:paraId="6A4DEE7E" w14:textId="16676E90" w:rsidR="00FA3222" w:rsidRPr="00B73E8F" w:rsidRDefault="00FA3222" w:rsidP="00597264">
      <w:pPr>
        <w:spacing w:line="360" w:lineRule="auto"/>
        <w:ind w:firstLine="720"/>
        <w:contextualSpacing/>
        <w:rPr>
          <w:color w:val="000000" w:themeColor="text1"/>
        </w:rPr>
      </w:pPr>
      <w:r w:rsidRPr="001E4901">
        <w:rPr>
          <w:color w:val="000000" w:themeColor="text1"/>
        </w:rPr>
        <w:t xml:space="preserve">Here we defined the rhizosphere of </w:t>
      </w:r>
      <w:r w:rsidRPr="001E4901">
        <w:rPr>
          <w:i/>
          <w:iCs/>
          <w:color w:val="000000" w:themeColor="text1"/>
        </w:rPr>
        <w:t>S. lyrata</w:t>
      </w:r>
      <w:r w:rsidRPr="001E4901">
        <w:rPr>
          <w:color w:val="000000" w:themeColor="text1"/>
        </w:rPr>
        <w:t xml:space="preserve"> as the narrow region of soil spanning from the root epidermis to soil that is influenced by root exudates (~3mm from epidermal tissue) within the same root system </w:t>
      </w:r>
      <w:r w:rsidRPr="00B73E8F">
        <w:rPr>
          <w:color w:val="000000" w:themeColor="text1"/>
        </w:rPr>
        <w:fldChar w:fldCharType="begin" w:fldLock="1"/>
      </w:r>
      <w:r w:rsidR="006E1F09">
        <w:rPr>
          <w:color w:val="000000" w:themeColor="text1"/>
        </w:rPr>
        <w:instrText>ADDIN CSL_CITATION {"citationItems":[{"id":"ITEM-1","itemData":{"DOI":"10.1093/jxb/erp053","ISSN":"00220957","abstract":"Plant species is considered to be one of the most important factors in shaping rhizobacterial communities, but specific plant-microbe interactions in the rhizosphere are still not fully understood. Arabidopsis thaliana, for which a large number of naturally occurring ecotype accessions exist, lacks mycorrhizal associations and is hence an ideal model for rhizobacterial studies. Eight Arabidopsis accessions were found to exert a marked selective influence on bacteria associated with their roots, as determined by terminal-restriction fragment length polymorphism (T-RFLP) and ribosomal intergenic spacer analysis (RISA). Community differences in species composition and relative abundance were both significant (P &lt;0.001). The eight distinct and reproducible accession-dependent community profiles also differed from control bulk soil. Root exudates of these variants were analysed by high performance liquid chromatography (HPLC) to try to establish whether the unique rhizobacterial assemblages among accessions could be attributed to plant-regulated chemical changes in the rhizosphere. Natural variation in root exudation patterns was clearly exhibited, suggesting that differences in exudation patterns among accessions could be influencing bacterial assemblages. Other factors such as root system architecture are also probably involved. Finally, to investigate the Arabidopsis rhizosphere further, the phylogenetic diversity of rhizobacteria from accession Cvi-0 is described.","author":[{"dropping-particle":"","family":"Micallef","given":"Shirley A.","non-dropping-particle":"","parse-names":false,"suffix":""},{"dropping-particle":"","family":"Shiaris","given":"Michael P.","non-dropping-particle":"","parse-names":false,"suffix":""},{"dropping-particle":"","family":"Colón-Carmona","given":"Adán","non-dropping-particle":"","parse-names":false,"suffix":""}],"container-title":"Journal of Experimental Botany","id":"ITEM-1","issue":"6","issued":{"date-parts":[["2009"]]},"page":"1729-1742","title":"Influence of Arabidopsis thaliana accessions on rhizobacterial communities and natural variation in root exudates","type":"article-journal","volume":"60"},"uris":["http://www.mendeley.com/documents/?uuid=040acbd8-edc6-42e5-8d21-4aa5b97dcb59"]},{"id":"ITEM-2","itemData":{"DOI":"10.1007/s11104-014-2059-z","ISSN":"0032079X","abstract":"Aims: This study analyzed the extent to which root exudates diffuse from the root surface towards the soil depending on topsoil and subsoil properties and the effect of arbuscular mycorrhizal fungal hyphae on root-derived C distribution in the rhizosphere. Methods: Alfalfa was grown in three-compartment pots. Nylon gauze prevented either roots alone or roots and arbuscular mycorrhizal fungal hyphae from penetrating into the rhizosphere compartments. 14CO2 pulse labeling enabled the measurement of 14C-labeled exudates in dissolved (DOC) and total organic carbon (TOC) in the rhizosphere, distributed either by diffusion alone or by diffusion, root hair and hyphal transport. Results: Root exudation and microbial decomposition of exudates was higher in the rhizosphere with topsoil compared to subsoil properties. Exudates extended over 28 mm (DOC) and 20 mm (TOC). Different soil properties and mycorrhization, likely caused by the low arbuscular mycorrhizal colonization of roots (13 ± 4 % (topsoil properties) and 18 ± 5 % (subsoil properties)), had no effect. Conclusions: Higher microbial decomposition compensated for higher root exudation into the rhizosphere with topsoil properties, which resulted in equal exudate extent when compared to the rhizosphere with subsoil properties. Higher 14C activity used for labeling compared with previous studies enabled the detection of low exudate concentrations at longer distances from the root surface. © 2014 Springer International Publishing Switzerland.","author":[{"dropping-particle":"","family":"Hafner","given":"Silke","non-dropping-particle":"","parse-names":false,"suffix":""},{"dropping-particle":"","family":"Wiesenberg","given":"Guido L.B.","non-dropping-particle":"","parse-names":false,"suffix":""},{"dropping-particle":"","family":"Stolnikova","given":"Ekaterina","non-dropping-particle":"","parse-names":false,"suffix":""},{"dropping-particle":"","family":"Merz","given":"Klara","non-dropping-particle":"","parse-names":false,"suffix":""},{"dropping-particle":"","family":"Kuzyakov","given":"Yakov","non-dropping-particle":"","parse-names":false,"suffix":""}],"container-title":"Plant and Soil","id":"ITEM-2","issue":"1","issued":{"date-parts":[["2014"]]},"page":"101-115","title":"Spatial distribution and turnover of root-derived carbon in alfalfa rhizosphere depending on top- and subsoil properties and mycorrhization","type":"article-journal","volume":"380"},"uris":["http://www.mendeley.com/documents/?uuid=29c34dc9-7eae-4436-9f7a-8f554fff2706"]}],"mendeley":{"formattedCitation":"(Micallef et al., 2009; Hafner et al., 2014)","plainTextFormattedCitation":"(Micallef et al., 2009; Hafner et al., 2014)","previouslyFormattedCitation":"(Micallef et al., 2009; Hafner et al.,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(Micallef et al., 2009; Hafner et al., 2014)</w:t>
      </w:r>
      <w:r w:rsidRPr="00B73E8F">
        <w:rPr>
          <w:color w:val="000000" w:themeColor="text1"/>
        </w:rPr>
        <w:fldChar w:fldCharType="end"/>
      </w:r>
      <w:r w:rsidRPr="00B73E8F">
        <w:rPr>
          <w:color w:val="000000" w:themeColor="text1"/>
        </w:rPr>
        <w:t>. All plant rhizospheres were sampled in the field at three different depths as a proxy for the roo</w:t>
      </w:r>
      <w:r w:rsidRPr="001E4901">
        <w:rPr>
          <w:color w:val="000000" w:themeColor="text1"/>
        </w:rPr>
        <w:t>t system zones. Sample depths in the rhizosphere were from 0-1cm (Depth A), 1-2.5cm (Depth B), 2.5-4 cm (Depth C) aimed to represent developmental root zones within the root system, account for variation in root length, and root density across individuals (</w:t>
      </w:r>
      <w:r w:rsidR="005355D9">
        <w:rPr>
          <w:b/>
          <w:bCs/>
          <w:color w:val="000000" w:themeColor="text1"/>
        </w:rPr>
        <w:t>Figure</w:t>
      </w:r>
      <w:r w:rsidRPr="00E05741">
        <w:rPr>
          <w:b/>
          <w:bCs/>
          <w:color w:val="000000" w:themeColor="text1"/>
        </w:rPr>
        <w:t xml:space="preserve"> </w:t>
      </w:r>
      <w:r w:rsidR="0005015C">
        <w:rPr>
          <w:b/>
          <w:bCs/>
          <w:color w:val="000000" w:themeColor="text1"/>
        </w:rPr>
        <w:t>2</w:t>
      </w:r>
      <w:r w:rsidRPr="001E4901">
        <w:rPr>
          <w:color w:val="000000" w:themeColor="text1"/>
        </w:rPr>
        <w:t xml:space="preserve">). For each sampling depth, the entire root system was exposed, and rhizosphere soil was scrapped from the root epidermis to 3-5mm away </w:t>
      </w:r>
      <w:r w:rsidRPr="001E4901">
        <w:rPr>
          <w:color w:val="000000" w:themeColor="text1"/>
        </w:rPr>
        <w:lastRenderedPageBreak/>
        <w:t xml:space="preserve">from the surface of the root into sterile </w:t>
      </w:r>
      <w:proofErr w:type="spellStart"/>
      <w:r w:rsidRPr="001E4901">
        <w:rPr>
          <w:color w:val="000000" w:themeColor="text1"/>
        </w:rPr>
        <w:t>Nasco</w:t>
      </w:r>
      <w:proofErr w:type="spellEnd"/>
      <w:r w:rsidRPr="001E4901">
        <w:rPr>
          <w:color w:val="000000" w:themeColor="text1"/>
        </w:rPr>
        <w:t xml:space="preserve"> Whirl </w:t>
      </w:r>
      <w:proofErr w:type="spellStart"/>
      <w:r w:rsidRPr="001E4901">
        <w:rPr>
          <w:color w:val="000000" w:themeColor="text1"/>
        </w:rPr>
        <w:t>Paks</w:t>
      </w:r>
      <w:proofErr w:type="spellEnd"/>
      <w:r w:rsidRPr="001E4901">
        <w:rPr>
          <w:color w:val="000000" w:themeColor="text1"/>
        </w:rPr>
        <w:t xml:space="preserve"> across all visible roots (</w:t>
      </w:r>
      <w:proofErr w:type="spellStart"/>
      <w:r w:rsidRPr="001E4901">
        <w:rPr>
          <w:color w:val="000000" w:themeColor="text1"/>
        </w:rPr>
        <w:t>Nasco</w:t>
      </w:r>
      <w:proofErr w:type="spellEnd"/>
      <w:r w:rsidRPr="001E4901">
        <w:rPr>
          <w:color w:val="000000" w:themeColor="text1"/>
        </w:rPr>
        <w:t xml:space="preserve">, Fort Atkinson, WI, USA). This occurred first at Depth A and then at each subsequent sampling soil depth using a sterilized spatula. Sampling tools were sterilized between sample units to avoid contamination. Rhizosphere soils were stored on ice immediately after the sterile </w:t>
      </w:r>
      <w:proofErr w:type="spellStart"/>
      <w:r w:rsidRPr="001E4901">
        <w:rPr>
          <w:color w:val="000000" w:themeColor="text1"/>
        </w:rPr>
        <w:t>Nasco</w:t>
      </w:r>
      <w:proofErr w:type="spellEnd"/>
      <w:r w:rsidRPr="001E4901">
        <w:rPr>
          <w:color w:val="000000" w:themeColor="text1"/>
        </w:rPr>
        <w:t xml:space="preserve"> Whirl </w:t>
      </w:r>
      <w:proofErr w:type="spellStart"/>
      <w:r w:rsidRPr="001E4901">
        <w:rPr>
          <w:color w:val="000000" w:themeColor="text1"/>
        </w:rPr>
        <w:t>Paks</w:t>
      </w:r>
      <w:proofErr w:type="spellEnd"/>
      <w:r w:rsidRPr="001E4901">
        <w:rPr>
          <w:color w:val="000000" w:themeColor="text1"/>
        </w:rPr>
        <w:t xml:space="preserve"> were sealed throughout the daily sampling period. Rhizosphere microbiome samples were stored at -80°C at the University of Tennessee, Knoxville until further processing. Short term storage of dry soil microbiome samples in -80°C does not affect the microbial community structure </w:t>
      </w:r>
      <w:r w:rsidRPr="00B73E8F">
        <w:rPr>
          <w:color w:val="000000" w:themeColor="text1"/>
        </w:rPr>
        <w:fldChar w:fldCharType="begin" w:fldLock="1"/>
      </w:r>
      <w:r w:rsidR="006E1F09">
        <w:rPr>
          <w:color w:val="000000" w:themeColor="text1"/>
        </w:rPr>
        <w:instrText>ADDIN CSL_CITATION {"citationItems":[{"id":"ITEM-1","itemData":{"DOI":"10.1111/j.1574-6968.2010.01965.x","ISBN":"1574-6968 (Electronic)\\r0378-1097 (Linking)","ISSN":"03781097","PMID":"20412303","abstract":"Storage conditions are considered to be a critical component of DNA-based microbial community analysis methods. However, whether differences in short-term sample storage conditions impact the assessment of bacterial community composition and diversity requires systematic and quantitative assessment. Therefore, we used barcoded pyrosequencing of bacterial 16S rRNA genes to survey communities, harvested from a variety of habitats [soil, human gut (feces) and human skin] and subsequently stored at 20, 4, -20 and -80 degrees C for 3 and 14 days. Our results indicate that the phylogenetic structure and diversity of communities in individual samples were not significantly influenced by the storage temperature or the duration of storage. Likewise, the relative abundances of most taxa were largely unaffected by temperature even after 14 days of storage. Our results indicate that environmental factors and biases in molecular techniques likely confer greater amounts of variation to microbial communities than do differences in short-term storage conditions, including storage for up to 2 weeks at room temperature. These results suggest that many samples collected and stored under field conditions without refrigeration may be useful for microbial community analyses.","author":[{"dropping-particle":"","family":"Lauber","given":"Christian L.","non-dropping-particle":"","parse-names":false,"suffix":""},{"dropping-particle":"","family":"Zhou","given":"Nicholas","non-dropping-particle":"","parse-names":false,"suffix":""},{"dropping-particle":"","family":"Gordon","given":"Jeffrey I.","non-dropping-particle":"","parse-names":false,"suffix":""},{"dropping-particle":"","family":"Knight","given":"Rob","non-dropping-particle":"","parse-names":false,"suffix":""},{"dropping-particle":"","family":"Fierer","given":"Noah","non-dropping-particle":"","parse-names":false,"suffix":""}],"container-title":"FEMS Microbiology Letters","id":"ITEM-1","issued":{"date-parts":[["2010"]]},"page":"80-86","title":"Effect of storage conditions on the assessment of bacterial community structure in soil and human-associated samples","type":"article-journal","volume":"307"},"uris":["http://www.mendeley.com/documents/?uuid=352cff20-31e4-4673-b76b-22f8db788e32"]}],"mendeley":{"formattedCitation":"(Lauber et al., 2010)","plainTextFormattedCitation":"(Lauber et al., 2010)","previouslyFormattedCitation":"(Lauber et al., 2010)"},"properties":{"noteIndex":0},"schema":"https://github.com/citation-style-language/schema/raw/master/csl-citation.json"}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(Lauber et al., 2010)</w:t>
      </w:r>
      <w:r w:rsidRPr="00B73E8F">
        <w:rPr>
          <w:color w:val="000000" w:themeColor="text1"/>
        </w:rPr>
        <w:fldChar w:fldCharType="end"/>
      </w:r>
      <w:r w:rsidRPr="00B73E8F">
        <w:rPr>
          <w:color w:val="000000" w:themeColor="text1"/>
        </w:rPr>
        <w:t xml:space="preserve">. </w:t>
      </w:r>
    </w:p>
    <w:p w14:paraId="3782EA80" w14:textId="5D1085E8" w:rsidR="00FA3222" w:rsidRPr="001E4901" w:rsidRDefault="00FA3222" w:rsidP="00597264">
      <w:pPr>
        <w:pStyle w:val="Heading3"/>
        <w:contextualSpacing/>
      </w:pPr>
      <w:bookmarkStart w:id="13" w:name="_Toc102047995"/>
      <w:r w:rsidRPr="001E4901">
        <w:t>Sampling grain: pooling in vitro versus in silico</w:t>
      </w:r>
      <w:bookmarkEnd w:id="13"/>
    </w:p>
    <w:p w14:paraId="2F374795" w14:textId="14F5A4A4" w:rsidR="00FA3222" w:rsidRPr="001E4901" w:rsidRDefault="00FA3222" w:rsidP="00597264">
      <w:pPr>
        <w:spacing w:line="360" w:lineRule="auto"/>
        <w:ind w:firstLine="720"/>
        <w:contextualSpacing/>
        <w:rPr>
          <w:color w:val="000000" w:themeColor="text1"/>
        </w:rPr>
      </w:pPr>
      <w:r w:rsidRPr="001E4901">
        <w:rPr>
          <w:color w:val="000000" w:themeColor="text1"/>
        </w:rPr>
        <w:t>We used two different pooling methods to compare how sampling grain, or the spatial resolution and volume that defines a microbiome sampling unit, affects the microbial community recovered through 16S rRNA gene amplicon sequencing (</w:t>
      </w:r>
      <w:r w:rsidR="005355D9">
        <w:rPr>
          <w:b/>
          <w:bCs/>
          <w:color w:val="000000" w:themeColor="text1"/>
        </w:rPr>
        <w:t>Figure</w:t>
      </w:r>
      <w:r w:rsidRPr="00E05741">
        <w:rPr>
          <w:b/>
          <w:bCs/>
          <w:color w:val="000000" w:themeColor="text1"/>
        </w:rPr>
        <w:t xml:space="preserve"> </w:t>
      </w:r>
      <w:r w:rsidR="0005015C">
        <w:rPr>
          <w:b/>
          <w:bCs/>
          <w:color w:val="000000" w:themeColor="text1"/>
        </w:rPr>
        <w:t>2</w:t>
      </w:r>
      <w:r w:rsidRPr="001E4901">
        <w:rPr>
          <w:color w:val="000000" w:themeColor="text1"/>
        </w:rPr>
        <w:t>). The first method combined an equal portion of soil from each rhizosphere depth samples (A, B, and C) into a single sample to represent the whole rhizosphere microbiome of each plant (</w:t>
      </w:r>
      <w:r w:rsidRPr="001E4901">
        <w:rPr>
          <w:i/>
          <w:color w:val="000000" w:themeColor="text1"/>
        </w:rPr>
        <w:t>in vitro</w:t>
      </w:r>
      <w:r w:rsidRPr="001E4901">
        <w:rPr>
          <w:color w:val="000000" w:themeColor="text1"/>
        </w:rPr>
        <w:t xml:space="preserve">). To do so, samples were removed from deep freeze and set on ice for an hour to thaw. One gram from each of the three sampling depths were combined into a new sterile </w:t>
      </w:r>
      <w:proofErr w:type="spellStart"/>
      <w:r w:rsidRPr="001E4901">
        <w:rPr>
          <w:color w:val="000000" w:themeColor="text1"/>
        </w:rPr>
        <w:t>Nasco</w:t>
      </w:r>
      <w:proofErr w:type="spellEnd"/>
      <w:r w:rsidRPr="001E4901">
        <w:rPr>
          <w:color w:val="000000" w:themeColor="text1"/>
        </w:rPr>
        <w:t xml:space="preserve"> Whirl Pak. Prior to subsampling 0.25g for DNA extraction, we mixed the pooled samples together by vigorously shaking the samples by hand for 30 seconds and leaving them at room temperature for an hour. The second pooling method occurred after sequencing and combined read counts for the same amplicon sequence variants (ASVs) for each rhizosphere depth per individual plant. These samples represent the pooled microbiome </w:t>
      </w:r>
      <w:r w:rsidRPr="001E4901">
        <w:rPr>
          <w:i/>
          <w:color w:val="000000" w:themeColor="text1"/>
        </w:rPr>
        <w:t>in silico</w:t>
      </w:r>
      <w:r w:rsidRPr="001E4901">
        <w:rPr>
          <w:color w:val="000000" w:themeColor="text1"/>
        </w:rPr>
        <w:t xml:space="preserve">. Prior to sample rarefaction, we accounted for differences in sampling effort between pooling methods by dividing read count tables by three for samples pooled </w:t>
      </w:r>
      <w:r w:rsidRPr="001E4901">
        <w:rPr>
          <w:i/>
          <w:iCs/>
          <w:color w:val="000000" w:themeColor="text1"/>
        </w:rPr>
        <w:t>in silico</w:t>
      </w:r>
      <w:r w:rsidRPr="001E4901">
        <w:rPr>
          <w:color w:val="000000" w:themeColor="text1"/>
        </w:rPr>
        <w:t xml:space="preserve">. Pooling methods were compared and used to describe the composite microbiome found within the rhizosphere of </w:t>
      </w:r>
      <w:r w:rsidRPr="001E4901">
        <w:rPr>
          <w:i/>
          <w:color w:val="000000" w:themeColor="text1"/>
        </w:rPr>
        <w:t>S. lyrata</w:t>
      </w:r>
      <w:r w:rsidRPr="001E4901">
        <w:rPr>
          <w:color w:val="000000" w:themeColor="text1"/>
        </w:rPr>
        <w:t xml:space="preserve">. </w:t>
      </w:r>
    </w:p>
    <w:p w14:paraId="1967A12D" w14:textId="10A43393" w:rsidR="00FA3222" w:rsidRPr="001E4901" w:rsidRDefault="00FA3222" w:rsidP="002A797A">
      <w:pPr>
        <w:pStyle w:val="Heading3"/>
      </w:pPr>
      <w:bookmarkStart w:id="14" w:name="_Toc102047996"/>
      <w:r w:rsidRPr="001E4901">
        <w:t>16S rRNA gene library preparation f</w:t>
      </w:r>
      <w:r w:rsidR="00E951CC">
        <w:t>or</w:t>
      </w:r>
      <w:r w:rsidRPr="001E4901">
        <w:t xml:space="preserve"> Illumina </w:t>
      </w:r>
      <w:proofErr w:type="spellStart"/>
      <w:r w:rsidRPr="001E4901">
        <w:t>MiSeq</w:t>
      </w:r>
      <w:bookmarkEnd w:id="14"/>
      <w:proofErr w:type="spellEnd"/>
    </w:p>
    <w:p w14:paraId="29AF4670" w14:textId="050ED4DA" w:rsidR="00FA3222" w:rsidRPr="001E4901" w:rsidRDefault="00FA3222" w:rsidP="002A797A">
      <w:pPr>
        <w:spacing w:line="360" w:lineRule="auto"/>
        <w:ind w:firstLine="720"/>
        <w:rPr>
          <w:color w:val="000000" w:themeColor="text1"/>
        </w:rPr>
      </w:pPr>
      <w:r w:rsidRPr="001E4901">
        <w:rPr>
          <w:color w:val="000000" w:themeColor="text1"/>
        </w:rPr>
        <w:t xml:space="preserve">DNA was extracted from 0.25g per sample using the </w:t>
      </w:r>
      <w:proofErr w:type="spellStart"/>
      <w:r w:rsidRPr="001E4901">
        <w:rPr>
          <w:color w:val="000000" w:themeColor="text1"/>
        </w:rPr>
        <w:t>DNeasy</w:t>
      </w:r>
      <w:proofErr w:type="spellEnd"/>
      <w:r w:rsidRPr="001E4901">
        <w:rPr>
          <w:color w:val="000000" w:themeColor="text1"/>
        </w:rPr>
        <w:t xml:space="preserve"> </w:t>
      </w:r>
      <w:proofErr w:type="spellStart"/>
      <w:r w:rsidRPr="001E4901">
        <w:rPr>
          <w:color w:val="000000" w:themeColor="text1"/>
        </w:rPr>
        <w:t>PowerSoil</w:t>
      </w:r>
      <w:proofErr w:type="spellEnd"/>
      <w:r w:rsidRPr="001E4901">
        <w:rPr>
          <w:color w:val="000000" w:themeColor="text1"/>
        </w:rPr>
        <w:t xml:space="preserve"> Kit (</w:t>
      </w:r>
      <w:proofErr w:type="spellStart"/>
      <w:r w:rsidRPr="001E4901">
        <w:rPr>
          <w:color w:val="000000" w:themeColor="text1"/>
        </w:rPr>
        <w:t>MoBio</w:t>
      </w:r>
      <w:proofErr w:type="spellEnd"/>
      <w:r w:rsidRPr="001E4901">
        <w:rPr>
          <w:color w:val="000000" w:themeColor="text1"/>
        </w:rPr>
        <w:t xml:space="preserve"> Laboratories, Inc., Carlsbad, CA, USA) with a modification at Step 16 using 50µL of Solution C6 and an elution time of 5 minutes before the final centrifuge step. This extraction kit successfully removes all non-DNA organic and inorganic material, such as humic acids at Step 10 and Step 11. PCR reagents were sourced through the KAPA HiFi </w:t>
      </w:r>
      <w:proofErr w:type="spellStart"/>
      <w:r w:rsidRPr="001E4901">
        <w:rPr>
          <w:color w:val="000000" w:themeColor="text1"/>
        </w:rPr>
        <w:t>HotStart</w:t>
      </w:r>
      <w:proofErr w:type="spellEnd"/>
      <w:r w:rsidRPr="001E4901">
        <w:rPr>
          <w:color w:val="000000" w:themeColor="text1"/>
        </w:rPr>
        <w:t xml:space="preserve"> Ready Kit (KAPA </w:t>
      </w:r>
      <w:r w:rsidRPr="001E4901">
        <w:rPr>
          <w:color w:val="000000" w:themeColor="text1"/>
        </w:rPr>
        <w:lastRenderedPageBreak/>
        <w:t xml:space="preserve">Biosystems, Wilmington, MA, USA). Within the amplification PCR, the bacterial-specific primer pair 341F and 785R (5µL at 1µM each) were used to target the V3-V4 region of the 16S rRNA gene and to prepare our DNA samples for the second index PCR. The sequences for 341F and 785R are 5’-CCTACGGGNGGCWGCAG-3’and 5’-GACTACHVGGGTATCTAATCC-3’ respectively </w:t>
      </w:r>
      <w:r w:rsidRPr="00B73E8F">
        <w:rPr>
          <w:color w:val="000000" w:themeColor="text1"/>
        </w:rPr>
        <w:fldChar w:fldCharType="begin" w:fldLock="1"/>
      </w:r>
      <w:r w:rsidR="006E1F09">
        <w:rPr>
          <w:color w:val="000000" w:themeColor="text1"/>
        </w:rPr>
        <w:instrText>ADDIN CSL_CITATION {"citationItems":[{"id":"ITEM-1","itemData":{"DOI":"10.1093/nar/gks808","ISSN":"1362-4962","PMID":"22933715","abstract":"16S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author":[{"dropping-particle":"","family":"Klindworth","given":"Anna","non-dropping-particle":"","parse-names":false,"suffix":""},{"dropping-particle":"","family":"Pruesse","given":"Elmar","non-dropping-particle":"","parse-names":false,"suffix":""},{"dropping-particle":"","family":"Schweer","given":"Timmy","non-dropping-particle":"","parse-names":false,"suffix":""},{"dropping-particle":"","family":"Peplies","given":"Jörg","non-dropping-particle":"","parse-names":false,"suffix":""},{"dropping-particle":"","family":"Quast","given":"Christian","non-dropping-particle":"","parse-names":false,"suffix":""},{"dropping-particle":"","family":"Horn","given":"Matthias","non-dropping-particle":"","parse-names":false,"suffix":""},{"dropping-particle":"","family":"Glöckner","given":"Frank Oliver","non-dropping-particle":"","parse-names":false,"suffix":""}],"container-title":"Nucleic acids research","id":"ITEM-1","issue":"1","issued":{"date-parts":[["2013"]]},"page":"1-11","title":"Evaluation of general 16S ribosomal RNA gene PCR primers for classical and next-generation sequencing-based diversity studies.","type":"article-journal","volume":"41"},"uris":["http://www.mendeley.com/documents/?uuid=7eb1bac1-0545-485f-9240-adbd68a089e1"]},{"id":"ITEM-2","itemData":{"DOI":"10.3389/fmicb.2017.00494","ISSN":"1664302X","abstract":"© 2017 Thijs, Op De Beeck, Beckers, Truyens, Stevens, Van Hamme, Weyens and Vangronsveld. Bacterial taxonomic community analyses using PCR-amplification of the 16S rRNA gene and high-throughput sequencing has become a cornerstone in microbiology research. To reliably detect the members, or operational taxonomic units (OTUs), that make up bacterial communities, taxonomic surveys rely on the use of the most informative PCR primers to amplify the broad range of phylotypes present in up-to-date reference databases. However, primers specific for the domain Bacteria were often developed some time ago against database versions that are now out of date. Here we evaluated the performance of four bacterial primers for characterizing complex microbial communities in explosives contaminated and non-contaminated forest soil and by in silico evaluation against the current SILVA123 database. Primer pair 341f/785r produced the highest number of bacterial OTUs, phylogenetic richness, Shannon diversity, low non-specificity and most reproducible results, followed by 967f/1391r and 799f/1193r. Primer pair 68f/518r showed overall low coverage and a bias toward Alphaproteobacteria. In silico, primer pair 341f/785r showed the highest coverage of the domain Bacteria (96.1%) with no obvious bias toward the majority of bacterial species. This suggests the high utility of primer pair 341f/785r for soil and plant-associated bacterial microbiome studies.","author":[{"dropping-particle":"","family":"Thijs","given":"Sofie","non-dropping-particle":"","parse-names":false,"suffix":""},{"dropping-particle":"","family":"Beeck","given":"Michiel Op","non-dropping-particle":"De","parse-names":false,"suffix":""},{"dropping-particle":"","family":"Beckers","given":"Bram","non-dropping-particle":"","parse-names":false,"suffix":""},{"dropping-particle":"","family":"Truyens","given":"Sascha","non-dropping-particle":"","parse-names":false,"suffix":""},{"dropping-particle":"","family":"Stevens","given":"Vincent","non-dropping-particle":"","parse-names":false,"suffix":""},{"dropping-particle":"","family":"Hamme","given":"Jonathan D.","non-dropping-particle":"Van","parse-names":false,"suffix":""},{"dropping-particle":"","family":"Weyens","given":"Nele","non-dropping-particle":"","parse-names":false,"suffix":""},{"dropping-particle":"","family":"Vangronsveld","given":"Jaco","non-dropping-particle":"","parse-names":false,"suffix":""}],"container-title":"Frontiers in Microbiology","id":"ITEM-2","issued":{"date-parts":[["2017"]]},"page":"1-15","title":"Comparative evaluation of four bacteria-specific primer pairs for 16S rRNA gene surveys","type":"article-journal","volume":"8"},"uris":["http://www.mendeley.com/documents/?uuid=e126d665-084d-49a6-ab11-8a31d422f7b9"]}],"mendeley":{"formattedCitation":"(Klindworth et al., 2013; Thijs et al., 2017)","plainTextFormattedCitation":"(Klindworth et al., 2013; Thijs et al., 2017)","previouslyFormattedCitation":"(Klindworth et al., 2013; Thijs et al., 2017)"},"properties":{"noteIndex":0},"schema":"https://github.com/citation-style-language/schema/raw/master/csl-citation.json"}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(Klindworth et al., 2013; Thijs et al., 2017)</w:t>
      </w:r>
      <w:r w:rsidRPr="00B73E8F">
        <w:rPr>
          <w:color w:val="000000" w:themeColor="text1"/>
        </w:rPr>
        <w:fldChar w:fldCharType="end"/>
      </w:r>
      <w:r w:rsidRPr="00B73E8F">
        <w:rPr>
          <w:color w:val="000000" w:themeColor="text1"/>
        </w:rPr>
        <w:t>. DNA extractions were thawed on ice and 2.5µL of each sample was used for this PCR. For each plate, a PCR negative blanks was used to check for PCR contamination. Plates ran under the following PCR program: an initial denaturing step of 95ºC for 3 minutes, 25 cycles of 95ºC for 30 seconds, 55ºC for 30 seconds, and 72ºC for 30 seconds, a final elongation cycle of 72ºC for 5 minutes, and then held at 4ºC. This PCR produced 25µL of the 16S rRNA amplicon for each sam</w:t>
      </w:r>
      <w:r w:rsidRPr="001E4901">
        <w:rPr>
          <w:color w:val="000000" w:themeColor="text1"/>
        </w:rPr>
        <w:t>ple that was stored at -20ºC until further use. Samples were then run on a 2% agarose gel with Ethidium Bromide and Tris-Acetate-EDTA (TAE) buffer to confirm amplicon length and purity. All PCR products (25µL</w:t>
      </w:r>
      <w:r w:rsidRPr="001E4901" w:rsidDel="003B77D5">
        <w:rPr>
          <w:color w:val="000000" w:themeColor="text1"/>
        </w:rPr>
        <w:t xml:space="preserve"> </w:t>
      </w:r>
      <w:r w:rsidRPr="001E4901">
        <w:rPr>
          <w:color w:val="000000" w:themeColor="text1"/>
        </w:rPr>
        <w:t xml:space="preserve">for each sample) were purified with 20µL of </w:t>
      </w:r>
      <w:proofErr w:type="spellStart"/>
      <w:r w:rsidRPr="001E4901">
        <w:rPr>
          <w:color w:val="000000" w:themeColor="text1"/>
        </w:rPr>
        <w:t>Agencourt</w:t>
      </w:r>
      <w:proofErr w:type="spellEnd"/>
      <w:r w:rsidRPr="001E4901">
        <w:rPr>
          <w:color w:val="000000" w:themeColor="text1"/>
        </w:rPr>
        <w:t xml:space="preserve"> </w:t>
      </w:r>
      <w:proofErr w:type="spellStart"/>
      <w:r w:rsidRPr="001E4901">
        <w:rPr>
          <w:color w:val="000000" w:themeColor="text1"/>
        </w:rPr>
        <w:t>AMPure</w:t>
      </w:r>
      <w:proofErr w:type="spellEnd"/>
      <w:r w:rsidRPr="001E4901">
        <w:rPr>
          <w:color w:val="000000" w:themeColor="text1"/>
        </w:rPr>
        <w:t xml:space="preserve"> XP magnetic beads (Beckman Coulter, Brea, CA, USA) and two 200µL washes of freshly prepared 80% ethanol. Purified 16S rRNA gene amplicons for all samples were then resuspended with 50µL of Tris-HCl and stored at -20ºC.</w:t>
      </w:r>
    </w:p>
    <w:p w14:paraId="442DF507" w14:textId="0753D719" w:rsidR="00FA3222" w:rsidRPr="001E4901" w:rsidRDefault="00FA3222" w:rsidP="002A797A">
      <w:pPr>
        <w:spacing w:line="360" w:lineRule="auto"/>
        <w:ind w:firstLine="720"/>
        <w:rPr>
          <w:color w:val="000000" w:themeColor="text1"/>
        </w:rPr>
      </w:pPr>
      <w:r w:rsidRPr="001E4901">
        <w:rPr>
          <w:color w:val="000000" w:themeColor="text1"/>
        </w:rPr>
        <w:t xml:space="preserve">The second index PCR attached forward and reverse index primers that are designed specifically for the multiplexing samples and sequencing with the </w:t>
      </w:r>
      <w:proofErr w:type="spellStart"/>
      <w:r w:rsidRPr="001E4901">
        <w:rPr>
          <w:color w:val="000000" w:themeColor="text1"/>
        </w:rPr>
        <w:t>MiSeq</w:t>
      </w:r>
      <w:proofErr w:type="spellEnd"/>
      <w:r w:rsidRPr="001E4901">
        <w:rPr>
          <w:color w:val="000000" w:themeColor="text1"/>
        </w:rPr>
        <w:t xml:space="preserve"> instrument (Illumina Corporation, San Diego, CA, USA). </w:t>
      </w:r>
      <w:r w:rsidRPr="00E8531A">
        <w:rPr>
          <w:color w:val="000000" w:themeColor="text1"/>
        </w:rPr>
        <w:t>Each sample in the library was provided with its own unique primer combination for sample identification in downstream quantitative analyses (</w:t>
      </w:r>
      <w:r w:rsidR="00E8531A" w:rsidRPr="00E8531A">
        <w:rPr>
          <w:color w:val="000000" w:themeColor="text1"/>
        </w:rPr>
        <w:t>Resource1.xslx</w:t>
      </w:r>
      <w:r w:rsidRPr="00E8531A">
        <w:rPr>
          <w:color w:val="000000" w:themeColor="text1"/>
        </w:rPr>
        <w:t>).</w:t>
      </w:r>
      <w:r w:rsidRPr="001E4901">
        <w:rPr>
          <w:color w:val="000000" w:themeColor="text1"/>
        </w:rPr>
        <w:t xml:space="preserve"> These primers were from the i5/i7 </w:t>
      </w:r>
      <w:proofErr w:type="spellStart"/>
      <w:r w:rsidRPr="001E4901">
        <w:rPr>
          <w:color w:val="000000" w:themeColor="text1"/>
        </w:rPr>
        <w:t>Nextera</w:t>
      </w:r>
      <w:proofErr w:type="spellEnd"/>
      <w:r w:rsidRPr="001E4901">
        <w:rPr>
          <w:color w:val="000000" w:themeColor="text1"/>
        </w:rPr>
        <w:t xml:space="preserve"> XT Index Kit A and D with 5µL combinations of 8 bases long forward and reverse segments. Further, 25µL of KAPA HiFi </w:t>
      </w:r>
      <w:proofErr w:type="spellStart"/>
      <w:r w:rsidRPr="001E4901">
        <w:rPr>
          <w:color w:val="000000" w:themeColor="text1"/>
        </w:rPr>
        <w:t>HotStart</w:t>
      </w:r>
      <w:proofErr w:type="spellEnd"/>
      <w:r w:rsidRPr="001E4901">
        <w:rPr>
          <w:color w:val="000000" w:themeColor="text1"/>
        </w:rPr>
        <w:t xml:space="preserve"> Ready Mix was used per reaction. 5µL of purified PCR product from the first reaction was used to reach sufficient concentration of the bacterial 16S rRNA V3-V4 gene region at this step. For this index PCR, 10µL of PCR grade water was added per sample, bringing the total volume to 50µL. The index PCR performed had an initial cycle of 95ºC for 3 minutes followed by an 8-cycle sequence of 95ºC for 3 seconds, 55ºC for 30 seconds, and 72ºC for 30 seconds. The last elongation cycle was held at 72ºC for 5 minutes. </w:t>
      </w:r>
    </w:p>
    <w:p w14:paraId="321DEC2E" w14:textId="77777777" w:rsidR="00FA3222" w:rsidRPr="001E4901" w:rsidRDefault="00FA3222" w:rsidP="002A797A">
      <w:pPr>
        <w:spacing w:line="360" w:lineRule="auto"/>
        <w:ind w:firstLine="720"/>
        <w:rPr>
          <w:color w:val="000000" w:themeColor="text1"/>
        </w:rPr>
      </w:pPr>
      <w:r w:rsidRPr="001E4901">
        <w:rPr>
          <w:color w:val="000000" w:themeColor="text1"/>
        </w:rPr>
        <w:t xml:space="preserve">Following the standard index PCR clean up provided by Illumina, index PCR products (50µL for each sample) were purified using 56µL of </w:t>
      </w:r>
      <w:proofErr w:type="spellStart"/>
      <w:r w:rsidRPr="001E4901">
        <w:rPr>
          <w:color w:val="000000" w:themeColor="text1"/>
        </w:rPr>
        <w:t>Agencourt</w:t>
      </w:r>
      <w:proofErr w:type="spellEnd"/>
      <w:r w:rsidRPr="001E4901">
        <w:rPr>
          <w:color w:val="000000" w:themeColor="text1"/>
        </w:rPr>
        <w:t xml:space="preserve"> </w:t>
      </w:r>
      <w:proofErr w:type="spellStart"/>
      <w:r w:rsidRPr="001E4901">
        <w:rPr>
          <w:color w:val="000000" w:themeColor="text1"/>
        </w:rPr>
        <w:t>AMPure</w:t>
      </w:r>
      <w:proofErr w:type="spellEnd"/>
      <w:r w:rsidRPr="001E4901">
        <w:rPr>
          <w:color w:val="000000" w:themeColor="text1"/>
        </w:rPr>
        <w:t xml:space="preserve"> XP magnetic beads and two 200µL washes of freshly prepared 80% ethanol. The final 16S rRNA gene amplicon </w:t>
      </w:r>
      <w:r w:rsidRPr="001E4901">
        <w:rPr>
          <w:color w:val="000000" w:themeColor="text1"/>
        </w:rPr>
        <w:lastRenderedPageBreak/>
        <w:t xml:space="preserve">products were then combined with 25µL of Tris-HCl and stored at -20 ºC until further use. Post two step PCR, all 16S amplicon products were quantified using a </w:t>
      </w:r>
      <w:proofErr w:type="spellStart"/>
      <w:r w:rsidRPr="001E4901">
        <w:rPr>
          <w:color w:val="000000" w:themeColor="text1"/>
        </w:rPr>
        <w:t>NanoDrop</w:t>
      </w:r>
      <w:proofErr w:type="spellEnd"/>
      <w:r w:rsidRPr="001E4901">
        <w:rPr>
          <w:color w:val="000000" w:themeColor="text1"/>
        </w:rPr>
        <w:t xml:space="preserve"> spectrophotometer (</w:t>
      </w:r>
      <w:proofErr w:type="spellStart"/>
      <w:r w:rsidRPr="001E4901">
        <w:rPr>
          <w:color w:val="000000" w:themeColor="text1"/>
        </w:rPr>
        <w:t>NanoDrop</w:t>
      </w:r>
      <w:proofErr w:type="spellEnd"/>
      <w:r w:rsidRPr="001E4901">
        <w:rPr>
          <w:color w:val="000000" w:themeColor="text1"/>
        </w:rPr>
        <w:t xml:space="preserve"> Products, Wilmington, DE, USA) and pooled in equal concentrations. Next, a Bioanalyzer was used to determine molarity and appropriate adapter ligation by examining product length (Agilent Technologies, Santa Clara, CA, USA). This step behaves as the final quality control step before sequencing. Pooled samples were diluted to 4pM with Tris and loaded into the </w:t>
      </w:r>
      <w:proofErr w:type="spellStart"/>
      <w:r w:rsidRPr="001E4901">
        <w:rPr>
          <w:color w:val="000000" w:themeColor="text1"/>
        </w:rPr>
        <w:t>MiSeq</w:t>
      </w:r>
      <w:proofErr w:type="spellEnd"/>
      <w:r w:rsidRPr="001E4901">
        <w:rPr>
          <w:color w:val="000000" w:themeColor="text1"/>
        </w:rPr>
        <w:t xml:space="preserve"> instrument with 20% </w:t>
      </w:r>
      <w:proofErr w:type="spellStart"/>
      <w:r w:rsidRPr="001E4901">
        <w:rPr>
          <w:color w:val="000000" w:themeColor="text1"/>
        </w:rPr>
        <w:t>PhiX</w:t>
      </w:r>
      <w:proofErr w:type="spellEnd"/>
      <w:r w:rsidRPr="001E4901">
        <w:rPr>
          <w:color w:val="000000" w:themeColor="text1"/>
        </w:rPr>
        <w:t xml:space="preserve"> on a V3 flow cell set to read a 2x275, or paired end, cycle at the University of Tennessee Genomics Core, Knoxville, Tennessee, USA.</w:t>
      </w:r>
    </w:p>
    <w:p w14:paraId="40FA63FF" w14:textId="6AD96B55" w:rsidR="00FA3222" w:rsidRPr="001E4901" w:rsidRDefault="00FA3222" w:rsidP="002A797A">
      <w:pPr>
        <w:pStyle w:val="Heading3"/>
      </w:pPr>
      <w:bookmarkStart w:id="15" w:name="_Toc102047997"/>
      <w:r w:rsidRPr="001E4901">
        <w:t>Bioinformatics</w:t>
      </w:r>
      <w:bookmarkEnd w:id="15"/>
    </w:p>
    <w:p w14:paraId="60DB0BD2" w14:textId="52ACF854" w:rsidR="00FA3222" w:rsidRPr="001E4901" w:rsidRDefault="00FA3222" w:rsidP="002A797A">
      <w:pPr>
        <w:spacing w:line="360" w:lineRule="auto"/>
        <w:ind w:firstLine="720"/>
        <w:rPr>
          <w:color w:val="000000" w:themeColor="text1"/>
        </w:rPr>
      </w:pPr>
      <w:r w:rsidRPr="001E4901">
        <w:rPr>
          <w:color w:val="000000" w:themeColor="text1"/>
        </w:rPr>
        <w:t xml:space="preserve">Processing of the 16S amplicon data were completed with the </w:t>
      </w:r>
      <w:r w:rsidR="00E05741" w:rsidRPr="001E4901">
        <w:rPr>
          <w:color w:val="000000" w:themeColor="text1"/>
        </w:rPr>
        <w:t>open-source</w:t>
      </w:r>
      <w:r w:rsidRPr="001E4901">
        <w:rPr>
          <w:color w:val="000000" w:themeColor="text1"/>
        </w:rPr>
        <w:t xml:space="preserve"> pipeline DADA2 version 1.8 (</w:t>
      </w:r>
      <w:hyperlink r:id="rId13" w:history="1">
        <w:r w:rsidRPr="001E4901">
          <w:rPr>
            <w:rStyle w:val="Hyperlink"/>
            <w:rFonts w:ascii="Times New Roman" w:hAnsi="Times New Roman"/>
            <w:color w:val="000000" w:themeColor="text1"/>
          </w:rPr>
          <w:t>https://github.com/benjjneb/dada2</w:t>
        </w:r>
      </w:hyperlink>
      <w:r w:rsidRPr="00B73E8F">
        <w:rPr>
          <w:color w:val="000000" w:themeColor="text1"/>
        </w:rPr>
        <w:t xml:space="preserve">). With DADA2, we detected sequence anomalies at a single-nucleotide resolution known as ASVs </w:t>
      </w:r>
      <w:r w:rsidRPr="00B73E8F">
        <w:rPr>
          <w:color w:val="000000" w:themeColor="text1"/>
        </w:rPr>
        <w:fldChar w:fldCharType="begin" w:fldLock="1"/>
      </w:r>
      <w:r w:rsidR="006E1F09">
        <w:rPr>
          <w:color w:val="000000" w:themeColor="text1"/>
        </w:rPr>
        <w:instrText>ADDIN CSL_CITATION {"citationItems":[{"id":"ITEM-1","itemData":{"DOI":"10.1038/nmeth.3869","ISSN":"15487105","abstract":"We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variants.","author":[{"dropping-particle":"","family":"Callahan","given":"Benjamin J.","non-dropping-particle":"","parse-names":false,"suffix":""},{"dropping-particle":"","family":"McMurdie","given":"Paul J.","non-dropping-particle":"","parse-names":false,"suffix":""},{"dropping-particle":"","family":"Rosen","given":"Michael J.","non-dropping-particle":"","parse-names":false,"suffix":""},{"dropping-particle":"","family":"Han","given":"Andrew W.","non-dropping-particle":"","parse-names":false,"suffix":""},{"dropping-particle":"","family":"Johnson","given":"Amy Jo A.","non-dropping-particle":"","parse-names":false,"suffix":""},{"dropping-particle":"","family":"Holmes","given":"Susan P.","non-dropping-particle":"","parse-names":false,"suffix":""}],"container-title":"Nature Methods","id":"ITEM-1","issue":"7","issued":{"date-parts":[["2016"]]},"page":"581-583","title":"DADA2: High-resolution sample inference from Illumina amplicon data","type":"article-journal","volume":"13"},"uris":["http://www.mendeley.com/documents/?uuid=3587fcd7-dbb5-4fc7-8a8a-e616d0d930c7"]}],"mendeley":{"formattedCitation":"(Callahan et al., 2016)","plainTextFormattedCitation":"(Callahan et al., 2016)","previouslyFormattedCitation":"(Callahan et al.,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(Callahan et al., 2016)</w:t>
      </w:r>
      <w:r w:rsidRPr="00B73E8F">
        <w:rPr>
          <w:color w:val="000000" w:themeColor="text1"/>
        </w:rPr>
        <w:fldChar w:fldCharType="end"/>
      </w:r>
      <w:r w:rsidRPr="00B73E8F">
        <w:rPr>
          <w:color w:val="000000" w:themeColor="text1"/>
        </w:rPr>
        <w:t>. Amplification primers 341F and 785R were removed from each read by trimming according to their length. Then all forward and reverse reads were quality filtered and trimmed to 248 and 220 nucleotides in length, respectively. Sequences with sequencing errors were then removed and forward and reverse reads were merged if t</w:t>
      </w:r>
      <w:r w:rsidRPr="001E4901">
        <w:rPr>
          <w:color w:val="000000" w:themeColor="text1"/>
        </w:rPr>
        <w:t xml:space="preserve">here was sufficient overlap for each ASV in each sample. Chimeras were detected within each merged read and removed. Lastly, all merged sequences were matched to SILVA version 132, a taxonomic reference database for 16S rRNA genes </w:t>
      </w:r>
      <w:r w:rsidRPr="00B73E8F">
        <w:rPr>
          <w:color w:val="000000" w:themeColor="text1"/>
        </w:rPr>
        <w:fldChar w:fldCharType="begin" w:fldLock="1"/>
      </w:r>
      <w:r w:rsidR="006E1F09">
        <w:rPr>
          <w:color w:val="000000" w:themeColor="text1"/>
        </w:rPr>
        <w:instrText>ADDIN CSL_CITATION {"citationItems":[{"id":"ITEM-1","itemData":{"DOI":"10.1093/nar/gks1219","ISSN":"03051048","abstract":"SILVA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author":[{"dropping-particle":"","family":"Quast","given":"Christian","non-dropping-particle":"","parse-names":false,"suffix":""},{"dropping-particle":"","family":"Pruesse","given":"Elmar","non-dropping-particle":"","parse-names":false,"suffix":""},{"dropping-particle":"","family":"Yilmaz","given":"Pelin","non-dropping-particle":"","parse-names":false,"suffix":""},{"dropping-particle":"","family":"Gerken","given":"Jan","non-dropping-particle":"","parse-names":false,"suffix":""},{"dropping-particle":"","family":"Schweer","given":"Timmy","non-dropping-particle":"","parse-names":false,"suffix":""},{"dropping-particle":"","family":"Yarza","given":"Pablo","non-dropping-particle":"","parse-names":false,"suffix":""},{"dropping-particle":"","family":"Peplies","given":"Jörg","non-dropping-particle":"","parse-names":false,"suffix":""},{"dropping-particle":"","family":"Glöckner","given":"Frank Oliver","non-dropping-particle":"","parse-names":false,"suffix":""}],"container-title":"Nucleic Acids Research","id":"ITEM-1","issue":"D1","issued":{"date-parts":[["2013"]]},"page":"590-596","title":"The SILVA ribosomal RNA gene database project: Improved data processing and web-based tools","type":"article-journal","volume":"41"},"uris":["http://www.mendeley.com/documents/?uuid=733ecaaa-a03c-47f9-bbe2-fb37ecf51336"]},{"id":"ITEM-2","itemData":{"DOI":"10.1093/nar/gkt1209","ISSN":"03051048","abstract":"SILVA (from Latin silva, forest, http://www.arb-silva.de) is a comprehensive resource for up-to-date quality-controlled databases of aligned ribosomal RNA (rRNA) gene sequences from the Bacteria, Archaea and Eukaryota domains and supplementary online services. SILVA provides a manually curated taxonomy for all three domains of life, based on representative phylogenetic trees for the small- and large-subunit rRNA genes. This article describes the improvements the SILVA taxonomy has undergone in the last 3 years. Specifically we are focusing on the curation process, the various resources used for curation and the comparison of the SILVA taxonomy with Greengenes and RDP-II taxonomies. Our comparisons not only revealed a reasonable overlap between the taxa names, but also points to significant differences in both names and numbers of taxa between the three resources.","author":[{"dropping-particle":"","family":"Yilmaz","given":"Pelin","non-dropping-particle":"","parse-names":false,"suffix":""},{"dropping-particle":"","family":"Parfrey","given":"Laura Wegener","non-dropping-particle":"","parse-names":false,"suffix":""},{"dropping-particle":"","family":"Yarza","given":"Pablo","non-dropping-particle":"","parse-names":false,"suffix":""},{"dropping-particle":"","family":"Gerken","given":"Jan","non-dropping-particle":"","parse-names":false,"suffix":""},{"dropping-particle":"","family":"Pruesse","given":"Elmar","non-dropping-particle":"","parse-names":false,"suffix":""},{"dropping-particle":"","family":"Quast","given":"Christian","non-dropping-particle":"","parse-names":false,"suffix":""},{"dropping-particle":"","family":"Schweer","given":"Timmy","non-dropping-particle":"","parse-names":false,"suffix":""},{"dropping-particle":"","family":"Peplies","given":"Jörg","non-dropping-particle":"","parse-names":false,"suffix":""},{"dropping-particle":"","family":"Ludwig","given":"Wolfgang","non-dropping-particle":"","parse-names":false,"suffix":""},{"dropping-particle":"","family":"Glöckner","given":"Frank Oliver","non-dropping-particle":"","parse-names":false,"suffix":""}],"container-title":"Nucleic Acids Research","id":"ITEM-2","issue":"D1","issued":{"date-parts":[["2014"]]},"page":"643-648","title":"The SILVA and \"all-species Living Tree Project (LTP)\" taxonomic frameworks","type":"article-journal","volume":"42"},"uris":["http://www.mendeley.com/documents/?uuid=1c47a301-bd43-4a3a-8ec3-bb1b740f2c45"]}],"mendeley":{"formattedCitation":"(Quast et al., 2013; Yilmaz et al., 2014)","plainTextFormattedCitation":"(Quast et al., 2013; Yilmaz et al., 2014)","previouslyFormattedCitation":"(Quast et al., 2013; Yilmaz et al.,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(Quast et al., 2013; Yilmaz et al., 2014)</w:t>
      </w:r>
      <w:r w:rsidRPr="00B73E8F">
        <w:rPr>
          <w:color w:val="000000" w:themeColor="text1"/>
        </w:rPr>
        <w:fldChar w:fldCharType="end"/>
      </w:r>
      <w:r w:rsidRPr="00B73E8F">
        <w:rPr>
          <w:color w:val="000000" w:themeColor="text1"/>
        </w:rPr>
        <w:t xml:space="preserve">. This pipeline was implemented in R version 3.5.2 (https://www.r-project.org/). All nucleotide sequence data was made publicly available in GenBank database under the accession number: </w:t>
      </w:r>
      <w:r w:rsidRPr="001E4901">
        <w:rPr>
          <w:color w:val="000000" w:themeColor="text1"/>
          <w:shd w:val="clear" w:color="auto" w:fill="FFFFFF"/>
        </w:rPr>
        <w:t>PRJNA575901.</w:t>
      </w:r>
    </w:p>
    <w:p w14:paraId="4E615D7E" w14:textId="7972C30D" w:rsidR="00FA3222" w:rsidRPr="001E4901" w:rsidRDefault="00FA3222" w:rsidP="002A797A">
      <w:pPr>
        <w:spacing w:line="360" w:lineRule="auto"/>
        <w:rPr>
          <w:color w:val="000000" w:themeColor="text1"/>
        </w:rPr>
      </w:pPr>
      <w:r w:rsidRPr="001E4901">
        <w:rPr>
          <w:color w:val="000000" w:themeColor="text1"/>
        </w:rPr>
        <w:tab/>
        <w:t xml:space="preserve">The package </w:t>
      </w:r>
      <w:proofErr w:type="spellStart"/>
      <w:r w:rsidRPr="001E4901">
        <w:rPr>
          <w:color w:val="000000" w:themeColor="text1"/>
        </w:rPr>
        <w:t>phyloseq</w:t>
      </w:r>
      <w:proofErr w:type="spellEnd"/>
      <w:r w:rsidRPr="001E4901">
        <w:rPr>
          <w:color w:val="000000" w:themeColor="text1"/>
        </w:rPr>
        <w:t xml:space="preserve"> was then used to combine community data, assigned taxonomy, and metadata into a single, flexible R object </w:t>
      </w:r>
      <w:r w:rsidRPr="00B73E8F">
        <w:rPr>
          <w:color w:val="000000" w:themeColor="text1"/>
        </w:rPr>
        <w:fldChar w:fldCharType="begin" w:fldLock="1"/>
      </w:r>
      <w:r w:rsidR="006E1F09">
        <w:rPr>
          <w:color w:val="000000" w:themeColor="text1"/>
        </w:rPr>
        <w:instrText>ADDIN CSL_CITATION {"citationItems":[{"id":"ITEM-1","itemData":{"DOI":"10.1371/journal.pone.0061217","ISSN":"19326203","abstract":"BACKGROUND: the analysis of microbial communities through dna sequencing brings many challenges: the integration of different types of data with methods from ecology, genetics, phylogenetics, multivariate statistics, visualization and testing. With the increased breadth of experimental designs now being pursued, project-specific statistical analyses are often needed, and these analyses are often difficult (or impossible) for peer researchers to independently reproduce. The vast majority of the requisite tools for performing these analyses reproducibly are already implemented in R and its extensions (packages), but with limited support for high throughput microbiome census data.\\n\\nRESULTS: Here we describe a software project, phyloseq, dedicated to the object-oriented representation and analysis of microbiome census data in R. It supports importing data from a variety of common formats, as well as many analysis techniques. These include calibration, filtering, subsetting, agglomeration, multi-table comparisons, diversity analysis, parallelized Fast UniFrac, ordination methods, and production of publication-quality graphics; all in a manner that is easy to document, share, and modify. We show how to apply functions from other R packages to phyloseq-represented data, illustrating the availability of a large number of open source analysis techniques. We discuss the use of phyloseq with tools for reproducible research, a practice common in other fields but still rare in the analysis of highly parallel microbiome census data. We have made available all of the materials necessary to completely reproduce the analysis and figures included in this article, an example of best practices for reproducible research.\\n\\nCONCLUSIONS: The phyloseq project for R is a new open-source software package, freely available on the web from both GitHub and Bioconductor.","author":[{"dropping-particle":"","family":"McMurdie","given":"Paul J.","non-dropping-particle":"","parse-names":false,"suffix":""},{"dropping-particle":"","family":"Holmes","given":"Susan","non-dropping-particle":"","parse-names":false,"suffix":""}],"container-title":"PLoS ONE","id":"ITEM-1","issue":"4","issued":{"date-parts":[["2013"]]},"title":"Phyloseq: An R Package for Reproducible Interactive Analysis and Graphics of Microbiome Census Data","type":"article-journal","volume":"8"},"uris":["http://www.mendeley.com/documents/?uuid=5d419b58-33fe-4580-a6a7-28942e75a5c3"]}],"mendeley":{"formattedCitation":"(McMurdie and Holmes, 2013)","plainTextFormattedCitation":"(McMurdie and Holmes, 2013)","previouslyFormattedCitation":"(McMurdie and Holmes,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(McMurdie and Holmes, 2013)</w:t>
      </w:r>
      <w:r w:rsidRPr="00B73E8F">
        <w:rPr>
          <w:color w:val="000000" w:themeColor="text1"/>
        </w:rPr>
        <w:fldChar w:fldCharType="end"/>
      </w:r>
      <w:r w:rsidRPr="00B73E8F">
        <w:rPr>
          <w:color w:val="000000" w:themeColor="text1"/>
        </w:rPr>
        <w:t xml:space="preserve">. Eukaryotes, chloroplasts, and mitochondria were removed from our data set. If no assignment was made at the Kingdom level these ASVs were similarly removed. Lastly, rhizosphere samples that failed during sequencing and </w:t>
      </w:r>
      <w:r w:rsidRPr="001E4901">
        <w:rPr>
          <w:color w:val="000000" w:themeColor="text1"/>
        </w:rPr>
        <w:t>contained no ASVs were dropped (</w:t>
      </w:r>
      <w:r w:rsidR="001A6A6A">
        <w:rPr>
          <w:color w:val="000000" w:themeColor="text1"/>
        </w:rPr>
        <w:t>n</w:t>
      </w:r>
      <w:r w:rsidRPr="001E4901">
        <w:rPr>
          <w:color w:val="000000" w:themeColor="text1"/>
        </w:rPr>
        <w:t xml:space="preserve">=2). Mean sample abundances were obtained by rarefying to the lowest number of reads (7,739 reads) 5,000 times with the </w:t>
      </w:r>
      <w:proofErr w:type="spellStart"/>
      <w:r w:rsidRPr="001E4901">
        <w:rPr>
          <w:color w:val="000000" w:themeColor="text1"/>
        </w:rPr>
        <w:t>rrarefy</w:t>
      </w:r>
      <w:proofErr w:type="spellEnd"/>
      <w:r w:rsidRPr="001E4901">
        <w:rPr>
          <w:color w:val="000000" w:themeColor="text1"/>
        </w:rPr>
        <w:t xml:space="preserve"> function in the vegan package when we investigate the difference between ASV richness and relative abundance amongst rhizosphere depths </w:t>
      </w:r>
      <w:r w:rsidRPr="00B73E8F">
        <w:rPr>
          <w:color w:val="000000" w:themeColor="text1"/>
        </w:rPr>
        <w:fldChar w:fldCharType="begin" w:fldLock="1"/>
      </w:r>
      <w:r w:rsidR="006E1F09">
        <w:rPr>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2019)","plainTextFormattedCitation":"(Oksanen et al., 2019)","previouslyFormattedCitation":"(Oksanen et al., 2019)"},"properties":{"noteIndex":0},"schema":"https://github.com/citation-style-language/schema/raw/master/csl-citation.json"}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(Oksanen et al., 2019)</w:t>
      </w:r>
      <w:r w:rsidRPr="00B73E8F">
        <w:rPr>
          <w:color w:val="000000" w:themeColor="text1"/>
        </w:rPr>
        <w:fldChar w:fldCharType="end"/>
      </w:r>
      <w:r w:rsidRPr="00B73E8F">
        <w:rPr>
          <w:color w:val="000000" w:themeColor="text1"/>
        </w:rPr>
        <w:t>. To address the difference</w:t>
      </w:r>
      <w:r w:rsidR="000D7974">
        <w:rPr>
          <w:color w:val="000000" w:themeColor="text1"/>
        </w:rPr>
        <w:t xml:space="preserve"> </w:t>
      </w:r>
      <w:r w:rsidRPr="00B73E8F">
        <w:rPr>
          <w:color w:val="000000" w:themeColor="text1"/>
        </w:rPr>
        <w:lastRenderedPageBreak/>
        <w:t>in relative abundance between pooling methods (</w:t>
      </w:r>
      <w:r w:rsidR="00E05741" w:rsidRPr="00B73E8F">
        <w:rPr>
          <w:color w:val="000000" w:themeColor="text1"/>
        </w:rPr>
        <w:t>i.e.,</w:t>
      </w:r>
      <w:r w:rsidRPr="00B73E8F">
        <w:rPr>
          <w:color w:val="000000" w:themeColor="text1"/>
        </w:rPr>
        <w:t xml:space="preserve"> sampling grain), pairwise rarefaction to the same number of reads was used per plant.</w:t>
      </w:r>
    </w:p>
    <w:p w14:paraId="084C7B53" w14:textId="3B652725" w:rsidR="00FA3222" w:rsidRPr="001E4901" w:rsidRDefault="00FA3222" w:rsidP="002A797A">
      <w:pPr>
        <w:pStyle w:val="Heading3"/>
      </w:pPr>
      <w:bookmarkStart w:id="16" w:name="_Toc102047998"/>
      <w:r w:rsidRPr="001E4901">
        <w:t>Hypothesis testing and statistical analyses</w:t>
      </w:r>
      <w:bookmarkEnd w:id="16"/>
    </w:p>
    <w:p w14:paraId="7923DCBE" w14:textId="30C0B903" w:rsidR="00FA3222" w:rsidRPr="00B73E8F" w:rsidRDefault="00FA3222" w:rsidP="002A797A">
      <w:pPr>
        <w:spacing w:line="360" w:lineRule="auto"/>
        <w:rPr>
          <w:color w:val="000000" w:themeColor="text1"/>
        </w:rPr>
      </w:pPr>
      <w:r w:rsidRPr="001E4901">
        <w:rPr>
          <w:color w:val="000000" w:themeColor="text1"/>
        </w:rPr>
        <w:tab/>
        <w:t xml:space="preserve">An indicator species analysis (R package </w:t>
      </w:r>
      <w:proofErr w:type="spellStart"/>
      <w:r w:rsidRPr="001E4901">
        <w:rPr>
          <w:color w:val="000000" w:themeColor="text1"/>
        </w:rPr>
        <w:t>indicspecies</w:t>
      </w:r>
      <w:proofErr w:type="spellEnd"/>
      <w:r w:rsidRPr="001E4901">
        <w:rPr>
          <w:color w:val="000000" w:themeColor="text1"/>
        </w:rPr>
        <w:t xml:space="preserve">) using the group equalized point biserial correlation index for each group was then conducted with 50,000 permutations to elucidate ASVs highly associated with each rhizosphere depth </w:t>
      </w:r>
      <w:r w:rsidRPr="00B73E8F">
        <w:rPr>
          <w:color w:val="000000" w:themeColor="text1"/>
        </w:rPr>
        <w:fldChar w:fldCharType="begin" w:fldLock="1"/>
      </w:r>
      <w:r w:rsidR="006E1F09">
        <w:rPr>
          <w:color w:val="000000" w:themeColor="text1"/>
        </w:rPr>
        <w:instrText>ADDIN CSL_CITATION {"citationItems":[{"id":"ITEM-1","itemData":{"author":[{"dropping-particle":"","family":"Caceres","given":"M","non-dropping-particle":"De","parse-names":false,"suffix":""},{"dropping-particle":"","family":"Legendre","given":"Pierre","non-dropping-particle":"","parse-names":false,"suffix":""}],"container-title":"Ecology","id":"ITEM-1","issue":"12","issued":{"date-parts":[["2009"]]},"page":"3566-3574","title":"Associations between species and groups of sites: indices and statistical inference. Ecology, URL http://sites.google.com/site/miqueldecaceres/","type":"article-journal","volume":"90"},"uris":["http://www.mendeley.com/documents/?uuid=155611f4-89a7-4f62-a10b-5153e40175a6"]}],"mendeley":{"formattedCitation":"(De Caceres and Legendre, 2009)","plainTextFormattedCitation":"(De Caceres and Legendre, 2009)","previouslyFormattedCitation":"(De Caceres and Legendre, 2009)"},"properties":{"noteIndex":0},"schema":"https://github.com/citation-style-language/schema/raw/master/csl-citation.json"}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(De Caceres and Legendre, 2009)</w:t>
      </w:r>
      <w:r w:rsidRPr="00B73E8F">
        <w:rPr>
          <w:color w:val="000000" w:themeColor="text1"/>
        </w:rPr>
        <w:fldChar w:fldCharType="end"/>
      </w:r>
      <w:r w:rsidRPr="00B73E8F">
        <w:rPr>
          <w:color w:val="000000" w:themeColor="text1"/>
        </w:rPr>
        <w:t>. Two distance-based redundancy analyses (</w:t>
      </w:r>
      <w:proofErr w:type="spellStart"/>
      <w:r w:rsidR="00BD6AD2">
        <w:rPr>
          <w:color w:val="000000" w:themeColor="text1"/>
        </w:rPr>
        <w:t>db</w:t>
      </w:r>
      <w:proofErr w:type="spellEnd"/>
      <w:r w:rsidR="00BD6AD2">
        <w:rPr>
          <w:color w:val="000000" w:themeColor="text1"/>
        </w:rPr>
        <w:t>-RDA</w:t>
      </w:r>
      <w:r w:rsidRPr="00B73E8F">
        <w:rPr>
          <w:color w:val="000000" w:themeColor="text1"/>
        </w:rPr>
        <w:t xml:space="preserve">) were implemented for hypothesis testing to quantify community variation explained by </w:t>
      </w:r>
      <w:r w:rsidRPr="001E4901">
        <w:rPr>
          <w:color w:val="000000" w:themeColor="text1"/>
        </w:rPr>
        <w:t xml:space="preserve">the sampling depth within the rhizosphere. In these models, we partial out variation explained by individual plants (sample ID) before hypothesis testing </w:t>
      </w:r>
      <w:r w:rsidR="00E05741" w:rsidRPr="001E4901">
        <w:rPr>
          <w:color w:val="000000" w:themeColor="text1"/>
        </w:rPr>
        <w:t>to</w:t>
      </w:r>
      <w:r w:rsidRPr="001E4901">
        <w:rPr>
          <w:color w:val="000000" w:themeColor="text1"/>
        </w:rPr>
        <w:t xml:space="preserve"> account for the non-independence of rhizosphere samples associated with a single plant. Prior to modeling, all sequences were aligned using MAFFT version 7.0 </w:t>
      </w:r>
      <w:r w:rsidRPr="00B73E8F">
        <w:rPr>
          <w:color w:val="000000" w:themeColor="text1"/>
        </w:rPr>
        <w:fldChar w:fldCharType="begin" w:fldLock="1"/>
      </w:r>
      <w:r w:rsidR="006E1F09">
        <w:rPr>
          <w:color w:val="000000" w:themeColor="text1"/>
        </w:rPr>
        <w:instrText>ADDIN CSL_CITATION {"citationItems":[{"id":"ITEM-1","itemData":{"DOI":"10.1093/molbev/mst010","ISSN":"1537-1719","PMID":"23329690","abstract":"We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limitations.","author":[{"dropping-particle":"","family":"Katoh","given":"Kazutaka","non-dropping-particle":"","parse-names":false,"suffix":""},{"dropping-particle":"","family":"Standley","given":"Daron M","non-dropping-particle":"","parse-names":false,"suffix":""}],"container-title":"Molecular biology and evolution","id":"ITEM-1","issue":"4","issued":{"date-parts":[["2013"]]},"page":"772-80","title":"MAFFT multiple sequence alignment software version 7: improvements in performance and usability","type":"article-journal","volume":"30"},"uris":["http://www.mendeley.com/documents/?uuid=dffd9c92-32c7-47d1-b87e-4e36581c7e9e"]}],"mendeley":{"formattedCitation":"(Katoh and Standley, 2013)","plainTextFormattedCitation":"(Katoh and Standley, 2013)","previouslyFormattedCitation":"(Katoh and Standley,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(Katoh and Standley, 2013)</w:t>
      </w:r>
      <w:r w:rsidRPr="00B73E8F">
        <w:rPr>
          <w:color w:val="000000" w:themeColor="text1"/>
        </w:rPr>
        <w:fldChar w:fldCharType="end"/>
      </w:r>
      <w:r w:rsidRPr="00B73E8F">
        <w:rPr>
          <w:color w:val="000000" w:themeColor="text1"/>
        </w:rPr>
        <w:t xml:space="preserve">. Next, a phylogenetic tree was built using the Randomized </w:t>
      </w:r>
      <w:proofErr w:type="spellStart"/>
      <w:r w:rsidRPr="00B73E8F">
        <w:rPr>
          <w:color w:val="000000" w:themeColor="text1"/>
        </w:rPr>
        <w:t>Axelerated</w:t>
      </w:r>
      <w:proofErr w:type="spellEnd"/>
      <w:r w:rsidRPr="00B73E8F">
        <w:rPr>
          <w:color w:val="000000" w:themeColor="text1"/>
        </w:rPr>
        <w:t xml:space="preserve"> Maximum Likelihood (</w:t>
      </w:r>
      <w:proofErr w:type="spellStart"/>
      <w:r w:rsidRPr="00B73E8F">
        <w:rPr>
          <w:color w:val="000000" w:themeColor="text1"/>
        </w:rPr>
        <w:t>RAxML</w:t>
      </w:r>
      <w:proofErr w:type="spellEnd"/>
      <w:r w:rsidRPr="00B73E8F">
        <w:rPr>
          <w:color w:val="000000" w:themeColor="text1"/>
        </w:rPr>
        <w:t xml:space="preserve">) program and the General Time Reversable CAT model of rate heterogeneity for phylogenetic approximation </w:t>
      </w:r>
      <w:r w:rsidRPr="00B73E8F">
        <w:rPr>
          <w:color w:val="000000" w:themeColor="text1"/>
        </w:rPr>
        <w:fldChar w:fldCharType="begin" w:fldLock="1"/>
      </w:r>
      <w:r w:rsidR="006E1F09">
        <w:rPr>
          <w:color w:val="000000" w:themeColor="text1"/>
        </w:rPr>
        <w:instrText>ADDIN CSL_CITATION {"citationItems":[{"id":"ITEM-1","itemData":{"DOI":"10.1093/bioinformatics/btu033","ISSN":"14602059","abstract":"MOTIVATION Phylogenies are increasingly used in all fields of medical and biological research. Moreover, because of the next-generation sequencing revolution, datasets used for conducting phylogenetic analyses grow at an unprecedented pace. RAxML (Randomized Axelerated Maximum Likelihood) is a popular program for phylogenetic analyses of large datasets under maximum likelihood. Since the last RAxML paper in 2006, it has been continuously maintained and extended to accommodate the increasingly growing input datasets and to serve the needs of the user community. RESULTS I present some of the most notable new features and extensions of RAxML, such as a substantial extension of substitution models and supported data types, the introduction of SSE3, AVX and AVX2 vector intrinsics, techniques for reducing the memory requirements of the code and a plethora of operations for conducting post-analyses on sets of trees. In addition, an up-to-date 50-page user manual covering all new RAxML options is available.","author":[{"dropping-particle":"","family":"Stamatakis","given":"Alexandros","non-dropping-particle":"","parse-names":false,"suffix":""}],"container-title":"Bioinformatics","id":"ITEM-1","issue":"9","issued":{"date-parts":[["2014"]]},"page":"1312-1313","title":"RAxML version 8: A tool for phylogenetic analysis and post-analysis of large phylogenies","type":"article-journal","volume":"30"},"uris":["http://www.mendeley.com/documents/?uuid=7428c52e-2f32-46dc-b118-709cc47e2d79"]}],"mendeley":{"formattedCitation":"(Stamatakis, 2014)","plainTextFormattedCitation":"(Stamatakis, 2014)","previouslyFormattedCitation":"(Stamatakis,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(Stamatakis, 2014)</w:t>
      </w:r>
      <w:r w:rsidRPr="00B73E8F">
        <w:rPr>
          <w:color w:val="000000" w:themeColor="text1"/>
        </w:rPr>
        <w:fldChar w:fldCharType="end"/>
      </w:r>
      <w:r w:rsidRPr="00B73E8F">
        <w:rPr>
          <w:color w:val="000000" w:themeColor="text1"/>
        </w:rPr>
        <w:t xml:space="preserve">. This tree was made </w:t>
      </w:r>
      <w:proofErr w:type="spellStart"/>
      <w:r w:rsidRPr="00B73E8F">
        <w:rPr>
          <w:color w:val="000000" w:themeColor="text1"/>
        </w:rPr>
        <w:t>ultrametric</w:t>
      </w:r>
      <w:proofErr w:type="spellEnd"/>
      <w:r w:rsidRPr="00B73E8F">
        <w:rPr>
          <w:color w:val="000000" w:themeColor="text1"/>
        </w:rPr>
        <w:t xml:space="preserve"> using the software </w:t>
      </w:r>
      <w:proofErr w:type="spellStart"/>
      <w:r w:rsidRPr="00B73E8F">
        <w:rPr>
          <w:color w:val="000000" w:themeColor="text1"/>
        </w:rPr>
        <w:t>treePL</w:t>
      </w:r>
      <w:proofErr w:type="spellEnd"/>
      <w:r w:rsidRPr="00B73E8F">
        <w:rPr>
          <w:color w:val="000000" w:themeColor="text1"/>
        </w:rPr>
        <w:t xml:space="preserve">, which transformed branch lengths to correspond with relative divergence time using penalized likelihood </w:t>
      </w:r>
      <w:r w:rsidRPr="00B73E8F">
        <w:rPr>
          <w:color w:val="000000" w:themeColor="text1"/>
        </w:rPr>
        <w:fldChar w:fldCharType="begin" w:fldLock="1"/>
      </w:r>
      <w:r w:rsidR="006E1F09">
        <w:rPr>
          <w:color w:val="000000" w:themeColor="text1"/>
        </w:rPr>
        <w:instrText>ADDIN CSL_CITATION {"citationItems":[{"id":"ITEM-1","itemData":{"DOI":"10.1093/bioinformatics/bts492","ISSN":"13674803","abstract":"Ever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 © The Author 2012. Published by Oxford University Press. All rights reserved.","author":[{"dropping-particle":"","family":"Smith","given":"Stephen A.","non-dropping-particle":"","parse-names":false,"suffix":""},{"dropping-particle":"","family":"O'Meara","given":"Brian C.","non-dropping-particle":"","parse-names":false,"suffix":""}],"container-title":"Bioinformatics","id":"ITEM-1","issue":"20","issued":{"date-parts":[["2012"]]},"page":"2689-2690","title":"TreePL: Divergence time estimation using penalized likelihood for large phylogenies","type":"article-journal","volume":"28"},"uris":["http://www.mendeley.com/documents/?uuid=5017ab19-a16e-40ce-b0a4-8729e6147091"]}],"mendeley":{"formattedCitation":"(Smith and O’Meara, 2012)","plainTextFormattedCitation":"(Smith and O’Meara, 2012)","previouslyFormattedCitation":"(Smith and O’Meara, 2012)"},"properties":{"noteIndex":0},"schema":"https://github.com/citation-style-language/schema/raw/master/csl-citation.json"}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(Smith and O’Meara, 2012)</w:t>
      </w:r>
      <w:r w:rsidRPr="00B73E8F">
        <w:rPr>
          <w:color w:val="000000" w:themeColor="text1"/>
        </w:rPr>
        <w:fldChar w:fldCharType="end"/>
      </w:r>
      <w:r w:rsidRPr="00B73E8F">
        <w:rPr>
          <w:color w:val="000000" w:themeColor="text1"/>
        </w:rPr>
        <w:t xml:space="preserve">. This </w:t>
      </w:r>
      <w:proofErr w:type="spellStart"/>
      <w:r w:rsidRPr="00B73E8F">
        <w:rPr>
          <w:color w:val="000000" w:themeColor="text1"/>
        </w:rPr>
        <w:t>ultrametric</w:t>
      </w:r>
      <w:proofErr w:type="spellEnd"/>
      <w:r w:rsidRPr="00B73E8F">
        <w:rPr>
          <w:color w:val="000000" w:themeColor="text1"/>
        </w:rPr>
        <w:t xml:space="preserve"> tree was then used to create a weighted </w:t>
      </w:r>
      <w:proofErr w:type="spellStart"/>
      <w:r w:rsidRPr="00B73E8F">
        <w:rPr>
          <w:color w:val="000000" w:themeColor="text1"/>
        </w:rPr>
        <w:t>UniFrac</w:t>
      </w:r>
      <w:proofErr w:type="spellEnd"/>
      <w:r w:rsidRPr="00B73E8F">
        <w:rPr>
          <w:color w:val="000000" w:themeColor="text1"/>
        </w:rPr>
        <w:t xml:space="preserve"> distance matrix. The quantitative Jaccard (</w:t>
      </w:r>
      <w:proofErr w:type="spellStart"/>
      <w:r w:rsidRPr="00B73E8F">
        <w:rPr>
          <w:color w:val="000000" w:themeColor="text1"/>
          <w:shd w:val="clear" w:color="auto" w:fill="FFFFFF"/>
        </w:rPr>
        <w:t>Ružička</w:t>
      </w:r>
      <w:proofErr w:type="spellEnd"/>
      <w:r w:rsidRPr="00B73E8F">
        <w:rPr>
          <w:color w:val="000000" w:themeColor="text1"/>
        </w:rPr>
        <w:t xml:space="preserve">) and the weighted </w:t>
      </w:r>
      <w:proofErr w:type="spellStart"/>
      <w:r w:rsidRPr="00B73E8F">
        <w:rPr>
          <w:color w:val="000000" w:themeColor="text1"/>
        </w:rPr>
        <w:t>UniFrac</w:t>
      </w:r>
      <w:proofErr w:type="spellEnd"/>
      <w:r w:rsidRPr="00B73E8F">
        <w:rPr>
          <w:color w:val="000000" w:themeColor="text1"/>
        </w:rPr>
        <w:t xml:space="preserve"> distance were then used as response variables in our </w:t>
      </w:r>
      <w:proofErr w:type="spellStart"/>
      <w:r w:rsidR="00BD6AD2">
        <w:rPr>
          <w:color w:val="000000" w:themeColor="text1"/>
        </w:rPr>
        <w:t>db</w:t>
      </w:r>
      <w:proofErr w:type="spellEnd"/>
      <w:r w:rsidR="00BD6AD2">
        <w:rPr>
          <w:color w:val="000000" w:themeColor="text1"/>
        </w:rPr>
        <w:t>-RDA</w:t>
      </w:r>
      <w:r w:rsidRPr="00B73E8F">
        <w:rPr>
          <w:color w:val="000000" w:themeColor="text1"/>
        </w:rPr>
        <w:t>s (</w:t>
      </w:r>
      <w:r w:rsidR="00C20753">
        <w:rPr>
          <w:color w:val="000000" w:themeColor="text1"/>
        </w:rPr>
        <w:t>n</w:t>
      </w:r>
      <w:r w:rsidRPr="00B73E8F">
        <w:rPr>
          <w:color w:val="000000" w:themeColor="text1"/>
        </w:rPr>
        <w:t xml:space="preserve">=87 </w:t>
      </w:r>
      <w:r w:rsidRPr="001E4901">
        <w:rPr>
          <w:color w:val="000000" w:themeColor="text1"/>
        </w:rPr>
        <w:t xml:space="preserve">samples). We then evaluated the statistical significance of rhizosphere depth as a predictor of community dissimilarity via 10,000 permutations of our data using the </w:t>
      </w:r>
      <w:proofErr w:type="spellStart"/>
      <w:r w:rsidRPr="001E4901">
        <w:rPr>
          <w:color w:val="000000" w:themeColor="text1"/>
        </w:rPr>
        <w:t>anova.cca</w:t>
      </w:r>
      <w:proofErr w:type="spellEnd"/>
      <w:r w:rsidRPr="001E4901">
        <w:rPr>
          <w:color w:val="000000" w:themeColor="text1"/>
        </w:rPr>
        <w:t xml:space="preserve"> function in the R package vegan 2.5-5 </w:t>
      </w:r>
      <w:r w:rsidRPr="00B73E8F">
        <w:rPr>
          <w:color w:val="000000" w:themeColor="text1"/>
        </w:rPr>
        <w:fldChar w:fldCharType="begin" w:fldLock="1"/>
      </w:r>
      <w:r w:rsidR="006E1F09">
        <w:rPr>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2019)","plainTextFormattedCitation":"(Oksanen et al., 2019)","previouslyFormattedCitation":"(Oksanen et al., 2019)"},"properties":{"noteIndex":0},"schema":"https://github.com/citation-style-language/schema/raw/master/csl-citation.json"}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(Oksanen et al., 2019)</w:t>
      </w:r>
      <w:r w:rsidRPr="00B73E8F">
        <w:rPr>
          <w:color w:val="000000" w:themeColor="text1"/>
        </w:rPr>
        <w:fldChar w:fldCharType="end"/>
      </w:r>
      <w:r w:rsidRPr="00B73E8F">
        <w:rPr>
          <w:color w:val="000000" w:themeColor="text1"/>
        </w:rPr>
        <w:t>.</w:t>
      </w:r>
    </w:p>
    <w:p w14:paraId="6FD84AB3" w14:textId="3FB5D159" w:rsidR="00FA3222" w:rsidRPr="001E4901" w:rsidRDefault="00FA3222" w:rsidP="002A797A">
      <w:pPr>
        <w:spacing w:line="360" w:lineRule="auto"/>
        <w:ind w:firstLine="720"/>
        <w:rPr>
          <w:color w:val="000000" w:themeColor="text1"/>
        </w:rPr>
      </w:pPr>
      <w:r w:rsidRPr="00B73E8F">
        <w:rPr>
          <w:color w:val="000000" w:themeColor="text1"/>
        </w:rPr>
        <w:t>The effective number of bacterial species (</w:t>
      </w:r>
      <w:proofErr w:type="spellStart"/>
      <w:r w:rsidRPr="00B73E8F">
        <w:rPr>
          <w:i/>
          <w:iCs/>
          <w:color w:val="000000" w:themeColor="text1"/>
          <w:vertAlign w:val="superscript"/>
        </w:rPr>
        <w:t>q</w:t>
      </w:r>
      <w:r w:rsidRPr="001E4901">
        <w:rPr>
          <w:i/>
          <w:iCs/>
          <w:color w:val="000000" w:themeColor="text1"/>
        </w:rPr>
        <w:t>D</w:t>
      </w:r>
      <w:proofErr w:type="spellEnd"/>
      <w:r w:rsidRPr="001E4901">
        <w:rPr>
          <w:color w:val="000000" w:themeColor="text1"/>
        </w:rPr>
        <w:t xml:space="preserve">) associated with each rhizosphere depth and each pooled sample was described using a Hill numbers approach with the R package vegetarian 1.2 </w:t>
      </w:r>
      <w:r w:rsidRPr="00B73E8F">
        <w:rPr>
          <w:color w:val="000000" w:themeColor="text1"/>
        </w:rPr>
        <w:fldChar w:fldCharType="begin" w:fldLock="1"/>
      </w:r>
      <w:r w:rsidR="006E1F09">
        <w:rPr>
          <w:color w:val="000000" w:themeColor="text1"/>
        </w:rPr>
        <w:instrText>ADDIN CSL_CITATION {"citationItems":[{"id":"ITEM-1","itemData":{"DOI":"10.1002/ecy.2446","author":[{"dropping-particle":"","family":"Jost","given":"Lou","non-dropping-particle":"","parse-names":false,"suffix":""}],"container-title":"Ecology","id":"ITEM-1","issue":"10","issued":{"date-parts":[["2007"]]},"page":"2427-2439","title":"Partitioning diversity into independent alpha and beta components","type":"article-journal","volume":"88"},"uris":["http://www.mendeley.com/documents/?uuid=1baa75db-c139-4f65-9bad-63066437a161"]},{"id":"ITEM-2","itemData":{"DOI":"10.2307/1934352","abstract":"Three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 See full-text article at JSTOR","author":[{"dropping-particle":"","family":"Hill","given":"M. O.","non-dropping-particle":"","parse-names":false,"suffix":""}],"container-title":"Ecology","id":"ITEM-2","issue":"2","issued":{"date-parts":[["1973"]]},"page":"427-432","title":"Diversity and Evenness: A Unifying Notation and Its Consequences","type":"article-journal","volume":"54"},"uris":["http://www.mendeley.com/documents/?uuid=f399ee3f-7768-48a0-83a7-c4019a27eec2"]},{"id":"ITEM-3","itemData":{"abstract":"Description This package computes diversity for community data sets using the methods outlined by Jost (2006, 2007). While there are differing opinions on the ideal way to calculate diversity (e.g. Magurran 2004), this method offers the advantage of providing diversity numbers equivalents, independent alpha and beta diversities, and the ability to incorporate 'order' (q) as a continuous measure of the importance of rare species in the metrics. The functions provided in this package largely correspond with the equations offered by Jost in the cited papers. The package computes alpha diversities, beta diversities, gamma diversities, and similarity indices. Confidence intervals for diversity measures are calculated using a bootstrap method described by Chao et al. (2008). For datasets with many samples (sites, plots), sim.table creates tables of all pairwise comparisons possible, and for grouped samples sim.groups calculates pairwise combinations of within-and between-group comparisons.","author":[{"dropping-particle":"","family":"Charney","given":"Noah","non-dropping-particle":"","parse-names":false,"suffix":""},{"dropping-particle":"","family":"Record","given":"Sydne","non-dropping-particle":"","parse-names":false,"suffix":""}],"id":"ITEM-3","issued":{"date-parts":[["2012"]]},"title":"vegetarian: Jost Diversity Measures for Community Data, version 1.2","type":"article-journal"},"uris":["http://www.mendeley.com/documents/?uuid=adbc8b35-0de4-40ff-b36c-f1aeed11a995"]}],"mendeley":{"formattedCitation":"(Hill, 1973; Jost, 2007; Charney and Record, 2012)","plainTextFormattedCitation":"(Hill, 1973; Jost, 2007; Charney and Record, 2012)","previouslyFormattedCitation":"(Hill, 1973; Jost, 2007; Charney and Record, 2012)"},"properties":{"noteIndex":0},"schema":"https://github.com/citation-style-language/schema/raw/master/csl-citation.json"}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(Hill, 1973; Jost, 2007; Charney and Record, 2012)</w:t>
      </w:r>
      <w:r w:rsidRPr="00B73E8F">
        <w:rPr>
          <w:color w:val="000000" w:themeColor="text1"/>
        </w:rPr>
        <w:fldChar w:fldCharType="end"/>
      </w:r>
      <w:r w:rsidRPr="00B73E8F">
        <w:rPr>
          <w:color w:val="000000" w:themeColor="text1"/>
        </w:rPr>
        <w:t>. Since the numbers equivalent of ASVs (</w:t>
      </w:r>
      <w:r w:rsidRPr="001E4901">
        <w:rPr>
          <w:i/>
          <w:iCs/>
          <w:color w:val="000000" w:themeColor="text1"/>
        </w:rPr>
        <w:t>D</w:t>
      </w:r>
      <w:r w:rsidRPr="001E4901">
        <w:rPr>
          <w:color w:val="000000" w:themeColor="text1"/>
        </w:rPr>
        <w:t>) is sensitive to the order of diversity (</w:t>
      </w:r>
      <w:r w:rsidRPr="001E4901">
        <w:rPr>
          <w:i/>
          <w:iCs/>
          <w:color w:val="000000" w:themeColor="text1"/>
        </w:rPr>
        <w:t>q)</w:t>
      </w:r>
      <w:r w:rsidRPr="001E4901">
        <w:rPr>
          <w:color w:val="000000" w:themeColor="text1"/>
        </w:rPr>
        <w:t xml:space="preserve">, or the balance between rare and common ASVs, we chose to assess alpha and beta diversity from </w:t>
      </w:r>
      <w:r w:rsidRPr="001E4901">
        <w:rPr>
          <w:i/>
          <w:iCs/>
          <w:color w:val="000000" w:themeColor="text1"/>
        </w:rPr>
        <w:t>q</w:t>
      </w:r>
      <w:r w:rsidRPr="001E4901">
        <w:rPr>
          <w:color w:val="000000" w:themeColor="text1"/>
        </w:rPr>
        <w:t xml:space="preserve">=0 to 5. There are many frequently used diversity indices that are analogous to </w:t>
      </w:r>
      <w:proofErr w:type="spellStart"/>
      <w:r w:rsidRPr="001E4901">
        <w:rPr>
          <w:i/>
          <w:iCs/>
          <w:color w:val="000000" w:themeColor="text1"/>
          <w:vertAlign w:val="superscript"/>
        </w:rPr>
        <w:t>q</w:t>
      </w:r>
      <w:r w:rsidRPr="001E4901">
        <w:rPr>
          <w:i/>
          <w:iCs/>
          <w:color w:val="000000" w:themeColor="text1"/>
        </w:rPr>
        <w:t>D</w:t>
      </w:r>
      <w:proofErr w:type="spellEnd"/>
      <w:r w:rsidRPr="001E4901">
        <w:rPr>
          <w:color w:val="000000" w:themeColor="text1"/>
        </w:rPr>
        <w:t xml:space="preserve">. For example, at </w:t>
      </w:r>
      <w:r w:rsidRPr="001E4901">
        <w:rPr>
          <w:i/>
          <w:iCs/>
          <w:color w:val="000000" w:themeColor="text1"/>
        </w:rPr>
        <w:t>q</w:t>
      </w:r>
      <w:r w:rsidRPr="001E4901">
        <w:rPr>
          <w:color w:val="000000" w:themeColor="text1"/>
        </w:rPr>
        <w:t xml:space="preserve">=0, rare and common ASVs are weighted equally and therefore represent an incident-based measure of species richness. When </w:t>
      </w:r>
      <w:r w:rsidRPr="001E4901">
        <w:rPr>
          <w:i/>
          <w:iCs/>
          <w:color w:val="000000" w:themeColor="text1"/>
        </w:rPr>
        <w:t>q</w:t>
      </w:r>
      <w:r w:rsidRPr="001E4901">
        <w:rPr>
          <w:color w:val="000000" w:themeColor="text1"/>
        </w:rPr>
        <w:t xml:space="preserve">=1 ASVs are weighted by their proportional abundance, which is congruent to the exponential of Shannon’s entropy index, and at </w:t>
      </w:r>
      <w:r w:rsidRPr="001E4901">
        <w:rPr>
          <w:i/>
          <w:iCs/>
          <w:color w:val="000000" w:themeColor="text1"/>
        </w:rPr>
        <w:t>q</w:t>
      </w:r>
      <w:r w:rsidRPr="001E4901">
        <w:rPr>
          <w:color w:val="000000" w:themeColor="text1"/>
        </w:rPr>
        <w:t xml:space="preserve">=2 rare species are down weighted and correspond to the </w:t>
      </w:r>
      <w:r w:rsidRPr="001E4901">
        <w:rPr>
          <w:color w:val="000000" w:themeColor="text1"/>
        </w:rPr>
        <w:lastRenderedPageBreak/>
        <w:t xml:space="preserve">inverse of Simpson’s index. As </w:t>
      </w:r>
      <w:r w:rsidRPr="001E4901">
        <w:rPr>
          <w:i/>
          <w:iCs/>
          <w:color w:val="000000" w:themeColor="text1"/>
        </w:rPr>
        <w:t>q</w:t>
      </w:r>
      <w:r w:rsidRPr="001E4901">
        <w:rPr>
          <w:color w:val="000000" w:themeColor="text1"/>
        </w:rPr>
        <w:t xml:space="preserve"> increases beyond this, rare ASV are further down weighted from the analyses of alpha and beta diversity. </w:t>
      </w:r>
    </w:p>
    <w:p w14:paraId="57B6A199" w14:textId="50174200" w:rsidR="00FA3222" w:rsidRPr="001E4901" w:rsidRDefault="00FA3222" w:rsidP="002A797A">
      <w:pPr>
        <w:spacing w:line="360" w:lineRule="auto"/>
        <w:ind w:firstLine="720"/>
        <w:rPr>
          <w:color w:val="000000" w:themeColor="text1"/>
        </w:rPr>
      </w:pPr>
      <w:r w:rsidRPr="001E4901">
        <w:rPr>
          <w:color w:val="000000" w:themeColor="text1"/>
        </w:rPr>
        <w:t xml:space="preserve">To understand if alpha diversity significantly varies based on depth within the rhizosphere, fitted linear-mixed effects models with sample ID, or the individual plant itself, as a random effect were constructed at each Hill number using the lme4 package </w:t>
      </w:r>
      <w:r w:rsidRPr="00B73E8F">
        <w:rPr>
          <w:color w:val="000000" w:themeColor="text1"/>
        </w:rPr>
        <w:fldChar w:fldCharType="begin" w:fldLock="1"/>
      </w:r>
      <w:r w:rsidR="006E1F09">
        <w:rPr>
          <w:color w:val="000000" w:themeColor="text1"/>
        </w:rPr>
        <w:instrText>ADDIN CSL_CITATION {"citationItems":[{"id":"ITEM-1","itemData":{"DOI":"10.18637/jss.v067.i01","ISSN":"15487660","abstract":"Maximum likelihood or restricted maximum likelihood (REML) estimates of the parameters in linear mixed-effects models can be determined using the lmer function in the lme4 package for R. As for most model-fitting functions in R, the model is described in an lmer call by a formula, in this case including both fixed- and random-effects terms. The formula and data together determine a numerical representation of the model from which the profiled deviance or the profiled REML criterion can be evaluated as a function of some of the model parameters. The appropriate criterion is optimized, using one of the constrained optimization functions in R, to provide the parameter estimates. We describe the structure of the model, the steps in evaluating the profiled deviance or REML criterion, and the structure of classes or types that represents such a model. Sufficient detail is included to allow specialization of these structures by users who wish to write functions to fit specialized linear mixed models, such as models incorporating pedigrees or smoothing splines, that are not easily expressible in the formula language used by lmer.","author":[{"dropping-particle":"","family":"Bates","given":"Douglas","non-dropping-particle":"","parse-names":false,"suffix":""},{"dropping-particle":"","family":"Mächler","given":"Martin","non-dropping-particle":"","parse-names":false,"suffix":""},{"dropping-particle":"","family":"Bolker","given":"Benjamin M.","non-dropping-particle":"","parse-names":false,"suffix":""},{"dropping-particle":"","family":"Walker","given":"Steven C.","non-dropping-particle":"","parse-names":false,"suffix":""}],"container-title":"Journal of Statistical Software","id":"ITEM-1","issue":"1","issued":{"date-parts":[["2015"]]},"title":"Fitting linear mixed-effects models using lme4","type":"article-journal","volume":"67"},"uris":["http://www.mendeley.com/documents/?uuid=41fbf762-9ed2-4401-bc21-3637ead2b46a"]}],"mendeley":{"formattedCitation":"(Bates et al., 2015)","plainTextFormattedCitation":"(Bates et al., 2015)","previouslyFormattedCitation":"(Bates et al., 2015)"},"properties":{"noteIndex":0},"schema":"https://github.com/citation-style-language/schema/raw/master/csl-citation.json"}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(Bates et al., 2015)</w:t>
      </w:r>
      <w:r w:rsidRPr="00B73E8F">
        <w:rPr>
          <w:color w:val="000000" w:themeColor="text1"/>
        </w:rPr>
        <w:fldChar w:fldCharType="end"/>
      </w:r>
      <w:r w:rsidRPr="00B73E8F">
        <w:rPr>
          <w:color w:val="000000" w:themeColor="text1"/>
        </w:rPr>
        <w:t xml:space="preserve">. A Type II Wald </w:t>
      </w:r>
      <w:r w:rsidRPr="00B73E8F">
        <w:rPr>
          <w:color w:val="000000" w:themeColor="text1"/>
        </w:rPr>
        <w:sym w:font="Symbol" w:char="F043"/>
      </w:r>
      <w:r w:rsidRPr="00B73E8F">
        <w:rPr>
          <w:color w:val="000000" w:themeColor="text1"/>
          <w:vertAlign w:val="superscript"/>
        </w:rPr>
        <w:t>2</w:t>
      </w:r>
      <w:r w:rsidRPr="00B73E8F">
        <w:rPr>
          <w:color w:val="000000" w:themeColor="text1"/>
        </w:rPr>
        <w:t xml:space="preserve"> test of variance was used for hypothesis testing on main effects. For significant results, a Tukey’s Honest Significant Difference (HSD) multiple comparisons test was implemented fo</w:t>
      </w:r>
      <w:r w:rsidRPr="001E4901">
        <w:rPr>
          <w:color w:val="000000" w:themeColor="text1"/>
        </w:rPr>
        <w:t xml:space="preserve">r all pairwise comparisons of rhizosphere depths to investigate where differences in alpha diversity lie. </w:t>
      </w:r>
    </w:p>
    <w:p w14:paraId="14624C11" w14:textId="43FD0B48" w:rsidR="00FA3222" w:rsidRPr="001E4901" w:rsidRDefault="00FA3222" w:rsidP="002A797A">
      <w:pPr>
        <w:spacing w:line="360" w:lineRule="auto"/>
        <w:ind w:firstLine="720"/>
        <w:rPr>
          <w:color w:val="000000" w:themeColor="text1"/>
        </w:rPr>
      </w:pPr>
      <w:r w:rsidRPr="001E4901">
        <w:rPr>
          <w:color w:val="000000" w:themeColor="text1"/>
        </w:rPr>
        <w:t xml:space="preserve">Two different methods were used to assess beta diversity measures at each Hill number. The first method is similar to a </w:t>
      </w:r>
      <w:proofErr w:type="spellStart"/>
      <w:r w:rsidRPr="001E4901">
        <w:rPr>
          <w:color w:val="000000" w:themeColor="text1"/>
        </w:rPr>
        <w:t>Levene’s</w:t>
      </w:r>
      <w:proofErr w:type="spellEnd"/>
      <w:r w:rsidRPr="001E4901">
        <w:rPr>
          <w:color w:val="000000" w:themeColor="text1"/>
        </w:rPr>
        <w:t xml:space="preserve"> test in multivariate space, which analyzed the homogeneity of dispersion in community composition between groups and can be used as a proxy for beta diversity </w:t>
      </w:r>
      <w:r w:rsidRPr="00B73E8F">
        <w:rPr>
          <w:color w:val="000000" w:themeColor="text1"/>
        </w:rPr>
        <w:fldChar w:fldCharType="begin" w:fldLock="1"/>
      </w:r>
      <w:r w:rsidR="006E1F09">
        <w:rPr>
          <w:color w:val="000000" w:themeColor="text1"/>
        </w:rPr>
        <w:instrText>ADDIN CSL_CITATION {"citationItems":[{"id":"ITEM-1","itemData":{"DOI":"10.1111/j.1461-0248.2006.00926.x","ISSN":"1461023X","abstract":"Beta diversity can be defined as the variability in species composition among sampling units for a given area. We propose that it can be measured as the average dissimilarity from individual observation units to their group centroid in multivariate space, using an appropriate dissimilarity measure. Differences in beta diversity among different areas or groups of samples can be tested using this approach. The choice of transformation and dissimilarity measure has important consequences for interpreting results. For kelp holdfast assemblages from New Zealand, variation in species composition was greater in smaller holdfasts, while variation in relative abundances was greater in larger holdasts. Variation in community structure of Norwegian continental shelf macrobenthic fauna increased with increases in environmental heterogeneity, regardless of the measure used. We propose a new dissimilarity measure which allows the relative weight placed on changes in composition vs. abundance to be specified explicitly.","author":[{"dropping-particle":"","family":"Anderson","given":"Marti J.","non-dropping-particle":"","parse-names":false,"suffix":""},{"dropping-particle":"","family":"Ellingsen","given":"Kari E.","non-dropping-particle":"","parse-names":false,"suffix":""},{"dropping-particle":"","family":"McArdle","given":"Brian H.","non-dropping-particle":"","parse-names":false,"suffix":""}],"container-title":"Ecology Letters","id":"ITEM-1","issue":"6","issued":{"date-parts":[["2006"]]},"page":"683-693","title":"Multivariate dispersion as a measure of beta diversity","type":"article-journal","volume":"9"},"uris":["http://www.mendeley.com/documents/?uuid=183df7a4-9a0a-466e-a6a6-e7819f813850"]}],"mendeley":{"formattedCitation":"(Anderson et al., 2006)","plainTextFormattedCitation":"(Anderson et al., 2006)","previouslyFormattedCitation":"(Anderson et al., 2006)"},"properties":{"noteIndex":0},"schema":"https://github.com/citation-style-language/schema/raw/master/csl-citation.json"}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(Anderson et al., 2006)</w:t>
      </w:r>
      <w:r w:rsidRPr="00B73E8F">
        <w:rPr>
          <w:color w:val="000000" w:themeColor="text1"/>
        </w:rPr>
        <w:fldChar w:fldCharType="end"/>
      </w:r>
      <w:r w:rsidRPr="00B73E8F">
        <w:rPr>
          <w:color w:val="000000" w:themeColor="text1"/>
        </w:rPr>
        <w:t>. A pairwise distance matrix using the distance from each observation to the group</w:t>
      </w:r>
      <w:r w:rsidRPr="001E4901">
        <w:rPr>
          <w:color w:val="000000" w:themeColor="text1"/>
        </w:rPr>
        <w:t xml:space="preserve"> centroid was then fed into a fitted linear-mixed effects models with sample ID as a random effect. Secondly, to address if community variation within rhizosphere depths </w:t>
      </w:r>
      <w:r w:rsidR="00E05741" w:rsidRPr="001E4901">
        <w:rPr>
          <w:color w:val="000000" w:themeColor="text1"/>
        </w:rPr>
        <w:t>is</w:t>
      </w:r>
      <w:r w:rsidRPr="001E4901">
        <w:rPr>
          <w:color w:val="000000" w:themeColor="text1"/>
        </w:rPr>
        <w:t xml:space="preserve"> </w:t>
      </w:r>
      <w:proofErr w:type="gramStart"/>
      <w:r w:rsidRPr="001E4901">
        <w:rPr>
          <w:color w:val="000000" w:themeColor="text1"/>
        </w:rPr>
        <w:t>similar to</w:t>
      </w:r>
      <w:proofErr w:type="gramEnd"/>
      <w:r w:rsidRPr="001E4901">
        <w:rPr>
          <w:color w:val="000000" w:themeColor="text1"/>
        </w:rPr>
        <w:t xml:space="preserve"> one another, a </w:t>
      </w:r>
      <w:proofErr w:type="spellStart"/>
      <w:r w:rsidR="00BD6AD2">
        <w:rPr>
          <w:color w:val="000000" w:themeColor="text1"/>
        </w:rPr>
        <w:t>db</w:t>
      </w:r>
      <w:proofErr w:type="spellEnd"/>
      <w:r w:rsidR="00BD6AD2">
        <w:rPr>
          <w:color w:val="000000" w:themeColor="text1"/>
        </w:rPr>
        <w:t>-RDA</w:t>
      </w:r>
      <w:r w:rsidRPr="001E4901">
        <w:rPr>
          <w:color w:val="000000" w:themeColor="text1"/>
        </w:rPr>
        <w:t xml:space="preserve"> on the pairwise distance matrix while conditioning for variation among plants was implemented. A permutational </w:t>
      </w:r>
      <w:proofErr w:type="spellStart"/>
      <w:r w:rsidRPr="001E4901">
        <w:rPr>
          <w:color w:val="000000" w:themeColor="text1"/>
        </w:rPr>
        <w:t>anova</w:t>
      </w:r>
      <w:proofErr w:type="spellEnd"/>
      <w:r w:rsidRPr="001E4901">
        <w:rPr>
          <w:color w:val="000000" w:themeColor="text1"/>
        </w:rPr>
        <w:t xml:space="preserve"> was then used to compare this variation between groups (10,000 permutations). </w:t>
      </w:r>
    </w:p>
    <w:p w14:paraId="1A0CE7B8" w14:textId="56EE4348" w:rsidR="00FA3222" w:rsidRPr="001E4901" w:rsidRDefault="00FA3222" w:rsidP="002A797A">
      <w:pPr>
        <w:spacing w:line="360" w:lineRule="auto"/>
        <w:ind w:firstLine="720"/>
        <w:rPr>
          <w:color w:val="000000" w:themeColor="text1"/>
        </w:rPr>
      </w:pPr>
      <w:r w:rsidRPr="001E4901">
        <w:rPr>
          <w:color w:val="000000" w:themeColor="text1"/>
        </w:rPr>
        <w:t xml:space="preserve">We evaluated the difference in the standardized number of raw reads between samples pooled </w:t>
      </w:r>
      <w:r w:rsidRPr="001E4901">
        <w:rPr>
          <w:i/>
          <w:color w:val="000000" w:themeColor="text1"/>
        </w:rPr>
        <w:t>in vitro</w:t>
      </w:r>
      <w:r w:rsidRPr="001E4901">
        <w:rPr>
          <w:color w:val="000000" w:themeColor="text1"/>
        </w:rPr>
        <w:t xml:space="preserve"> and samples pooled </w:t>
      </w:r>
      <w:r w:rsidRPr="001E4901">
        <w:rPr>
          <w:i/>
          <w:color w:val="000000" w:themeColor="text1"/>
        </w:rPr>
        <w:t>in silico</w:t>
      </w:r>
      <w:r w:rsidRPr="001E4901">
        <w:rPr>
          <w:color w:val="000000" w:themeColor="text1"/>
        </w:rPr>
        <w:t xml:space="preserve"> through a paired </w:t>
      </w:r>
      <w:r w:rsidRPr="001E4901">
        <w:rPr>
          <w:i/>
          <w:iCs/>
          <w:color w:val="000000" w:themeColor="text1"/>
        </w:rPr>
        <w:t>t</w:t>
      </w:r>
      <w:r w:rsidRPr="001E4901">
        <w:rPr>
          <w:color w:val="000000" w:themeColor="text1"/>
        </w:rPr>
        <w:t xml:space="preserve">-test for each plant (N=28 plants). Standardization here means that we controlled for differences in sampling effort between the two pooling methods by dividing the read abundances by three, the number of rhizosphere depths sampled, for each sample pooled </w:t>
      </w:r>
      <w:r w:rsidRPr="001E4901">
        <w:rPr>
          <w:i/>
          <w:iCs/>
          <w:color w:val="000000" w:themeColor="text1"/>
        </w:rPr>
        <w:t>in silico</w:t>
      </w:r>
      <w:r w:rsidRPr="001E4901">
        <w:rPr>
          <w:color w:val="000000" w:themeColor="text1"/>
        </w:rPr>
        <w:t xml:space="preserve">. Additionally, all samples sequenced held the same fraction of size throughout library preparation. This paired </w:t>
      </w:r>
      <w:r w:rsidRPr="001E4901">
        <w:rPr>
          <w:i/>
          <w:iCs/>
          <w:color w:val="000000" w:themeColor="text1"/>
        </w:rPr>
        <w:t>t</w:t>
      </w:r>
      <w:r w:rsidRPr="001E4901">
        <w:rPr>
          <w:color w:val="000000" w:themeColor="text1"/>
        </w:rPr>
        <w:t xml:space="preserve">-test used raw read counts that were summed across rows, or plants, in our ASV table. To observe differences in the relative abundance of reads between pooling methods, a paired </w:t>
      </w:r>
      <w:r w:rsidRPr="001E4901">
        <w:rPr>
          <w:i/>
          <w:iCs/>
          <w:color w:val="000000" w:themeColor="text1"/>
        </w:rPr>
        <w:t>t</w:t>
      </w:r>
      <w:r w:rsidRPr="001E4901">
        <w:rPr>
          <w:color w:val="000000" w:themeColor="text1"/>
        </w:rPr>
        <w:t>-test was also conducted using pairwise rarefied data (</w:t>
      </w:r>
      <w:r w:rsidR="001A6A6A">
        <w:rPr>
          <w:color w:val="000000" w:themeColor="text1"/>
        </w:rPr>
        <w:t>n</w:t>
      </w:r>
      <w:r w:rsidRPr="001E4901">
        <w:rPr>
          <w:color w:val="000000" w:themeColor="text1"/>
        </w:rPr>
        <w:t xml:space="preserve">=28 plants). Since two rhizosphere depth samples failed during sequencing and equal comparisons across all plants and pooling methods cannot be applied, two plants were excluded from these analyses. For each plant replicate, alpha diversity for </w:t>
      </w:r>
      <w:r w:rsidRPr="001E4901">
        <w:rPr>
          <w:i/>
          <w:iCs/>
          <w:color w:val="000000" w:themeColor="text1"/>
        </w:rPr>
        <w:t>q</w:t>
      </w:r>
      <w:r w:rsidRPr="001E4901">
        <w:rPr>
          <w:color w:val="000000" w:themeColor="text1"/>
        </w:rPr>
        <w:t xml:space="preserve">=0-5 was calculated on the mean rarefied community data from 5,000 permutations. Then, a paired </w:t>
      </w:r>
      <w:r w:rsidRPr="001E4901">
        <w:rPr>
          <w:i/>
          <w:iCs/>
          <w:color w:val="000000" w:themeColor="text1"/>
        </w:rPr>
        <w:t>t</w:t>
      </w:r>
      <w:r w:rsidRPr="001E4901">
        <w:rPr>
          <w:color w:val="000000" w:themeColor="text1"/>
        </w:rPr>
        <w:t>-test (</w:t>
      </w:r>
      <w:r w:rsidR="001A6A6A">
        <w:rPr>
          <w:color w:val="000000" w:themeColor="text1"/>
        </w:rPr>
        <w:t>n</w:t>
      </w:r>
      <w:r w:rsidRPr="001E4901">
        <w:rPr>
          <w:color w:val="000000" w:themeColor="text1"/>
        </w:rPr>
        <w:t xml:space="preserve">=28) was preformed to show differences in ASV richness between pooling methods. To evaluate if </w:t>
      </w:r>
      <w:r w:rsidRPr="001E4901">
        <w:rPr>
          <w:color w:val="000000" w:themeColor="text1"/>
        </w:rPr>
        <w:lastRenderedPageBreak/>
        <w:t xml:space="preserve">dispersion between pooling methods is similar for the number of raw reads, relative abundance in reads, and for alpha diversity a paired Brown-Forsythe test was implemented. </w:t>
      </w:r>
    </w:p>
    <w:p w14:paraId="4EA23F52" w14:textId="5664C5DB" w:rsidR="00FA3222" w:rsidRPr="001E4901" w:rsidRDefault="00FA3222" w:rsidP="002A797A">
      <w:pPr>
        <w:pStyle w:val="Heading2"/>
        <w:spacing w:line="360" w:lineRule="auto"/>
      </w:pPr>
      <w:bookmarkStart w:id="17" w:name="_Toc102047999"/>
      <w:r w:rsidRPr="001E4901">
        <w:t>R</w:t>
      </w:r>
      <w:r w:rsidR="001A6A6A">
        <w:t>esults</w:t>
      </w:r>
      <w:bookmarkEnd w:id="17"/>
    </w:p>
    <w:p w14:paraId="2C10F297" w14:textId="74783AB3" w:rsidR="00FA3222" w:rsidRPr="001E4901" w:rsidRDefault="00FA3222" w:rsidP="002A797A">
      <w:pPr>
        <w:pStyle w:val="Heading3"/>
      </w:pPr>
      <w:bookmarkStart w:id="18" w:name="_Toc102048000"/>
      <w:r w:rsidRPr="001E4901">
        <w:t xml:space="preserve">The </w:t>
      </w:r>
      <w:r w:rsidRPr="001E4901">
        <w:rPr>
          <w:i w:val="0"/>
          <w:iCs/>
        </w:rPr>
        <w:t>Salvia lyrata</w:t>
      </w:r>
      <w:r w:rsidRPr="001E4901">
        <w:t xml:space="preserve"> rhizosphere microbiome</w:t>
      </w:r>
      <w:bookmarkEnd w:id="18"/>
    </w:p>
    <w:p w14:paraId="2C898C07" w14:textId="2A1F3532" w:rsidR="002A797A" w:rsidRPr="001E4901" w:rsidRDefault="002A797A" w:rsidP="00C01384">
      <w:pPr>
        <w:spacing w:line="360" w:lineRule="auto"/>
        <w:ind w:firstLine="720"/>
      </w:pPr>
      <w:r w:rsidRPr="001E4901">
        <w:rPr>
          <w:color w:val="000000" w:themeColor="text1"/>
        </w:rPr>
        <w:t xml:space="preserve">From the 118 samples sequenced and analyzed, 27,314,720 raw sequence reads were generated from the Illumina </w:t>
      </w:r>
      <w:proofErr w:type="spellStart"/>
      <w:r w:rsidRPr="001E4901">
        <w:rPr>
          <w:color w:val="000000" w:themeColor="text1"/>
        </w:rPr>
        <w:t>MiSeq</w:t>
      </w:r>
      <w:proofErr w:type="spellEnd"/>
      <w:r w:rsidRPr="001E4901">
        <w:rPr>
          <w:color w:val="000000" w:themeColor="text1"/>
        </w:rPr>
        <w:t xml:space="preserve"> run. Dereplicated sequences numbered at 3,758,012 reads attributing to 25,123 ASVs with associated abundances for Bacteria and Archaea. For samples that were pooled </w:t>
      </w:r>
      <w:r w:rsidRPr="001E4901">
        <w:rPr>
          <w:i/>
          <w:iCs/>
          <w:color w:val="000000" w:themeColor="text1"/>
        </w:rPr>
        <w:t>in vitro</w:t>
      </w:r>
      <w:r w:rsidRPr="001E4901">
        <w:rPr>
          <w:color w:val="000000" w:themeColor="text1"/>
        </w:rPr>
        <w:t xml:space="preserve"> and represent a homogenous characterization of </w:t>
      </w:r>
      <w:r w:rsidRPr="001E4901">
        <w:rPr>
          <w:i/>
          <w:iCs/>
          <w:color w:val="000000" w:themeColor="text1"/>
        </w:rPr>
        <w:t xml:space="preserve">S. </w:t>
      </w:r>
      <w:proofErr w:type="spellStart"/>
      <w:r w:rsidRPr="001E4901">
        <w:rPr>
          <w:i/>
          <w:iCs/>
          <w:color w:val="000000" w:themeColor="text1"/>
        </w:rPr>
        <w:t>lyrata</w:t>
      </w:r>
      <w:r w:rsidRPr="001E4901">
        <w:rPr>
          <w:color w:val="000000" w:themeColor="text1"/>
        </w:rPr>
        <w:t>’s</w:t>
      </w:r>
      <w:proofErr w:type="spellEnd"/>
      <w:r w:rsidRPr="001E4901">
        <w:rPr>
          <w:color w:val="000000" w:themeColor="text1"/>
        </w:rPr>
        <w:t xml:space="preserve"> rhizosphere, a total of 1,322,876 reads were recovered. These reads correspond to 20 bacterial phyla. The predominant (</w:t>
      </w:r>
      <w:r w:rsidR="00E05741" w:rsidRPr="001E4901">
        <w:rPr>
          <w:color w:val="000000" w:themeColor="text1"/>
        </w:rPr>
        <w:t>i.e.,</w:t>
      </w:r>
      <w:r w:rsidRPr="001E4901">
        <w:rPr>
          <w:color w:val="000000" w:themeColor="text1"/>
        </w:rPr>
        <w:t xml:space="preserve"> more frequent detected, abundant) phyla of Bacteria that associate with this rhizosphere system are </w:t>
      </w:r>
      <w:r w:rsidRPr="00A73845">
        <w:rPr>
          <w:iCs/>
          <w:color w:val="000000" w:themeColor="text1"/>
        </w:rPr>
        <w:t>Proteobacteria</w:t>
      </w:r>
      <w:r w:rsidRPr="001E4901">
        <w:rPr>
          <w:color w:val="000000" w:themeColor="text1"/>
        </w:rPr>
        <w:t xml:space="preserve"> (30%), </w:t>
      </w:r>
      <w:r w:rsidRPr="00A73845">
        <w:rPr>
          <w:iCs/>
          <w:color w:val="000000" w:themeColor="text1"/>
        </w:rPr>
        <w:t xml:space="preserve">Actinobacteria </w:t>
      </w:r>
      <w:r w:rsidRPr="001E4901">
        <w:rPr>
          <w:color w:val="000000" w:themeColor="text1"/>
        </w:rPr>
        <w:t xml:space="preserve">(24%), </w:t>
      </w:r>
      <w:r w:rsidRPr="00A73845">
        <w:rPr>
          <w:iCs/>
          <w:color w:val="000000" w:themeColor="text1"/>
        </w:rPr>
        <w:t xml:space="preserve">Planctomycetes </w:t>
      </w:r>
      <w:r w:rsidRPr="001E4901">
        <w:rPr>
          <w:color w:val="000000" w:themeColor="text1"/>
        </w:rPr>
        <w:t xml:space="preserve">(13%), </w:t>
      </w:r>
      <w:proofErr w:type="spellStart"/>
      <w:r w:rsidRPr="00A73845">
        <w:rPr>
          <w:iCs/>
          <w:color w:val="000000" w:themeColor="text1"/>
        </w:rPr>
        <w:t>Verrucomicrobia</w:t>
      </w:r>
      <w:proofErr w:type="spellEnd"/>
      <w:r w:rsidRPr="001E4901">
        <w:rPr>
          <w:color w:val="000000" w:themeColor="text1"/>
        </w:rPr>
        <w:t xml:space="preserve"> (9%), </w:t>
      </w:r>
      <w:r w:rsidRPr="00A73845">
        <w:rPr>
          <w:iCs/>
          <w:color w:val="000000" w:themeColor="text1"/>
        </w:rPr>
        <w:t xml:space="preserve">Bacteroidetes </w:t>
      </w:r>
      <w:r w:rsidRPr="001E4901">
        <w:rPr>
          <w:color w:val="000000" w:themeColor="text1"/>
        </w:rPr>
        <w:t xml:space="preserve">(8%) </w:t>
      </w:r>
      <w:r w:rsidRPr="00A73845">
        <w:rPr>
          <w:color w:val="000000" w:themeColor="text1"/>
        </w:rPr>
        <w:t xml:space="preserve">and </w:t>
      </w:r>
      <w:proofErr w:type="spellStart"/>
      <w:r w:rsidRPr="00A73845">
        <w:rPr>
          <w:color w:val="000000" w:themeColor="text1"/>
        </w:rPr>
        <w:t>Acidobacteria</w:t>
      </w:r>
      <w:proofErr w:type="spellEnd"/>
      <w:r w:rsidRPr="00A73845">
        <w:rPr>
          <w:color w:val="000000" w:themeColor="text1"/>
        </w:rPr>
        <w:t xml:space="preserve"> </w:t>
      </w:r>
      <w:r w:rsidRPr="001E4901">
        <w:rPr>
          <w:color w:val="000000" w:themeColor="text1"/>
        </w:rPr>
        <w:t>(7%) (</w:t>
      </w:r>
      <w:r w:rsidR="005355D9">
        <w:rPr>
          <w:b/>
          <w:bCs/>
          <w:color w:val="000000" w:themeColor="text1"/>
        </w:rPr>
        <w:t>Figure</w:t>
      </w:r>
      <w:r w:rsidRPr="00E05741">
        <w:rPr>
          <w:b/>
          <w:bCs/>
          <w:color w:val="000000" w:themeColor="text1"/>
        </w:rPr>
        <w:t xml:space="preserve"> </w:t>
      </w:r>
      <w:r w:rsidR="0005015C">
        <w:rPr>
          <w:b/>
          <w:bCs/>
          <w:color w:val="000000" w:themeColor="text1"/>
        </w:rPr>
        <w:t>3</w:t>
      </w:r>
      <w:r w:rsidRPr="001E4901">
        <w:rPr>
          <w:color w:val="000000" w:themeColor="text1"/>
        </w:rPr>
        <w:t xml:space="preserve">). Firmicutes characterized 0.9% of the bacterial microbiome from samples that were pooled </w:t>
      </w:r>
      <w:r w:rsidRPr="001E4901">
        <w:rPr>
          <w:i/>
          <w:iCs/>
          <w:color w:val="000000" w:themeColor="text1"/>
        </w:rPr>
        <w:t>in vitro</w:t>
      </w:r>
      <w:r w:rsidRPr="001E4901">
        <w:rPr>
          <w:color w:val="000000" w:themeColor="text1"/>
        </w:rPr>
        <w:t xml:space="preserve">. On a finer taxonomic level, the family </w:t>
      </w:r>
      <w:r w:rsidRPr="00A73845">
        <w:rPr>
          <w:iCs/>
          <w:color w:val="000000" w:themeColor="text1"/>
        </w:rPr>
        <w:t>WD2101_soil_group</w:t>
      </w:r>
      <w:r w:rsidRPr="001E4901">
        <w:rPr>
          <w:color w:val="000000" w:themeColor="text1"/>
        </w:rPr>
        <w:t xml:space="preserve">, a Planctomycete, was a highly abundant family, containing 7% of all sequenced reads from pooled samples </w:t>
      </w:r>
      <w:r w:rsidRPr="001E4901">
        <w:rPr>
          <w:i/>
          <w:color w:val="000000" w:themeColor="text1"/>
        </w:rPr>
        <w:t>in vitro.</w:t>
      </w:r>
      <w:r w:rsidRPr="001E4901">
        <w:rPr>
          <w:color w:val="000000" w:themeColor="text1"/>
        </w:rPr>
        <w:t xml:space="preserve"> The next two predominant bacterial families within this rhizosphere system were </w:t>
      </w:r>
      <w:proofErr w:type="spellStart"/>
      <w:r w:rsidRPr="00A73845">
        <w:rPr>
          <w:iCs/>
          <w:color w:val="000000" w:themeColor="text1"/>
        </w:rPr>
        <w:t>Xanthobacteraceae</w:t>
      </w:r>
      <w:proofErr w:type="spellEnd"/>
      <w:r w:rsidRPr="00A73845">
        <w:rPr>
          <w:iCs/>
          <w:color w:val="000000" w:themeColor="text1"/>
        </w:rPr>
        <w:t xml:space="preserve"> (6%) and </w:t>
      </w:r>
      <w:proofErr w:type="spellStart"/>
      <w:r w:rsidRPr="00A73845">
        <w:rPr>
          <w:iCs/>
          <w:color w:val="000000" w:themeColor="text1"/>
        </w:rPr>
        <w:t>Burkholderiaceae</w:t>
      </w:r>
      <w:proofErr w:type="spellEnd"/>
      <w:r w:rsidRPr="00A73845">
        <w:rPr>
          <w:iCs/>
          <w:color w:val="000000" w:themeColor="text1"/>
        </w:rPr>
        <w:t xml:space="preserve"> (2%), both in the phylum Proteobacteria.</w:t>
      </w:r>
      <w:r w:rsidRPr="001E4901">
        <w:rPr>
          <w:color w:val="000000" w:themeColor="text1"/>
        </w:rPr>
        <w:t xml:space="preserve"> On the species level, the most abundant taxon was </w:t>
      </w:r>
      <w:proofErr w:type="spellStart"/>
      <w:r w:rsidRPr="001E4901">
        <w:rPr>
          <w:i/>
          <w:color w:val="000000" w:themeColor="text1"/>
        </w:rPr>
        <w:t>Candidatus-</w:t>
      </w:r>
      <w:r w:rsidRPr="001E4901">
        <w:rPr>
          <w:iCs/>
          <w:color w:val="000000" w:themeColor="text1"/>
        </w:rPr>
        <w:t>Xiphinematobacter</w:t>
      </w:r>
      <w:proofErr w:type="spellEnd"/>
      <w:r w:rsidRPr="001E4901">
        <w:rPr>
          <w:color w:val="000000" w:themeColor="text1"/>
        </w:rPr>
        <w:t xml:space="preserve">, a </w:t>
      </w:r>
      <w:proofErr w:type="spellStart"/>
      <w:r w:rsidRPr="001E4901">
        <w:rPr>
          <w:color w:val="000000" w:themeColor="text1"/>
        </w:rPr>
        <w:t>verrucomicrobial</w:t>
      </w:r>
      <w:proofErr w:type="spellEnd"/>
      <w:r w:rsidRPr="001E4901">
        <w:rPr>
          <w:color w:val="000000" w:themeColor="text1"/>
        </w:rPr>
        <w:t xml:space="preserve"> endosymbiont commonly found in rhizosphere environments. </w:t>
      </w:r>
    </w:p>
    <w:p w14:paraId="4922EDCC" w14:textId="4E32D4CE" w:rsidR="002A797A" w:rsidRPr="001E4901" w:rsidRDefault="002A797A" w:rsidP="0022321D">
      <w:pPr>
        <w:pStyle w:val="Heading3"/>
      </w:pPr>
      <w:bookmarkStart w:id="19" w:name="_Toc102048001"/>
      <w:r w:rsidRPr="001E4901">
        <w:t>Microbiomes are spatially structured by depth within the rhizosphere</w:t>
      </w:r>
      <w:bookmarkEnd w:id="19"/>
    </w:p>
    <w:p w14:paraId="6FBE5FF1" w14:textId="69787DD8" w:rsidR="00C01384" w:rsidRPr="00C01384" w:rsidRDefault="002A797A" w:rsidP="00C01384">
      <w:pPr>
        <w:spacing w:line="360" w:lineRule="auto"/>
        <w:ind w:firstLine="720"/>
      </w:pPr>
      <w:r w:rsidRPr="001E4901">
        <w:rPr>
          <w:color w:val="000000" w:themeColor="text1"/>
        </w:rPr>
        <w:t xml:space="preserve">We used two community distance matrices in our multivariate models to evaluate the spatial complexity of bacterial microbiomes as predicted by the rhizosphere sampling depths described in </w:t>
      </w:r>
      <w:r w:rsidR="005355D9">
        <w:rPr>
          <w:b/>
          <w:bCs/>
          <w:color w:val="000000" w:themeColor="text1"/>
        </w:rPr>
        <w:t>Figure</w:t>
      </w:r>
      <w:r w:rsidRPr="00E05741">
        <w:rPr>
          <w:b/>
          <w:bCs/>
          <w:color w:val="000000" w:themeColor="text1"/>
        </w:rPr>
        <w:t xml:space="preserve"> </w:t>
      </w:r>
      <w:r w:rsidR="0005015C">
        <w:rPr>
          <w:b/>
          <w:bCs/>
          <w:color w:val="000000" w:themeColor="text1"/>
        </w:rPr>
        <w:t>2</w:t>
      </w:r>
      <w:r w:rsidRPr="001E4901">
        <w:rPr>
          <w:color w:val="000000" w:themeColor="text1"/>
        </w:rPr>
        <w:t xml:space="preserve">. These models used rarefied and standardized community data to test the strength of depth within the rhizosphere as a predictor variable. With the quantitative Jaccard distance matrix as a response variable, rhizosphere depth explained 3.65% of total variation in bacterial community dissimilarity. The conditioned variable, sample ID, explained 52.7% of total variation in community dissimilarity. After removing the effect of sample ID, the proportion of remaining variance explained by </w:t>
      </w:r>
      <w:r w:rsidRPr="001E4901">
        <w:t>rhizosphere depth is 7.71% (</w:t>
      </w:r>
      <w:r w:rsidR="005355D9">
        <w:rPr>
          <w:b/>
          <w:bCs/>
        </w:rPr>
        <w:t>Figure</w:t>
      </w:r>
      <w:r w:rsidRPr="00E05741">
        <w:rPr>
          <w:b/>
          <w:bCs/>
        </w:rPr>
        <w:t xml:space="preserve"> </w:t>
      </w:r>
      <w:r w:rsidR="0005015C">
        <w:rPr>
          <w:b/>
          <w:bCs/>
        </w:rPr>
        <w:t>4</w:t>
      </w:r>
      <w:r w:rsidRPr="001E4901">
        <w:t xml:space="preserve">). Distinctive clustering around the respective centroid occurred within each group on both axes. Richness and relative </w:t>
      </w:r>
      <w:r w:rsidR="00C01384" w:rsidRPr="001E4901">
        <w:rPr>
          <w:color w:val="000000" w:themeColor="text1"/>
        </w:rPr>
        <w:br w:type="page"/>
      </w:r>
      <w:r w:rsidR="00C01384" w:rsidRPr="00B73E8F">
        <w:rPr>
          <w:noProof/>
          <w:color w:val="000000" w:themeColor="text1"/>
        </w:rPr>
        <w:lastRenderedPageBreak/>
        <w:drawing>
          <wp:inline distT="0" distB="0" distL="0" distR="0" wp14:anchorId="00E6F77B" wp14:editId="37B0E5DA">
            <wp:extent cx="5486400" cy="5447665"/>
            <wp:effectExtent l="0" t="0" r="0" b="635"/>
            <wp:docPr id="11" name="Picture 1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486400" cy="5447665"/>
                    </a:xfrm>
                    <a:prstGeom prst="rect">
                      <a:avLst/>
                    </a:prstGeom>
                  </pic:spPr>
                </pic:pic>
              </a:graphicData>
            </a:graphic>
          </wp:inline>
        </w:drawing>
      </w:r>
    </w:p>
    <w:p w14:paraId="75739C8E" w14:textId="77777777" w:rsidR="00C01384" w:rsidRPr="001E4901" w:rsidRDefault="00C01384" w:rsidP="00C01384">
      <w:pPr>
        <w:pStyle w:val="Caption"/>
      </w:pPr>
      <w:bookmarkStart w:id="20" w:name="_Toc102046873"/>
      <w:bookmarkStart w:id="21" w:name="_Toc82433607"/>
      <w:r w:rsidRPr="00B73E8F">
        <w:t xml:space="preserve">Figure </w:t>
      </w:r>
      <w:r>
        <w:t>3</w:t>
      </w:r>
      <w:r w:rsidRPr="00B73E8F">
        <w:t xml:space="preserve">. </w:t>
      </w:r>
      <w:r w:rsidRPr="001E4901">
        <w:t xml:space="preserve">Bacterial </w:t>
      </w:r>
      <w:r>
        <w:t>p</w:t>
      </w:r>
      <w:r w:rsidRPr="001E4901">
        <w:t xml:space="preserve">hyla that associate with </w:t>
      </w:r>
      <w:r w:rsidRPr="00A73845">
        <w:rPr>
          <w:i/>
        </w:rPr>
        <w:t>Salvia lyrata</w:t>
      </w:r>
      <w:r w:rsidRPr="001E4901">
        <w:t xml:space="preserve"> for samples pooled </w:t>
      </w:r>
      <w:r w:rsidRPr="001E4901">
        <w:rPr>
          <w:i/>
        </w:rPr>
        <w:t>in vitro</w:t>
      </w:r>
      <w:r w:rsidRPr="001E4901">
        <w:t xml:space="preserve">. </w:t>
      </w:r>
      <w:r w:rsidRPr="00B73E8F">
        <w:t xml:space="preserve">On </w:t>
      </w:r>
      <w:r w:rsidRPr="001E4901">
        <w:t xml:space="preserve">average, </w:t>
      </w:r>
      <w:r w:rsidRPr="00A73845">
        <w:t xml:space="preserve">Proteobacteria </w:t>
      </w:r>
      <w:r w:rsidRPr="001E4901">
        <w:t>represent 30% of all bacteria recovered.</w:t>
      </w:r>
      <w:bookmarkEnd w:id="20"/>
      <w:r w:rsidRPr="001E4901">
        <w:t xml:space="preserve"> </w:t>
      </w:r>
      <w:bookmarkEnd w:id="21"/>
      <w:r w:rsidRPr="001E4901">
        <w:br w:type="page"/>
      </w:r>
    </w:p>
    <w:p w14:paraId="18B71386" w14:textId="77777777" w:rsidR="006922A0" w:rsidRPr="001E4901" w:rsidRDefault="006922A0" w:rsidP="006922A0">
      <w:r w:rsidRPr="00B73E8F">
        <w:rPr>
          <w:noProof/>
          <w:color w:val="000000" w:themeColor="text1"/>
        </w:rPr>
        <w:lastRenderedPageBreak/>
        <w:drawing>
          <wp:inline distT="0" distB="0" distL="0" distR="0" wp14:anchorId="14BD7D2F" wp14:editId="44783723">
            <wp:extent cx="5486400" cy="5448300"/>
            <wp:effectExtent l="0" t="0" r="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486400" cy="5448300"/>
                    </a:xfrm>
                    <a:prstGeom prst="rect">
                      <a:avLst/>
                    </a:prstGeom>
                  </pic:spPr>
                </pic:pic>
              </a:graphicData>
            </a:graphic>
          </wp:inline>
        </w:drawing>
      </w:r>
    </w:p>
    <w:p w14:paraId="5C098B17" w14:textId="52E802FE" w:rsidR="002A797A" w:rsidRPr="001E4901" w:rsidRDefault="006922A0" w:rsidP="006922A0">
      <w:pPr>
        <w:pStyle w:val="Caption"/>
      </w:pPr>
      <w:bookmarkStart w:id="22" w:name="_Toc82433608"/>
      <w:bookmarkStart w:id="23" w:name="_Toc102046874"/>
      <w:r w:rsidRPr="00B73E8F">
        <w:t xml:space="preserve">Figure </w:t>
      </w:r>
      <w:r>
        <w:t>4</w:t>
      </w:r>
      <w:r w:rsidRPr="00B73E8F">
        <w:t xml:space="preserve">. </w:t>
      </w:r>
      <w:r w:rsidRPr="001E4901">
        <w:t xml:space="preserve">Principal coordinate analysis on the reduced dimensional analysis based on a quantitative Jaccard distance with rhizosphere depth as a predictor variable. </w:t>
      </w:r>
      <w:bookmarkEnd w:id="22"/>
      <w:r w:rsidRPr="00B73E8F">
        <w:br w:type="page"/>
      </w:r>
      <w:r w:rsidR="002A797A" w:rsidRPr="001E4901">
        <w:lastRenderedPageBreak/>
        <w:t>abundance between depths varied based on the quantitative Jaccard distance matrix provided in our permutational analysis of variance (p&lt;0.001).</w:t>
      </w:r>
      <w:bookmarkEnd w:id="23"/>
      <w:r w:rsidR="002A797A" w:rsidRPr="001E4901">
        <w:t xml:space="preserve"> </w:t>
      </w:r>
    </w:p>
    <w:p w14:paraId="7529E557" w14:textId="02D6A517" w:rsidR="002A797A" w:rsidRPr="001E4901" w:rsidRDefault="002A797A" w:rsidP="002A797A">
      <w:pPr>
        <w:spacing w:line="360" w:lineRule="auto"/>
        <w:ind w:firstLine="720"/>
        <w:rPr>
          <w:color w:val="000000" w:themeColor="text1"/>
        </w:rPr>
      </w:pPr>
      <w:r w:rsidRPr="00B73E8F">
        <w:rPr>
          <w:color w:val="000000" w:themeColor="text1"/>
        </w:rPr>
        <w:t xml:space="preserve">Our second distance-based redundancy analysis </w:t>
      </w:r>
      <w:r w:rsidR="00E05741" w:rsidRPr="00B73E8F">
        <w:rPr>
          <w:color w:val="000000" w:themeColor="text1"/>
        </w:rPr>
        <w:t>considered</w:t>
      </w:r>
      <w:r w:rsidRPr="00B73E8F">
        <w:rPr>
          <w:color w:val="000000" w:themeColor="text1"/>
        </w:rPr>
        <w:t xml:space="preserve"> phylogenetic autocorrelation by using a weighted </w:t>
      </w:r>
      <w:proofErr w:type="spellStart"/>
      <w:r w:rsidRPr="00B73E8F">
        <w:rPr>
          <w:color w:val="000000" w:themeColor="text1"/>
        </w:rPr>
        <w:t>UniFrac</w:t>
      </w:r>
      <w:proofErr w:type="spellEnd"/>
      <w:r w:rsidRPr="00B73E8F">
        <w:rPr>
          <w:color w:val="000000" w:themeColor="text1"/>
        </w:rPr>
        <w:t xml:space="preserve"> distance as the response variable. This model showed rhizosphere depth to explain 5.51% of the total variation in bacterial microbiome </w:t>
      </w:r>
      <w:r w:rsidRPr="00920A60">
        <w:rPr>
          <w:color w:val="000000" w:themeColor="text1"/>
        </w:rPr>
        <w:t xml:space="preserve">dissimilarity. Sample ID in this model explained 12.2% of total variation in community dissimilarity. Like our previous model, </w:t>
      </w:r>
      <w:proofErr w:type="gramStart"/>
      <w:r w:rsidRPr="00920A60">
        <w:rPr>
          <w:color w:val="000000" w:themeColor="text1"/>
        </w:rPr>
        <w:t>we</w:t>
      </w:r>
      <w:proofErr w:type="gramEnd"/>
      <w:r w:rsidRPr="00920A60">
        <w:rPr>
          <w:color w:val="000000" w:themeColor="text1"/>
        </w:rPr>
        <w:t xml:space="preserve"> also partial out this effect before hypothesis testing, and rhizosphere depth then explained 6.29% of the remaining variation in community dissimilarity. The </w:t>
      </w:r>
      <w:r w:rsidRPr="00E8531A">
        <w:rPr>
          <w:color w:val="000000" w:themeColor="text1"/>
        </w:rPr>
        <w:t xml:space="preserve">permutational </w:t>
      </w:r>
      <w:proofErr w:type="spellStart"/>
      <w:r w:rsidRPr="00E8531A">
        <w:rPr>
          <w:color w:val="000000" w:themeColor="text1"/>
        </w:rPr>
        <w:t>anova</w:t>
      </w:r>
      <w:proofErr w:type="spellEnd"/>
      <w:r w:rsidRPr="00E8531A">
        <w:rPr>
          <w:color w:val="000000" w:themeColor="text1"/>
        </w:rPr>
        <w:t xml:space="preserve"> on our model with a weighted </w:t>
      </w:r>
      <w:proofErr w:type="spellStart"/>
      <w:r w:rsidRPr="00E8531A">
        <w:rPr>
          <w:color w:val="000000" w:themeColor="text1"/>
        </w:rPr>
        <w:t>UniFrac</w:t>
      </w:r>
      <w:proofErr w:type="spellEnd"/>
      <w:r w:rsidRPr="00E8531A">
        <w:rPr>
          <w:color w:val="000000" w:themeColor="text1"/>
        </w:rPr>
        <w:t xml:space="preserve"> distance showed that each rhizosphere depth is significantly different from one another in terms of rarefied bacterial richness (</w:t>
      </w:r>
      <w:r w:rsidR="007713A3" w:rsidRPr="005E023C">
        <w:rPr>
          <w:b/>
          <w:bCs/>
          <w:color w:val="000000" w:themeColor="text1"/>
        </w:rPr>
        <w:t>Appendix Figure 1</w:t>
      </w:r>
      <w:r w:rsidR="007713A3">
        <w:rPr>
          <w:color w:val="000000" w:themeColor="text1"/>
        </w:rPr>
        <w:t xml:space="preserve">; </w:t>
      </w:r>
      <w:r w:rsidRPr="00E8531A">
        <w:rPr>
          <w:color w:val="000000" w:themeColor="text1"/>
        </w:rPr>
        <w:t xml:space="preserve">p&lt;0.001). Additional information on these model summaries and subsequent </w:t>
      </w:r>
      <w:proofErr w:type="spellStart"/>
      <w:r w:rsidRPr="00E8531A">
        <w:rPr>
          <w:color w:val="000000" w:themeColor="text1"/>
        </w:rPr>
        <w:t>anovas</w:t>
      </w:r>
      <w:proofErr w:type="spellEnd"/>
      <w:r w:rsidRPr="00E8531A">
        <w:rPr>
          <w:color w:val="000000" w:themeColor="text1"/>
        </w:rPr>
        <w:t xml:space="preserve"> are shown in </w:t>
      </w:r>
      <w:r w:rsidR="00E8531A" w:rsidRPr="005E023C">
        <w:rPr>
          <w:b/>
          <w:bCs/>
          <w:color w:val="000000" w:themeColor="text1"/>
        </w:rPr>
        <w:t>Resource2.xslx</w:t>
      </w:r>
      <w:r w:rsidRPr="007713A3">
        <w:rPr>
          <w:color w:val="000000" w:themeColor="text1"/>
        </w:rPr>
        <w:t>.</w:t>
      </w:r>
      <w:r w:rsidRPr="001E4901">
        <w:rPr>
          <w:color w:val="000000" w:themeColor="text1"/>
        </w:rPr>
        <w:t xml:space="preserve"> </w:t>
      </w:r>
    </w:p>
    <w:p w14:paraId="635041B3" w14:textId="56D1DFCB" w:rsidR="002A797A" w:rsidRPr="001E4901" w:rsidRDefault="002A797A" w:rsidP="002A797A">
      <w:pPr>
        <w:spacing w:line="360" w:lineRule="auto"/>
        <w:rPr>
          <w:color w:val="000000" w:themeColor="text1"/>
        </w:rPr>
      </w:pPr>
      <w:r w:rsidRPr="001E4901">
        <w:rPr>
          <w:color w:val="000000" w:themeColor="text1"/>
        </w:rPr>
        <w:tab/>
        <w:t xml:space="preserve">Alpha diversity was examined using a Hill numbers approach to gather and compare the effective number of ‘types’ or ASVs between each rhizosphere depth. A Type II Wald’s </w:t>
      </w:r>
      <w:r w:rsidRPr="00B73E8F">
        <w:rPr>
          <w:color w:val="000000" w:themeColor="text1"/>
        </w:rPr>
        <w:sym w:font="Symbol" w:char="F043"/>
      </w:r>
      <w:r w:rsidRPr="00B73E8F">
        <w:rPr>
          <w:color w:val="000000" w:themeColor="text1"/>
          <w:vertAlign w:val="superscript"/>
        </w:rPr>
        <w:t>2</w:t>
      </w:r>
      <w:r w:rsidRPr="00B73E8F">
        <w:rPr>
          <w:color w:val="000000" w:themeColor="text1"/>
        </w:rPr>
        <w:t xml:space="preserve"> test on fitted linear-mixed effects model at </w:t>
      </w:r>
      <w:r w:rsidRPr="00B73E8F">
        <w:rPr>
          <w:i/>
          <w:iCs/>
          <w:color w:val="000000" w:themeColor="text1"/>
        </w:rPr>
        <w:t>q</w:t>
      </w:r>
      <w:r w:rsidRPr="00B73E8F">
        <w:rPr>
          <w:color w:val="000000" w:themeColor="text1"/>
        </w:rPr>
        <w:t>=4</w:t>
      </w:r>
      <w:r w:rsidR="009640FD">
        <w:rPr>
          <w:color w:val="000000" w:themeColor="text1"/>
        </w:rPr>
        <w:t xml:space="preserve"> to </w:t>
      </w:r>
      <w:r w:rsidRPr="00B73E8F">
        <w:rPr>
          <w:color w:val="000000" w:themeColor="text1"/>
        </w:rPr>
        <w:t xml:space="preserve">5 showed that alpha diversity </w:t>
      </w:r>
      <w:r w:rsidR="00821A77" w:rsidRPr="00B73E8F">
        <w:rPr>
          <w:color w:val="000000" w:themeColor="text1"/>
        </w:rPr>
        <w:t>was</w:t>
      </w:r>
      <w:r w:rsidRPr="00B73E8F">
        <w:rPr>
          <w:color w:val="000000" w:themeColor="text1"/>
        </w:rPr>
        <w:t xml:space="preserve"> distinct and varied across rhizosphere depth (</w:t>
      </w:r>
      <w:r w:rsidRPr="00B73E8F">
        <w:rPr>
          <w:i/>
          <w:iCs/>
          <w:color w:val="000000" w:themeColor="text1"/>
        </w:rPr>
        <w:t>q</w:t>
      </w:r>
      <w:r w:rsidRPr="00B73E8F">
        <w:rPr>
          <w:color w:val="000000" w:themeColor="text1"/>
        </w:rPr>
        <w:t xml:space="preserve">=4: </w:t>
      </w:r>
      <w:r w:rsidRPr="00B73E8F">
        <w:rPr>
          <w:color w:val="000000" w:themeColor="text1"/>
        </w:rPr>
        <w:sym w:font="Symbol" w:char="F043"/>
      </w:r>
      <w:r w:rsidRPr="00B73E8F">
        <w:rPr>
          <w:color w:val="000000" w:themeColor="text1"/>
          <w:vertAlign w:val="superscript"/>
        </w:rPr>
        <w:t>2</w:t>
      </w:r>
      <w:r w:rsidRPr="00B73E8F">
        <w:rPr>
          <w:color w:val="000000" w:themeColor="text1"/>
        </w:rPr>
        <w:t xml:space="preserve">=6.04, p=0.0487, </w:t>
      </w:r>
      <w:proofErr w:type="spellStart"/>
      <w:r w:rsidRPr="00B73E8F">
        <w:rPr>
          <w:color w:val="000000" w:themeColor="text1"/>
        </w:rPr>
        <w:t>df</w:t>
      </w:r>
      <w:proofErr w:type="spellEnd"/>
      <w:r w:rsidRPr="00B73E8F">
        <w:rPr>
          <w:color w:val="000000" w:themeColor="text1"/>
        </w:rPr>
        <w:t xml:space="preserve">=2; </w:t>
      </w:r>
      <w:r w:rsidRPr="00B73E8F">
        <w:rPr>
          <w:i/>
          <w:iCs/>
          <w:color w:val="000000" w:themeColor="text1"/>
        </w:rPr>
        <w:t>q</w:t>
      </w:r>
      <w:r w:rsidRPr="00B73E8F">
        <w:rPr>
          <w:color w:val="000000" w:themeColor="text1"/>
        </w:rPr>
        <w:t xml:space="preserve">=5: </w:t>
      </w:r>
      <w:r w:rsidRPr="00B73E8F">
        <w:rPr>
          <w:color w:val="000000" w:themeColor="text1"/>
        </w:rPr>
        <w:sym w:font="Symbol" w:char="F043"/>
      </w:r>
      <w:r w:rsidRPr="00B73E8F">
        <w:rPr>
          <w:color w:val="000000" w:themeColor="text1"/>
          <w:vertAlign w:val="superscript"/>
        </w:rPr>
        <w:t>2</w:t>
      </w:r>
      <w:r w:rsidRPr="00B73E8F">
        <w:rPr>
          <w:color w:val="000000" w:themeColor="text1"/>
        </w:rPr>
        <w:t xml:space="preserve">=6.84, p=0.0327, </w:t>
      </w:r>
      <w:proofErr w:type="spellStart"/>
      <w:r w:rsidRPr="00B73E8F">
        <w:rPr>
          <w:color w:val="000000" w:themeColor="text1"/>
        </w:rPr>
        <w:t>df</w:t>
      </w:r>
      <w:proofErr w:type="spellEnd"/>
      <w:r w:rsidRPr="00B73E8F">
        <w:rPr>
          <w:color w:val="000000" w:themeColor="text1"/>
        </w:rPr>
        <w:t xml:space="preserve">=2). </w:t>
      </w:r>
      <w:r w:rsidRPr="00821A77">
        <w:rPr>
          <w:b/>
          <w:bCs/>
          <w:color w:val="000000" w:themeColor="text1"/>
        </w:rPr>
        <w:t>Table 1</w:t>
      </w:r>
      <w:r w:rsidRPr="00B73E8F">
        <w:rPr>
          <w:color w:val="000000" w:themeColor="text1"/>
        </w:rPr>
        <w:t xml:space="preserve"> shows a full summary of each analysis of </w:t>
      </w:r>
      <w:r w:rsidRPr="001E4901">
        <w:rPr>
          <w:color w:val="000000" w:themeColor="text1"/>
        </w:rPr>
        <w:t xml:space="preserve">variance on all orders of alpha diversity. Tukey’s HSD revealed that at these orders, Depth B and C are driving the differential pattern over other comparisons between rhizosphere depths. Further, alpha diversity across </w:t>
      </w:r>
      <w:r w:rsidRPr="001E4901">
        <w:rPr>
          <w:i/>
          <w:iCs/>
          <w:color w:val="000000" w:themeColor="text1"/>
        </w:rPr>
        <w:t>q</w:t>
      </w:r>
      <w:r w:rsidRPr="001E4901">
        <w:rPr>
          <w:color w:val="000000" w:themeColor="text1"/>
        </w:rPr>
        <w:t>=0</w:t>
      </w:r>
      <w:r w:rsidR="00E46020">
        <w:rPr>
          <w:color w:val="000000" w:themeColor="text1"/>
        </w:rPr>
        <w:t xml:space="preserve"> to </w:t>
      </w:r>
      <w:r w:rsidRPr="001E4901">
        <w:rPr>
          <w:color w:val="000000" w:themeColor="text1"/>
        </w:rPr>
        <w:t>3 on average is greatest at Depth A (</w:t>
      </w:r>
      <w:r w:rsidR="005355D9">
        <w:rPr>
          <w:b/>
          <w:bCs/>
          <w:color w:val="000000" w:themeColor="text1"/>
        </w:rPr>
        <w:t>Figure</w:t>
      </w:r>
      <w:r w:rsidRPr="00821A77">
        <w:rPr>
          <w:b/>
          <w:bCs/>
          <w:color w:val="000000" w:themeColor="text1"/>
        </w:rPr>
        <w:t xml:space="preserve"> </w:t>
      </w:r>
      <w:r w:rsidR="0005015C">
        <w:rPr>
          <w:b/>
          <w:bCs/>
          <w:color w:val="000000" w:themeColor="text1"/>
        </w:rPr>
        <w:t>5</w:t>
      </w:r>
      <w:r w:rsidRPr="001E4901">
        <w:rPr>
          <w:color w:val="000000" w:themeColor="text1"/>
        </w:rPr>
        <w:t xml:space="preserve">). At </w:t>
      </w:r>
      <w:r w:rsidRPr="001E4901">
        <w:rPr>
          <w:i/>
          <w:iCs/>
          <w:color w:val="000000" w:themeColor="text1"/>
        </w:rPr>
        <w:t>q</w:t>
      </w:r>
      <w:r w:rsidRPr="001E4901">
        <w:rPr>
          <w:color w:val="000000" w:themeColor="text1"/>
        </w:rPr>
        <w:t>=4</w:t>
      </w:r>
      <w:r w:rsidR="00E46020">
        <w:rPr>
          <w:color w:val="000000" w:themeColor="text1"/>
        </w:rPr>
        <w:t xml:space="preserve"> to </w:t>
      </w:r>
      <w:r w:rsidRPr="001E4901">
        <w:rPr>
          <w:color w:val="000000" w:themeColor="text1"/>
        </w:rPr>
        <w:t xml:space="preserve">5, Depth B has the greatest alpha diversity out of all rhizosphere depths. </w:t>
      </w:r>
      <w:r w:rsidRPr="001E4901">
        <w:rPr>
          <w:iCs/>
          <w:color w:val="000000" w:themeColor="text1"/>
        </w:rPr>
        <w:t>Samples pooled</w:t>
      </w:r>
      <w:r w:rsidRPr="001E4901">
        <w:rPr>
          <w:i/>
          <w:color w:val="000000" w:themeColor="text1"/>
        </w:rPr>
        <w:t xml:space="preserve"> in vitro</w:t>
      </w:r>
      <w:r w:rsidRPr="001E4901">
        <w:rPr>
          <w:color w:val="000000" w:themeColor="text1"/>
        </w:rPr>
        <w:t xml:space="preserve"> contain on average the greatest effective number of ASVs when at </w:t>
      </w:r>
      <w:r w:rsidRPr="001E4901">
        <w:rPr>
          <w:i/>
          <w:iCs/>
          <w:color w:val="000000" w:themeColor="text1"/>
        </w:rPr>
        <w:t>q</w:t>
      </w:r>
      <w:r w:rsidRPr="001E4901">
        <w:rPr>
          <w:color w:val="000000" w:themeColor="text1"/>
        </w:rPr>
        <w:t>=0</w:t>
      </w:r>
      <w:r w:rsidR="00E46020">
        <w:rPr>
          <w:color w:val="000000" w:themeColor="text1"/>
        </w:rPr>
        <w:t xml:space="preserve"> to </w:t>
      </w:r>
      <w:r w:rsidRPr="001E4901">
        <w:rPr>
          <w:color w:val="000000" w:themeColor="text1"/>
        </w:rPr>
        <w:t xml:space="preserve">3, however while continually down-weighting rare species from our analysis pooled samples lie between Depths B and C. </w:t>
      </w:r>
      <w:r w:rsidRPr="00821A77">
        <w:rPr>
          <w:b/>
          <w:bCs/>
          <w:color w:val="000000" w:themeColor="text1"/>
        </w:rPr>
        <w:t xml:space="preserve">Figure </w:t>
      </w:r>
      <w:r w:rsidR="0005015C">
        <w:rPr>
          <w:b/>
          <w:bCs/>
          <w:color w:val="000000" w:themeColor="text1"/>
        </w:rPr>
        <w:t>5</w:t>
      </w:r>
      <w:r w:rsidRPr="001E4901">
        <w:rPr>
          <w:color w:val="000000" w:themeColor="text1"/>
        </w:rPr>
        <w:t xml:space="preserve"> also shows that Depth C consistently has the least effective number of ASVs than any other group. </w:t>
      </w:r>
    </w:p>
    <w:p w14:paraId="543879FC" w14:textId="584C27B9" w:rsidR="006922A0" w:rsidRPr="006922A0" w:rsidRDefault="002A797A" w:rsidP="006922A0">
      <w:pPr>
        <w:spacing w:line="360" w:lineRule="auto"/>
      </w:pPr>
      <w:r w:rsidRPr="001E4901">
        <w:rPr>
          <w:color w:val="000000" w:themeColor="text1"/>
        </w:rPr>
        <w:tab/>
        <w:t xml:space="preserve">Analysis of multivariate dispersion showed greater heterogeneity in rarefied community richness and relative abundance between Depths A, B, C at </w:t>
      </w:r>
      <w:r w:rsidRPr="001E4901">
        <w:rPr>
          <w:i/>
          <w:iCs/>
          <w:color w:val="000000" w:themeColor="text1"/>
        </w:rPr>
        <w:t>q</w:t>
      </w:r>
      <w:r w:rsidRPr="001E4901">
        <w:rPr>
          <w:color w:val="000000" w:themeColor="text1"/>
        </w:rPr>
        <w:t>=0 (</w:t>
      </w:r>
      <w:r w:rsidRPr="001E4901">
        <w:rPr>
          <w:i/>
          <w:iCs/>
          <w:color w:val="000000" w:themeColor="text1"/>
        </w:rPr>
        <w:t>F</w:t>
      </w:r>
      <w:r w:rsidRPr="001E4901">
        <w:rPr>
          <w:color w:val="000000" w:themeColor="text1"/>
          <w:vertAlign w:val="subscript"/>
        </w:rPr>
        <w:t>2</w:t>
      </w:r>
      <w:r w:rsidRPr="001E4901">
        <w:rPr>
          <w:color w:val="000000" w:themeColor="text1"/>
        </w:rPr>
        <w:t xml:space="preserve">=3.29, </w:t>
      </w:r>
      <w:r w:rsidRPr="001E4901">
        <w:t xml:space="preserve">p&lt;0.05). As rare species are down weighted across increasing </w:t>
      </w:r>
      <w:r w:rsidRPr="001E4901">
        <w:rPr>
          <w:i/>
          <w:iCs/>
        </w:rPr>
        <w:t>q</w:t>
      </w:r>
      <w:r w:rsidRPr="001E4901">
        <w:t xml:space="preserve">, multivariate dispersion, or the average distance from each individual point to the multivariate centroid (median) were not different between rhizosphere depths. Thus, at lower orders of diversity, rare ASVs contributed more to the differences in community turnover between rhizosphere depths than common ASVs. Similarly, a </w:t>
      </w:r>
      <w:proofErr w:type="spellStart"/>
      <w:r w:rsidR="00BD6AD2">
        <w:t>db</w:t>
      </w:r>
      <w:proofErr w:type="spellEnd"/>
      <w:r w:rsidR="00BD6AD2">
        <w:t>-RDA</w:t>
      </w:r>
      <w:r w:rsidRPr="001E4901">
        <w:t xml:space="preserve"> on community variation within groups while accounting for the effect of individual </w:t>
      </w:r>
    </w:p>
    <w:p w14:paraId="15AC8F77" w14:textId="77777777" w:rsidR="006922A0" w:rsidRPr="005B5D83" w:rsidRDefault="006922A0" w:rsidP="006922A0">
      <w:pPr>
        <w:pStyle w:val="Subtitle"/>
      </w:pPr>
      <w:bookmarkStart w:id="24" w:name="_Toc82435123"/>
      <w:bookmarkStart w:id="25" w:name="_Toc92189056"/>
      <w:bookmarkStart w:id="26" w:name="_Toc102118704"/>
      <w:r w:rsidRPr="005B5D83">
        <w:lastRenderedPageBreak/>
        <w:t xml:space="preserve">Table </w:t>
      </w:r>
      <w:r>
        <w:fldChar w:fldCharType="begin"/>
      </w:r>
      <w:r>
        <w:instrText xml:space="preserve"> SEQ Table \* ARABIC </w:instrText>
      </w:r>
      <w:r>
        <w:fldChar w:fldCharType="separate"/>
      </w:r>
      <w:r w:rsidRPr="005B5D83">
        <w:t>1</w:t>
      </w:r>
      <w:r>
        <w:fldChar w:fldCharType="end"/>
      </w:r>
      <w:r w:rsidRPr="005B5D83">
        <w:t xml:space="preserve">. </w:t>
      </w:r>
      <w:r w:rsidRPr="00C20753">
        <w:t xml:space="preserve">Summary of the Type II Wald’s Χ2 test performed on alpha diversity across depths within the rhizosphere at </w:t>
      </w:r>
      <w:r w:rsidRPr="009640FD">
        <w:rPr>
          <w:i/>
          <w:iCs/>
        </w:rPr>
        <w:t>q</w:t>
      </w:r>
      <w:r w:rsidRPr="00C20753">
        <w:t>=0 to 5.</w:t>
      </w:r>
      <w:bookmarkEnd w:id="24"/>
      <w:bookmarkEnd w:id="25"/>
      <w:bookmarkEnd w:id="26"/>
    </w:p>
    <w:tbl>
      <w:tblPr>
        <w:tblW w:w="5180" w:type="dxa"/>
        <w:tblLook w:val="04A0" w:firstRow="1" w:lastRow="0" w:firstColumn="1" w:lastColumn="0" w:noHBand="0" w:noVBand="1"/>
      </w:tblPr>
      <w:tblGrid>
        <w:gridCol w:w="2528"/>
        <w:gridCol w:w="1285"/>
        <w:gridCol w:w="1367"/>
      </w:tblGrid>
      <w:tr w:rsidR="006922A0" w:rsidRPr="001E4901" w14:paraId="047CD723" w14:textId="77777777" w:rsidTr="00D20AC1">
        <w:trPr>
          <w:trHeight w:val="400"/>
        </w:trPr>
        <w:tc>
          <w:tcPr>
            <w:tcW w:w="2580" w:type="dxa"/>
            <w:tcBorders>
              <w:top w:val="single" w:sz="4" w:space="0" w:color="auto"/>
              <w:left w:val="nil"/>
              <w:bottom w:val="single" w:sz="4" w:space="0" w:color="auto"/>
              <w:right w:val="nil"/>
            </w:tcBorders>
            <w:shd w:val="clear" w:color="auto" w:fill="auto"/>
            <w:vAlign w:val="center"/>
            <w:hideMark/>
          </w:tcPr>
          <w:p w14:paraId="180896AF" w14:textId="77777777" w:rsidR="006922A0" w:rsidRPr="00B73E8F" w:rsidRDefault="006922A0" w:rsidP="00D20AC1">
            <w:pPr>
              <w:jc w:val="center"/>
              <w:rPr>
                <w:b/>
                <w:bCs/>
                <w:color w:val="000000"/>
              </w:rPr>
            </w:pPr>
            <w:r w:rsidRPr="00B73E8F">
              <w:rPr>
                <w:b/>
                <w:bCs/>
                <w:color w:val="000000"/>
              </w:rPr>
              <w:t>Order of Diversity</w:t>
            </w:r>
            <w:r w:rsidRPr="00B73E8F">
              <w:rPr>
                <w:b/>
                <w:bCs/>
                <w:i/>
                <w:iCs/>
                <w:color w:val="000000"/>
              </w:rPr>
              <w:t xml:space="preserve"> (q)</w:t>
            </w:r>
          </w:p>
        </w:tc>
        <w:tc>
          <w:tcPr>
            <w:tcW w:w="1300" w:type="dxa"/>
            <w:tcBorders>
              <w:top w:val="single" w:sz="4" w:space="0" w:color="auto"/>
              <w:left w:val="nil"/>
              <w:bottom w:val="single" w:sz="4" w:space="0" w:color="auto"/>
              <w:right w:val="nil"/>
            </w:tcBorders>
            <w:shd w:val="clear" w:color="auto" w:fill="auto"/>
            <w:vAlign w:val="center"/>
            <w:hideMark/>
          </w:tcPr>
          <w:p w14:paraId="1C8971DF" w14:textId="77777777" w:rsidR="006922A0" w:rsidRPr="00920A60" w:rsidRDefault="006922A0" w:rsidP="00D20AC1">
            <w:pPr>
              <w:jc w:val="center"/>
              <w:rPr>
                <w:b/>
                <w:bCs/>
                <w:color w:val="000000"/>
              </w:rPr>
            </w:pPr>
            <w:proofErr w:type="spellStart"/>
            <w:r w:rsidRPr="00920A60">
              <w:rPr>
                <w:b/>
                <w:bCs/>
                <w:color w:val="000000"/>
              </w:rPr>
              <w:t>Chisq</w:t>
            </w:r>
            <w:proofErr w:type="spellEnd"/>
          </w:p>
        </w:tc>
        <w:tc>
          <w:tcPr>
            <w:tcW w:w="1300" w:type="dxa"/>
            <w:tcBorders>
              <w:top w:val="single" w:sz="4" w:space="0" w:color="auto"/>
              <w:left w:val="nil"/>
              <w:bottom w:val="single" w:sz="4" w:space="0" w:color="auto"/>
              <w:right w:val="nil"/>
            </w:tcBorders>
            <w:shd w:val="clear" w:color="auto" w:fill="auto"/>
            <w:vAlign w:val="center"/>
            <w:hideMark/>
          </w:tcPr>
          <w:p w14:paraId="5FE237A0" w14:textId="77777777" w:rsidR="006922A0" w:rsidRPr="001E4901" w:rsidRDefault="006922A0" w:rsidP="00D20AC1">
            <w:pPr>
              <w:jc w:val="center"/>
              <w:rPr>
                <w:b/>
                <w:bCs/>
                <w:color w:val="000000"/>
              </w:rPr>
            </w:pPr>
            <w:proofErr w:type="spellStart"/>
            <w:r w:rsidRPr="001E4901">
              <w:rPr>
                <w:b/>
                <w:bCs/>
                <w:color w:val="000000"/>
              </w:rPr>
              <w:t>Pr</w:t>
            </w:r>
            <w:proofErr w:type="spellEnd"/>
            <w:r w:rsidRPr="001E4901">
              <w:rPr>
                <w:b/>
                <w:bCs/>
                <w:color w:val="000000"/>
              </w:rPr>
              <w:t>(&gt;</w:t>
            </w:r>
            <w:proofErr w:type="spellStart"/>
            <w:r w:rsidRPr="001E4901">
              <w:rPr>
                <w:b/>
                <w:bCs/>
                <w:color w:val="000000"/>
              </w:rPr>
              <w:t>Chisq</w:t>
            </w:r>
            <w:proofErr w:type="spellEnd"/>
            <w:r w:rsidRPr="001E4901">
              <w:rPr>
                <w:b/>
                <w:bCs/>
                <w:color w:val="000000"/>
              </w:rPr>
              <w:t>)</w:t>
            </w:r>
          </w:p>
        </w:tc>
      </w:tr>
      <w:tr w:rsidR="006922A0" w:rsidRPr="001E4901" w14:paraId="565A5A92" w14:textId="77777777" w:rsidTr="00D20AC1">
        <w:trPr>
          <w:trHeight w:val="320"/>
        </w:trPr>
        <w:tc>
          <w:tcPr>
            <w:tcW w:w="2580" w:type="dxa"/>
            <w:tcBorders>
              <w:top w:val="nil"/>
              <w:left w:val="nil"/>
              <w:bottom w:val="nil"/>
              <w:right w:val="nil"/>
            </w:tcBorders>
            <w:shd w:val="clear" w:color="auto" w:fill="auto"/>
            <w:vAlign w:val="center"/>
            <w:hideMark/>
          </w:tcPr>
          <w:p w14:paraId="4455FD4E" w14:textId="77777777" w:rsidR="006922A0" w:rsidRPr="001E4901" w:rsidRDefault="006922A0" w:rsidP="00D20AC1">
            <w:pPr>
              <w:jc w:val="center"/>
              <w:rPr>
                <w:b/>
                <w:bCs/>
                <w:color w:val="000000"/>
              </w:rPr>
            </w:pPr>
            <w:r w:rsidRPr="001E4901">
              <w:rPr>
                <w:b/>
                <w:bCs/>
                <w:color w:val="000000"/>
              </w:rPr>
              <w:t>0</w:t>
            </w:r>
          </w:p>
        </w:tc>
        <w:tc>
          <w:tcPr>
            <w:tcW w:w="1300" w:type="dxa"/>
            <w:tcBorders>
              <w:top w:val="nil"/>
              <w:left w:val="nil"/>
              <w:bottom w:val="nil"/>
              <w:right w:val="nil"/>
            </w:tcBorders>
            <w:shd w:val="clear" w:color="auto" w:fill="auto"/>
            <w:vAlign w:val="center"/>
            <w:hideMark/>
          </w:tcPr>
          <w:p w14:paraId="31E37DE4" w14:textId="77777777" w:rsidR="006922A0" w:rsidRPr="001E4901" w:rsidRDefault="006922A0" w:rsidP="00D20AC1">
            <w:pPr>
              <w:jc w:val="center"/>
              <w:rPr>
                <w:color w:val="000000"/>
              </w:rPr>
            </w:pPr>
            <w:r w:rsidRPr="001E4901">
              <w:rPr>
                <w:color w:val="000000"/>
              </w:rPr>
              <w:t>1.4384</w:t>
            </w:r>
          </w:p>
        </w:tc>
        <w:tc>
          <w:tcPr>
            <w:tcW w:w="1300" w:type="dxa"/>
            <w:tcBorders>
              <w:top w:val="nil"/>
              <w:left w:val="nil"/>
              <w:bottom w:val="nil"/>
              <w:right w:val="nil"/>
            </w:tcBorders>
            <w:shd w:val="clear" w:color="auto" w:fill="auto"/>
            <w:vAlign w:val="center"/>
            <w:hideMark/>
          </w:tcPr>
          <w:p w14:paraId="7F616486" w14:textId="77777777" w:rsidR="006922A0" w:rsidRPr="001E4901" w:rsidRDefault="006922A0" w:rsidP="00D20AC1">
            <w:pPr>
              <w:jc w:val="center"/>
              <w:rPr>
                <w:color w:val="000000"/>
              </w:rPr>
            </w:pPr>
            <w:r w:rsidRPr="001E4901">
              <w:rPr>
                <w:color w:val="000000"/>
              </w:rPr>
              <w:t>0.4871</w:t>
            </w:r>
          </w:p>
        </w:tc>
      </w:tr>
      <w:tr w:rsidR="006922A0" w:rsidRPr="001E4901" w14:paraId="4B962DBA" w14:textId="77777777" w:rsidTr="00D20AC1">
        <w:trPr>
          <w:trHeight w:val="320"/>
        </w:trPr>
        <w:tc>
          <w:tcPr>
            <w:tcW w:w="2580" w:type="dxa"/>
            <w:tcBorders>
              <w:top w:val="nil"/>
              <w:left w:val="nil"/>
              <w:bottom w:val="nil"/>
              <w:right w:val="nil"/>
            </w:tcBorders>
            <w:shd w:val="clear" w:color="auto" w:fill="auto"/>
            <w:vAlign w:val="center"/>
            <w:hideMark/>
          </w:tcPr>
          <w:p w14:paraId="63517079" w14:textId="77777777" w:rsidR="006922A0" w:rsidRPr="001E4901" w:rsidRDefault="006922A0" w:rsidP="00D20AC1">
            <w:pPr>
              <w:jc w:val="center"/>
              <w:rPr>
                <w:b/>
                <w:bCs/>
                <w:color w:val="000000"/>
              </w:rPr>
            </w:pPr>
            <w:r w:rsidRPr="001E4901">
              <w:rPr>
                <w:b/>
                <w:bCs/>
                <w:color w:val="000000"/>
              </w:rPr>
              <w:t>1</w:t>
            </w:r>
          </w:p>
        </w:tc>
        <w:tc>
          <w:tcPr>
            <w:tcW w:w="1300" w:type="dxa"/>
            <w:tcBorders>
              <w:top w:val="nil"/>
              <w:left w:val="nil"/>
              <w:bottom w:val="nil"/>
              <w:right w:val="nil"/>
            </w:tcBorders>
            <w:shd w:val="clear" w:color="auto" w:fill="auto"/>
            <w:vAlign w:val="center"/>
            <w:hideMark/>
          </w:tcPr>
          <w:p w14:paraId="4654BF34" w14:textId="77777777" w:rsidR="006922A0" w:rsidRPr="001E4901" w:rsidRDefault="006922A0" w:rsidP="00D20AC1">
            <w:pPr>
              <w:jc w:val="center"/>
              <w:rPr>
                <w:color w:val="000000"/>
              </w:rPr>
            </w:pPr>
            <w:r w:rsidRPr="001E4901">
              <w:rPr>
                <w:color w:val="000000"/>
              </w:rPr>
              <w:t>2.303</w:t>
            </w:r>
          </w:p>
        </w:tc>
        <w:tc>
          <w:tcPr>
            <w:tcW w:w="1300" w:type="dxa"/>
            <w:tcBorders>
              <w:top w:val="nil"/>
              <w:left w:val="nil"/>
              <w:bottom w:val="nil"/>
              <w:right w:val="nil"/>
            </w:tcBorders>
            <w:shd w:val="clear" w:color="auto" w:fill="auto"/>
            <w:vAlign w:val="center"/>
            <w:hideMark/>
          </w:tcPr>
          <w:p w14:paraId="3C380149" w14:textId="77777777" w:rsidR="006922A0" w:rsidRPr="001E4901" w:rsidRDefault="006922A0" w:rsidP="00D20AC1">
            <w:pPr>
              <w:jc w:val="center"/>
              <w:rPr>
                <w:color w:val="000000"/>
              </w:rPr>
            </w:pPr>
            <w:r w:rsidRPr="001E4901">
              <w:rPr>
                <w:color w:val="000000"/>
              </w:rPr>
              <w:t>0.3162</w:t>
            </w:r>
          </w:p>
        </w:tc>
      </w:tr>
      <w:tr w:rsidR="006922A0" w:rsidRPr="001E4901" w14:paraId="2CA7F72C" w14:textId="77777777" w:rsidTr="00D20AC1">
        <w:trPr>
          <w:trHeight w:val="320"/>
        </w:trPr>
        <w:tc>
          <w:tcPr>
            <w:tcW w:w="2580" w:type="dxa"/>
            <w:tcBorders>
              <w:top w:val="nil"/>
              <w:left w:val="nil"/>
              <w:bottom w:val="nil"/>
              <w:right w:val="nil"/>
            </w:tcBorders>
            <w:shd w:val="clear" w:color="auto" w:fill="auto"/>
            <w:vAlign w:val="center"/>
            <w:hideMark/>
          </w:tcPr>
          <w:p w14:paraId="5B651B1A" w14:textId="77777777" w:rsidR="006922A0" w:rsidRPr="001E4901" w:rsidRDefault="006922A0" w:rsidP="00D20AC1">
            <w:pPr>
              <w:jc w:val="center"/>
              <w:rPr>
                <w:b/>
                <w:bCs/>
                <w:color w:val="000000"/>
              </w:rPr>
            </w:pPr>
            <w:r w:rsidRPr="001E4901">
              <w:rPr>
                <w:b/>
                <w:bCs/>
                <w:color w:val="000000"/>
              </w:rPr>
              <w:t>2</w:t>
            </w:r>
          </w:p>
        </w:tc>
        <w:tc>
          <w:tcPr>
            <w:tcW w:w="1300" w:type="dxa"/>
            <w:tcBorders>
              <w:top w:val="nil"/>
              <w:left w:val="nil"/>
              <w:bottom w:val="nil"/>
              <w:right w:val="nil"/>
            </w:tcBorders>
            <w:shd w:val="clear" w:color="auto" w:fill="auto"/>
            <w:vAlign w:val="center"/>
            <w:hideMark/>
          </w:tcPr>
          <w:p w14:paraId="50CD88D0" w14:textId="77777777" w:rsidR="006922A0" w:rsidRPr="001E4901" w:rsidRDefault="006922A0" w:rsidP="00D20AC1">
            <w:pPr>
              <w:jc w:val="center"/>
              <w:rPr>
                <w:color w:val="000000"/>
              </w:rPr>
            </w:pPr>
            <w:r w:rsidRPr="001E4901">
              <w:rPr>
                <w:color w:val="000000"/>
              </w:rPr>
              <w:t>3.9319</w:t>
            </w:r>
          </w:p>
        </w:tc>
        <w:tc>
          <w:tcPr>
            <w:tcW w:w="1300" w:type="dxa"/>
            <w:tcBorders>
              <w:top w:val="nil"/>
              <w:left w:val="nil"/>
              <w:bottom w:val="nil"/>
              <w:right w:val="nil"/>
            </w:tcBorders>
            <w:shd w:val="clear" w:color="auto" w:fill="auto"/>
            <w:vAlign w:val="center"/>
            <w:hideMark/>
          </w:tcPr>
          <w:p w14:paraId="780681A1" w14:textId="77777777" w:rsidR="006922A0" w:rsidRPr="001E4901" w:rsidRDefault="006922A0" w:rsidP="00D20AC1">
            <w:pPr>
              <w:jc w:val="center"/>
              <w:rPr>
                <w:color w:val="000000"/>
              </w:rPr>
            </w:pPr>
            <w:r w:rsidRPr="001E4901">
              <w:rPr>
                <w:color w:val="000000"/>
              </w:rPr>
              <w:t>0.14</w:t>
            </w:r>
          </w:p>
        </w:tc>
      </w:tr>
      <w:tr w:rsidR="006922A0" w:rsidRPr="001E4901" w14:paraId="1283721A" w14:textId="77777777" w:rsidTr="00D20AC1">
        <w:trPr>
          <w:trHeight w:val="320"/>
        </w:trPr>
        <w:tc>
          <w:tcPr>
            <w:tcW w:w="2580" w:type="dxa"/>
            <w:tcBorders>
              <w:top w:val="nil"/>
              <w:left w:val="nil"/>
              <w:bottom w:val="nil"/>
              <w:right w:val="nil"/>
            </w:tcBorders>
            <w:shd w:val="clear" w:color="auto" w:fill="auto"/>
            <w:vAlign w:val="center"/>
            <w:hideMark/>
          </w:tcPr>
          <w:p w14:paraId="42C22C39" w14:textId="77777777" w:rsidR="006922A0" w:rsidRPr="001E4901" w:rsidRDefault="006922A0" w:rsidP="00D20AC1">
            <w:pPr>
              <w:jc w:val="center"/>
              <w:rPr>
                <w:b/>
                <w:bCs/>
                <w:color w:val="000000"/>
              </w:rPr>
            </w:pPr>
            <w:r w:rsidRPr="001E4901">
              <w:rPr>
                <w:b/>
                <w:bCs/>
                <w:color w:val="000000"/>
              </w:rPr>
              <w:t>3</w:t>
            </w:r>
          </w:p>
        </w:tc>
        <w:tc>
          <w:tcPr>
            <w:tcW w:w="1300" w:type="dxa"/>
            <w:tcBorders>
              <w:top w:val="nil"/>
              <w:left w:val="nil"/>
              <w:bottom w:val="nil"/>
              <w:right w:val="nil"/>
            </w:tcBorders>
            <w:shd w:val="clear" w:color="auto" w:fill="auto"/>
            <w:vAlign w:val="center"/>
            <w:hideMark/>
          </w:tcPr>
          <w:p w14:paraId="2E276D5C" w14:textId="77777777" w:rsidR="006922A0" w:rsidRPr="001E4901" w:rsidRDefault="006922A0" w:rsidP="00D20AC1">
            <w:pPr>
              <w:jc w:val="center"/>
              <w:rPr>
                <w:color w:val="000000"/>
              </w:rPr>
            </w:pPr>
            <w:r w:rsidRPr="001E4901">
              <w:rPr>
                <w:color w:val="000000"/>
              </w:rPr>
              <w:t>5.1613</w:t>
            </w:r>
          </w:p>
        </w:tc>
        <w:tc>
          <w:tcPr>
            <w:tcW w:w="1300" w:type="dxa"/>
            <w:tcBorders>
              <w:top w:val="nil"/>
              <w:left w:val="nil"/>
              <w:bottom w:val="nil"/>
              <w:right w:val="nil"/>
            </w:tcBorders>
            <w:shd w:val="clear" w:color="auto" w:fill="auto"/>
            <w:vAlign w:val="center"/>
            <w:hideMark/>
          </w:tcPr>
          <w:p w14:paraId="399B366B" w14:textId="77777777" w:rsidR="006922A0" w:rsidRPr="001E4901" w:rsidRDefault="006922A0" w:rsidP="00D20AC1">
            <w:pPr>
              <w:jc w:val="center"/>
              <w:rPr>
                <w:color w:val="000000"/>
              </w:rPr>
            </w:pPr>
            <w:r w:rsidRPr="001E4901">
              <w:rPr>
                <w:color w:val="000000"/>
              </w:rPr>
              <w:t>0.07573</w:t>
            </w:r>
          </w:p>
        </w:tc>
      </w:tr>
      <w:tr w:rsidR="006922A0" w:rsidRPr="001E4901" w14:paraId="1BB59055" w14:textId="77777777" w:rsidTr="00D20AC1">
        <w:trPr>
          <w:trHeight w:val="340"/>
        </w:trPr>
        <w:tc>
          <w:tcPr>
            <w:tcW w:w="2580" w:type="dxa"/>
            <w:tcBorders>
              <w:top w:val="nil"/>
              <w:left w:val="nil"/>
              <w:bottom w:val="nil"/>
              <w:right w:val="nil"/>
            </w:tcBorders>
            <w:shd w:val="clear" w:color="auto" w:fill="auto"/>
            <w:vAlign w:val="center"/>
            <w:hideMark/>
          </w:tcPr>
          <w:p w14:paraId="57BD1102" w14:textId="77777777" w:rsidR="006922A0" w:rsidRPr="001E4901" w:rsidRDefault="006922A0" w:rsidP="00D20AC1">
            <w:pPr>
              <w:jc w:val="center"/>
              <w:rPr>
                <w:b/>
                <w:bCs/>
                <w:color w:val="000000"/>
              </w:rPr>
            </w:pPr>
            <w:r w:rsidRPr="001E4901">
              <w:rPr>
                <w:b/>
                <w:bCs/>
                <w:color w:val="000000"/>
              </w:rPr>
              <w:t>4</w:t>
            </w:r>
          </w:p>
        </w:tc>
        <w:tc>
          <w:tcPr>
            <w:tcW w:w="1300" w:type="dxa"/>
            <w:tcBorders>
              <w:top w:val="nil"/>
              <w:left w:val="nil"/>
              <w:bottom w:val="nil"/>
              <w:right w:val="nil"/>
            </w:tcBorders>
            <w:shd w:val="clear" w:color="auto" w:fill="auto"/>
            <w:vAlign w:val="center"/>
            <w:hideMark/>
          </w:tcPr>
          <w:p w14:paraId="0B425119" w14:textId="77777777" w:rsidR="006922A0" w:rsidRPr="001E4901" w:rsidRDefault="006922A0" w:rsidP="00D20AC1">
            <w:pPr>
              <w:jc w:val="center"/>
              <w:rPr>
                <w:color w:val="000000"/>
              </w:rPr>
            </w:pPr>
            <w:r w:rsidRPr="001E4901">
              <w:rPr>
                <w:color w:val="000000"/>
              </w:rPr>
              <w:t>6.0449</w:t>
            </w:r>
          </w:p>
        </w:tc>
        <w:tc>
          <w:tcPr>
            <w:tcW w:w="1300" w:type="dxa"/>
            <w:tcBorders>
              <w:top w:val="nil"/>
              <w:left w:val="nil"/>
              <w:bottom w:val="nil"/>
              <w:right w:val="nil"/>
            </w:tcBorders>
            <w:shd w:val="clear" w:color="auto" w:fill="auto"/>
            <w:vAlign w:val="center"/>
            <w:hideMark/>
          </w:tcPr>
          <w:p w14:paraId="0A2DD79E" w14:textId="77777777" w:rsidR="006922A0" w:rsidRPr="001E4901" w:rsidRDefault="006922A0" w:rsidP="00D20AC1">
            <w:pPr>
              <w:jc w:val="center"/>
              <w:rPr>
                <w:color w:val="000000"/>
              </w:rPr>
            </w:pPr>
            <w:r w:rsidRPr="001E4901">
              <w:rPr>
                <w:color w:val="000000"/>
              </w:rPr>
              <w:t>0.04868</w:t>
            </w:r>
            <w:r w:rsidRPr="001E4901">
              <w:rPr>
                <w:b/>
                <w:bCs/>
                <w:color w:val="000000"/>
              </w:rPr>
              <w:t>*</w:t>
            </w:r>
          </w:p>
        </w:tc>
      </w:tr>
      <w:tr w:rsidR="006922A0" w:rsidRPr="001E4901" w14:paraId="41DB3C62" w14:textId="77777777" w:rsidTr="00D20AC1">
        <w:trPr>
          <w:trHeight w:val="340"/>
        </w:trPr>
        <w:tc>
          <w:tcPr>
            <w:tcW w:w="2580" w:type="dxa"/>
            <w:tcBorders>
              <w:top w:val="nil"/>
              <w:left w:val="nil"/>
              <w:bottom w:val="single" w:sz="4" w:space="0" w:color="auto"/>
              <w:right w:val="nil"/>
            </w:tcBorders>
            <w:shd w:val="clear" w:color="auto" w:fill="auto"/>
            <w:vAlign w:val="center"/>
            <w:hideMark/>
          </w:tcPr>
          <w:p w14:paraId="1F6ECEBE" w14:textId="77777777" w:rsidR="006922A0" w:rsidRPr="001E4901" w:rsidRDefault="006922A0" w:rsidP="00D20AC1">
            <w:pPr>
              <w:jc w:val="center"/>
              <w:rPr>
                <w:b/>
                <w:bCs/>
                <w:color w:val="000000"/>
              </w:rPr>
            </w:pPr>
            <w:r w:rsidRPr="001E4901">
              <w:rPr>
                <w:b/>
                <w:bCs/>
                <w:color w:val="000000"/>
              </w:rPr>
              <w:t>5</w:t>
            </w:r>
          </w:p>
        </w:tc>
        <w:tc>
          <w:tcPr>
            <w:tcW w:w="1300" w:type="dxa"/>
            <w:tcBorders>
              <w:top w:val="nil"/>
              <w:left w:val="nil"/>
              <w:bottom w:val="single" w:sz="4" w:space="0" w:color="auto"/>
              <w:right w:val="nil"/>
            </w:tcBorders>
            <w:shd w:val="clear" w:color="auto" w:fill="auto"/>
            <w:vAlign w:val="center"/>
            <w:hideMark/>
          </w:tcPr>
          <w:p w14:paraId="78FE1BE6" w14:textId="77777777" w:rsidR="006922A0" w:rsidRPr="001E4901" w:rsidRDefault="006922A0" w:rsidP="00D20AC1">
            <w:pPr>
              <w:jc w:val="center"/>
              <w:rPr>
                <w:color w:val="000000"/>
              </w:rPr>
            </w:pPr>
            <w:r w:rsidRPr="001E4901">
              <w:rPr>
                <w:color w:val="000000"/>
              </w:rPr>
              <w:t>6.8364</w:t>
            </w:r>
          </w:p>
        </w:tc>
        <w:tc>
          <w:tcPr>
            <w:tcW w:w="1300" w:type="dxa"/>
            <w:tcBorders>
              <w:top w:val="nil"/>
              <w:left w:val="nil"/>
              <w:bottom w:val="single" w:sz="4" w:space="0" w:color="auto"/>
              <w:right w:val="nil"/>
            </w:tcBorders>
            <w:shd w:val="clear" w:color="auto" w:fill="auto"/>
            <w:vAlign w:val="center"/>
            <w:hideMark/>
          </w:tcPr>
          <w:p w14:paraId="47812E55" w14:textId="77777777" w:rsidR="006922A0" w:rsidRPr="001E4901" w:rsidRDefault="006922A0" w:rsidP="00D20AC1">
            <w:pPr>
              <w:jc w:val="center"/>
              <w:rPr>
                <w:color w:val="000000"/>
              </w:rPr>
            </w:pPr>
            <w:r w:rsidRPr="001E4901">
              <w:rPr>
                <w:color w:val="000000"/>
              </w:rPr>
              <w:t>0.03277</w:t>
            </w:r>
            <w:r w:rsidRPr="001E4901">
              <w:rPr>
                <w:b/>
                <w:bCs/>
                <w:color w:val="000000"/>
              </w:rPr>
              <w:t>*</w:t>
            </w:r>
          </w:p>
        </w:tc>
      </w:tr>
    </w:tbl>
    <w:p w14:paraId="12A85CB6" w14:textId="77777777" w:rsidR="006922A0" w:rsidRPr="001E4901" w:rsidRDefault="006922A0" w:rsidP="006922A0">
      <w:pPr>
        <w:rPr>
          <w:color w:val="000000" w:themeColor="text1"/>
        </w:rPr>
      </w:pPr>
      <w:r w:rsidRPr="001E4901">
        <w:rPr>
          <w:color w:val="000000" w:themeColor="text1"/>
        </w:rPr>
        <w:br w:type="page"/>
      </w:r>
    </w:p>
    <w:p w14:paraId="3D606392" w14:textId="77777777" w:rsidR="00B2107B" w:rsidRPr="00B73E8F" w:rsidRDefault="00B2107B" w:rsidP="00B2107B">
      <w:pPr>
        <w:rPr>
          <w:color w:val="000000" w:themeColor="text1"/>
        </w:rPr>
      </w:pPr>
      <w:r w:rsidRPr="00B73E8F">
        <w:rPr>
          <w:noProof/>
          <w:color w:val="000000" w:themeColor="text1"/>
        </w:rPr>
        <w:lastRenderedPageBreak/>
        <w:drawing>
          <wp:inline distT="0" distB="0" distL="0" distR="0" wp14:anchorId="552CD669" wp14:editId="342A5389">
            <wp:extent cx="5486400" cy="5457825"/>
            <wp:effectExtent l="0" t="0" r="0" b="3175"/>
            <wp:docPr id="13" name="Picture 1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486400" cy="5457825"/>
                    </a:xfrm>
                    <a:prstGeom prst="rect">
                      <a:avLst/>
                    </a:prstGeom>
                  </pic:spPr>
                </pic:pic>
              </a:graphicData>
            </a:graphic>
          </wp:inline>
        </w:drawing>
      </w:r>
    </w:p>
    <w:p w14:paraId="35D8B1E1" w14:textId="77777777" w:rsidR="00B2107B" w:rsidRPr="00B73E8F" w:rsidRDefault="00B2107B" w:rsidP="00B2107B">
      <w:pPr>
        <w:pStyle w:val="Caption"/>
      </w:pPr>
      <w:bookmarkStart w:id="27" w:name="_Toc102046875"/>
      <w:bookmarkStart w:id="28" w:name="_Toc82433609"/>
      <w:r w:rsidRPr="00B73E8F">
        <w:t xml:space="preserve">Figure </w:t>
      </w:r>
      <w:r>
        <w:t>5</w:t>
      </w:r>
      <w:r w:rsidRPr="00B73E8F">
        <w:t xml:space="preserve">. </w:t>
      </w:r>
      <w:r w:rsidRPr="001E4901">
        <w:t xml:space="preserve">Alpha diversity profile plot showing intercepts from each fitted linear model a function of </w:t>
      </w:r>
      <w:r w:rsidRPr="001E4901">
        <w:rPr>
          <w:i/>
        </w:rPr>
        <w:t>q</w:t>
      </w:r>
      <w:r w:rsidRPr="001E4901">
        <w:t>.</w:t>
      </w:r>
      <w:bookmarkEnd w:id="27"/>
      <w:r w:rsidRPr="001E4901">
        <w:t xml:space="preserve"> </w:t>
      </w:r>
      <w:bookmarkEnd w:id="28"/>
      <w:r w:rsidRPr="00B73E8F">
        <w:br w:type="page"/>
      </w:r>
    </w:p>
    <w:p w14:paraId="18F55D0D" w14:textId="41C4FBCF" w:rsidR="002A797A" w:rsidRPr="001E4901" w:rsidRDefault="002A797A" w:rsidP="00872C9C">
      <w:pPr>
        <w:spacing w:line="360" w:lineRule="auto"/>
      </w:pPr>
      <w:r w:rsidRPr="001E4901">
        <w:lastRenderedPageBreak/>
        <w:t xml:space="preserve">plants showed that each rhizosphere depth is significantly different in terms of turnover at </w:t>
      </w:r>
      <w:r w:rsidRPr="001E4901">
        <w:rPr>
          <w:i/>
          <w:iCs/>
        </w:rPr>
        <w:t>q</w:t>
      </w:r>
      <w:r w:rsidRPr="001E4901">
        <w:t>=0 (</w:t>
      </w:r>
      <w:r w:rsidRPr="001E4901">
        <w:rPr>
          <w:i/>
          <w:iCs/>
        </w:rPr>
        <w:t>F</w:t>
      </w:r>
      <w:r w:rsidRPr="001E4901">
        <w:rPr>
          <w:vertAlign w:val="subscript"/>
        </w:rPr>
        <w:t>2,55</w:t>
      </w:r>
      <w:r w:rsidRPr="001E4901">
        <w:t>=3.25, p&lt;0.05). Lastly, these analyses illuminated that Depth A is the richest in ASVs while Depth C is consistently the least rich.</w:t>
      </w:r>
    </w:p>
    <w:p w14:paraId="51BFACAD" w14:textId="2EBDF52E" w:rsidR="00B2107B" w:rsidRDefault="002A797A" w:rsidP="00B2107B">
      <w:pPr>
        <w:spacing w:line="360" w:lineRule="auto"/>
        <w:rPr>
          <w:color w:val="000000" w:themeColor="text1"/>
        </w:rPr>
      </w:pPr>
      <w:r w:rsidRPr="001E4901">
        <w:rPr>
          <w:color w:val="000000" w:themeColor="text1"/>
        </w:rPr>
        <w:tab/>
        <w:t xml:space="preserve">An indicator species analysis was performed across our data set to characterize which taxa are more strongly associated with the communities at each spatial depth within the rhizosphere of a plant root system described by </w:t>
      </w:r>
      <w:r w:rsidR="005355D9">
        <w:rPr>
          <w:b/>
          <w:bCs/>
          <w:color w:val="000000" w:themeColor="text1"/>
        </w:rPr>
        <w:t>Figure</w:t>
      </w:r>
      <w:r w:rsidRPr="00821A77">
        <w:rPr>
          <w:b/>
          <w:bCs/>
          <w:color w:val="000000" w:themeColor="text1"/>
        </w:rPr>
        <w:t xml:space="preserve"> </w:t>
      </w:r>
      <w:r w:rsidR="0005015C">
        <w:rPr>
          <w:b/>
          <w:bCs/>
          <w:color w:val="000000" w:themeColor="text1"/>
        </w:rPr>
        <w:t>2</w:t>
      </w:r>
      <w:r w:rsidRPr="001E4901">
        <w:rPr>
          <w:color w:val="000000" w:themeColor="text1"/>
        </w:rPr>
        <w:t xml:space="preserve">. Depth A harbors the most diverse and numerous indicator taxa with 311 indicator ASVs. </w:t>
      </w:r>
      <w:r w:rsidRPr="009640FD">
        <w:rPr>
          <w:color w:val="000000" w:themeColor="text1"/>
        </w:rPr>
        <w:t xml:space="preserve">Commonly detected phyla that were represented as indicators for Depth A are </w:t>
      </w:r>
      <w:proofErr w:type="spellStart"/>
      <w:r w:rsidRPr="009640FD">
        <w:rPr>
          <w:color w:val="000000" w:themeColor="text1"/>
        </w:rPr>
        <w:t>Acidobacteria</w:t>
      </w:r>
      <w:proofErr w:type="spellEnd"/>
      <w:r w:rsidRPr="009640FD">
        <w:rPr>
          <w:color w:val="000000" w:themeColor="text1"/>
        </w:rPr>
        <w:t xml:space="preserve">, Actinobacteria, Bacteroides, </w:t>
      </w:r>
      <w:proofErr w:type="spellStart"/>
      <w:r w:rsidRPr="009640FD">
        <w:rPr>
          <w:color w:val="000000" w:themeColor="text1"/>
        </w:rPr>
        <w:t>Chloroflexi</w:t>
      </w:r>
      <w:proofErr w:type="spellEnd"/>
      <w:r w:rsidRPr="009640FD">
        <w:rPr>
          <w:color w:val="000000" w:themeColor="text1"/>
        </w:rPr>
        <w:t xml:space="preserve">, </w:t>
      </w:r>
      <w:proofErr w:type="spellStart"/>
      <w:r w:rsidRPr="009640FD">
        <w:rPr>
          <w:color w:val="000000" w:themeColor="text1"/>
        </w:rPr>
        <w:t>Gemmatimonadetes</w:t>
      </w:r>
      <w:proofErr w:type="spellEnd"/>
      <w:r w:rsidRPr="009640FD">
        <w:rPr>
          <w:color w:val="000000" w:themeColor="text1"/>
        </w:rPr>
        <w:t xml:space="preserve">, Planctomycetes, Proteobacteria, and </w:t>
      </w:r>
      <w:proofErr w:type="spellStart"/>
      <w:r w:rsidRPr="009640FD">
        <w:rPr>
          <w:color w:val="000000" w:themeColor="text1"/>
        </w:rPr>
        <w:t>Verrucomicrobia</w:t>
      </w:r>
      <w:proofErr w:type="spellEnd"/>
      <w:r w:rsidRPr="009640FD">
        <w:rPr>
          <w:color w:val="000000" w:themeColor="text1"/>
        </w:rPr>
        <w:t>.</w:t>
      </w:r>
      <w:r w:rsidRPr="001E4901">
        <w:rPr>
          <w:color w:val="000000" w:themeColor="text1"/>
        </w:rPr>
        <w:t xml:space="preserve"> As seen in </w:t>
      </w:r>
      <w:r w:rsidRPr="00821A77">
        <w:rPr>
          <w:b/>
          <w:bCs/>
          <w:color w:val="000000" w:themeColor="text1"/>
        </w:rPr>
        <w:t xml:space="preserve">Figure </w:t>
      </w:r>
      <w:r w:rsidR="0005015C">
        <w:rPr>
          <w:b/>
          <w:bCs/>
          <w:color w:val="000000" w:themeColor="text1"/>
        </w:rPr>
        <w:t>6</w:t>
      </w:r>
      <w:r w:rsidRPr="001E4901">
        <w:rPr>
          <w:color w:val="000000" w:themeColor="text1"/>
        </w:rPr>
        <w:t xml:space="preserve">, the most represented known families in this indicator analysis for Depth A were </w:t>
      </w:r>
      <w:proofErr w:type="spellStart"/>
      <w:r w:rsidRPr="009640FD">
        <w:rPr>
          <w:color w:val="000000" w:themeColor="text1"/>
        </w:rPr>
        <w:t>Gemmataceae</w:t>
      </w:r>
      <w:proofErr w:type="spellEnd"/>
      <w:r w:rsidRPr="009640FD">
        <w:rPr>
          <w:color w:val="000000" w:themeColor="text1"/>
        </w:rPr>
        <w:t xml:space="preserve"> and WD2101_soil_group </w:t>
      </w:r>
      <w:r w:rsidRPr="001E4901">
        <w:rPr>
          <w:color w:val="000000" w:themeColor="text1"/>
        </w:rPr>
        <w:t xml:space="preserve">both with an abundance of 17 in this analysis. Depth A has numerous rare families that are distinct </w:t>
      </w:r>
      <w:r w:rsidR="00E46020" w:rsidRPr="001E4901">
        <w:rPr>
          <w:color w:val="000000" w:themeColor="text1"/>
        </w:rPr>
        <w:t xml:space="preserve">indicators, </w:t>
      </w:r>
      <w:r w:rsidR="00E46020" w:rsidRPr="009640FD">
        <w:rPr>
          <w:color w:val="000000" w:themeColor="text1"/>
        </w:rPr>
        <w:t xml:space="preserve">with </w:t>
      </w:r>
      <w:proofErr w:type="spellStart"/>
      <w:r w:rsidR="00E46020" w:rsidRPr="009640FD">
        <w:rPr>
          <w:color w:val="000000" w:themeColor="text1"/>
        </w:rPr>
        <w:t>Phycisphaeraceae</w:t>
      </w:r>
      <w:proofErr w:type="spellEnd"/>
      <w:r w:rsidR="00E46020" w:rsidRPr="009640FD">
        <w:rPr>
          <w:color w:val="000000" w:themeColor="text1"/>
        </w:rPr>
        <w:t xml:space="preserve"> and </w:t>
      </w:r>
      <w:proofErr w:type="spellStart"/>
      <w:r w:rsidR="00E46020" w:rsidRPr="009640FD">
        <w:rPr>
          <w:color w:val="000000" w:themeColor="text1"/>
        </w:rPr>
        <w:t>Xiphinematobacteraceae</w:t>
      </w:r>
      <w:proofErr w:type="spellEnd"/>
      <w:r w:rsidR="00E46020" w:rsidRPr="001E4901">
        <w:rPr>
          <w:color w:val="000000" w:themeColor="text1"/>
        </w:rPr>
        <w:t xml:space="preserve"> identified as significant indicators (p&lt;0.001). Species identified as indicators for this rhizosphere depth are </w:t>
      </w:r>
      <w:proofErr w:type="spellStart"/>
      <w:r w:rsidRPr="001E4901">
        <w:rPr>
          <w:i/>
          <w:iCs/>
          <w:color w:val="000000" w:themeColor="text1"/>
        </w:rPr>
        <w:t>Agromyces</w:t>
      </w:r>
      <w:proofErr w:type="spellEnd"/>
      <w:r w:rsidRPr="001E4901">
        <w:rPr>
          <w:i/>
          <w:iCs/>
          <w:color w:val="000000" w:themeColor="text1"/>
        </w:rPr>
        <w:t xml:space="preserve"> </w:t>
      </w:r>
      <w:proofErr w:type="spellStart"/>
      <w:r w:rsidRPr="001E4901">
        <w:rPr>
          <w:i/>
          <w:iCs/>
          <w:color w:val="000000" w:themeColor="text1"/>
        </w:rPr>
        <w:t>ramosus</w:t>
      </w:r>
      <w:proofErr w:type="spellEnd"/>
      <w:r w:rsidRPr="001E4901">
        <w:rPr>
          <w:i/>
          <w:iCs/>
          <w:color w:val="000000" w:themeColor="text1"/>
        </w:rPr>
        <w:t xml:space="preserve"> </w:t>
      </w:r>
      <w:r w:rsidRPr="005049D3">
        <w:rPr>
          <w:color w:val="000000" w:themeColor="text1"/>
        </w:rPr>
        <w:t>(Actinobacteria)</w:t>
      </w:r>
      <w:r w:rsidRPr="001E4901">
        <w:rPr>
          <w:color w:val="000000" w:themeColor="text1"/>
        </w:rPr>
        <w:t xml:space="preserve">, </w:t>
      </w:r>
      <w:proofErr w:type="spellStart"/>
      <w:r w:rsidRPr="001E4901">
        <w:rPr>
          <w:i/>
          <w:iCs/>
          <w:color w:val="000000" w:themeColor="text1"/>
        </w:rPr>
        <w:t>Lechevalieria</w:t>
      </w:r>
      <w:proofErr w:type="spellEnd"/>
      <w:r w:rsidRPr="001E4901">
        <w:rPr>
          <w:i/>
          <w:iCs/>
          <w:color w:val="000000" w:themeColor="text1"/>
        </w:rPr>
        <w:t xml:space="preserve"> </w:t>
      </w:r>
      <w:proofErr w:type="spellStart"/>
      <w:r w:rsidRPr="001E4901">
        <w:rPr>
          <w:i/>
          <w:iCs/>
          <w:color w:val="000000" w:themeColor="text1"/>
        </w:rPr>
        <w:t>aerocolonigenes</w:t>
      </w:r>
      <w:proofErr w:type="spellEnd"/>
      <w:r w:rsidRPr="001E4901">
        <w:rPr>
          <w:i/>
          <w:iCs/>
          <w:color w:val="000000" w:themeColor="text1"/>
        </w:rPr>
        <w:t xml:space="preserve"> </w:t>
      </w:r>
      <w:r w:rsidRPr="005049D3">
        <w:rPr>
          <w:color w:val="000000" w:themeColor="text1"/>
        </w:rPr>
        <w:t>(Actinobacteria)</w:t>
      </w:r>
      <w:r w:rsidRPr="001E4901">
        <w:rPr>
          <w:color w:val="000000" w:themeColor="text1"/>
        </w:rPr>
        <w:t xml:space="preserve">, and </w:t>
      </w:r>
      <w:proofErr w:type="spellStart"/>
      <w:r w:rsidRPr="001E4901">
        <w:rPr>
          <w:i/>
          <w:iCs/>
          <w:color w:val="000000" w:themeColor="text1"/>
        </w:rPr>
        <w:t>Arenimonas</w:t>
      </w:r>
      <w:proofErr w:type="spellEnd"/>
      <w:r w:rsidRPr="001E4901">
        <w:rPr>
          <w:i/>
          <w:iCs/>
          <w:color w:val="000000" w:themeColor="text1"/>
        </w:rPr>
        <w:t xml:space="preserve"> </w:t>
      </w:r>
      <w:proofErr w:type="spellStart"/>
      <w:r w:rsidRPr="001E4901">
        <w:rPr>
          <w:i/>
          <w:iCs/>
          <w:color w:val="000000" w:themeColor="text1"/>
        </w:rPr>
        <w:t>daejeonensis</w:t>
      </w:r>
      <w:proofErr w:type="spellEnd"/>
      <w:r w:rsidRPr="001E4901">
        <w:rPr>
          <w:i/>
          <w:iCs/>
          <w:color w:val="000000" w:themeColor="text1"/>
        </w:rPr>
        <w:t xml:space="preserve"> </w:t>
      </w:r>
      <w:r w:rsidRPr="005049D3">
        <w:rPr>
          <w:color w:val="000000" w:themeColor="text1"/>
        </w:rPr>
        <w:t>(Proteobacteria).</w:t>
      </w:r>
      <w:r w:rsidRPr="001E4901">
        <w:rPr>
          <w:color w:val="000000" w:themeColor="text1"/>
        </w:rPr>
        <w:t xml:space="preserve"> At the ASV level, 61 unique taxa were associated with Depth B. Associated with this rhizosphere depth there are 10 known phyla, with </w:t>
      </w:r>
      <w:r w:rsidRPr="005049D3">
        <w:rPr>
          <w:iCs/>
          <w:color w:val="000000" w:themeColor="text1"/>
        </w:rPr>
        <w:t>Bacteroidetes, Planctomycetes, and Proteobacteria</w:t>
      </w:r>
      <w:r w:rsidRPr="001E4901">
        <w:rPr>
          <w:color w:val="000000" w:themeColor="text1"/>
        </w:rPr>
        <w:t xml:space="preserve"> as the most abundant. The most common and known family as an indicator for Depth B was </w:t>
      </w:r>
      <w:proofErr w:type="spellStart"/>
      <w:r w:rsidRPr="005049D3">
        <w:rPr>
          <w:color w:val="000000" w:themeColor="text1"/>
        </w:rPr>
        <w:t>Hyphomicrobiaceae</w:t>
      </w:r>
      <w:proofErr w:type="spellEnd"/>
      <w:r w:rsidRPr="005049D3">
        <w:rPr>
          <w:color w:val="000000" w:themeColor="text1"/>
        </w:rPr>
        <w:t xml:space="preserve"> </w:t>
      </w:r>
      <w:r w:rsidRPr="001E4901">
        <w:rPr>
          <w:color w:val="000000" w:themeColor="text1"/>
        </w:rPr>
        <w:t>(</w:t>
      </w:r>
      <w:r w:rsidR="005355D9">
        <w:rPr>
          <w:b/>
          <w:bCs/>
          <w:color w:val="000000" w:themeColor="text1"/>
        </w:rPr>
        <w:t>Figure</w:t>
      </w:r>
      <w:r w:rsidRPr="00821A77">
        <w:rPr>
          <w:b/>
          <w:bCs/>
          <w:color w:val="000000" w:themeColor="text1"/>
        </w:rPr>
        <w:t xml:space="preserve"> </w:t>
      </w:r>
      <w:r w:rsidR="000559D7">
        <w:rPr>
          <w:b/>
          <w:bCs/>
          <w:color w:val="000000" w:themeColor="text1"/>
        </w:rPr>
        <w:t>6</w:t>
      </w:r>
      <w:r w:rsidRPr="001E4901">
        <w:rPr>
          <w:color w:val="000000" w:themeColor="text1"/>
        </w:rPr>
        <w:t xml:space="preserve">). Rare phyla uncovered as indicators for Depth B are </w:t>
      </w:r>
      <w:r w:rsidRPr="005049D3">
        <w:rPr>
          <w:iCs/>
          <w:color w:val="000000" w:themeColor="text1"/>
        </w:rPr>
        <w:t xml:space="preserve">Cyanobacteria, </w:t>
      </w:r>
      <w:proofErr w:type="spellStart"/>
      <w:r w:rsidRPr="005049D3">
        <w:rPr>
          <w:iCs/>
          <w:color w:val="000000" w:themeColor="text1"/>
        </w:rPr>
        <w:t>Latescibacteria</w:t>
      </w:r>
      <w:proofErr w:type="spellEnd"/>
      <w:r w:rsidRPr="005049D3">
        <w:rPr>
          <w:iCs/>
          <w:color w:val="000000" w:themeColor="text1"/>
        </w:rPr>
        <w:t xml:space="preserve">, and </w:t>
      </w:r>
      <w:proofErr w:type="spellStart"/>
      <w:r w:rsidRPr="005049D3">
        <w:rPr>
          <w:iCs/>
          <w:color w:val="000000" w:themeColor="text1"/>
        </w:rPr>
        <w:t>Patescilbacteria</w:t>
      </w:r>
      <w:proofErr w:type="spellEnd"/>
      <w:r w:rsidRPr="005049D3">
        <w:rPr>
          <w:iCs/>
          <w:color w:val="000000" w:themeColor="text1"/>
        </w:rPr>
        <w:t>.</w:t>
      </w:r>
      <w:r w:rsidRPr="001E4901">
        <w:rPr>
          <w:color w:val="000000" w:themeColor="text1"/>
        </w:rPr>
        <w:t xml:space="preserve"> The strongest correlated indicator ASV for Depth B came from the family </w:t>
      </w:r>
      <w:proofErr w:type="spellStart"/>
      <w:r w:rsidRPr="005049D3">
        <w:rPr>
          <w:color w:val="000000" w:themeColor="text1"/>
        </w:rPr>
        <w:t>Desulfarculaceae</w:t>
      </w:r>
      <w:proofErr w:type="spellEnd"/>
      <w:r w:rsidRPr="005049D3">
        <w:rPr>
          <w:color w:val="000000" w:themeColor="text1"/>
        </w:rPr>
        <w:t>, a Deltaproteobacteria</w:t>
      </w:r>
      <w:r w:rsidRPr="001E4901">
        <w:rPr>
          <w:i/>
          <w:iCs/>
          <w:color w:val="000000" w:themeColor="text1"/>
        </w:rPr>
        <w:t xml:space="preserve"> </w:t>
      </w:r>
      <w:r w:rsidRPr="001E4901">
        <w:rPr>
          <w:color w:val="000000" w:themeColor="text1"/>
        </w:rPr>
        <w:t>(</w:t>
      </w:r>
      <w:proofErr w:type="spellStart"/>
      <w:r w:rsidRPr="001E4901">
        <w:rPr>
          <w:color w:val="000000" w:themeColor="text1"/>
        </w:rPr>
        <w:t>r.g.</w:t>
      </w:r>
      <w:proofErr w:type="spellEnd"/>
      <w:r w:rsidRPr="001E4901">
        <w:rPr>
          <w:color w:val="000000" w:themeColor="text1"/>
        </w:rPr>
        <w:t xml:space="preserve"> </w:t>
      </w:r>
      <w:proofErr w:type="spellStart"/>
      <w:r w:rsidRPr="001E4901">
        <w:rPr>
          <w:color w:val="000000" w:themeColor="text1"/>
        </w:rPr>
        <w:t>corr</w:t>
      </w:r>
      <w:proofErr w:type="spellEnd"/>
      <w:r w:rsidRPr="001E4901">
        <w:rPr>
          <w:color w:val="000000" w:themeColor="text1"/>
        </w:rPr>
        <w:t xml:space="preserve">=0.242, p&lt;0.01). Depth C had 14 phyla as indicators representing 152 ASVs. Common phyla identified as indictors were </w:t>
      </w:r>
      <w:r w:rsidRPr="005049D3">
        <w:rPr>
          <w:color w:val="000000" w:themeColor="text1"/>
        </w:rPr>
        <w:t>Actinobacteria and Proteobacteria.</w:t>
      </w:r>
      <w:r w:rsidRPr="001E4901">
        <w:rPr>
          <w:color w:val="000000" w:themeColor="text1"/>
        </w:rPr>
        <w:t xml:space="preserve"> The family </w:t>
      </w:r>
      <w:proofErr w:type="spellStart"/>
      <w:r w:rsidRPr="005049D3">
        <w:rPr>
          <w:iCs/>
          <w:color w:val="000000" w:themeColor="text1"/>
        </w:rPr>
        <w:t>Xanthobacteraceae</w:t>
      </w:r>
      <w:proofErr w:type="spellEnd"/>
      <w:r w:rsidRPr="005049D3">
        <w:rPr>
          <w:iCs/>
          <w:color w:val="000000" w:themeColor="text1"/>
        </w:rPr>
        <w:t xml:space="preserve"> (</w:t>
      </w:r>
      <w:proofErr w:type="spellStart"/>
      <w:r w:rsidRPr="005049D3">
        <w:rPr>
          <w:iCs/>
          <w:color w:val="000000" w:themeColor="text1"/>
        </w:rPr>
        <w:t>Alphaproteobacteria</w:t>
      </w:r>
      <w:proofErr w:type="spellEnd"/>
      <w:r w:rsidRPr="005049D3">
        <w:rPr>
          <w:iCs/>
          <w:color w:val="000000" w:themeColor="text1"/>
        </w:rPr>
        <w:t>)</w:t>
      </w:r>
      <w:r w:rsidRPr="001E4901">
        <w:rPr>
          <w:color w:val="000000" w:themeColor="text1"/>
        </w:rPr>
        <w:t xml:space="preserve"> was the most abundant family as an indicator representing 4.6% of all indicator ASVs for Depth C. Additionally Depth C has many significant indicators at the Genus level. No indicator ASVs were identifiable to the species level for Depth B or C. </w:t>
      </w:r>
      <w:r w:rsidR="00E8531A" w:rsidRPr="005049D3">
        <w:rPr>
          <w:b/>
          <w:bCs/>
          <w:color w:val="000000" w:themeColor="text1"/>
        </w:rPr>
        <w:t>Resource3.xslx</w:t>
      </w:r>
      <w:r w:rsidR="00E8531A" w:rsidRPr="00E8531A">
        <w:rPr>
          <w:color w:val="000000" w:themeColor="text1"/>
        </w:rPr>
        <w:t xml:space="preserve"> </w:t>
      </w:r>
      <w:r w:rsidRPr="00E8531A">
        <w:rPr>
          <w:color w:val="000000" w:themeColor="text1"/>
        </w:rPr>
        <w:t xml:space="preserve">further depicts </w:t>
      </w:r>
      <w:proofErr w:type="spellStart"/>
      <w:r w:rsidRPr="00E8531A">
        <w:rPr>
          <w:color w:val="000000" w:themeColor="text1"/>
        </w:rPr>
        <w:t>r.g.</w:t>
      </w:r>
      <w:proofErr w:type="spellEnd"/>
      <w:r w:rsidRPr="00E8531A">
        <w:rPr>
          <w:color w:val="000000" w:themeColor="text1"/>
        </w:rPr>
        <w:t xml:space="preserve"> correlations and relative significance for all indicator taxa that came</w:t>
      </w:r>
      <w:r w:rsidRPr="001E4901">
        <w:rPr>
          <w:color w:val="000000" w:themeColor="text1"/>
        </w:rPr>
        <w:t xml:space="preserve"> from this analysis. This analysis shows that strong indicators for Depth A come from the phylum </w:t>
      </w:r>
      <w:r w:rsidRPr="005049D3">
        <w:rPr>
          <w:color w:val="000000" w:themeColor="text1"/>
        </w:rPr>
        <w:t>Planctomycetes</w:t>
      </w:r>
      <w:r w:rsidRPr="001E4901">
        <w:rPr>
          <w:color w:val="000000" w:themeColor="text1"/>
        </w:rPr>
        <w:t xml:space="preserve">, while Depth B and Depth C are best predicted by the presence of </w:t>
      </w:r>
      <w:r w:rsidRPr="005049D3">
        <w:rPr>
          <w:color w:val="000000" w:themeColor="text1"/>
        </w:rPr>
        <w:t xml:space="preserve">Deltaproteobacteria and </w:t>
      </w:r>
      <w:proofErr w:type="spellStart"/>
      <w:r w:rsidRPr="005049D3">
        <w:rPr>
          <w:color w:val="000000" w:themeColor="text1"/>
        </w:rPr>
        <w:t>Alphaproteobacteria</w:t>
      </w:r>
      <w:proofErr w:type="spellEnd"/>
      <w:r w:rsidRPr="001E4901">
        <w:rPr>
          <w:color w:val="000000" w:themeColor="text1"/>
        </w:rPr>
        <w:t xml:space="preserve"> respectively.</w:t>
      </w:r>
    </w:p>
    <w:p w14:paraId="021BB3C3" w14:textId="77777777" w:rsidR="00B2107B" w:rsidRPr="00B73E8F" w:rsidRDefault="00B2107B" w:rsidP="00B2107B">
      <w:pPr>
        <w:rPr>
          <w:color w:val="000000" w:themeColor="text1"/>
        </w:rPr>
      </w:pPr>
      <w:r w:rsidRPr="00B73E8F">
        <w:rPr>
          <w:noProof/>
          <w:color w:val="000000" w:themeColor="text1"/>
        </w:rPr>
        <w:lastRenderedPageBreak/>
        <w:drawing>
          <wp:inline distT="0" distB="0" distL="0" distR="0" wp14:anchorId="5C110747" wp14:editId="145113E0">
            <wp:extent cx="5486400" cy="4570095"/>
            <wp:effectExtent l="0" t="0" r="0" b="1905"/>
            <wp:docPr id="14" name="Picture 1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a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86400" cy="4570095"/>
                    </a:xfrm>
                    <a:prstGeom prst="rect">
                      <a:avLst/>
                    </a:prstGeom>
                  </pic:spPr>
                </pic:pic>
              </a:graphicData>
            </a:graphic>
          </wp:inline>
        </w:drawing>
      </w:r>
    </w:p>
    <w:p w14:paraId="04FCA757" w14:textId="05742D21" w:rsidR="002A797A" w:rsidRPr="00B2107B" w:rsidRDefault="00B2107B" w:rsidP="00B2107B">
      <w:pPr>
        <w:pStyle w:val="Caption"/>
      </w:pPr>
      <w:bookmarkStart w:id="29" w:name="_Toc82433610"/>
      <w:bookmarkStart w:id="30" w:name="_Toc102046876"/>
      <w:r w:rsidRPr="00B73E8F">
        <w:t xml:space="preserve">Figure </w:t>
      </w:r>
      <w:r>
        <w:t>6</w:t>
      </w:r>
      <w:r w:rsidRPr="00B73E8F">
        <w:t xml:space="preserve">. </w:t>
      </w:r>
      <w:r w:rsidRPr="001E4901">
        <w:t>Indicator species analysis visualized at the family level for each rhizosphere depth.</w:t>
      </w:r>
      <w:r w:rsidRPr="00B73E8F">
        <w:t xml:space="preserve"> Each depth is illustrated here as sample A (0–1cm), sample B (1–2.5 cm), and sample C (2.5–4 cm).</w:t>
      </w:r>
      <w:bookmarkEnd w:id="29"/>
      <w:bookmarkEnd w:id="30"/>
      <w:r>
        <w:rPr>
          <w:b/>
        </w:rPr>
        <w:t xml:space="preserve"> </w:t>
      </w:r>
      <w:r w:rsidRPr="001E4901">
        <w:br w:type="page"/>
      </w:r>
    </w:p>
    <w:p w14:paraId="3F005630" w14:textId="29A97B7A" w:rsidR="002A797A" w:rsidRPr="001E4901" w:rsidRDefault="002A797A" w:rsidP="002A797A">
      <w:pPr>
        <w:pStyle w:val="Heading3"/>
      </w:pPr>
      <w:bookmarkStart w:id="31" w:name="_Toc102048002"/>
      <w:r w:rsidRPr="001E4901">
        <w:lastRenderedPageBreak/>
        <w:t xml:space="preserve">Rarefied richness is greater when rhizosphere depths are pooled </w:t>
      </w:r>
      <w:r w:rsidRPr="001E4901">
        <w:rPr>
          <w:iCs/>
        </w:rPr>
        <w:t>in silico</w:t>
      </w:r>
      <w:bookmarkEnd w:id="31"/>
      <w:r w:rsidRPr="001E4901">
        <w:t xml:space="preserve"> </w:t>
      </w:r>
    </w:p>
    <w:p w14:paraId="741C583C" w14:textId="364762B5" w:rsidR="002A797A" w:rsidRPr="001E4901" w:rsidRDefault="002A797A" w:rsidP="00B73E8F">
      <w:pPr>
        <w:spacing w:line="360" w:lineRule="auto"/>
        <w:rPr>
          <w:color w:val="000000" w:themeColor="text1"/>
        </w:rPr>
      </w:pPr>
      <w:r w:rsidRPr="001E4901">
        <w:rPr>
          <w:b/>
          <w:color w:val="000000" w:themeColor="text1"/>
        </w:rPr>
        <w:tab/>
      </w:r>
      <w:r w:rsidRPr="001E4901">
        <w:rPr>
          <w:color w:val="000000" w:themeColor="text1"/>
        </w:rPr>
        <w:t xml:space="preserve">Pooling samples across rhizosphere depths per individual plant after sequencing, captured a larger, more comprehensive image of bacterial community composition and diversity in comparison to pooling physical samples prior to DNA extraction. To illuminate if there were differences in the rarefied richness and relative abundance of reads between the two pooling methods, paired </w:t>
      </w:r>
      <w:r w:rsidRPr="001E4901">
        <w:rPr>
          <w:i/>
          <w:iCs/>
          <w:color w:val="000000" w:themeColor="text1"/>
        </w:rPr>
        <w:t>t</w:t>
      </w:r>
      <w:r w:rsidRPr="001E4901">
        <w:rPr>
          <w:color w:val="000000" w:themeColor="text1"/>
        </w:rPr>
        <w:t>-tests were implemented on the standardized number of raw reads, rarefied and standardized number of reads, and alpha diversity (</w:t>
      </w:r>
      <w:r w:rsidR="005355D9">
        <w:rPr>
          <w:b/>
          <w:bCs/>
          <w:color w:val="000000" w:themeColor="text1"/>
        </w:rPr>
        <w:t>Figure</w:t>
      </w:r>
      <w:r w:rsidRPr="00821A77">
        <w:rPr>
          <w:b/>
          <w:bCs/>
          <w:color w:val="000000" w:themeColor="text1"/>
        </w:rPr>
        <w:t xml:space="preserve"> </w:t>
      </w:r>
      <w:r w:rsidR="000559D7">
        <w:rPr>
          <w:b/>
          <w:bCs/>
          <w:color w:val="000000" w:themeColor="text1"/>
        </w:rPr>
        <w:t>7</w:t>
      </w:r>
      <w:r w:rsidRPr="001E4901">
        <w:rPr>
          <w:color w:val="000000" w:themeColor="text1"/>
        </w:rPr>
        <w:t xml:space="preserve">). On average, the standardized raw number of reads for each rhizosphere </w:t>
      </w:r>
      <w:r w:rsidRPr="001E4901">
        <w:rPr>
          <w:i/>
          <w:color w:val="000000" w:themeColor="text1"/>
        </w:rPr>
        <w:t>in vitro</w:t>
      </w:r>
      <w:r w:rsidRPr="001E4901">
        <w:rPr>
          <w:color w:val="000000" w:themeColor="text1"/>
        </w:rPr>
        <w:t xml:space="preserve"> on average were 17,353.8 reads greater than samples pooled </w:t>
      </w:r>
      <w:r w:rsidRPr="001E4901">
        <w:rPr>
          <w:i/>
          <w:color w:val="000000" w:themeColor="text1"/>
        </w:rPr>
        <w:t>in silico</w:t>
      </w:r>
      <w:r w:rsidRPr="001E4901" w:rsidDel="00C90CEE">
        <w:rPr>
          <w:color w:val="000000" w:themeColor="text1"/>
        </w:rPr>
        <w:t xml:space="preserve"> </w:t>
      </w:r>
      <w:r w:rsidRPr="001E4901">
        <w:rPr>
          <w:color w:val="000000" w:themeColor="text1"/>
        </w:rPr>
        <w:t>(</w:t>
      </w:r>
      <w:r w:rsidRPr="001E4901">
        <w:rPr>
          <w:i/>
          <w:iCs/>
          <w:color w:val="000000" w:themeColor="text1"/>
        </w:rPr>
        <w:t>t</w:t>
      </w:r>
      <w:r w:rsidRPr="001E4901">
        <w:rPr>
          <w:color w:val="000000" w:themeColor="text1"/>
        </w:rPr>
        <w:t xml:space="preserve">=3.46, </w:t>
      </w:r>
      <w:proofErr w:type="spellStart"/>
      <w:r w:rsidR="009B76B7" w:rsidRPr="001E4901">
        <w:rPr>
          <w:color w:val="000000" w:themeColor="text1"/>
        </w:rPr>
        <w:t>df</w:t>
      </w:r>
      <w:proofErr w:type="spellEnd"/>
      <w:r w:rsidR="009B76B7" w:rsidRPr="001E4901">
        <w:rPr>
          <w:color w:val="000000" w:themeColor="text1"/>
        </w:rPr>
        <w:t xml:space="preserve">=27, p&lt;0.001). A paired Brown-Forsythe test confirmed that dispersion around the median between the two pooling methods was significantly different for the raw number </w:t>
      </w:r>
      <w:r w:rsidRPr="001E4901">
        <w:rPr>
          <w:color w:val="000000" w:themeColor="text1"/>
        </w:rPr>
        <w:t>of reads (</w:t>
      </w:r>
      <w:r w:rsidRPr="001E4901">
        <w:rPr>
          <w:i/>
          <w:iCs/>
          <w:color w:val="000000" w:themeColor="text1"/>
        </w:rPr>
        <w:t>t</w:t>
      </w:r>
      <w:r w:rsidRPr="001E4901">
        <w:rPr>
          <w:color w:val="000000" w:themeColor="text1"/>
        </w:rPr>
        <w:t xml:space="preserve">=6.65, </w:t>
      </w:r>
      <w:proofErr w:type="spellStart"/>
      <w:r w:rsidRPr="001E4901">
        <w:rPr>
          <w:color w:val="000000" w:themeColor="text1"/>
        </w:rPr>
        <w:t>df</w:t>
      </w:r>
      <w:proofErr w:type="spellEnd"/>
      <w:r w:rsidRPr="001E4901">
        <w:rPr>
          <w:color w:val="000000" w:themeColor="text1"/>
        </w:rPr>
        <w:t>=27, p&lt;0.001).</w:t>
      </w:r>
      <w:r w:rsidRPr="001E4901">
        <w:rPr>
          <w:i/>
          <w:color w:val="000000" w:themeColor="text1"/>
        </w:rPr>
        <w:t xml:space="preserve"> </w:t>
      </w:r>
      <w:r w:rsidRPr="001E4901">
        <w:rPr>
          <w:color w:val="000000" w:themeColor="text1"/>
        </w:rPr>
        <w:t xml:space="preserve">Similarly, the pairwise rarefied abundance in total reads was greater on average by 9073.23 for samples pooled </w:t>
      </w:r>
      <w:r w:rsidRPr="001E4901">
        <w:rPr>
          <w:i/>
          <w:color w:val="000000" w:themeColor="text1"/>
        </w:rPr>
        <w:t xml:space="preserve">in vitro </w:t>
      </w:r>
      <w:r w:rsidRPr="001E4901">
        <w:rPr>
          <w:color w:val="000000" w:themeColor="text1"/>
        </w:rPr>
        <w:t>(</w:t>
      </w:r>
      <w:r w:rsidRPr="001E4901">
        <w:rPr>
          <w:i/>
          <w:iCs/>
          <w:color w:val="000000" w:themeColor="text1"/>
        </w:rPr>
        <w:t>t</w:t>
      </w:r>
      <w:r w:rsidRPr="001E4901">
        <w:rPr>
          <w:color w:val="000000" w:themeColor="text1"/>
        </w:rPr>
        <w:t xml:space="preserve">=4.59, </w:t>
      </w:r>
      <w:proofErr w:type="spellStart"/>
      <w:r w:rsidRPr="001E4901">
        <w:rPr>
          <w:color w:val="000000" w:themeColor="text1"/>
        </w:rPr>
        <w:t>df</w:t>
      </w:r>
      <w:proofErr w:type="spellEnd"/>
      <w:r w:rsidRPr="001E4901">
        <w:rPr>
          <w:color w:val="000000" w:themeColor="text1"/>
        </w:rPr>
        <w:t>=27, p&lt;0.001). Pairwise Brown-Forsythe tests illustrated that there was heterogeneity in dispersion of rarefied abundances in reads between pooling methods (</w:t>
      </w:r>
      <w:r w:rsidRPr="001E4901">
        <w:rPr>
          <w:i/>
          <w:iCs/>
          <w:color w:val="000000" w:themeColor="text1"/>
        </w:rPr>
        <w:t>t</w:t>
      </w:r>
      <w:r w:rsidRPr="001E4901">
        <w:rPr>
          <w:color w:val="000000" w:themeColor="text1"/>
        </w:rPr>
        <w:t xml:space="preserve">=9.27, </w:t>
      </w:r>
      <w:proofErr w:type="spellStart"/>
      <w:r w:rsidRPr="001E4901">
        <w:rPr>
          <w:color w:val="000000" w:themeColor="text1"/>
        </w:rPr>
        <w:t>df</w:t>
      </w:r>
      <w:proofErr w:type="spellEnd"/>
      <w:r w:rsidRPr="001E4901">
        <w:rPr>
          <w:color w:val="000000" w:themeColor="text1"/>
        </w:rPr>
        <w:t xml:space="preserve">=27, p&lt;0.001). For </w:t>
      </w:r>
      <w:r w:rsidRPr="001E4901">
        <w:rPr>
          <w:i/>
          <w:iCs/>
          <w:color w:val="000000" w:themeColor="text1"/>
        </w:rPr>
        <w:t>q</w:t>
      </w:r>
      <w:r w:rsidRPr="001E4901">
        <w:rPr>
          <w:color w:val="000000" w:themeColor="text1"/>
        </w:rPr>
        <w:t xml:space="preserve">=0 and </w:t>
      </w:r>
      <w:r w:rsidRPr="001E4901">
        <w:rPr>
          <w:i/>
          <w:iCs/>
          <w:color w:val="000000" w:themeColor="text1"/>
        </w:rPr>
        <w:t>q</w:t>
      </w:r>
      <w:r w:rsidRPr="001E4901">
        <w:rPr>
          <w:color w:val="000000" w:themeColor="text1"/>
        </w:rPr>
        <w:t>=4</w:t>
      </w:r>
      <w:r w:rsidR="00E46020">
        <w:rPr>
          <w:color w:val="000000" w:themeColor="text1"/>
        </w:rPr>
        <w:t xml:space="preserve"> to </w:t>
      </w:r>
      <w:r w:rsidRPr="001E4901">
        <w:rPr>
          <w:color w:val="000000" w:themeColor="text1"/>
        </w:rPr>
        <w:t xml:space="preserve">5, paired </w:t>
      </w:r>
      <w:r w:rsidRPr="001E4901">
        <w:rPr>
          <w:i/>
          <w:iCs/>
          <w:color w:val="000000" w:themeColor="text1"/>
        </w:rPr>
        <w:t>t</w:t>
      </w:r>
      <w:r w:rsidRPr="001E4901">
        <w:rPr>
          <w:color w:val="000000" w:themeColor="text1"/>
        </w:rPr>
        <w:t>-tests showed significant differences (</w:t>
      </w:r>
      <w:r w:rsidRPr="00B73E8F">
        <w:rPr>
          <w:color w:val="000000" w:themeColor="text1"/>
        </w:rPr>
        <w:sym w:font="Symbol" w:char="F061"/>
      </w:r>
      <w:r w:rsidRPr="00B73E8F">
        <w:rPr>
          <w:color w:val="000000" w:themeColor="text1"/>
        </w:rPr>
        <w:t xml:space="preserve">=0.05) in the effective number of ASVs between pooling methods with samples pooled </w:t>
      </w:r>
      <w:r w:rsidRPr="00B73E8F">
        <w:rPr>
          <w:i/>
          <w:iCs/>
          <w:color w:val="000000" w:themeColor="text1"/>
        </w:rPr>
        <w:t>in silico</w:t>
      </w:r>
      <w:r w:rsidRPr="00B73E8F">
        <w:rPr>
          <w:color w:val="000000" w:themeColor="text1"/>
        </w:rPr>
        <w:t xml:space="preserve"> having the greatest alpha diversity. The largest difference in alpha diversity between pooling methods occurred at </w:t>
      </w:r>
      <w:r w:rsidRPr="001E4901">
        <w:rPr>
          <w:i/>
          <w:iCs/>
          <w:color w:val="000000" w:themeColor="text1"/>
        </w:rPr>
        <w:t>q</w:t>
      </w:r>
      <w:r w:rsidRPr="001E4901">
        <w:rPr>
          <w:color w:val="000000" w:themeColor="text1"/>
        </w:rPr>
        <w:t>=0, with a mean difference of 679.85 effective number of ASVs (</w:t>
      </w:r>
      <w:r w:rsidRPr="00821A77">
        <w:rPr>
          <w:b/>
          <w:bCs/>
          <w:color w:val="000000" w:themeColor="text1"/>
        </w:rPr>
        <w:t>Table 2</w:t>
      </w:r>
      <w:r w:rsidRPr="001E4901">
        <w:rPr>
          <w:color w:val="000000" w:themeColor="text1"/>
        </w:rPr>
        <w:t xml:space="preserve">). </w:t>
      </w:r>
      <w:r w:rsidRPr="009B76B7">
        <w:rPr>
          <w:b/>
          <w:bCs/>
          <w:color w:val="000000" w:themeColor="text1"/>
        </w:rPr>
        <w:t xml:space="preserve">Figure </w:t>
      </w:r>
      <w:r w:rsidR="009B76B7" w:rsidRPr="009B76B7">
        <w:rPr>
          <w:b/>
          <w:bCs/>
          <w:color w:val="000000" w:themeColor="text1"/>
        </w:rPr>
        <w:t>7</w:t>
      </w:r>
      <w:r w:rsidRPr="009B76B7">
        <w:rPr>
          <w:b/>
          <w:bCs/>
          <w:color w:val="000000" w:themeColor="text1"/>
        </w:rPr>
        <w:t>b</w:t>
      </w:r>
      <w:r w:rsidRPr="001E4901">
        <w:rPr>
          <w:color w:val="000000" w:themeColor="text1"/>
        </w:rPr>
        <w:t xml:space="preserve"> shows the relationship between alpha diversity at </w:t>
      </w:r>
      <w:r w:rsidRPr="001E4901">
        <w:rPr>
          <w:i/>
          <w:iCs/>
          <w:color w:val="000000" w:themeColor="text1"/>
        </w:rPr>
        <w:t>q</w:t>
      </w:r>
      <w:r w:rsidRPr="001E4901">
        <w:rPr>
          <w:color w:val="000000" w:themeColor="text1"/>
        </w:rPr>
        <w:t xml:space="preserve">=0 and each pooling method, where samples that were pooled </w:t>
      </w:r>
      <w:r w:rsidRPr="001E4901">
        <w:rPr>
          <w:i/>
          <w:iCs/>
          <w:color w:val="000000" w:themeColor="text1"/>
        </w:rPr>
        <w:t>in silico</w:t>
      </w:r>
      <w:r w:rsidRPr="001E4901">
        <w:rPr>
          <w:color w:val="000000" w:themeColor="text1"/>
        </w:rPr>
        <w:t xml:space="preserve"> have on average a greater alpha diversity than samples pooled </w:t>
      </w:r>
      <w:r w:rsidRPr="001E4901">
        <w:rPr>
          <w:i/>
          <w:iCs/>
          <w:color w:val="000000" w:themeColor="text1"/>
        </w:rPr>
        <w:t>in vitro</w:t>
      </w:r>
      <w:r w:rsidRPr="001E4901">
        <w:rPr>
          <w:color w:val="000000" w:themeColor="text1"/>
        </w:rPr>
        <w:t xml:space="preserve">. Paired Brown Forsythe tests on the dispersion of the effective number of ASVs (alpha diversity) were significantly different for </w:t>
      </w:r>
      <w:r w:rsidRPr="001E4901">
        <w:rPr>
          <w:i/>
          <w:iCs/>
          <w:color w:val="000000" w:themeColor="text1"/>
        </w:rPr>
        <w:t>q</w:t>
      </w:r>
      <w:r w:rsidRPr="001E4901">
        <w:rPr>
          <w:color w:val="000000" w:themeColor="text1"/>
        </w:rPr>
        <w:t>=0</w:t>
      </w:r>
      <w:r w:rsidR="00E46020">
        <w:rPr>
          <w:color w:val="000000" w:themeColor="text1"/>
        </w:rPr>
        <w:t xml:space="preserve"> to </w:t>
      </w:r>
      <w:r w:rsidRPr="001E4901">
        <w:rPr>
          <w:color w:val="000000" w:themeColor="text1"/>
        </w:rPr>
        <w:t>2 between the two pooling methods (</w:t>
      </w:r>
      <w:r w:rsidRPr="00821A77">
        <w:rPr>
          <w:b/>
          <w:bCs/>
          <w:color w:val="000000" w:themeColor="text1"/>
        </w:rPr>
        <w:t>Table 2</w:t>
      </w:r>
      <w:r w:rsidRPr="001E4901">
        <w:rPr>
          <w:color w:val="000000" w:themeColor="text1"/>
        </w:rPr>
        <w:t xml:space="preserve">). As rare species are further down weighted beyond </w:t>
      </w:r>
      <w:r w:rsidRPr="001E4901">
        <w:rPr>
          <w:i/>
          <w:iCs/>
          <w:color w:val="000000" w:themeColor="text1"/>
        </w:rPr>
        <w:t>q</w:t>
      </w:r>
      <w:r w:rsidRPr="001E4901">
        <w:rPr>
          <w:color w:val="000000" w:themeColor="text1"/>
        </w:rPr>
        <w:t xml:space="preserve">=2, we failed to detect a difference in the dispersion between sampling grains. </w:t>
      </w:r>
    </w:p>
    <w:p w14:paraId="21875602" w14:textId="04572ED8" w:rsidR="002A797A" w:rsidRPr="001E4901" w:rsidRDefault="002A797A" w:rsidP="002A797A">
      <w:pPr>
        <w:pStyle w:val="Heading2"/>
        <w:spacing w:line="360" w:lineRule="auto"/>
      </w:pPr>
      <w:bookmarkStart w:id="32" w:name="_Toc102048003"/>
      <w:r w:rsidRPr="001E4901">
        <w:t>D</w:t>
      </w:r>
      <w:r w:rsidR="006412B1">
        <w:t>iscussion</w:t>
      </w:r>
      <w:bookmarkEnd w:id="32"/>
    </w:p>
    <w:p w14:paraId="3BB3C9E1" w14:textId="341E85D3" w:rsidR="002A797A" w:rsidRPr="001E4901" w:rsidRDefault="002A797A" w:rsidP="002A797A">
      <w:pPr>
        <w:pStyle w:val="Heading3"/>
      </w:pPr>
      <w:bookmarkStart w:id="33" w:name="_Toc102048004"/>
      <w:r w:rsidRPr="001E4901">
        <w:t>Summary</w:t>
      </w:r>
      <w:bookmarkEnd w:id="33"/>
    </w:p>
    <w:p w14:paraId="7FAAD914" w14:textId="036CB6CC" w:rsidR="00B2107B" w:rsidRPr="00B73E8F" w:rsidRDefault="002A797A" w:rsidP="00B2107B">
      <w:pPr>
        <w:spacing w:line="360" w:lineRule="auto"/>
        <w:rPr>
          <w:color w:val="000000" w:themeColor="text1"/>
        </w:rPr>
      </w:pPr>
      <w:r w:rsidRPr="001E4901">
        <w:rPr>
          <w:color w:val="000000" w:themeColor="text1"/>
        </w:rPr>
        <w:tab/>
        <w:t xml:space="preserve">In this study, we demonstrate that: (1) rarefied bacterial richness and relative abundance varies with rhizosphere depths. Alpha diversity among rhizosphere depths differs the most when rare ASVs are down weighted. Depth C is characterized as the least diverse amongst rhizosphere depths, while Depth A is shown to be the richest. (2) By evaluating the spatial structure of </w:t>
      </w:r>
      <w:r w:rsidR="00B2107B">
        <w:rPr>
          <w:color w:val="000000" w:themeColor="text1"/>
        </w:rPr>
        <w:br w:type="page"/>
      </w:r>
      <w:r w:rsidR="00B2107B" w:rsidRPr="00B73E8F">
        <w:rPr>
          <w:noProof/>
          <w:color w:val="000000" w:themeColor="text1"/>
        </w:rPr>
        <w:lastRenderedPageBreak/>
        <w:drawing>
          <wp:inline distT="0" distB="0" distL="0" distR="0" wp14:anchorId="147B9F09" wp14:editId="6590E9F8">
            <wp:extent cx="5486400" cy="2611120"/>
            <wp:effectExtent l="0" t="0" r="0" b="5080"/>
            <wp:docPr id="15" name="Picture 15"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box and whisker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6400" cy="2611120"/>
                    </a:xfrm>
                    <a:prstGeom prst="rect">
                      <a:avLst/>
                    </a:prstGeom>
                  </pic:spPr>
                </pic:pic>
              </a:graphicData>
            </a:graphic>
          </wp:inline>
        </w:drawing>
      </w:r>
    </w:p>
    <w:p w14:paraId="5856D1FF" w14:textId="77777777" w:rsidR="00B2107B" w:rsidRPr="00C20753" w:rsidRDefault="00B2107B" w:rsidP="00B2107B">
      <w:pPr>
        <w:pStyle w:val="Caption"/>
      </w:pPr>
      <w:bookmarkStart w:id="34" w:name="_Toc82433611"/>
      <w:bookmarkStart w:id="35" w:name="_Toc102046877"/>
      <w:r w:rsidRPr="00C20753">
        <w:t xml:space="preserve">Figure </w:t>
      </w:r>
      <w:r>
        <w:t>7</w:t>
      </w:r>
      <w:r w:rsidRPr="00C20753">
        <w:t xml:space="preserve">. Total relative abundance of reads for samples </w:t>
      </w:r>
      <w:r w:rsidRPr="00C20753">
        <w:rPr>
          <w:i/>
        </w:rPr>
        <w:t>in silico</w:t>
      </w:r>
      <w:r w:rsidRPr="00C20753">
        <w:t xml:space="preserve"> and </w:t>
      </w:r>
      <w:r w:rsidRPr="00C20753">
        <w:rPr>
          <w:i/>
        </w:rPr>
        <w:t>in vitro</w:t>
      </w:r>
      <w:r w:rsidRPr="00C20753">
        <w:t xml:space="preserve">. a) The total relative abundance of reads is greater for samples that were pooled </w:t>
      </w:r>
      <w:r w:rsidRPr="00C20753">
        <w:rPr>
          <w:i/>
        </w:rPr>
        <w:t>in vitro</w:t>
      </w:r>
      <w:r w:rsidRPr="00C20753">
        <w:t xml:space="preserve"> compared with those </w:t>
      </w:r>
      <w:r w:rsidRPr="00C20753">
        <w:rPr>
          <w:i/>
        </w:rPr>
        <w:t>in silico</w:t>
      </w:r>
      <w:r w:rsidRPr="00C20753">
        <w:t xml:space="preserve">. b) Alpha diversity at </w:t>
      </w:r>
      <w:r w:rsidRPr="00C20753">
        <w:rPr>
          <w:i/>
        </w:rPr>
        <w:t>q</w:t>
      </w:r>
      <w:r w:rsidRPr="00C20753">
        <w:t xml:space="preserve">=1 for pooled samples </w:t>
      </w:r>
      <w:r w:rsidRPr="00C20753">
        <w:rPr>
          <w:i/>
        </w:rPr>
        <w:t>in silico</w:t>
      </w:r>
      <w:r w:rsidRPr="00C20753">
        <w:t xml:space="preserve"> and </w:t>
      </w:r>
      <w:r w:rsidRPr="00C20753">
        <w:rPr>
          <w:i/>
        </w:rPr>
        <w:t>in vitro</w:t>
      </w:r>
      <w:r w:rsidRPr="00C20753">
        <w:t>.</w:t>
      </w:r>
      <w:bookmarkEnd w:id="34"/>
      <w:bookmarkEnd w:id="35"/>
    </w:p>
    <w:p w14:paraId="15C2F5B0" w14:textId="77777777" w:rsidR="00B2107B" w:rsidRPr="001E4901" w:rsidRDefault="00B2107B" w:rsidP="00B2107B">
      <w:pPr>
        <w:rPr>
          <w:color w:val="000000" w:themeColor="text1"/>
        </w:rPr>
      </w:pPr>
      <w:r w:rsidRPr="001E4901">
        <w:rPr>
          <w:color w:val="000000" w:themeColor="text1"/>
        </w:rPr>
        <w:br w:type="page"/>
      </w:r>
    </w:p>
    <w:p w14:paraId="6CCFBF25" w14:textId="37F1D8A2" w:rsidR="006629C1" w:rsidRPr="00C20753" w:rsidRDefault="006629C1" w:rsidP="006629C1">
      <w:pPr>
        <w:pStyle w:val="Subtitle"/>
      </w:pPr>
      <w:bookmarkStart w:id="36" w:name="_Toc102118705"/>
      <w:r w:rsidRPr="00C20753">
        <w:lastRenderedPageBreak/>
        <w:t xml:space="preserve">Table 2. Paired results comparing alpha diversity, or the effective number of species, between samples pooled </w:t>
      </w:r>
      <w:r w:rsidRPr="00C20753">
        <w:rPr>
          <w:i/>
        </w:rPr>
        <w:t>in vitro</w:t>
      </w:r>
      <w:r w:rsidRPr="00C20753">
        <w:t xml:space="preserve"> and </w:t>
      </w:r>
      <w:r w:rsidRPr="00C20753">
        <w:rPr>
          <w:i/>
        </w:rPr>
        <w:t>in silico</w:t>
      </w:r>
      <w:r w:rsidRPr="00C20753">
        <w:t xml:space="preserve"> at </w:t>
      </w:r>
      <w:r w:rsidRPr="00C20753">
        <w:rPr>
          <w:i/>
        </w:rPr>
        <w:t>q</w:t>
      </w:r>
      <w:r w:rsidRPr="00C20753">
        <w:t>=0 to 5.</w:t>
      </w:r>
      <w:bookmarkEnd w:id="36"/>
    </w:p>
    <w:tbl>
      <w:tblPr>
        <w:tblW w:w="8767" w:type="dxa"/>
        <w:jc w:val="center"/>
        <w:tblLook w:val="04A0" w:firstRow="1" w:lastRow="0" w:firstColumn="1" w:lastColumn="0" w:noHBand="0" w:noVBand="1"/>
      </w:tblPr>
      <w:tblGrid>
        <w:gridCol w:w="2590"/>
        <w:gridCol w:w="1477"/>
        <w:gridCol w:w="1554"/>
        <w:gridCol w:w="1447"/>
        <w:gridCol w:w="1699"/>
      </w:tblGrid>
      <w:tr w:rsidR="006629C1" w:rsidRPr="003678AC" w14:paraId="2BABCC0B" w14:textId="77777777" w:rsidTr="00D20AC1">
        <w:trPr>
          <w:trHeight w:val="304"/>
          <w:jc w:val="center"/>
        </w:trPr>
        <w:tc>
          <w:tcPr>
            <w:tcW w:w="2590" w:type="dxa"/>
            <w:tcBorders>
              <w:top w:val="single" w:sz="4" w:space="0" w:color="auto"/>
              <w:left w:val="nil"/>
              <w:bottom w:val="nil"/>
              <w:right w:val="nil"/>
            </w:tcBorders>
            <w:shd w:val="clear" w:color="auto" w:fill="auto"/>
            <w:noWrap/>
            <w:vAlign w:val="bottom"/>
            <w:hideMark/>
          </w:tcPr>
          <w:p w14:paraId="78E4D311" w14:textId="77777777" w:rsidR="006629C1" w:rsidRPr="003678AC" w:rsidRDefault="006629C1" w:rsidP="00D20AC1">
            <w:pPr>
              <w:jc w:val="center"/>
              <w:rPr>
                <w:color w:val="000000"/>
              </w:rPr>
            </w:pPr>
          </w:p>
        </w:tc>
        <w:tc>
          <w:tcPr>
            <w:tcW w:w="3031" w:type="dxa"/>
            <w:gridSpan w:val="2"/>
            <w:tcBorders>
              <w:top w:val="single" w:sz="4" w:space="0" w:color="auto"/>
              <w:left w:val="nil"/>
              <w:bottom w:val="single" w:sz="4" w:space="0" w:color="auto"/>
              <w:right w:val="nil"/>
            </w:tcBorders>
            <w:shd w:val="clear" w:color="auto" w:fill="auto"/>
            <w:noWrap/>
            <w:vAlign w:val="center"/>
            <w:hideMark/>
          </w:tcPr>
          <w:p w14:paraId="7D823147" w14:textId="77777777" w:rsidR="006629C1" w:rsidRPr="003678AC" w:rsidRDefault="006629C1" w:rsidP="00D20AC1">
            <w:pPr>
              <w:jc w:val="center"/>
              <w:rPr>
                <w:color w:val="000000"/>
              </w:rPr>
            </w:pPr>
            <w:r w:rsidRPr="003678AC">
              <w:rPr>
                <w:color w:val="000000"/>
              </w:rPr>
              <w:t xml:space="preserve">Paired </w:t>
            </w:r>
            <w:r w:rsidRPr="003678AC">
              <w:rPr>
                <w:i/>
                <w:iCs/>
                <w:color w:val="000000"/>
              </w:rPr>
              <w:t>t</w:t>
            </w:r>
            <w:r w:rsidRPr="003678AC">
              <w:rPr>
                <w:color w:val="000000"/>
              </w:rPr>
              <w:t>-tests</w:t>
            </w:r>
          </w:p>
        </w:tc>
        <w:tc>
          <w:tcPr>
            <w:tcW w:w="3146" w:type="dxa"/>
            <w:gridSpan w:val="2"/>
            <w:tcBorders>
              <w:top w:val="single" w:sz="4" w:space="0" w:color="auto"/>
              <w:left w:val="nil"/>
              <w:bottom w:val="single" w:sz="4" w:space="0" w:color="auto"/>
              <w:right w:val="nil"/>
            </w:tcBorders>
            <w:shd w:val="clear" w:color="auto" w:fill="auto"/>
            <w:noWrap/>
            <w:vAlign w:val="center"/>
            <w:hideMark/>
          </w:tcPr>
          <w:p w14:paraId="06A9659C" w14:textId="77777777" w:rsidR="006629C1" w:rsidRPr="003678AC" w:rsidRDefault="006629C1" w:rsidP="00D20AC1">
            <w:pPr>
              <w:jc w:val="center"/>
              <w:rPr>
                <w:color w:val="000000"/>
              </w:rPr>
            </w:pPr>
            <w:r w:rsidRPr="003678AC">
              <w:rPr>
                <w:color w:val="000000"/>
              </w:rPr>
              <w:t>Paired Brown-Forsythe Test</w:t>
            </w:r>
          </w:p>
        </w:tc>
      </w:tr>
      <w:tr w:rsidR="006629C1" w:rsidRPr="003678AC" w14:paraId="7347875E" w14:textId="77777777" w:rsidTr="00D20AC1">
        <w:trPr>
          <w:trHeight w:val="304"/>
          <w:jc w:val="center"/>
        </w:trPr>
        <w:tc>
          <w:tcPr>
            <w:tcW w:w="2590" w:type="dxa"/>
            <w:tcBorders>
              <w:top w:val="nil"/>
              <w:left w:val="nil"/>
              <w:bottom w:val="single" w:sz="4" w:space="0" w:color="auto"/>
              <w:right w:val="nil"/>
            </w:tcBorders>
            <w:shd w:val="clear" w:color="auto" w:fill="auto"/>
            <w:noWrap/>
            <w:vAlign w:val="center"/>
            <w:hideMark/>
          </w:tcPr>
          <w:p w14:paraId="78BF8893" w14:textId="77777777" w:rsidR="006629C1" w:rsidRPr="003678AC" w:rsidRDefault="006629C1" w:rsidP="00D20AC1">
            <w:pPr>
              <w:jc w:val="center"/>
              <w:rPr>
                <w:b/>
                <w:bCs/>
                <w:color w:val="000000"/>
              </w:rPr>
            </w:pPr>
            <w:r w:rsidRPr="003678AC">
              <w:rPr>
                <w:b/>
                <w:bCs/>
                <w:color w:val="000000"/>
              </w:rPr>
              <w:t>Order of Diversity (</w:t>
            </w:r>
            <w:r w:rsidRPr="003678AC">
              <w:rPr>
                <w:b/>
                <w:bCs/>
                <w:i/>
                <w:iCs/>
                <w:color w:val="000000"/>
              </w:rPr>
              <w:t>q</w:t>
            </w:r>
            <w:r w:rsidRPr="003678AC">
              <w:rPr>
                <w:b/>
                <w:bCs/>
                <w:color w:val="000000"/>
              </w:rPr>
              <w:t>)</w:t>
            </w:r>
          </w:p>
        </w:tc>
        <w:tc>
          <w:tcPr>
            <w:tcW w:w="1477" w:type="dxa"/>
            <w:tcBorders>
              <w:top w:val="nil"/>
              <w:left w:val="nil"/>
              <w:bottom w:val="nil"/>
              <w:right w:val="nil"/>
            </w:tcBorders>
            <w:shd w:val="clear" w:color="auto" w:fill="auto"/>
            <w:noWrap/>
            <w:vAlign w:val="center"/>
            <w:hideMark/>
          </w:tcPr>
          <w:p w14:paraId="66E773A6" w14:textId="77777777" w:rsidR="006629C1" w:rsidRPr="003678AC" w:rsidRDefault="006629C1" w:rsidP="00D20AC1">
            <w:pPr>
              <w:jc w:val="center"/>
              <w:rPr>
                <w:b/>
                <w:bCs/>
                <w:color w:val="000000"/>
              </w:rPr>
            </w:pPr>
            <w:r w:rsidRPr="003678AC">
              <w:rPr>
                <w:b/>
                <w:bCs/>
                <w:color w:val="000000"/>
              </w:rPr>
              <w:t>t-stat</w:t>
            </w:r>
          </w:p>
        </w:tc>
        <w:tc>
          <w:tcPr>
            <w:tcW w:w="1554" w:type="dxa"/>
            <w:tcBorders>
              <w:top w:val="nil"/>
              <w:left w:val="nil"/>
              <w:bottom w:val="nil"/>
              <w:right w:val="nil"/>
            </w:tcBorders>
            <w:shd w:val="clear" w:color="auto" w:fill="auto"/>
            <w:noWrap/>
            <w:vAlign w:val="center"/>
            <w:hideMark/>
          </w:tcPr>
          <w:p w14:paraId="584C9812" w14:textId="77777777" w:rsidR="006629C1" w:rsidRPr="003678AC" w:rsidRDefault="006629C1" w:rsidP="00D20AC1">
            <w:pPr>
              <w:jc w:val="center"/>
              <w:rPr>
                <w:b/>
                <w:bCs/>
                <w:color w:val="000000"/>
              </w:rPr>
            </w:pPr>
            <w:r w:rsidRPr="003678AC">
              <w:rPr>
                <w:b/>
                <w:bCs/>
                <w:color w:val="000000"/>
              </w:rPr>
              <w:t>p-value</w:t>
            </w:r>
          </w:p>
        </w:tc>
        <w:tc>
          <w:tcPr>
            <w:tcW w:w="1447" w:type="dxa"/>
            <w:tcBorders>
              <w:top w:val="nil"/>
              <w:left w:val="nil"/>
              <w:bottom w:val="nil"/>
              <w:right w:val="nil"/>
            </w:tcBorders>
            <w:shd w:val="clear" w:color="auto" w:fill="auto"/>
            <w:noWrap/>
            <w:vAlign w:val="center"/>
            <w:hideMark/>
          </w:tcPr>
          <w:p w14:paraId="0D72D28B" w14:textId="77777777" w:rsidR="006629C1" w:rsidRPr="003678AC" w:rsidRDefault="006629C1" w:rsidP="00D20AC1">
            <w:pPr>
              <w:jc w:val="center"/>
              <w:rPr>
                <w:b/>
                <w:bCs/>
                <w:color w:val="000000"/>
              </w:rPr>
            </w:pPr>
            <w:r w:rsidRPr="003678AC">
              <w:rPr>
                <w:b/>
                <w:bCs/>
                <w:color w:val="000000"/>
              </w:rPr>
              <w:t>F-stat</w:t>
            </w:r>
          </w:p>
        </w:tc>
        <w:tc>
          <w:tcPr>
            <w:tcW w:w="1699" w:type="dxa"/>
            <w:tcBorders>
              <w:top w:val="nil"/>
              <w:left w:val="nil"/>
              <w:bottom w:val="nil"/>
              <w:right w:val="nil"/>
            </w:tcBorders>
            <w:shd w:val="clear" w:color="auto" w:fill="auto"/>
            <w:noWrap/>
            <w:vAlign w:val="center"/>
            <w:hideMark/>
          </w:tcPr>
          <w:p w14:paraId="0903D679" w14:textId="77777777" w:rsidR="006629C1" w:rsidRPr="003678AC" w:rsidRDefault="006629C1" w:rsidP="00D20AC1">
            <w:pPr>
              <w:jc w:val="center"/>
              <w:rPr>
                <w:b/>
                <w:bCs/>
                <w:color w:val="000000"/>
              </w:rPr>
            </w:pPr>
            <w:r w:rsidRPr="003678AC">
              <w:rPr>
                <w:b/>
                <w:bCs/>
                <w:color w:val="000000"/>
              </w:rPr>
              <w:t>p-value</w:t>
            </w:r>
          </w:p>
        </w:tc>
      </w:tr>
      <w:tr w:rsidR="006629C1" w:rsidRPr="003678AC" w14:paraId="4292D8B3" w14:textId="77777777" w:rsidTr="00D20AC1">
        <w:trPr>
          <w:trHeight w:val="304"/>
          <w:jc w:val="center"/>
        </w:trPr>
        <w:tc>
          <w:tcPr>
            <w:tcW w:w="2590" w:type="dxa"/>
            <w:tcBorders>
              <w:top w:val="nil"/>
              <w:left w:val="nil"/>
              <w:bottom w:val="nil"/>
              <w:right w:val="nil"/>
            </w:tcBorders>
            <w:shd w:val="clear" w:color="auto" w:fill="auto"/>
            <w:noWrap/>
            <w:vAlign w:val="center"/>
            <w:hideMark/>
          </w:tcPr>
          <w:p w14:paraId="1A210FD2" w14:textId="77777777" w:rsidR="006629C1" w:rsidRPr="003678AC" w:rsidRDefault="006629C1" w:rsidP="00D20AC1">
            <w:pPr>
              <w:jc w:val="center"/>
              <w:rPr>
                <w:color w:val="000000"/>
              </w:rPr>
            </w:pPr>
            <w:r w:rsidRPr="003678AC">
              <w:rPr>
                <w:color w:val="000000"/>
              </w:rPr>
              <w:t>0</w:t>
            </w:r>
          </w:p>
        </w:tc>
        <w:tc>
          <w:tcPr>
            <w:tcW w:w="1477" w:type="dxa"/>
            <w:tcBorders>
              <w:top w:val="single" w:sz="4" w:space="0" w:color="auto"/>
              <w:left w:val="nil"/>
              <w:bottom w:val="nil"/>
              <w:right w:val="nil"/>
            </w:tcBorders>
            <w:shd w:val="clear" w:color="auto" w:fill="auto"/>
            <w:noWrap/>
            <w:vAlign w:val="center"/>
            <w:hideMark/>
          </w:tcPr>
          <w:p w14:paraId="0168A9B5" w14:textId="77777777" w:rsidR="006629C1" w:rsidRPr="003678AC" w:rsidRDefault="006629C1" w:rsidP="00D20AC1">
            <w:pPr>
              <w:jc w:val="center"/>
              <w:rPr>
                <w:color w:val="000000"/>
              </w:rPr>
            </w:pPr>
            <w:r w:rsidRPr="003678AC">
              <w:rPr>
                <w:color w:val="000000"/>
              </w:rPr>
              <w:t>-3.4266</w:t>
            </w:r>
          </w:p>
        </w:tc>
        <w:tc>
          <w:tcPr>
            <w:tcW w:w="1554" w:type="dxa"/>
            <w:tcBorders>
              <w:top w:val="single" w:sz="4" w:space="0" w:color="auto"/>
              <w:left w:val="nil"/>
              <w:bottom w:val="nil"/>
              <w:right w:val="nil"/>
            </w:tcBorders>
            <w:shd w:val="clear" w:color="auto" w:fill="auto"/>
            <w:noWrap/>
            <w:vAlign w:val="center"/>
            <w:hideMark/>
          </w:tcPr>
          <w:p w14:paraId="274343FF" w14:textId="77777777" w:rsidR="006629C1" w:rsidRPr="003678AC" w:rsidRDefault="006629C1" w:rsidP="00D20AC1">
            <w:pPr>
              <w:jc w:val="center"/>
              <w:rPr>
                <w:color w:val="000000"/>
              </w:rPr>
            </w:pPr>
            <w:r w:rsidRPr="003678AC">
              <w:rPr>
                <w:color w:val="000000"/>
              </w:rPr>
              <w:t>0.002**</w:t>
            </w:r>
          </w:p>
        </w:tc>
        <w:tc>
          <w:tcPr>
            <w:tcW w:w="1447" w:type="dxa"/>
            <w:tcBorders>
              <w:top w:val="single" w:sz="4" w:space="0" w:color="auto"/>
              <w:left w:val="nil"/>
              <w:bottom w:val="nil"/>
              <w:right w:val="nil"/>
            </w:tcBorders>
            <w:shd w:val="clear" w:color="auto" w:fill="auto"/>
            <w:noWrap/>
            <w:vAlign w:val="center"/>
            <w:hideMark/>
          </w:tcPr>
          <w:p w14:paraId="5A944CCD" w14:textId="77777777" w:rsidR="006629C1" w:rsidRPr="003678AC" w:rsidRDefault="006629C1" w:rsidP="00D20AC1">
            <w:pPr>
              <w:jc w:val="center"/>
              <w:rPr>
                <w:color w:val="000000"/>
              </w:rPr>
            </w:pPr>
            <w:r w:rsidRPr="003678AC">
              <w:rPr>
                <w:color w:val="000000"/>
              </w:rPr>
              <w:t>4.8314</w:t>
            </w:r>
          </w:p>
        </w:tc>
        <w:tc>
          <w:tcPr>
            <w:tcW w:w="1699" w:type="dxa"/>
            <w:tcBorders>
              <w:top w:val="single" w:sz="4" w:space="0" w:color="auto"/>
              <w:left w:val="nil"/>
              <w:bottom w:val="nil"/>
              <w:right w:val="nil"/>
            </w:tcBorders>
            <w:shd w:val="clear" w:color="auto" w:fill="auto"/>
            <w:noWrap/>
            <w:vAlign w:val="center"/>
            <w:hideMark/>
          </w:tcPr>
          <w:p w14:paraId="06533E8A" w14:textId="77777777" w:rsidR="006629C1" w:rsidRPr="003678AC" w:rsidRDefault="006629C1" w:rsidP="00D20AC1">
            <w:pPr>
              <w:jc w:val="center"/>
              <w:rPr>
                <w:color w:val="000000"/>
              </w:rPr>
            </w:pPr>
            <w:r w:rsidRPr="003678AC">
              <w:rPr>
                <w:color w:val="000000"/>
              </w:rPr>
              <w:t>0.032</w:t>
            </w:r>
            <w:r w:rsidRPr="003678AC">
              <w:rPr>
                <w:b/>
                <w:bCs/>
                <w:color w:val="000000"/>
              </w:rPr>
              <w:t>*</w:t>
            </w:r>
          </w:p>
        </w:tc>
      </w:tr>
      <w:tr w:rsidR="006629C1" w:rsidRPr="003678AC" w14:paraId="7F4507BD" w14:textId="77777777" w:rsidTr="00D20AC1">
        <w:trPr>
          <w:trHeight w:val="304"/>
          <w:jc w:val="center"/>
        </w:trPr>
        <w:tc>
          <w:tcPr>
            <w:tcW w:w="2590" w:type="dxa"/>
            <w:tcBorders>
              <w:top w:val="nil"/>
              <w:left w:val="nil"/>
              <w:bottom w:val="nil"/>
              <w:right w:val="nil"/>
            </w:tcBorders>
            <w:shd w:val="clear" w:color="auto" w:fill="auto"/>
            <w:noWrap/>
            <w:vAlign w:val="center"/>
            <w:hideMark/>
          </w:tcPr>
          <w:p w14:paraId="16901715" w14:textId="77777777" w:rsidR="006629C1" w:rsidRPr="003678AC" w:rsidRDefault="006629C1" w:rsidP="00D20AC1">
            <w:pPr>
              <w:jc w:val="center"/>
              <w:rPr>
                <w:color w:val="000000"/>
              </w:rPr>
            </w:pPr>
            <w:r w:rsidRPr="003678AC">
              <w:rPr>
                <w:color w:val="000000"/>
              </w:rPr>
              <w:t>1</w:t>
            </w:r>
          </w:p>
        </w:tc>
        <w:tc>
          <w:tcPr>
            <w:tcW w:w="1477" w:type="dxa"/>
            <w:tcBorders>
              <w:top w:val="nil"/>
              <w:left w:val="nil"/>
              <w:bottom w:val="nil"/>
              <w:right w:val="nil"/>
            </w:tcBorders>
            <w:shd w:val="clear" w:color="auto" w:fill="auto"/>
            <w:noWrap/>
            <w:vAlign w:val="center"/>
            <w:hideMark/>
          </w:tcPr>
          <w:p w14:paraId="30D2421E" w14:textId="77777777" w:rsidR="006629C1" w:rsidRPr="003678AC" w:rsidRDefault="006629C1" w:rsidP="00D20AC1">
            <w:pPr>
              <w:jc w:val="center"/>
              <w:rPr>
                <w:color w:val="000000"/>
              </w:rPr>
            </w:pPr>
            <w:r w:rsidRPr="003678AC">
              <w:rPr>
                <w:color w:val="000000"/>
              </w:rPr>
              <w:t>-1.7288</w:t>
            </w:r>
          </w:p>
        </w:tc>
        <w:tc>
          <w:tcPr>
            <w:tcW w:w="1554" w:type="dxa"/>
            <w:tcBorders>
              <w:top w:val="nil"/>
              <w:left w:val="nil"/>
              <w:bottom w:val="nil"/>
              <w:right w:val="nil"/>
            </w:tcBorders>
            <w:shd w:val="clear" w:color="auto" w:fill="auto"/>
            <w:noWrap/>
            <w:vAlign w:val="center"/>
            <w:hideMark/>
          </w:tcPr>
          <w:p w14:paraId="0D3F494D" w14:textId="77777777" w:rsidR="006629C1" w:rsidRPr="003678AC" w:rsidRDefault="006629C1" w:rsidP="00D20AC1">
            <w:pPr>
              <w:jc w:val="center"/>
              <w:rPr>
                <w:color w:val="000000"/>
              </w:rPr>
            </w:pPr>
            <w:r w:rsidRPr="003678AC">
              <w:rPr>
                <w:color w:val="000000"/>
              </w:rPr>
              <w:t>0.095</w:t>
            </w:r>
          </w:p>
        </w:tc>
        <w:tc>
          <w:tcPr>
            <w:tcW w:w="1447" w:type="dxa"/>
            <w:tcBorders>
              <w:top w:val="nil"/>
              <w:left w:val="nil"/>
              <w:bottom w:val="nil"/>
              <w:right w:val="nil"/>
            </w:tcBorders>
            <w:shd w:val="clear" w:color="auto" w:fill="auto"/>
            <w:noWrap/>
            <w:vAlign w:val="center"/>
            <w:hideMark/>
          </w:tcPr>
          <w:p w14:paraId="4FEBBEA0" w14:textId="77777777" w:rsidR="006629C1" w:rsidRPr="003678AC" w:rsidRDefault="006629C1" w:rsidP="00D20AC1">
            <w:pPr>
              <w:jc w:val="center"/>
              <w:rPr>
                <w:color w:val="000000"/>
              </w:rPr>
            </w:pPr>
            <w:r w:rsidRPr="003678AC">
              <w:rPr>
                <w:color w:val="000000"/>
              </w:rPr>
              <w:t>10.82</w:t>
            </w:r>
          </w:p>
        </w:tc>
        <w:tc>
          <w:tcPr>
            <w:tcW w:w="1699" w:type="dxa"/>
            <w:tcBorders>
              <w:top w:val="nil"/>
              <w:left w:val="nil"/>
              <w:bottom w:val="nil"/>
              <w:right w:val="nil"/>
            </w:tcBorders>
            <w:shd w:val="clear" w:color="auto" w:fill="auto"/>
            <w:noWrap/>
            <w:vAlign w:val="center"/>
            <w:hideMark/>
          </w:tcPr>
          <w:p w14:paraId="21FCEE0C" w14:textId="77777777" w:rsidR="006629C1" w:rsidRPr="003678AC" w:rsidRDefault="006629C1" w:rsidP="00D20AC1">
            <w:pPr>
              <w:jc w:val="center"/>
              <w:rPr>
                <w:color w:val="000000"/>
              </w:rPr>
            </w:pPr>
            <w:r w:rsidRPr="003678AC">
              <w:rPr>
                <w:color w:val="000000"/>
              </w:rPr>
              <w:t>0.001</w:t>
            </w:r>
            <w:r w:rsidRPr="003678AC">
              <w:rPr>
                <w:b/>
                <w:bCs/>
                <w:color w:val="000000"/>
              </w:rPr>
              <w:t>**</w:t>
            </w:r>
          </w:p>
        </w:tc>
      </w:tr>
      <w:tr w:rsidR="006629C1" w:rsidRPr="003678AC" w14:paraId="507E064C" w14:textId="77777777" w:rsidTr="00D20AC1">
        <w:trPr>
          <w:trHeight w:val="304"/>
          <w:jc w:val="center"/>
        </w:trPr>
        <w:tc>
          <w:tcPr>
            <w:tcW w:w="2590" w:type="dxa"/>
            <w:tcBorders>
              <w:top w:val="nil"/>
              <w:left w:val="nil"/>
              <w:bottom w:val="nil"/>
              <w:right w:val="nil"/>
            </w:tcBorders>
            <w:shd w:val="clear" w:color="auto" w:fill="auto"/>
            <w:noWrap/>
            <w:vAlign w:val="center"/>
            <w:hideMark/>
          </w:tcPr>
          <w:p w14:paraId="1646E582" w14:textId="77777777" w:rsidR="006629C1" w:rsidRPr="003678AC" w:rsidRDefault="006629C1" w:rsidP="00D20AC1">
            <w:pPr>
              <w:jc w:val="center"/>
              <w:rPr>
                <w:color w:val="000000"/>
              </w:rPr>
            </w:pPr>
            <w:r w:rsidRPr="003678AC">
              <w:rPr>
                <w:color w:val="000000"/>
              </w:rPr>
              <w:t>2</w:t>
            </w:r>
          </w:p>
        </w:tc>
        <w:tc>
          <w:tcPr>
            <w:tcW w:w="1477" w:type="dxa"/>
            <w:tcBorders>
              <w:top w:val="nil"/>
              <w:left w:val="nil"/>
              <w:bottom w:val="nil"/>
              <w:right w:val="nil"/>
            </w:tcBorders>
            <w:shd w:val="clear" w:color="auto" w:fill="auto"/>
            <w:noWrap/>
            <w:vAlign w:val="center"/>
            <w:hideMark/>
          </w:tcPr>
          <w:p w14:paraId="38DF6BD7" w14:textId="77777777" w:rsidR="006629C1" w:rsidRPr="003678AC" w:rsidRDefault="006629C1" w:rsidP="00D20AC1">
            <w:pPr>
              <w:jc w:val="center"/>
              <w:rPr>
                <w:color w:val="000000"/>
              </w:rPr>
            </w:pPr>
            <w:r w:rsidRPr="003678AC">
              <w:rPr>
                <w:color w:val="000000"/>
              </w:rPr>
              <w:t>-1.2332</w:t>
            </w:r>
          </w:p>
        </w:tc>
        <w:tc>
          <w:tcPr>
            <w:tcW w:w="1554" w:type="dxa"/>
            <w:tcBorders>
              <w:top w:val="nil"/>
              <w:left w:val="nil"/>
              <w:bottom w:val="nil"/>
              <w:right w:val="nil"/>
            </w:tcBorders>
            <w:shd w:val="clear" w:color="auto" w:fill="auto"/>
            <w:noWrap/>
            <w:vAlign w:val="center"/>
            <w:hideMark/>
          </w:tcPr>
          <w:p w14:paraId="6E38F91C" w14:textId="77777777" w:rsidR="006629C1" w:rsidRPr="003678AC" w:rsidRDefault="006629C1" w:rsidP="00D20AC1">
            <w:pPr>
              <w:jc w:val="center"/>
              <w:rPr>
                <w:color w:val="000000"/>
              </w:rPr>
            </w:pPr>
            <w:r w:rsidRPr="003678AC">
              <w:rPr>
                <w:color w:val="000000"/>
              </w:rPr>
              <w:t>0.228</w:t>
            </w:r>
          </w:p>
        </w:tc>
        <w:tc>
          <w:tcPr>
            <w:tcW w:w="1447" w:type="dxa"/>
            <w:tcBorders>
              <w:top w:val="nil"/>
              <w:left w:val="nil"/>
              <w:bottom w:val="nil"/>
              <w:right w:val="nil"/>
            </w:tcBorders>
            <w:shd w:val="clear" w:color="auto" w:fill="auto"/>
            <w:noWrap/>
            <w:vAlign w:val="center"/>
            <w:hideMark/>
          </w:tcPr>
          <w:p w14:paraId="1AB9977E" w14:textId="77777777" w:rsidR="006629C1" w:rsidRPr="003678AC" w:rsidRDefault="006629C1" w:rsidP="00D20AC1">
            <w:pPr>
              <w:jc w:val="center"/>
              <w:rPr>
                <w:color w:val="000000"/>
              </w:rPr>
            </w:pPr>
            <w:r w:rsidRPr="003678AC">
              <w:rPr>
                <w:color w:val="000000"/>
              </w:rPr>
              <w:t>8.0142</w:t>
            </w:r>
          </w:p>
        </w:tc>
        <w:tc>
          <w:tcPr>
            <w:tcW w:w="1699" w:type="dxa"/>
            <w:tcBorders>
              <w:top w:val="nil"/>
              <w:left w:val="nil"/>
              <w:bottom w:val="nil"/>
              <w:right w:val="nil"/>
            </w:tcBorders>
            <w:shd w:val="clear" w:color="auto" w:fill="auto"/>
            <w:noWrap/>
            <w:vAlign w:val="center"/>
            <w:hideMark/>
          </w:tcPr>
          <w:p w14:paraId="5CF57B0A" w14:textId="77777777" w:rsidR="006629C1" w:rsidRPr="003678AC" w:rsidRDefault="006629C1" w:rsidP="00D20AC1">
            <w:pPr>
              <w:jc w:val="center"/>
              <w:rPr>
                <w:color w:val="000000"/>
              </w:rPr>
            </w:pPr>
            <w:r w:rsidRPr="003678AC">
              <w:rPr>
                <w:color w:val="000000"/>
              </w:rPr>
              <w:t>0.006</w:t>
            </w:r>
            <w:r w:rsidRPr="003678AC">
              <w:rPr>
                <w:b/>
                <w:bCs/>
                <w:color w:val="000000"/>
              </w:rPr>
              <w:t>**</w:t>
            </w:r>
          </w:p>
        </w:tc>
      </w:tr>
      <w:tr w:rsidR="006629C1" w:rsidRPr="003678AC" w14:paraId="508767A8" w14:textId="77777777" w:rsidTr="00D20AC1">
        <w:trPr>
          <w:trHeight w:val="304"/>
          <w:jc w:val="center"/>
        </w:trPr>
        <w:tc>
          <w:tcPr>
            <w:tcW w:w="2590" w:type="dxa"/>
            <w:tcBorders>
              <w:top w:val="nil"/>
              <w:left w:val="nil"/>
              <w:bottom w:val="nil"/>
              <w:right w:val="nil"/>
            </w:tcBorders>
            <w:shd w:val="clear" w:color="auto" w:fill="auto"/>
            <w:noWrap/>
            <w:vAlign w:val="center"/>
            <w:hideMark/>
          </w:tcPr>
          <w:p w14:paraId="0DC47F62" w14:textId="77777777" w:rsidR="006629C1" w:rsidRPr="003678AC" w:rsidRDefault="006629C1" w:rsidP="00D20AC1">
            <w:pPr>
              <w:jc w:val="center"/>
              <w:rPr>
                <w:color w:val="000000"/>
              </w:rPr>
            </w:pPr>
            <w:r w:rsidRPr="003678AC">
              <w:rPr>
                <w:color w:val="000000"/>
              </w:rPr>
              <w:t>3</w:t>
            </w:r>
          </w:p>
        </w:tc>
        <w:tc>
          <w:tcPr>
            <w:tcW w:w="1477" w:type="dxa"/>
            <w:tcBorders>
              <w:top w:val="nil"/>
              <w:left w:val="nil"/>
              <w:bottom w:val="nil"/>
              <w:right w:val="nil"/>
            </w:tcBorders>
            <w:shd w:val="clear" w:color="auto" w:fill="auto"/>
            <w:noWrap/>
            <w:vAlign w:val="center"/>
            <w:hideMark/>
          </w:tcPr>
          <w:p w14:paraId="46578A0C" w14:textId="77777777" w:rsidR="006629C1" w:rsidRPr="003678AC" w:rsidRDefault="006629C1" w:rsidP="00D20AC1">
            <w:pPr>
              <w:jc w:val="center"/>
              <w:rPr>
                <w:color w:val="000000"/>
              </w:rPr>
            </w:pPr>
            <w:r w:rsidRPr="003678AC">
              <w:rPr>
                <w:color w:val="000000"/>
              </w:rPr>
              <w:t>-1.9203</w:t>
            </w:r>
          </w:p>
        </w:tc>
        <w:tc>
          <w:tcPr>
            <w:tcW w:w="1554" w:type="dxa"/>
            <w:tcBorders>
              <w:top w:val="nil"/>
              <w:left w:val="nil"/>
              <w:bottom w:val="nil"/>
              <w:right w:val="nil"/>
            </w:tcBorders>
            <w:shd w:val="clear" w:color="auto" w:fill="auto"/>
            <w:noWrap/>
            <w:vAlign w:val="center"/>
            <w:hideMark/>
          </w:tcPr>
          <w:p w14:paraId="2757D816" w14:textId="77777777" w:rsidR="006629C1" w:rsidRPr="003678AC" w:rsidRDefault="006629C1" w:rsidP="00D20AC1">
            <w:pPr>
              <w:jc w:val="center"/>
              <w:rPr>
                <w:color w:val="000000"/>
              </w:rPr>
            </w:pPr>
            <w:r w:rsidRPr="003678AC">
              <w:rPr>
                <w:color w:val="000000"/>
              </w:rPr>
              <w:t>0.065</w:t>
            </w:r>
          </w:p>
        </w:tc>
        <w:tc>
          <w:tcPr>
            <w:tcW w:w="1447" w:type="dxa"/>
            <w:tcBorders>
              <w:top w:val="nil"/>
              <w:left w:val="nil"/>
              <w:bottom w:val="nil"/>
              <w:right w:val="nil"/>
            </w:tcBorders>
            <w:shd w:val="clear" w:color="auto" w:fill="auto"/>
            <w:noWrap/>
            <w:vAlign w:val="center"/>
            <w:hideMark/>
          </w:tcPr>
          <w:p w14:paraId="700982C8" w14:textId="77777777" w:rsidR="006629C1" w:rsidRPr="003678AC" w:rsidRDefault="006629C1" w:rsidP="00D20AC1">
            <w:pPr>
              <w:jc w:val="center"/>
              <w:rPr>
                <w:color w:val="000000"/>
              </w:rPr>
            </w:pPr>
            <w:r w:rsidRPr="003678AC">
              <w:rPr>
                <w:color w:val="000000"/>
              </w:rPr>
              <w:t>2.1882</w:t>
            </w:r>
          </w:p>
        </w:tc>
        <w:tc>
          <w:tcPr>
            <w:tcW w:w="1699" w:type="dxa"/>
            <w:tcBorders>
              <w:top w:val="nil"/>
              <w:left w:val="nil"/>
              <w:bottom w:val="nil"/>
              <w:right w:val="nil"/>
            </w:tcBorders>
            <w:shd w:val="clear" w:color="auto" w:fill="auto"/>
            <w:noWrap/>
            <w:vAlign w:val="center"/>
            <w:hideMark/>
          </w:tcPr>
          <w:p w14:paraId="37EB14BD" w14:textId="77777777" w:rsidR="006629C1" w:rsidRPr="003678AC" w:rsidRDefault="006629C1" w:rsidP="00D20AC1">
            <w:pPr>
              <w:jc w:val="center"/>
              <w:rPr>
                <w:color w:val="000000"/>
              </w:rPr>
            </w:pPr>
            <w:r w:rsidRPr="003678AC">
              <w:rPr>
                <w:color w:val="000000"/>
              </w:rPr>
              <w:t>0.145</w:t>
            </w:r>
          </w:p>
        </w:tc>
      </w:tr>
      <w:tr w:rsidR="006629C1" w:rsidRPr="003678AC" w14:paraId="4EB68277" w14:textId="77777777" w:rsidTr="00D20AC1">
        <w:trPr>
          <w:trHeight w:val="304"/>
          <w:jc w:val="center"/>
        </w:trPr>
        <w:tc>
          <w:tcPr>
            <w:tcW w:w="2590" w:type="dxa"/>
            <w:tcBorders>
              <w:top w:val="nil"/>
              <w:left w:val="nil"/>
              <w:bottom w:val="nil"/>
              <w:right w:val="nil"/>
            </w:tcBorders>
            <w:shd w:val="clear" w:color="auto" w:fill="auto"/>
            <w:noWrap/>
            <w:vAlign w:val="center"/>
            <w:hideMark/>
          </w:tcPr>
          <w:p w14:paraId="75A07F6E" w14:textId="77777777" w:rsidR="006629C1" w:rsidRPr="003678AC" w:rsidRDefault="006629C1" w:rsidP="00D20AC1">
            <w:pPr>
              <w:jc w:val="center"/>
              <w:rPr>
                <w:color w:val="000000"/>
              </w:rPr>
            </w:pPr>
            <w:r w:rsidRPr="003678AC">
              <w:rPr>
                <w:color w:val="000000"/>
              </w:rPr>
              <w:t>4</w:t>
            </w:r>
          </w:p>
        </w:tc>
        <w:tc>
          <w:tcPr>
            <w:tcW w:w="1477" w:type="dxa"/>
            <w:tcBorders>
              <w:top w:val="nil"/>
              <w:left w:val="nil"/>
              <w:bottom w:val="nil"/>
              <w:right w:val="nil"/>
            </w:tcBorders>
            <w:shd w:val="clear" w:color="auto" w:fill="auto"/>
            <w:noWrap/>
            <w:vAlign w:val="center"/>
            <w:hideMark/>
          </w:tcPr>
          <w:p w14:paraId="29459247" w14:textId="77777777" w:rsidR="006629C1" w:rsidRPr="003678AC" w:rsidRDefault="006629C1" w:rsidP="00D20AC1">
            <w:pPr>
              <w:jc w:val="center"/>
              <w:rPr>
                <w:color w:val="000000"/>
              </w:rPr>
            </w:pPr>
            <w:r w:rsidRPr="003678AC">
              <w:rPr>
                <w:color w:val="000000"/>
              </w:rPr>
              <w:t>-2.3941</w:t>
            </w:r>
          </w:p>
        </w:tc>
        <w:tc>
          <w:tcPr>
            <w:tcW w:w="1554" w:type="dxa"/>
            <w:tcBorders>
              <w:top w:val="nil"/>
              <w:left w:val="nil"/>
              <w:bottom w:val="nil"/>
              <w:right w:val="nil"/>
            </w:tcBorders>
            <w:shd w:val="clear" w:color="auto" w:fill="auto"/>
            <w:noWrap/>
            <w:vAlign w:val="center"/>
            <w:hideMark/>
          </w:tcPr>
          <w:p w14:paraId="6D09763F" w14:textId="77777777" w:rsidR="006629C1" w:rsidRPr="003678AC" w:rsidRDefault="006629C1" w:rsidP="00D20AC1">
            <w:pPr>
              <w:jc w:val="center"/>
              <w:rPr>
                <w:color w:val="000000"/>
              </w:rPr>
            </w:pPr>
            <w:r w:rsidRPr="003678AC">
              <w:rPr>
                <w:color w:val="000000"/>
              </w:rPr>
              <w:t>0.024*</w:t>
            </w:r>
          </w:p>
        </w:tc>
        <w:tc>
          <w:tcPr>
            <w:tcW w:w="1447" w:type="dxa"/>
            <w:tcBorders>
              <w:top w:val="nil"/>
              <w:left w:val="nil"/>
              <w:bottom w:val="nil"/>
              <w:right w:val="nil"/>
            </w:tcBorders>
            <w:shd w:val="clear" w:color="auto" w:fill="auto"/>
            <w:noWrap/>
            <w:vAlign w:val="center"/>
            <w:hideMark/>
          </w:tcPr>
          <w:p w14:paraId="1F0A4188" w14:textId="77777777" w:rsidR="006629C1" w:rsidRPr="003678AC" w:rsidRDefault="006629C1" w:rsidP="00D20AC1">
            <w:pPr>
              <w:jc w:val="center"/>
              <w:rPr>
                <w:color w:val="000000"/>
              </w:rPr>
            </w:pPr>
            <w:r w:rsidRPr="003678AC">
              <w:rPr>
                <w:color w:val="000000"/>
              </w:rPr>
              <w:t>0.4312</w:t>
            </w:r>
          </w:p>
        </w:tc>
        <w:tc>
          <w:tcPr>
            <w:tcW w:w="1699" w:type="dxa"/>
            <w:tcBorders>
              <w:top w:val="nil"/>
              <w:left w:val="nil"/>
              <w:bottom w:val="nil"/>
              <w:right w:val="nil"/>
            </w:tcBorders>
            <w:shd w:val="clear" w:color="auto" w:fill="auto"/>
            <w:noWrap/>
            <w:vAlign w:val="center"/>
            <w:hideMark/>
          </w:tcPr>
          <w:p w14:paraId="6780AE95" w14:textId="77777777" w:rsidR="006629C1" w:rsidRPr="003678AC" w:rsidRDefault="006629C1" w:rsidP="00D20AC1">
            <w:pPr>
              <w:jc w:val="center"/>
              <w:rPr>
                <w:color w:val="000000"/>
              </w:rPr>
            </w:pPr>
            <w:r w:rsidRPr="003678AC">
              <w:rPr>
                <w:color w:val="000000"/>
              </w:rPr>
              <w:t>0.514</w:t>
            </w:r>
          </w:p>
        </w:tc>
      </w:tr>
      <w:tr w:rsidR="006629C1" w:rsidRPr="003678AC" w14:paraId="4AB1CA54" w14:textId="77777777" w:rsidTr="00D20AC1">
        <w:trPr>
          <w:trHeight w:val="304"/>
          <w:jc w:val="center"/>
        </w:trPr>
        <w:tc>
          <w:tcPr>
            <w:tcW w:w="2590" w:type="dxa"/>
            <w:tcBorders>
              <w:top w:val="nil"/>
              <w:left w:val="nil"/>
              <w:bottom w:val="single" w:sz="4" w:space="0" w:color="auto"/>
              <w:right w:val="nil"/>
            </w:tcBorders>
            <w:shd w:val="clear" w:color="auto" w:fill="auto"/>
            <w:noWrap/>
            <w:vAlign w:val="center"/>
            <w:hideMark/>
          </w:tcPr>
          <w:p w14:paraId="4AB7DE21" w14:textId="77777777" w:rsidR="006629C1" w:rsidRPr="003678AC" w:rsidRDefault="006629C1" w:rsidP="00D20AC1">
            <w:pPr>
              <w:jc w:val="center"/>
              <w:rPr>
                <w:color w:val="000000"/>
              </w:rPr>
            </w:pPr>
            <w:r w:rsidRPr="003678AC">
              <w:rPr>
                <w:color w:val="000000"/>
              </w:rPr>
              <w:t>5</w:t>
            </w:r>
          </w:p>
        </w:tc>
        <w:tc>
          <w:tcPr>
            <w:tcW w:w="1477" w:type="dxa"/>
            <w:tcBorders>
              <w:top w:val="nil"/>
              <w:left w:val="nil"/>
              <w:bottom w:val="single" w:sz="4" w:space="0" w:color="auto"/>
              <w:right w:val="nil"/>
            </w:tcBorders>
            <w:shd w:val="clear" w:color="auto" w:fill="auto"/>
            <w:noWrap/>
            <w:vAlign w:val="center"/>
            <w:hideMark/>
          </w:tcPr>
          <w:p w14:paraId="0AD17C19" w14:textId="77777777" w:rsidR="006629C1" w:rsidRPr="003678AC" w:rsidRDefault="006629C1" w:rsidP="00D20AC1">
            <w:pPr>
              <w:jc w:val="center"/>
              <w:rPr>
                <w:color w:val="000000"/>
              </w:rPr>
            </w:pPr>
            <w:r w:rsidRPr="003678AC">
              <w:rPr>
                <w:color w:val="000000"/>
              </w:rPr>
              <w:t>-2.4718</w:t>
            </w:r>
          </w:p>
        </w:tc>
        <w:tc>
          <w:tcPr>
            <w:tcW w:w="1554" w:type="dxa"/>
            <w:tcBorders>
              <w:top w:val="nil"/>
              <w:left w:val="nil"/>
              <w:bottom w:val="single" w:sz="4" w:space="0" w:color="auto"/>
              <w:right w:val="nil"/>
            </w:tcBorders>
            <w:shd w:val="clear" w:color="auto" w:fill="auto"/>
            <w:noWrap/>
            <w:vAlign w:val="center"/>
            <w:hideMark/>
          </w:tcPr>
          <w:p w14:paraId="219271F9" w14:textId="77777777" w:rsidR="006629C1" w:rsidRPr="003678AC" w:rsidRDefault="006629C1" w:rsidP="00D20AC1">
            <w:pPr>
              <w:jc w:val="center"/>
              <w:rPr>
                <w:color w:val="000000"/>
              </w:rPr>
            </w:pPr>
            <w:r w:rsidRPr="003678AC">
              <w:rPr>
                <w:color w:val="000000"/>
              </w:rPr>
              <w:t>0.020*</w:t>
            </w:r>
          </w:p>
        </w:tc>
        <w:tc>
          <w:tcPr>
            <w:tcW w:w="1447" w:type="dxa"/>
            <w:tcBorders>
              <w:top w:val="nil"/>
              <w:left w:val="nil"/>
              <w:bottom w:val="single" w:sz="4" w:space="0" w:color="auto"/>
              <w:right w:val="nil"/>
            </w:tcBorders>
            <w:shd w:val="clear" w:color="auto" w:fill="auto"/>
            <w:noWrap/>
            <w:vAlign w:val="center"/>
            <w:hideMark/>
          </w:tcPr>
          <w:p w14:paraId="0A2B1B5A" w14:textId="77777777" w:rsidR="006629C1" w:rsidRPr="003678AC" w:rsidRDefault="006629C1" w:rsidP="00D20AC1">
            <w:pPr>
              <w:jc w:val="center"/>
              <w:rPr>
                <w:color w:val="000000"/>
              </w:rPr>
            </w:pPr>
            <w:r w:rsidRPr="003678AC">
              <w:rPr>
                <w:color w:val="000000"/>
              </w:rPr>
              <w:t>0.1216</w:t>
            </w:r>
          </w:p>
        </w:tc>
        <w:tc>
          <w:tcPr>
            <w:tcW w:w="1699" w:type="dxa"/>
            <w:tcBorders>
              <w:top w:val="nil"/>
              <w:left w:val="nil"/>
              <w:bottom w:val="single" w:sz="4" w:space="0" w:color="auto"/>
              <w:right w:val="nil"/>
            </w:tcBorders>
            <w:shd w:val="clear" w:color="auto" w:fill="auto"/>
            <w:noWrap/>
            <w:vAlign w:val="center"/>
            <w:hideMark/>
          </w:tcPr>
          <w:p w14:paraId="32C50085" w14:textId="77777777" w:rsidR="006629C1" w:rsidRPr="003678AC" w:rsidRDefault="006629C1" w:rsidP="00D20AC1">
            <w:pPr>
              <w:jc w:val="center"/>
              <w:rPr>
                <w:color w:val="000000"/>
              </w:rPr>
            </w:pPr>
            <w:r w:rsidRPr="003678AC">
              <w:rPr>
                <w:color w:val="000000"/>
              </w:rPr>
              <w:t>0.728</w:t>
            </w:r>
          </w:p>
        </w:tc>
      </w:tr>
    </w:tbl>
    <w:p w14:paraId="21ABD474" w14:textId="77777777" w:rsidR="006629C1" w:rsidRPr="003678AC" w:rsidRDefault="006629C1" w:rsidP="006629C1">
      <w:pPr>
        <w:spacing w:line="360" w:lineRule="auto"/>
        <w:rPr>
          <w:color w:val="000000" w:themeColor="text1"/>
        </w:rPr>
      </w:pPr>
      <w:r w:rsidRPr="003678AC">
        <w:rPr>
          <w:color w:val="000000" w:themeColor="text1"/>
        </w:rPr>
        <w:br w:type="page"/>
      </w:r>
    </w:p>
    <w:p w14:paraId="655DB5C6" w14:textId="6DCD1950" w:rsidR="002A797A" w:rsidRPr="001E4901" w:rsidRDefault="002A797A" w:rsidP="002A797A">
      <w:pPr>
        <w:spacing w:line="360" w:lineRule="auto"/>
        <w:rPr>
          <w:color w:val="000000" w:themeColor="text1"/>
        </w:rPr>
      </w:pPr>
      <w:r w:rsidRPr="001E4901">
        <w:rPr>
          <w:color w:val="000000" w:themeColor="text1"/>
        </w:rPr>
        <w:lastRenderedPageBreak/>
        <w:t xml:space="preserve">bacterial communities within the rhizosphere of </w:t>
      </w:r>
      <w:r w:rsidRPr="001E4901">
        <w:rPr>
          <w:i/>
          <w:color w:val="000000" w:themeColor="text1"/>
        </w:rPr>
        <w:t>Salvia lyrata</w:t>
      </w:r>
      <w:r w:rsidRPr="001E4901">
        <w:rPr>
          <w:color w:val="000000" w:themeColor="text1"/>
        </w:rPr>
        <w:t xml:space="preserve">, we were able to obtain a more holistic characterization of the rhizosphere microbiome and show that samples from a coarser grain (pooled samples </w:t>
      </w:r>
      <w:r w:rsidRPr="001E4901">
        <w:rPr>
          <w:i/>
          <w:color w:val="000000" w:themeColor="text1"/>
        </w:rPr>
        <w:t>in vitro</w:t>
      </w:r>
      <w:r w:rsidRPr="001E4901">
        <w:rPr>
          <w:iCs/>
          <w:color w:val="000000" w:themeColor="text1"/>
        </w:rPr>
        <w:t>)</w:t>
      </w:r>
      <w:r w:rsidRPr="001E4901">
        <w:rPr>
          <w:color w:val="000000" w:themeColor="text1"/>
        </w:rPr>
        <w:t xml:space="preserve"> have higher rarefied abundance in reads than samples from individual rhizosphere depths. (3) </w:t>
      </w:r>
      <w:r w:rsidR="009B76B7" w:rsidRPr="001E4901">
        <w:rPr>
          <w:color w:val="000000" w:themeColor="text1"/>
        </w:rPr>
        <w:t xml:space="preserve">With increased fine grain sampling (i.e., pooling </w:t>
      </w:r>
      <w:r w:rsidR="009B76B7" w:rsidRPr="001E4901">
        <w:rPr>
          <w:i/>
          <w:iCs/>
          <w:color w:val="000000" w:themeColor="text1"/>
        </w:rPr>
        <w:t>in silico</w:t>
      </w:r>
      <w:r w:rsidR="009B76B7" w:rsidRPr="001E4901">
        <w:rPr>
          <w:color w:val="000000" w:themeColor="text1"/>
        </w:rPr>
        <w:t xml:space="preserve">) </w:t>
      </w:r>
      <w:proofErr w:type="gramStart"/>
      <w:r w:rsidR="009B76B7" w:rsidRPr="001E4901">
        <w:rPr>
          <w:color w:val="000000" w:themeColor="text1"/>
        </w:rPr>
        <w:t>more rare</w:t>
      </w:r>
      <w:proofErr w:type="gramEnd"/>
      <w:r w:rsidR="009B76B7" w:rsidRPr="001E4901">
        <w:rPr>
          <w:color w:val="000000" w:themeColor="text1"/>
        </w:rPr>
        <w:t xml:space="preserve"> ASVs are captured and thus a greater amount of spatial heterogeneity in microbial richness is observed. </w:t>
      </w:r>
      <w:r w:rsidRPr="00B73E8F">
        <w:rPr>
          <w:color w:val="000000" w:themeColor="text1"/>
        </w:rPr>
        <w:t xml:space="preserve">Lastly, samples pooled </w:t>
      </w:r>
      <w:r w:rsidRPr="00B73E8F">
        <w:rPr>
          <w:i/>
          <w:iCs/>
          <w:color w:val="000000" w:themeColor="text1"/>
        </w:rPr>
        <w:t>in silico</w:t>
      </w:r>
      <w:r w:rsidRPr="00B73E8F">
        <w:rPr>
          <w:color w:val="000000" w:themeColor="text1"/>
        </w:rPr>
        <w:t xml:space="preserve"> have less dispersion in rarefied ASV richness and relative abundance in the number of reads than pooling </w:t>
      </w:r>
      <w:r w:rsidRPr="00920A60">
        <w:rPr>
          <w:i/>
          <w:iCs/>
          <w:color w:val="000000" w:themeColor="text1"/>
        </w:rPr>
        <w:t>in vitro</w:t>
      </w:r>
      <w:r w:rsidRPr="00920A60">
        <w:rPr>
          <w:color w:val="000000" w:themeColor="text1"/>
        </w:rPr>
        <w:t xml:space="preserve">. </w:t>
      </w:r>
    </w:p>
    <w:p w14:paraId="57135E98" w14:textId="0776003E" w:rsidR="002A797A" w:rsidRPr="001E4901" w:rsidRDefault="002A797A" w:rsidP="002A797A">
      <w:pPr>
        <w:pStyle w:val="Heading3"/>
      </w:pPr>
      <w:bookmarkStart w:id="37" w:name="_Toc102048005"/>
      <w:r w:rsidRPr="001E4901">
        <w:t>Bacterial communities are spatial structured across rhizosphere depths</w:t>
      </w:r>
      <w:bookmarkEnd w:id="37"/>
      <w:r w:rsidRPr="001E4901">
        <w:t xml:space="preserve"> </w:t>
      </w:r>
    </w:p>
    <w:p w14:paraId="1D20DC1D" w14:textId="3AEBC44C" w:rsidR="002A797A" w:rsidRPr="00B73E8F" w:rsidRDefault="002A797A" w:rsidP="002A797A">
      <w:pPr>
        <w:spacing w:line="360" w:lineRule="auto"/>
        <w:rPr>
          <w:color w:val="000000" w:themeColor="text1"/>
        </w:rPr>
      </w:pPr>
      <w:r w:rsidRPr="001E4901">
        <w:rPr>
          <w:color w:val="000000" w:themeColor="text1"/>
        </w:rPr>
        <w:tab/>
        <w:t xml:space="preserve">The rhizosphere is a highly context dependent microhabitat with transient, diurnal cycles of rhizosphere soil temperature and moisture driving microbial community composition </w:t>
      </w:r>
      <w:r w:rsidRPr="00B73E8F">
        <w:rPr>
          <w:color w:val="000000" w:themeColor="text1"/>
        </w:rPr>
        <w:fldChar w:fldCharType="begin" w:fldLock="1"/>
      </w:r>
      <w:r w:rsidR="006E1F09">
        <w:rPr>
          <w:color w:val="000000" w:themeColor="text1"/>
        </w:rPr>
        <w:instrText>ADDIN CSL_CITATION {"citationItems":[{"id":"ITEM-1","itemData":{"DOI":"10.1016/j.phytochem.2019.01.015","ISSN":"00319422","abstract":"Root exudation is considered to regulate the abundance of the microbial community. It may vary both qualitatively and quantitatively in response to the environment in which the plant is growing. A part of exuded N derives from amino acids (AAs). This, in turn, may help plants to cope with abiotic stresses by favouring positive interactions with the rhizosphere environment, thus playing a potential role in maintaining healthy plants. In this respect, an under-investigated area is the effect of stress due to water deficit (WD). It is proposed that the AA profile in the rhizosphere may be altered by WD, reflecting a modulation of root AA exudation linked to a physiological response of the plant to water stress. To investigate this, Pisum sativum L. plants, grown in unsterilised Rhizobium leguminosarum-enriched soil, were stem-labelled with 15 N-urea for 96 h, and then subjected/not subjected to 72 h of WD. The concentrations and abundance of 15 N-labelling in individual AAs were determined in both roots and the associated rhizosphere at 24, 48 and 72 h after stress application. It was found that both AAs metabolism in the pea root and AAs exudation were strongly modified in WD conditions. After 24 h of WD, the concentrations of all measured AAs increased in the roots, accompanied by a dramatic stress-related increase in the 15 N-labelling of some AAs. Furthermore, after 48–72 h of WD, the concentrations of Pro, Ala and Glu increased significantly within the rhizosphere, notably with a concomitant increase in 15 N-enrichment in Pro, Ser, Asn, Asp, Thr and Ile. These results support the concept that, in response to WD, substantial amounts of recently assimilated N are rapidly translocated from the shoots to the roots, a portion of which is exuded as AAs. This leads to the rhizosphere being relatively augmented by specific AAs (notably HSer, Pro and Ala) in WD conditions, with a potential impact on soil water retention.","author":[{"dropping-particle":"","family":"Bobille","given":"Hélène","non-dropping-particle":"","parse-names":false,"suffix":""},{"dropping-particle":"","family":"Fustec","given":"Joëlle","non-dropping-particle":"","parse-names":false,"suffix":""},{"dropping-particle":"","family":"Robins","given":"Richard J.","non-dropping-particle":"","parse-names":false,"suffix":""},{"dropping-particle":"","family":"Cukier","given":"Caroline","non-dropping-particle":"","parse-names":false,"suffix":""},{"dropping-particle":"","family":"Limami","given":"Anis M.","non-dropping-particle":"","parse-names":false,"suffix":""}],"container-title":"Phytochemistry","id":"ITEM-1","issue":"January","issued":{"date-parts":[["2019"]]},"page":"75-85","publisher":"Elsevier","title":"Effect of water availability on changes in root amino acids and associated rhizosphere on root exudation of amino acids in Pisum sativum L.","type":"article-journal","volume":"161"},"uris":["http://www.mendeley.com/documents/?uuid=564d6c54-b9cc-4a5f-bcd5-0a6ae2fe348a"]},{"id":"ITEM-2","itemData":{"DOI":"10.7717/peerj.7526","ISSN":"2167-8359","abstract":" The seasonal dynamics of microbial diversity within the rhizosphere of Ulmus pumila L. var. sabulosa in the hinterland of the Otindag Sandy Land of China were investigated using high-throughput sequencing of bacterial 16S rRNA genes and fungal ITS region sequences. A significant level of bacterial and fungal diversity was observed overall, with detection of 7,676 bacterial Operational Taxonomic Units (OTUs) belonging to 40 bacteria phyla and 3,582 fungal OTUs belonging to six phyla. Proteobacteria, Actinobacteria, and Firmicutes were the dominant bacterial phyla among communities, while Ascomycota, Basidiomycota, and Zygomycota were the dominant phyla of fungal communities. Seasonal changes influenced the α-diversity and β-diversity of bacterial communities within elm rhizospheres more than for fungal communities. Inferred functional analysis of the bacterial communities identified evidence for 41 level two KEGG (Kyoto Encyclopedia of Genes and Genomes) orthology groups, while guild-based analysis of the fungal communities identified eight ecological guilds. Metabolism was the most prevalent bacterial functional group, while saprotrophs prevailed among the identified fungal ecological guilds. Soil moisture and soil nutrient content were important factors that affected the microbial community structures of elm rhizospheres across seasons. The present pilot study provides an important baseline investigation of elm rhizosphere microbial communities. ","author":[{"dropping-particle":"","family":"Liang","given":"Tianyu","non-dropping-particle":"","parse-names":false,"suffix":""},{"dropping-particle":"","family":"Yang","given":"Guang","non-dropping-particle":"","parse-names":false,"suffix":""},{"dropping-particle":"","family":"Ma","given":"Yunxia","non-dropping-particle":"","parse-names":false,"suffix":""},{"dropping-particle":"","family":"Yao","given":"Qingzhi","non-dropping-particle":"","parse-names":false,"suffix":""},{"dropping-particle":"","family":"Ma","given":"Yuan","non-dropping-particle":"","parse-names":false,"suffix":""},{"dropping-particle":"","family":"Ma","given":"Hui","non-dropping-particle":"","parse-names":false,"suffix":""},{"dropping-particle":"","family":"Hu","given":"Yang","non-dropping-particle":"","parse-names":false,"suffix":""},{"dropping-particle":"","family":"Yang","given":"Ying","non-dropping-particle":"","parse-names":false,"suffix":""},{"dropping-particle":"","family":"Wang","given":"Shaoxiong","non-dropping-particle":"","parse-names":false,"suffix":""},{"dropping-particle":"","family":"Pan","given":"Yiyong","non-dropping-particle":"","parse-names":false,"suffix":""},{"dropping-particle":"","family":"Li","given":"Gangtie","non-dropping-particle":"","parse-names":false,"suffix":""}],"container-title":"PeerJ","id":"ITEM-2","issued":{"date-parts":[["2019"]]},"page":"e7526","title":" Seasonal dynamics of microbial diversity in the rhizosphere of Ulmus pumila L. var. sabulosa in a steppe desert area of Northern China ","type":"article-journal","volume":"7"},"uris":["http://www.mendeley.com/documents/?uuid=4d3fa4f4-e891-4273-971a-5af53cbfd498"]}],"mendeley":{"formattedCitation":"(Bobille et al., 2019; Liang et al., 2019)","plainTextFormattedCitation":"(Bobille et al., 2019; Liang et al., 2019)","previouslyFormattedCitation":"(Bobille et al., 2019; Liang et al., 2019)"},"properties":{"noteIndex":0},"schema":"https://github.com/citation-style-language/schema/raw/master/csl-citation.json"}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(Bobille et al., 2019; Liang et al., 2019)</w:t>
      </w:r>
      <w:r w:rsidRPr="00B73E8F">
        <w:rPr>
          <w:color w:val="000000" w:themeColor="text1"/>
        </w:rPr>
        <w:fldChar w:fldCharType="end"/>
      </w:r>
      <w:r w:rsidRPr="00B73E8F">
        <w:rPr>
          <w:color w:val="000000" w:themeColor="text1"/>
        </w:rPr>
        <w:t xml:space="preserve">. Further, the structure of bacterial communities within the rhizosphere is partially explained by plant species, genotype, and developmental age </w:t>
      </w:r>
      <w:r w:rsidRPr="00B73E8F">
        <w:rPr>
          <w:color w:val="000000" w:themeColor="text1"/>
        </w:rPr>
        <w:fldChar w:fldCharType="begin" w:fldLock="1"/>
      </w:r>
      <w:r w:rsidR="006E1F09">
        <w:rPr>
          <w:color w:val="000000" w:themeColor="text1"/>
        </w:rPr>
        <w:instrText>ADDIN CSL_CITATION {"citationItems":[{"id":"ITEM-1","itemData":{"DOI":"10.1111/j.1574-6941.2009.00654.x","ISBN":"0168-6496","ISSN":"01686496","PMID":"19243436","abstract":"The rhizosphere is of central importance not only for plant nutrition, health and quality but also for microorganism-driven carbon sequestration, ecosystem functioning and nutrient cycling in terrestrial ecosystems. A multitude of biotic and abiotic factors are assumed to influence the structural and functional diversity of microbial communities in the rhizosphere. In this review, recent studies on the influence of the two factors, plant species and soil type, on rhizosphere-associated microbial communities are discussed. Root exudates and the response of microorganisms to the latter as well as to root morphology were shown to shape rhizosphere microbial communities. All studies revealed that soil is the main reservoir for rhizosphere microorganisms. Many secrets of microbial life in the rhizosphere were recently uncovered due to the enormous progress in molecular and microscopic tools. Physiological and molecular data on the factors that drive selection processes in the rhizosphere are presented here. Furthermore, implications for agriculture, nature conservation and biotechnology will also be discussed.","author":[{"dropping-particle":"","family":"Berg","given":"Gabriele","non-dropping-particle":"","parse-names":false,"suffix":""},{"dropping-particle":"","family":"Smalla","given":"Kornelia","non-dropping-particle":"","parse-names":false,"suffix":""}],"container-title":"FEMS Microbiology Ecology","id":"ITEM-1","issue":"1","issued":{"date-parts":[["2009"]]},"page":"1-13","title":"Plant species and soil type cooperatively shape the structure and function of microbial communities in the rhizosphere","type":"article-journal","volume":"68"},"uris":["http://www.mendeley.com/documents/?uuid=9c860310-67c9-465b-80d5-686c941363a7"]},{"id":"ITEM-2","itemData":{"DOI":"10.1111/j.0030-1299.2005.13650.x","ISSN":"00301299","abstract":"We examined how plant genetic variation and a common herbivore (the leaf-galling aphid, Pemphigus betae) influenced leaf litter quality, decomposition, and nutrient dynamics in a dominant riparian tree (Populus spp.). Based on both observational studies and a herbivore exclusion experiment using trees of known genotype, we found four major patterns: 1) the quality of galled vs non-galled or gall-excluded litter significantly differed in the concentration of condensed tannins, lignin, nitrogen and phosphorus; 2) the difference in litter quality resulted in galled litter decomposing at rates 34 to 40% slower than non-galled litter; 3) plant genotype and herbivory had similar effects on the magnitude of decomposition rate constants; and 4) plant genotype mediated the herbivore effects on leaf litter quality and decomposition, as there were genotype-specific responses to herbivory independent of herbivore density. In contrast to other studies that have demonstrated accelerated ecosystem properties in response to arthropod herbivory, our findings argue that herbivore-induced secondary compounds decelerated ecosystem properties though their ‘‘after-life’’ effects on litter quality. Furthermore, these data are among the first to suggest that genotype-specific responses to herbivores can have a major impact on decomposition and nutrient flux, which likely has important consequences for the spatial distribution of nutrients at the landscape level. Due to the magnitude of these effects, we contend that it is important to incorporate a genetic perspective into ecosystem studies.","author":[{"dropping-particle":"","family":"Schweitzer","given":"Jennifer A.","non-dropping-particle":"","parse-names":false,"suffix":""},{"dropping-particle":"","family":"Bailey","given":"Joseph K.","non-dropping-particle":"","parse-names":false,"suffix":""},{"dropping-particle":"","family":"Hart","given":"Stephen C.","non-dropping-particle":"","parse-names":false,"suffix":""},{"dropping-particle":"","family":"Wimp","given":"Gina M.","non-dropping-particle":"","parse-names":false,"suffix":""},{"dropping-particle":"","family":"Chapman","given":"Samantha K.","non-dropping-particle":"","parse-names":false,"suffix":""},{"dropping-particle":"","family":"Whitham","given":"Thomas G.","non-dropping-particle":"","parse-names":false,"suffix":""}],"container-title":"Oikos","id":"ITEM-2","issue":"1","issued":{"date-parts":[["2005"]]},"page":"133-145","title":"The interaction of plant genotype and herbivory decelerate leaf litter decomposition and alter nutrient dynamics","type":"article-journal","volume":"110"},"uris":["http://www.mendeley.com/documents/?uuid=d56fde73-fca2-4064-8f35-7cd72e561d20"]},{"id":"ITEM-3","itemData":{"DOI":"10.1038/nrmicro.2017.87","ISSN":"17401534","abstract":"Soil contains a vast diversity of microorganisms that can directly or indirectly modulate soil processes and terrestrial ecosystems. In this Review, Fierer summarizes the challenges in characterizing the composition and functions of the soil microbiome, and discusses key future research directions.","author":[{"dropping-particle":"","family":"Fierer","given":"Noah","non-dropping-particle":"","parse-names":false,"suffix":""}],"container-title":"Nature Reviews Microbiology","id":"ITEM-3","issue":"10","issued":{"date-parts":[["2017"]]},"page":"579-590","publisher":"Nature Publishing Group","title":"Embracing the unknown: Disentangling the complexities of the soil microbiome","type":"article-journal","volume":"15"},"uris":["http://www.mendeley.com/documents/?uuid=ba6198e2-9d61-432c-8e8c-484ffdcb122d"]}],"mendeley":{"formattedCitation":"(Schweitzer et al., 2005; Berg and Smalla, 2009; Fierer, 2017)","plainTextFormattedCitation":"(Schweitzer et al., 2005; Berg and Smalla, 2009; Fierer, 2017)","previouslyFormattedCitation":"(Schweitzer et al., 2005; Berg and Smalla, 2009; Fierer, 2017)"},"properties":{"noteIndex":0},"schema":"https://github.com/citation-style-language/schema/raw/master/csl-citation.json"}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(Schweitzer et al., 2005; Berg and Smalla, 2009; Fierer, 2017)</w:t>
      </w:r>
      <w:r w:rsidRPr="00B73E8F">
        <w:rPr>
          <w:color w:val="000000" w:themeColor="text1"/>
        </w:rPr>
        <w:fldChar w:fldCharType="end"/>
      </w:r>
      <w:r w:rsidRPr="00B73E8F">
        <w:rPr>
          <w:color w:val="000000" w:themeColor="text1"/>
        </w:rPr>
        <w:t xml:space="preserve">. Previous studies characterized spatial differences in microbial community along the root length based on bacterial growth strategies and soil niche occupancy in nutrient limited environments </w:t>
      </w:r>
      <w:r w:rsidRPr="00B73E8F">
        <w:rPr>
          <w:color w:val="000000" w:themeColor="text1"/>
        </w:rPr>
        <w:fldChar w:fldCharType="begin" w:fldLock="1"/>
      </w:r>
      <w:r w:rsidR="006E1F09">
        <w:rPr>
          <w:color w:val="000000" w:themeColor="text1"/>
        </w:rPr>
        <w:instrText>ADDIN CSL_CITATION {"citationItems":[{"id":"ITEM-1","itemData":{"author":[{"dropping-particle":"","family":"Leij","given":"F.A.A.M.","non-dropping-particle":"De","parse-names":false,"suffix":""},{"dropping-particle":"","family":"Whipps","given":"J.M.","non-dropping-particle":"","parse-names":false,"suffix":""},{"dropping-particle":"","family":"Lynch","given":"J.M.","non-dropping-particle":"","parse-names":false,"suffix":""}],"container-title":"Microbial Ecology","id":"ITEM-1","issue":"1","issued":{"date-parts":[["1994"]]},"page":"81-97","title":"The Use of Colony Development for the Characterization of Bacterial Communities in Soil and on Roots","type":"article-journal","volume":"27"},"uris":["http://www.mendeley.com/documents/?uuid=5bb15ab9-374d-4225-8545-3c8089d156ab"]},{"id":"ITEM-2","itemData":{"DOI":"10.1146/annurev-micro-092611-150107","ISSN":"0066-4227","abstract":"The composition of the soil microbial community can be altered dramatically due to association with individual plant species, and these effects on the microbial community can have important feedbacks on plant ecology. Negative plant-soil feedback plays primary roles in maintaining plant community diversity, whereas positive plant-soil feedback may cause community conversion. Host-specific differentiation of the microbial community results from the trade-offs associated with overcoming plant defense and the specific benefits associated with plant rewards. Accumulation of host-specific pathogens likely generates negative feedback on the plant, while changes in the density of microbial mutualists likely generate positive feedback. However, the competitive dynamics among microbes depends on the multidimensional costs of virulence and mutualism, the fine-scale spatial structure within plant roots, and active plant allocation and localized defense. Because of this, incorporating a full view of microbial dynamics is essential to explaining the dynamics of plant-soil feedbacks and therefore plant community ecology.","author":[{"dropping-particle":"","family":"Bever","given":"James D.","non-dropping-particle":"","parse-names":false,"suffix":""},{"dropping-particle":"","family":"Platt","given":"Thomas G.","non-dropping-particle":"","parse-names":false,"suffix":""},{"dropping-particle":"","family":"Morton","given":"Elise R.","non-dropping-particle":"","parse-names":false,"suffix":""}],"container-title":"Annual Review of Microbiology","id":"ITEM-2","issue":"1","issued":{"date-parts":[["2012"]]},"page":"265-283","title":"Microbial Population and Community Dynamics on Plant Roots and Their Feedbacks on Plant Communities","type":"article-journal","volume":"66"},"uris":["http://www.mendeley.com/documents/?uuid=dd73e87b-45d1-402c-baae-f6a79e2f1bf0"]}],"mendeley":{"formattedCitation":"(De Leij et al., 1994; Bever et al., 2012)","plainTextFormattedCitation":"(De Leij et al., 1994; Bever et al., 2012)","previouslyFormattedCitation":"(De Leij et al., 1994; Bever et al., 2012)"},"properties":{"noteIndex":0},"schema":"https://github.com/citation-style-language/schema/raw/master/csl-citation.json"}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(De Leij et al., 1994; Bever et al., 2012)</w:t>
      </w:r>
      <w:r w:rsidRPr="00B73E8F">
        <w:rPr>
          <w:color w:val="000000" w:themeColor="text1"/>
        </w:rPr>
        <w:fldChar w:fldCharType="end"/>
      </w:r>
      <w:r w:rsidRPr="00B73E8F">
        <w:rPr>
          <w:color w:val="000000" w:themeColor="text1"/>
        </w:rPr>
        <w:t>. We can similarly infer that bacterial community richness and abundance are spatially distinct at our three tested rhizosphere depths (</w:t>
      </w:r>
      <w:r w:rsidR="005355D9">
        <w:rPr>
          <w:b/>
          <w:bCs/>
          <w:color w:val="000000" w:themeColor="text1"/>
        </w:rPr>
        <w:t>Figure</w:t>
      </w:r>
      <w:r w:rsidRPr="00821A77">
        <w:rPr>
          <w:b/>
          <w:bCs/>
          <w:color w:val="000000" w:themeColor="text1"/>
        </w:rPr>
        <w:t xml:space="preserve"> </w:t>
      </w:r>
      <w:r w:rsidR="000559D7">
        <w:rPr>
          <w:b/>
          <w:bCs/>
          <w:color w:val="000000" w:themeColor="text1"/>
        </w:rPr>
        <w:t>4</w:t>
      </w:r>
      <w:r w:rsidRPr="00B73E8F">
        <w:rPr>
          <w:color w:val="000000" w:themeColor="text1"/>
        </w:rPr>
        <w:t>). We see ea</w:t>
      </w:r>
      <w:r w:rsidRPr="00920A60">
        <w:rPr>
          <w:color w:val="000000" w:themeColor="text1"/>
        </w:rPr>
        <w:t>ch of the three rhizosphere depths grouping apart from one another, illustrating their unique microbial composition. Further on Axis 2</w:t>
      </w:r>
      <w:r w:rsidR="009B76B7">
        <w:rPr>
          <w:color w:val="000000" w:themeColor="text1"/>
        </w:rPr>
        <w:t>,</w:t>
      </w:r>
      <w:r w:rsidRPr="00920A60">
        <w:rPr>
          <w:color w:val="000000" w:themeColor="text1"/>
        </w:rPr>
        <w:t xml:space="preserve"> Depth B is grouped away from the other two depths, indicating that some microbiota within Depth B might experience </w:t>
      </w:r>
      <w:proofErr w:type="gramStart"/>
      <w:r w:rsidRPr="00920A60">
        <w:rPr>
          <w:color w:val="000000" w:themeColor="text1"/>
        </w:rPr>
        <w:t>more or less diurnal</w:t>
      </w:r>
      <w:proofErr w:type="gramEnd"/>
      <w:r w:rsidRPr="00920A60">
        <w:rPr>
          <w:color w:val="000000" w:themeColor="text1"/>
        </w:rPr>
        <w:t xml:space="preserve"> habitat fluctuations within the rhizosphere environment than the other two spatial depths which. For example, Depth A harbors the greatest heterogeneity in community structure in comparisons to other rhizosphere depths possibly due to incre</w:t>
      </w:r>
      <w:r w:rsidRPr="001E4901">
        <w:rPr>
          <w:color w:val="000000" w:themeColor="text1"/>
        </w:rPr>
        <w:t xml:space="preserve">ased contact with ambient oxygen and then influence of temperatures near the surface of rhizosphere soil </w:t>
      </w:r>
      <w:r w:rsidRPr="00B73E8F">
        <w:rPr>
          <w:color w:val="000000" w:themeColor="text1"/>
        </w:rPr>
        <w:fldChar w:fldCharType="begin" w:fldLock="1"/>
      </w:r>
      <w:r w:rsidR="006E1F09">
        <w:rPr>
          <w:color w:val="000000" w:themeColor="text1"/>
        </w:rPr>
        <w:instrText>ADDIN CSL_CITATION {"citationItems":[{"id":"ITEM-1","itemData":{"DOI":"10.1038/nrmicro3109","ISSN":"1740-1534","PMID":"24056930","abstract":"The rhizosphere is the interface between plant roots and soil where interactions among a myriad of microorganisms and invertebrates affect biogeochemical cycling, plant growth and tolerance to biotic and abiotic stress. The rhizosphere is intriguingly complex and dynamic, and understanding its ecology and evolution is key to enhancing plant productivity and ecosystem functioning. Novel insights into key factors and evolutionary processes shaping the rhizosphere microbiome will greatly benefit from integrating reductionist and systems-based approaches in both agricultural and natural ecosystems. Here, we discuss recent developments in rhizosphere research in relation to assessing the contribution of the micro- and macroflora to sustainable agriculture, nature conservation, the development of bio-energy crops and the mitigation of climate change.","author":[{"dropping-particle":"","family":"Philippot","given":"Laurent","non-dropping-particle":"","parse-names":false,"suffix":""},{"dropping-particle":"","family":"Raaijmakers","given":"Jos M","non-dropping-particle":"","parse-names":false,"suffix":""},{"dropping-particle":"","family":"Lemanceau","given":"Philippe","non-dropping-particle":"","parse-names":false,"suffix":""},{"dropping-particle":"","family":"Putten","given":"Wim H","non-dropping-particle":"van der","parse-names":false,"suffix":""}],"container-title":"Nature reviews. Microbiology","id":"ITEM-1","issue":"11","issued":{"date-parts":[["2013"]]},"page":"789-99","publisher":"Nature Publishing Group","title":"Going back to the roots: the microbial ecology of the rhizosphere.","type":"article-journal","volume":"11"},"uris":["http://www.mendeley.com/documents/?uuid=22e74fb9-3f8c-494a-ad9e-92725fdd9246"]}],"mendeley":{"formattedCitation":"(Philippot et al., 2013)","plainTextFormattedCitation":"(Philippot et al., 2013)","previouslyFormattedCitation":"(Philippot et al.,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(Philippot et al., 2013)</w:t>
      </w:r>
      <w:r w:rsidRPr="00B73E8F">
        <w:rPr>
          <w:color w:val="000000" w:themeColor="text1"/>
        </w:rPr>
        <w:fldChar w:fldCharType="end"/>
      </w:r>
      <w:r w:rsidRPr="00B73E8F">
        <w:rPr>
          <w:color w:val="000000" w:themeColor="text1"/>
        </w:rPr>
        <w:t>. Once phylogenetic relatedness was accounted for, the percent of total variation i</w:t>
      </w:r>
      <w:r w:rsidRPr="00920A60">
        <w:rPr>
          <w:color w:val="000000" w:themeColor="text1"/>
        </w:rPr>
        <w:t xml:space="preserve">n bacterial richness and abundance explained increased 1.86%. Since weighted </w:t>
      </w:r>
      <w:proofErr w:type="spellStart"/>
      <w:r w:rsidRPr="00920A60">
        <w:rPr>
          <w:color w:val="000000" w:themeColor="text1"/>
        </w:rPr>
        <w:t>UniFrac</w:t>
      </w:r>
      <w:proofErr w:type="spellEnd"/>
      <w:r w:rsidRPr="00920A60">
        <w:rPr>
          <w:color w:val="000000" w:themeColor="text1"/>
        </w:rPr>
        <w:t xml:space="preserve"> calculates the proportion of unique branches in our phylogeny against the total number of branches, we were able to interpret this as each rhizosphere depth containing phy</w:t>
      </w:r>
      <w:r w:rsidRPr="001E4901">
        <w:rPr>
          <w:color w:val="000000" w:themeColor="text1"/>
        </w:rPr>
        <w:t xml:space="preserve">logenetically distinct microbial communities (p&lt;0.001). However, our multivariate models show a large amount of variation in rhizosphere community structure explained by the plant itself (52.7% and 82.2% for models using the quantitative Jaccard and weighted </w:t>
      </w:r>
      <w:proofErr w:type="spellStart"/>
      <w:r w:rsidRPr="001E4901">
        <w:rPr>
          <w:color w:val="000000" w:themeColor="text1"/>
        </w:rPr>
        <w:t>UniFrac</w:t>
      </w:r>
      <w:proofErr w:type="spellEnd"/>
      <w:r w:rsidRPr="001E4901">
        <w:rPr>
          <w:color w:val="000000" w:themeColor="text1"/>
        </w:rPr>
        <w:t xml:space="preserve"> </w:t>
      </w:r>
      <w:r w:rsidRPr="001E4901">
        <w:rPr>
          <w:color w:val="000000" w:themeColor="text1"/>
        </w:rPr>
        <w:lastRenderedPageBreak/>
        <w:t xml:space="preserve">distances respectively). Since bacterial communities were sampled from plants of the same developmental age, it is possible that this variation could be explained by genotypic variation within </w:t>
      </w:r>
      <w:r w:rsidRPr="001E4901">
        <w:rPr>
          <w:i/>
          <w:iCs/>
          <w:color w:val="000000" w:themeColor="text1"/>
        </w:rPr>
        <w:t>S. lyrata</w:t>
      </w:r>
      <w:r w:rsidRPr="001E4901">
        <w:rPr>
          <w:color w:val="000000" w:themeColor="text1"/>
        </w:rPr>
        <w:t xml:space="preserve"> and heterogeneity of abiotic conditions </w:t>
      </w:r>
      <w:r w:rsidRPr="00B73E8F">
        <w:rPr>
          <w:color w:val="000000" w:themeColor="text1"/>
        </w:rPr>
        <w:fldChar w:fldCharType="begin" w:fldLock="1"/>
      </w:r>
      <w:r w:rsidR="006E1F09">
        <w:rPr>
          <w:color w:val="000000" w:themeColor="text1"/>
        </w:rPr>
        <w:instrText>ADDIN CSL_CITATION {"citationItems":[{"id":"ITEM-1","itemData":{"DOI":"10.1007/s10482-010-9421-9","ISSN":"00036072","abstract":"Beneficial bacteria interact with plants by colonizing the rhizosphere and roots followed by further spread through the inner tissues, resulting in endophytic colonization. The major factors contributing to these interactions are not always well understood for most bacterial and plant species. It is believed that specific bacterial functions are required for plant colonization, but also from the plant side specific features are needed, such as plant genotype (cultivar) and developmental stage. Via multivariate analysis we present a quantification of the roles of these components on the composition of root-associated and endophytic bacterial communities in potato plants, by weighing the effects of bacterial inoculation, plant genotype and developmental stage. Spontaneous rifampicin resistant mutants of two bacterial endophytes, Paenibacillus sp. strain E119 and Methylobacterium mesophilicum strain SR1.6/6, were introduced into potato plants of three different cultivars (Eersteling, Robijn and Karnico). Densities of both strains in, or attached to potato plants were measured by selective plating, while the effects of bacterial inoculation, plant genotype and developmental stage on the composition of bacterial, Alphaproteobacterial and Paenibacillus species were determined by PCR-denaturing gradient gel-electrophoresis (DGGE). Multivariate analyses revealed that the composition of bacterial communities was mainly driven by cultivar type and plant developmental stage, while Alphaproteobacterial and Paenibacillus communities were mainly influenced by bacterial inoculation. These results are important for better understanding the effects of bacterial inoculations to plants and their possible effects on the indigenous bacterial communities in relation with other plant factors such as genotype and growth stage.","author":[{"dropping-particle":"","family":"Andreote","given":"Fernando Dini","non-dropping-particle":"","parse-names":false,"suffix":""},{"dropping-particle":"Da","family":"Rocha","given":"Ulisses Nunes","non-dropping-particle":"","parse-names":false,"suffix":""},{"dropping-particle":"","family":"Araújo","given":"Welington Luiz","non-dropping-particle":"","parse-names":false,"suffix":""},{"dropping-particle":"","family":"Azevedo","given":"João Lúcio","non-dropping-particle":"","parse-names":false,"suffix":""},{"dropping-particle":"","family":"Overbeek","given":"Leonard Simon","non-dropping-particle":"Van","parse-names":false,"suffix":""}],"container-title":"Antonie van Leeuwenhoek, International Journal of General and Molecular Microbiology","id":"ITEM-1","issue":"4","issued":{"date-parts":[["2010"]]},"page":"389-399","title":"Effect of bacterial inoculation, plant genotype and developmental stage on root-associated and endophytic bacterial communities in potato (Solanum tuberosum)","type":"article-journal","volume":"97"},"uris":["http://www.mendeley.com/documents/?uuid=9346aad9-280e-4f31-944c-fc670e22d19b"]}],"mendeley":{"formattedCitation":"(Andreote et al., 2010)","plainTextFormattedCitation":"(Andreote et al., 2010)","previouslyFormattedCitation":"(Andreote et al., 2010)"},"properties":{"noteIndex":0},"schema":"https://github.com/citation-style-language/schema/raw/master/csl-citation.json"}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(Andreote et al., 2010)</w:t>
      </w:r>
      <w:r w:rsidRPr="00B73E8F">
        <w:rPr>
          <w:color w:val="000000" w:themeColor="text1"/>
        </w:rPr>
        <w:fldChar w:fldCharType="end"/>
      </w:r>
      <w:r w:rsidRPr="00B73E8F">
        <w:rPr>
          <w:color w:val="000000" w:themeColor="text1"/>
        </w:rPr>
        <w:t>.</w:t>
      </w:r>
    </w:p>
    <w:p w14:paraId="10A917C9" w14:textId="308BB62F" w:rsidR="002A797A" w:rsidRPr="001E4901" w:rsidRDefault="002A797A" w:rsidP="002A797A">
      <w:pPr>
        <w:spacing w:line="360" w:lineRule="auto"/>
        <w:rPr>
          <w:color w:val="000000" w:themeColor="text1"/>
        </w:rPr>
      </w:pPr>
      <w:r w:rsidRPr="00920A60">
        <w:rPr>
          <w:color w:val="000000" w:themeColor="text1"/>
        </w:rPr>
        <w:tab/>
        <w:t xml:space="preserve">Complex organic root exudates directly affect microbial community structure within the rhizosphere and can indirectly mediate plant growth through elaborate plant-soil feedbacks </w:t>
      </w:r>
      <w:r w:rsidRPr="00B73E8F">
        <w:rPr>
          <w:color w:val="000000" w:themeColor="text1"/>
        </w:rPr>
        <w:fldChar w:fldCharType="begin" w:fldLock="1"/>
      </w:r>
      <w:r w:rsidR="006E1F09">
        <w:rPr>
          <w:color w:val="000000" w:themeColor="text1"/>
        </w:rPr>
        <w:instrText>ADDIN CSL_CITATION {"citationItems":[{"id":"ITEM-1","itemData":{"DOI":"10.1016/S0038-0717(00)00058-4","ISSN":"00380717","abstract":"We have used PCR based on 16S rDNA sequences followed by denaturing gradient gel electrophoresis (PCR-DGGE) in conjunction with cultivation-based methods to describe the effect of artificial root exudates (ARE), of which the composition simulated maize root exudates, on the structural diversity of bacterial communities in various soils differing in the level of contamination with heavy metals. The aim of this study was to evaluate the effects of organic compounds of a root exudates as a potential mechanism for selectively enhancing specific bacterial populations in contaminated soils, leading to the development of shifted communities differing in qualitative and quantitative composition. Soil microcosms were either just enriched with ARE or enriched and, additionally, flooded. To characterise the response of the soil microflora to the enrichment, PCR-DGGE was applied for assessment of the total bacterial community structure. Cultivation techniques were used to determine the numbers of total heterotrophic bacteria as well as of pseudomonads (which are considered to be stimulated by components of root exudates). The community structure of culturable bacteria was studied using the concept of r- and K-strategists, and isolates from dominant colonies growing on King's B agar were identified by MIDI-FAME profiling. The results obtained showed a significant effect of root exudates on the development of bacterial populations in soil contaminated with heavy metals. Depending on their availability and conditions prevailing in the habitat (e.g. stronger enrichment by flooding) different bacterial populations were stimulated, resulting in generation of different community patterns by DGGE. The most significant response to root exudates occurred among the culturable fraction of the soil bacteria. Distribution of bacterial classes (i.e. majority of colonies appeared after 24 h), values of EP (from 0.220 to 0.533) and CD (from 43 to 88) indices directly showed that the culturable fraction of bacteria was highly affected by the organic mixture simulating root exudates. These exudates reduced the bacterial diversity towards domination of r-strategists and the reduction of diversity was greater in soil with a higher contamination level. Furthermore, flooding of the soils enhanced the dominance of fast growing bacteria (over 70% formed visible colonies after 24 h even on day 6) and reduced the community diversity (EP and CD indices were from about 0.291 to 0.425 and from …","author":[{"dropping-particle":"","family":"Kozdrój","given":"Jacek","non-dropping-particle":"","parse-names":false,"suffix":""},{"dropping-particle":"","family":"Elsas","given":"Jan Dirk","non-dropping-particle":"Van","parse-names":false,"suffix":""}],"container-title":"Soil Biology and Biochemistry","id":"ITEM-1","issue":"10","issued":{"date-parts":[["2000"]]},"page":"1405-1417","title":"Response of the bacterial community to root exudates in soil polluted with heavy metals assessed by molecular and cultural approaches","type":"article-journal","volume":"32"},"uris":["http://www.mendeley.com/documents/?uuid=1c6d2a99-5a52-46e6-8d66-67849777e39c"]},{"id":"ITEM-2","itemData":{"DOI":"10.1038/s41467-018-05122-7","ISBN":"4146701805","ISSN":"20411723","abstract":"By changing soil properties, plants can modify their growth environment. Although the soil microbiota is known to play a key role in the resulting plant-soil feedbacks, the proximal mechanisms underlying this phenomenon remain unknown. We found that benzoxazinoids, a class of defensive secondary metabolites that are released by roots of cereals such as wheat and maize, alter root-associated fungal and bacterial communities, decrease plant growth, increase jasmonate signaling and plant defenses, and suppress herbivore performance in the next plant generation. Complementation experiments demonstrate that the benzoxazinoid breakdown product 6-methoxy-benzoxazolin-2-one (MBOA), which accumulates in the soil during the conditioning phase, is both sufficient and necessary to trigger the observed phenotypic changes. Sterilization, fungal and bacterial profiling and complementation experiments reveal that MBOA acts indirectly by altering root-associated microbiota. Our results reveal a mechanism by which plants determine the composition of rhizosphere microbiota, plant performance and plant-herbivore interactions of the next generation.","author":[{"dropping-particle":"","family":"Hu","given":"Lingfei","non-dropping-particle":"","parse-names":false,"suffix":""},{"dropping-particle":"","family":"Robert","given":"Christelle A.M.","non-dropping-particle":"","parse-names":false,"suffix":""},{"dropping-particle":"","family":"Cadot","given":"Selma","non-dropping-particle":"","parse-names":false,"suffix":""},{"dropping-particle":"","family":"Zhang","given":"Xi","non-dropping-particle":"","parse-names":false,"suffix":""},{"dropping-particle":"","family":"Ye","given":"Meng","non-dropping-particle":"","parse-names":false,"suffix":""},{"dropping-particle":"","family":"Li","given":"Beibei","non-dropping-particle":"","parse-names":false,"suffix":""},{"dropping-particle":"","family":"Manzo","given":"Daniele","non-dropping-particle":"","parse-names":false,"suffix":""},{"dropping-particle":"","family":"Chervet","given":"Noemie","non-dropping-particle":"","parse-names":false,"suffix":""},{"dropping-particle":"","family":"Steinger","given":"Thomas","non-dropping-particle":"","parse-names":false,"suffix":""},{"dropping-particle":"","family":"Heijden","given":"Marcel G.A.","non-dropping-particle":"Van Der","parse-names":false,"suffix":""},{"dropping-particle":"","family":"Schlaeppi","given":"Klaus","non-dropping-particle":"","parse-names":false,"suffix":""},{"dropping-particle":"","family":"Erb","given":"Matthias","non-dropping-particle":"","parse-names":false,"suffix":""}],"container-title":"Nature Communications","id":"ITEM-2","issue":"1","issued":{"date-parts":[["2018"]]},"page":"1-13","title":"Root exudate metabolites drive plant-soil feedbacks on growth and defense by shaping the rhizosphere microbiota","type":"article-journal","volume":"9"},"uris":["http://www.mendeley.com/documents/?uuid=9ea14587-e0be-49c6-8e03-38c0d8a492c5"]}],"mendeley":{"formattedCitation":"(Kozdrój and Van Elsas, 2000; Hu et al., 2018)","plainTextFormattedCitation":"(Kozdrój and Van Elsas, 2000; Hu et al., 2018)","previouslyFormattedCitation":"(Kozdrój and Van Elsas, 2000; Hu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(Kozdrój and Van Elsas, 2000; Hu et al., 2018)</w:t>
      </w:r>
      <w:r w:rsidRPr="00B73E8F">
        <w:rPr>
          <w:color w:val="000000" w:themeColor="text1"/>
        </w:rPr>
        <w:fldChar w:fldCharType="end"/>
      </w:r>
      <w:r w:rsidRPr="00B73E8F">
        <w:rPr>
          <w:color w:val="000000" w:themeColor="text1"/>
        </w:rPr>
        <w:t>. Carbon released through rhizodeposition can be beneficial or antagonistic towards groups of bacteria dependent o</w:t>
      </w:r>
      <w:r w:rsidRPr="00920A60">
        <w:rPr>
          <w:color w:val="000000" w:themeColor="text1"/>
        </w:rPr>
        <w:t xml:space="preserve">n a myriad of abiotic conditions like rhizosphere temperature, moisture, pH, and oxygen availability </w:t>
      </w:r>
      <w:r w:rsidRPr="00B73E8F">
        <w:rPr>
          <w:color w:val="000000" w:themeColor="text1"/>
        </w:rPr>
        <w:fldChar w:fldCharType="begin" w:fldLock="1"/>
      </w:r>
      <w:r w:rsidR="006E1F09">
        <w:rPr>
          <w:color w:val="000000" w:themeColor="text1"/>
        </w:rPr>
        <w:instrText>ADDIN CSL_CITATION {"citationItems":[{"id":"ITEM-1","itemData":{"DOI":"10.1023/A:1004817212321","ISSN":"0032079X","abstract":"The impact of root exudates, collected from five rice cultivars, on methane (CH(4)) production was studied in a paddy soil under anaerobic conditions. Root exudates of the cultivars Dular, IR72 and IR65598 collected at four growth stages and of B40 and IR65600 collected at two growth stages showed that (a) CH(4) production was commenced rapidly within 2 h upon exudate addition and reached a maximum within a day of addition, and (b) 7-d incubation periods were sufficient to study exudate-induced CH(4) production potentials. Among different cultivars, high C releases from roots, increased the methanogenic source strength of the soil, which finally controlled CH(4) production. The relationship of the amount of CH(4) produced was stronger for the amount of total organic C (r = 0.920) than for the amount of organic acids (r = 0.868) added through exudates. Apparently, CH(4) production and CH(4) emission are more closely related to the release pattern of root exudate-C than to its individual components. The proportion of exudate-C converted to CH(4) ranged between 61 and 83% and remained unaffected by cultivars and growth stages suggesting that the majority of exudate-C served as a methanogenic substrate in the anoxic rice soils. These observations indicate that the use of high-yielding cultivars with lowest excretion (for example IR65598, IR65600) would result in lowest exudate-induced CH(4) production. Therefore, cultivar choice could greatly influence regional and global CH(4) emissions and screening/selection of exiting rice cultivars, and/or breeding new cultivars with low exudation rates could offer an important methane mitigation option as long as yields are not compromised.","author":[{"dropping-particle":"","family":"Aulakh","given":"Milkha S.","non-dropping-particle":"","parse-names":false,"suffix":""},{"dropping-particle":"","family":"Wassmann","given":"Reiner","non-dropping-particle":"","parse-names":false,"suffix":""},{"dropping-particle":"","family":"Bueno","given":"C.","non-dropping-particle":"","parse-names":false,"suffix":""},{"dropping-particle":"","family":"Rennenberg","given":"Heinz","non-dropping-particle":"","parse-names":false,"suffix":""}],"container-title":"Plant and Soil","id":"ITEM-1","issue":"1","issued":{"date-parts":[["2001"]]},"page":"77-86","title":"Impact of root exudates of different cultivars and plant development stages of rice (Oryza sativa L.) on methane production in a paddy soil","type":"article-journal","volume":"230"},"uris":["http://www.mendeley.com/documents/?uuid=a4e66c3d-7672-4c71-a4d2-1b97940f324c"]},{"id":"ITEM-2","itemData":{"author":[{"dropping-particle":"","family":"Grayston","given":"Susan J.","non-dropping-particle":"","parse-names":false,"suffix":""},{"dropping-particle":"","family":"Campbell","given":"Colin D.","non-dropping-particle":"","parse-names":false,"suffix":""}],"container-title":"Tree Physiology","id":"ITEM-2","issue":"1","issued":{"date-parts":[["1996"]]},"page":"1031-1038","title":"Functional biodiversity of microbial communities in the rhizospheres of hybrid larch (Larix eurolepis) and Sitka spruce (Picea sitchensis)","type":"article-journal","volume":"16"},"uris":["http://www.mendeley.com/documents/?uuid=537d78c8-6301-4059-9a26-12341a9b24ea"]},{"id":"ITEM-3","itemData":{"DOI":"10.1038/nrmicro3109","ISSN":"1740-1534","PMID":"24056930","abstract":"The rhizosphere is the interface between plant roots and soil where interactions among a myriad of microorganisms and invertebrates affect biogeochemical cycling, plant growth and tolerance to biotic and abiotic stress. The rhizosphere is intriguingly complex and dynamic, and understanding its ecology and evolution is key to enhancing plant productivity and ecosystem functioning. Novel insights into key factors and evolutionary processes shaping the rhizosphere microbiome will greatly benefit from integrating reductionist and systems-based approaches in both agricultural and natural ecosystems. Here, we discuss recent developments in rhizosphere research in relation to assessing the contribution of the micro- and macroflora to sustainable agriculture, nature conservation, the development of bio-energy crops and the mitigation of climate change.","author":[{"dropping-particle":"","family":"Philippot","given":"Laurent","non-dropping-particle":"","parse-names":false,"suffix":""},{"dropping-particle":"","family":"Raaijmakers","given":"Jos M","non-dropping-particle":"","parse-names":false,"suffix":""},{"dropping-particle":"","family":"Lemanceau","given":"Philippe","non-dropping-particle":"","parse-names":false,"suffix":""},{"dropping-particle":"","family":"Putten","given":"Wim H","non-dropping-particle":"van der","parse-names":false,"suffix":""}],"container-title":"Nature reviews. Microbiology","id":"ITEM-3","issue":"11","issued":{"date-parts":[["2013"]]},"page":"789-99","publisher":"Nature Publishing Group","title":"Going back to the roots: the microbial ecology of the rhizosphere.","type":"article-journal","volume":"11"},"uris":["http://www.mendeley.com/documents/?uuid=22e74fb9-3f8c-494a-ad9e-92725fdd9246"]}],"mendeley":{"formattedCitation":"(Grayston and Campbell, 1996; Aulakh et al., 2001; Philippot et al., 2013)","plainTextFormattedCitation":"(Grayston and Campbell, 1996; Aulakh et al., 2001; Philippot et al., 2013)","previouslyFormattedCitation":"(Grayston and Campbell, 1996; Aulakh et al., 2001; Philippot et al., 2013)"},"properties":{"noteIndex":0},"schema":"https://github.com/citation-style-language/schema/raw/master/csl-citation.json"}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(Grayston and Campbell, 1996; Aulakh et al., 2001; Philippot et al., 2013)</w:t>
      </w:r>
      <w:r w:rsidRPr="00B73E8F">
        <w:rPr>
          <w:color w:val="000000" w:themeColor="text1"/>
        </w:rPr>
        <w:fldChar w:fldCharType="end"/>
      </w:r>
      <w:r w:rsidRPr="00B73E8F">
        <w:rPr>
          <w:color w:val="000000" w:themeColor="text1"/>
        </w:rPr>
        <w:t xml:space="preserve">. Survival in this heterogenous environment is maintained through many different mechanisms. For example, chemotaxis, or the preferential motility of bacteria away from harmful substances and towards beneficial conditions may be largely responsible for the spatial structure we see in </w:t>
      </w:r>
      <w:r w:rsidRPr="00920A60">
        <w:rPr>
          <w:color w:val="000000" w:themeColor="text1"/>
        </w:rPr>
        <w:t xml:space="preserve">rhizosphere microbiomes </w:t>
      </w:r>
      <w:r w:rsidRPr="00B73E8F">
        <w:rPr>
          <w:color w:val="000000" w:themeColor="text1"/>
        </w:rPr>
        <w:fldChar w:fldCharType="begin" w:fldLock="1"/>
      </w:r>
      <w:r w:rsidR="006E1F09">
        <w:rPr>
          <w:color w:val="000000" w:themeColor="text1"/>
        </w:rPr>
        <w:instrText>ADDIN CSL_CITATION {"citationItems":[{"id":"ITEM-1","itemData":{"DOI":"10.1038/nrm1524","ISSN":"1471-0072","PMID":"15573139","abstract":"Bacteria must be able to respond to a changing environment, and one way to respond is to move. The transduction of sensory signals alters the concentration of small phosphorylated response regulators that bind to the rotary flagellar motor and cause switching. This simple pathway has provided a paradigm for sensory systems in general. However, the increasing number of sequenced bacterial genomes shows that although the central sensory mechanism seems to be common to all bacteria, there is added complexity in a wide range of species.","author":[{"dropping-particle":"","family":"Wadhams","given":"George H","non-dropping-particle":"","parse-names":false,"suffix":""},{"dropping-particle":"","family":"Armitage","given":"Judith P","non-dropping-particle":"","parse-names":false,"suffix":""}],"container-title":"Nature reviews. Molecular cell biology","id":"ITEM-1","issue":"12","issued":{"date-parts":[["2004"]]},"page":"1024-1037","title":"Making sense of it all: bacterial chemotaxis.","type":"article-journal","volume":"5"},"uris":["http://www.mendeley.com/documents/?uuid=4db0fbcf-27f4-46ff-a86b-3d7ecc42f790"]},{"id":"ITEM-2","itemData":{"DOI":"10.1094/mpmi-04-19-0115-cr","ISSN":"0894-0282","abstract":"While the influence of microbiomes on the health of plant hosts is evident, specific mechanisms shaping the structure and dynamics of microbial communities in the phyllosphere and rhizosphere are o...","author":[{"dropping-particle":"","family":"O’Banion","given":"Bridget S.","non-dropping-particle":"","parse-names":false,"suffix":""},{"dropping-particle":"","family":"O’Neal","given":"Lindsey","non-dropping-particle":"","parse-names":false,"suffix":""},{"dropping-particle":"","family":"Alexandre","given":"Gladys","non-dropping-particle":"","parse-names":false,"suffix":""},{"dropping-particle":"","family":"Lebeis","given":"Sarah L.","non-dropping-particle":"","parse-names":false,"suffix":""}],"container-title":"Molecular Plant-Microbe Interactions®","id":"ITEM-2","issue":"2","issued":{"date-parts":[["2019"]]},"page":"MPMI-04-19-0115","title":"Bridging the Gap Between Single-Strain and Community-Level Plant-Microbe Chemical Interactions","type":"article-journal","volume":"33"},"uris":["http://www.mendeley.com/documents/?uuid=b2b7da8c-c07c-4560-a8ea-cb5b5787b232"]}],"mendeley":{"formattedCitation":"(Wadhams and Armitage, 2004; O’Banion et al., 2019)","plainTextFormattedCitation":"(Wadhams and Armitage, 2004; O’Banion et al., 2019)","previouslyFormattedCitation":"(Wadhams and Armitage, 2004; O’Banion et al., 2019)"},"properties":{"noteIndex":0},"schema":"https://github.com/citation-style-language/schema/raw/master/csl-citation.json"}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(Wadhams and Armitage, 2004; O’Banion et al., 2019)</w:t>
      </w:r>
      <w:r w:rsidRPr="00B73E8F">
        <w:rPr>
          <w:color w:val="000000" w:themeColor="text1"/>
        </w:rPr>
        <w:fldChar w:fldCharType="end"/>
      </w:r>
      <w:r w:rsidRPr="00B73E8F">
        <w:rPr>
          <w:color w:val="000000" w:themeColor="text1"/>
        </w:rPr>
        <w:t>. Microbe-microbe competition facilitates the predominance of bacterial groups at specific depths within th</w:t>
      </w:r>
      <w:r w:rsidRPr="00920A60">
        <w:rPr>
          <w:color w:val="000000" w:themeColor="text1"/>
        </w:rPr>
        <w:t xml:space="preserve">e rhizosphere, primarily in locations with increased carbon-based resources </w:t>
      </w:r>
      <w:r w:rsidRPr="00B73E8F">
        <w:rPr>
          <w:color w:val="000000" w:themeColor="text1"/>
        </w:rPr>
        <w:fldChar w:fldCharType="begin" w:fldLock="1"/>
      </w:r>
      <w:r w:rsidR="006E1F09">
        <w:rPr>
          <w:color w:val="000000" w:themeColor="text1"/>
        </w:rPr>
        <w:instrText>ADDIN CSL_CITATION {"citationItems":[{"id":"ITEM-1","itemData":{"DOI":"10.1104/pp.102.019661.Although","ISBN":"1533-4880","ISSN":"0032-0889","PMID":"12746510","abstract":"Our understanding of the biology, biochemistry, and genetic development of roots has considerably improved during the last decade (Smith and Fedoroff, 1995; Flores et al., 1999; Benfey and Scheres, 2000). In contrast, the processes mediated by roots in the rhizosphere such as the secretion of root border cells and root exudates are not yet well understood (Hawes et al., 2000). In addition to the classical roles of providing mechanical support and allowing water/nutrient uptake, roots also perform certain specialized roles, including the ability to synthesize, accumulate, and secrete a diverse array of compounds (Flores et al., 1999). Given the complexity and biodiversity of the underground world, roots are clearly not passive targets for soil organisms. Rather, the compounds secreted by plant roots serve important roles as chemical attractants and repellants in the rhizosphere, the narrow zone of soil immediately surrounding the root system (Estabrook and Yoder, 1998; Bais et al., 2001). The chemicals secreted into the soil by roots are broadly referred to as root exudates. Through the exudation of a wide variety of compounds, roots may regulate the soil microbial community in their immediate vicinity, cope with herbivores, encourage beneficial symbioses, change the chemical and physical properties of the soil, and inhibit the growth of competing plant species (Nardi et al., 2000; Fig. 1A). The ability to secrete a vast array of compounds into the rhizosphere is one of the most remarkable metabolic features of plant roots, with nearly 5% to 21% of all photosynthetically fixed carbon being transferred to the rhizosphere through root exudates (Marschner, 1995). Although root exudation clearly represents a significant carbon cost to the plant, the mechanisms and regulatory processes controlling root secretion are just now beginning to be examined. Root exudates have traditionally been grouped into low- and high-Mr compounds. However, a systematic study to determine the complexity and chemical composition of root exudates from diverse plant species has not been undertaken. Low-Mr compounds such as amino acids, organic acids, sugars, phenolics, and various other secondary metabolites are believed to comprise the majority of root exudates, whereas high-Mr exudates primarily include mucilage (high-Mr polysaccharides) and proteins. The rhizosphere is a densely populated area in which the roots must compete with the invading root systems of neighboring plant spe…","author":[{"dropping-particle":"","family":"Walker","given":"Travis S","non-dropping-particle":"","parse-names":false,"suffix":""},{"dropping-particle":"","family":"Bais","given":"Harsh Pal","non-dropping-particle":"","parse-names":false,"suffix":""},{"dropping-particle":"","family":"Grotewold","given":"Erich","non-dropping-particle":"","parse-names":false,"suffix":""},{"dropping-particle":"","family":"Vivanco","given":"Jorge M","non-dropping-particle":"","parse-names":false,"suffix":""}],"container-title":"Plant Physiology","id":"ITEM-1","issue":"May","issued":{"date-parts":[["2003"]]},"page":"44-51","title":"Root Exudation and Rhizosphere Biology","type":"article-journal","volume":"132"},"uris":["http://www.mendeley.com/documents/?uuid=b068212b-9115-4b03-8e9c-df2a3f917cf5"]},{"id":"ITEM-2","itemData":{"DOI":"10.1073/pnas.0507535103","ISBN":"0507535103","ISSN":"0027-8424","PMID":"16407148","abstract":"For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organisms.","author":[{"dropping-particle":"","family":"Fierer","given":"Noah","non-dropping-particle":"","parse-names":false,"suffix":""},{"dropping-particle":"","family":"Jackson","given":"Robert B","non-dropping-particle":"","parse-names":false,"suffix":""}],"container-title":"Proceedings of the National Academy of Sciences of the United States of America","id":"ITEM-2","issue":"3","issued":{"date-parts":[["2006"]]},"page":"626-31","title":"The diversity and biogeography of soil bacterial communities","type":"article-journal","volume":"103"},"uris":["http://www.mendeley.com/documents/?uuid=9b61d678-3884-493e-9d34-61ceb59183df"]}],"mendeley":{"formattedCitation":"(Walker et al., 2003; Fierer and Jackson, 2006b)","plainTextFormattedCitation":"(Walker et al., 2003; Fierer and Jackson, 2006b)","previouslyFormattedCitation":"(Walker et al., 2003; Fierer and Jackson, 2006b)"},"properties":{"noteIndex":0},"schema":"https://github.com/citation-style-language/schema/raw/master/csl-citation.json"}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(Walker et al., 2003; Fierer and Jackson, 2006b)</w:t>
      </w:r>
      <w:r w:rsidRPr="00B73E8F">
        <w:rPr>
          <w:color w:val="000000" w:themeColor="text1"/>
        </w:rPr>
        <w:fldChar w:fldCharType="end"/>
      </w:r>
      <w:r w:rsidRPr="00B73E8F">
        <w:rPr>
          <w:color w:val="000000" w:themeColor="text1"/>
        </w:rPr>
        <w:t>. Thus, interspecific competition might lead to lower alpha diversity like we see in Depth C in comparison to other rhizosphere depths. However, given our sampling methods, we can only illustrate the spatial structure of bacterial communities as it varies with rhizosph</w:t>
      </w:r>
      <w:r w:rsidRPr="00920A60">
        <w:rPr>
          <w:color w:val="000000" w:themeColor="text1"/>
        </w:rPr>
        <w:t>ere depth and cannot tease apart the effects of host-associated processes and environmental conditions that might shape these communities.</w:t>
      </w:r>
    </w:p>
    <w:p w14:paraId="420225ED" w14:textId="1780E058" w:rsidR="002A797A" w:rsidRPr="00B73E8F" w:rsidRDefault="002A797A" w:rsidP="002A797A">
      <w:pPr>
        <w:spacing w:line="360" w:lineRule="auto"/>
        <w:rPr>
          <w:color w:val="000000" w:themeColor="text1"/>
        </w:rPr>
      </w:pPr>
      <w:r w:rsidRPr="001E4901">
        <w:rPr>
          <w:color w:val="000000" w:themeColor="text1"/>
        </w:rPr>
        <w:tab/>
        <w:t xml:space="preserve">Our indicator species analysis revealed which ASVs are more strongly associated with each depth within the rhizosphere microhabitat. However, due to high microbial diversity found in the rhizosphere and the high throughput sequencing resolution of this study, more meaningful interpretations are given at higher taxonomic levels that encompass known ecological factors. In terms of possible indicators, Depth A contains the most numerous and diverse indicator ASVs, which might be due to increased heterogeneity in abiotic and biotic conditions. For example, </w:t>
      </w:r>
      <w:proofErr w:type="spellStart"/>
      <w:r w:rsidRPr="001A2D00">
        <w:rPr>
          <w:iCs/>
          <w:color w:val="000000" w:themeColor="text1"/>
        </w:rPr>
        <w:t>Xiphinematobacteraceae</w:t>
      </w:r>
      <w:proofErr w:type="spellEnd"/>
      <w:r w:rsidRPr="001A2D00">
        <w:rPr>
          <w:iCs/>
          <w:color w:val="000000" w:themeColor="text1"/>
        </w:rPr>
        <w:t xml:space="preserve">, a </w:t>
      </w:r>
      <w:proofErr w:type="spellStart"/>
      <w:r w:rsidRPr="001A2D00">
        <w:rPr>
          <w:iCs/>
          <w:color w:val="000000" w:themeColor="text1"/>
        </w:rPr>
        <w:t>Verrucomicrobia</w:t>
      </w:r>
      <w:proofErr w:type="spellEnd"/>
      <w:r w:rsidRPr="001A2D00">
        <w:rPr>
          <w:iCs/>
          <w:color w:val="000000" w:themeColor="text1"/>
        </w:rPr>
        <w:t>,</w:t>
      </w:r>
      <w:r w:rsidRPr="001E4901">
        <w:rPr>
          <w:color w:val="000000" w:themeColor="text1"/>
        </w:rPr>
        <w:t xml:space="preserve"> is strongly correlated with Depth A and might be predicted as an indicator at this rhizosphere depth due to the presence of other microbiota like arbuscular mycorrhizal fungi (AMF), which have a larger impact on carbon cycling than bacteria in zones of maturing root hairs </w:t>
      </w:r>
      <w:r w:rsidRPr="00B73E8F">
        <w:rPr>
          <w:color w:val="000000" w:themeColor="text1"/>
        </w:rPr>
        <w:fldChar w:fldCharType="begin" w:fldLock="1"/>
      </w:r>
      <w:r w:rsidR="006E1F09">
        <w:rPr>
          <w:color w:val="000000" w:themeColor="text1"/>
        </w:rPr>
        <w:instrText>ADDIN CSL_CITATION {"citationItems":[{"id":"ITEM-1","itemData":{"DOI":"10.4141/s04-004","ISSN":"0008-4271","abstract":"Hamel, C. 2004. Impact of arbuscular mycorrhizal fungi on N and P cycling in the root zone. Can. J. Soil Sci. 84: 383–395. The influence of arbuscular mycorrhizal fungi (AMF) on soil processes is difficult to define, in part because it varies with the plant and fungal genotypes as well as with environmental conditions. The influence of AMF on N cycling is just being discovered. This short review examines areas of knowledge related to the nature of the mycorrhizosphere, AMF-microbe interactions, and N and P mobilization in the root zone. The role AMF could play in the root zone in N and P dynamics is presented. The spatial organiza-tion of roots and hyphae in soil suggests that AMF may enhance the reabsorption of nutrients lost through root exudation. These fungi influence soil microorganisms and, hence, they may influence biochemical reactions in soil including mineralization of organic matter and nitrification. AMF seem to improve the capacity of their host plant to use organic sources of P and N. AMF might improve the ability of plants to compete with saprotrophs for the uptake of P and N. The impact from this latter effect of AMF could exceed that stemming from their possible direct use of amino-acid-N, their production of phosphatase enzymes and possibly of organic anions. Better competitive ability of mycorrhizal plants under conditions of low soil P and N levels could reduce saprotrophic populations and, if this occurs, regulate soil organic matter turnover rate. The management of biological soil resources, in truly sustainable cropping systems, may be the largest challenge in crop production. Hamel, C. 2004. Incidence des mycorhizes à arbuscules sur le cycle du N et du P dans la rhizosphère. Can. J. Soil Sci. 84: 383–395. Il est difficile d'établir avec précision l'incidence des mycorhizes à arbuscules (MA) sur les processus du sol, parce qu'elle varie, d'une part, avec la plante et le génotype des champignons, mais aussi avec les conditions environnementales. On commence à peine à décou-vrir l'influence des MA sur le cycle de l'azote. Ce court article fait le point sur ce qu'on sait de la nature de la myco-rhizosphère, des interactions entre les MA et les microorganismes et de la mobilisation du N et du P dans la rhizosphère. Suit une description du rôle que les MA pourraient jouer dans la dynamique du N et du P au niveau de la rhizosphère. L'organisation spatiale des racines et des hyphes dans le sol laisse croire que les MA pourraient facilite…","author":[{"dropping-particle":"","family":"Hamel","given":"Chantal","non-dropping-particle":"","parse-names":false,"suffix":""}],"container-title":"Canadian Journal of Soil Science","id":"ITEM-1","issue":"4","issued":{"date-parts":[["2004"]]},"page":"383-395","title":"Impact of arbuscular mycorrhizal fungi on N and P cycling in the root zone","type":"article-journal","volume":"84"},"uris":["http://www.mendeley.com/documents/?uuid=2693a3f9-c14c-463b-811f-eff20af8aeba"]}],"mendeley":{"formattedCitation":"(Hamel, 2004)","plainTextFormattedCitation":"(Hamel, 2004)","previouslyFormattedCitation":"(Hamel, 2004)"},"properties":{"noteIndex":0},"schema":"https://github.com/citation-style-language/schema/raw/master/csl-citation.json"}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(Hamel, 2004)</w:t>
      </w:r>
      <w:r w:rsidRPr="00B73E8F">
        <w:rPr>
          <w:color w:val="000000" w:themeColor="text1"/>
        </w:rPr>
        <w:fldChar w:fldCharType="end"/>
      </w:r>
      <w:r w:rsidRPr="00B73E8F">
        <w:rPr>
          <w:color w:val="000000" w:themeColor="text1"/>
        </w:rPr>
        <w:t xml:space="preserve"> present in our system at Depth A, although no AMF data were observed in this study. AMF presence can have positive or negative effects for </w:t>
      </w:r>
      <w:r w:rsidRPr="00B73E8F">
        <w:rPr>
          <w:color w:val="000000" w:themeColor="text1"/>
        </w:rPr>
        <w:lastRenderedPageBreak/>
        <w:t xml:space="preserve">certain bacterial groups. AMF can be growth promoting for </w:t>
      </w:r>
      <w:proofErr w:type="spellStart"/>
      <w:r w:rsidRPr="001A2D00">
        <w:rPr>
          <w:iCs/>
          <w:color w:val="000000" w:themeColor="text1"/>
        </w:rPr>
        <w:t>Xiphinematobacteraceae</w:t>
      </w:r>
      <w:proofErr w:type="spellEnd"/>
      <w:r w:rsidRPr="001A2D00">
        <w:rPr>
          <w:iCs/>
          <w:color w:val="000000" w:themeColor="text1"/>
        </w:rPr>
        <w:t xml:space="preserve"> d</w:t>
      </w:r>
      <w:r w:rsidRPr="00B73E8F">
        <w:rPr>
          <w:color w:val="000000" w:themeColor="text1"/>
        </w:rPr>
        <w:t xml:space="preserve">ue to increased exuded carbon and phosphorous content </w:t>
      </w:r>
      <w:r w:rsidRPr="00B73E8F">
        <w:rPr>
          <w:color w:val="000000" w:themeColor="text1"/>
        </w:rPr>
        <w:fldChar w:fldCharType="begin" w:fldLock="1"/>
      </w:r>
      <w:r w:rsidR="006E1F09">
        <w:rPr>
          <w:color w:val="000000" w:themeColor="text1"/>
        </w:rPr>
        <w:instrText>ADDIN CSL_CITATION {"citationItems":[{"id":"ITEM-1","itemData":{"DOI":"10.1111/nph.13838","author":[{"dropping-particle":"","family":"Zhang","given":"Lin","non-dropping-particle":"","parse-names":false,"suffix":""},{"dropping-particle":"","family":"Xu","given":"Minggang","non-dropping-particle":"","parse-names":false,"suffix":""},{"dropping-particle":"","family":"Liu","given":"Yu","non-dropping-particle":"","parse-names":false,"suffix":""},{"dropping-particle":"","family":"Hodge","given":"Angela","non-dropping-particle":"","parse-names":false,"suffix":""},{"dropping-particle":"","family":"Zhang","given":"Fusuo","non-dropping-particle":"","parse-names":false,"suffix":""},{"dropping-particle":"","family":"Feng","given":"Gu","non-dropping-particle":"","parse-names":false,"suffix":""}],"container-title":"New Phytologist","id":"ITEM-1","issue":"3","issued":{"date-parts":[["2016"]]},"page":"1022-1032","title":"Carbon and phosphorus exchange may enable cooperation between an arbuscular mycorrhizal fungus and a phosphate-solubilizing bacterium","type":"article-journal","volume":"210"},"uris":["http://www.mendeley.com/documents/?uuid=9bad9c46-c428-4823-adae-39dcfec099b6"]},{"id":"ITEM-2","itemData":{"DOI":"10.1371/journal.pone.0195112","ISBN":"1111111111","ISSN":"19326203","author":[{"dropping-particle":"","family":"Chiang","given":"Edna","non-dropping-particle":"","parse-names":false,"suffix":""},{"dropping-particle":"","family":"Schmidt","given":"Marian L.","non-dropping-particle":"","parse-names":false,"suffix":""},{"dropping-particle":"","family":"Berry","given":"Michelle A.","non-dropping-particle":"","parse-names":false,"suffix":""},{"dropping-particle":"","family":"Biddanda","given":"Bopaiah A.","non-dropping-particle":"","parse-names":false,"suffix":""},{"dropping-particle":"","family":"Burtner","given":"Ashley","non-dropping-particle":"","parse-names":false,"suffix":""},{"dropping-particle":"","family":"Johengen","given":"Thomas H.","non-dropping-particle":"","parse-names":false,"suffix":""},{"dropping-particle":"","family":"Palladino","given":"Danna","non-dropping-particle":"","parse-names":false,"suffix":""},{"dropping-particle":"","family":"Denef","given":"Vincent J.","non-dropping-particle":"","parse-names":false,"suffix":""}],"container-title":"PLoS ONE","id":"ITEM-2","issue":"3","issued":{"date-parts":[["2018"]]},"page":"1-20","title":"Verrucomicrobia are prevalent in north-temperate freshwater lakes and display class-level preferences between lake habitats","type":"article-journal","volume":"13"},"uris":["http://www.mendeley.com/documents/?uuid=a13bbf30-cc9a-4eb3-9bb0-15760da4a631"]}],"mendeley":{"formattedCitation":"(Zhang et al., 2016; Chiang et al., 2018)","plainTextFormattedCitation":"(Zhang et al., 2016; Chiang et al., 2018)","previouslyFormattedCitation":"(Zhang et al., 2016; Chiang et al., 2018)"},"properties":{"noteIndex":0},"schema":"https://github.com/citation-style-language/schema/raw/master/csl-citation.json"}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(Zhang et al., 2016; Chiang et al., 2018)</w:t>
      </w:r>
      <w:r w:rsidRPr="00B73E8F">
        <w:rPr>
          <w:color w:val="000000" w:themeColor="text1"/>
        </w:rPr>
        <w:fldChar w:fldCharType="end"/>
      </w:r>
      <w:r w:rsidRPr="00B73E8F">
        <w:rPr>
          <w:color w:val="000000" w:themeColor="text1"/>
        </w:rPr>
        <w:t xml:space="preserve">. </w:t>
      </w:r>
      <w:proofErr w:type="spellStart"/>
      <w:r w:rsidRPr="00B73E8F">
        <w:rPr>
          <w:i/>
          <w:iCs/>
          <w:color w:val="000000" w:themeColor="text1"/>
        </w:rPr>
        <w:t>Agromyces</w:t>
      </w:r>
      <w:proofErr w:type="spellEnd"/>
      <w:r w:rsidRPr="00B73E8F">
        <w:rPr>
          <w:i/>
          <w:iCs/>
          <w:color w:val="000000" w:themeColor="text1"/>
        </w:rPr>
        <w:t xml:space="preserve"> </w:t>
      </w:r>
      <w:proofErr w:type="spellStart"/>
      <w:r w:rsidRPr="00B73E8F">
        <w:rPr>
          <w:i/>
          <w:iCs/>
          <w:color w:val="000000" w:themeColor="text1"/>
        </w:rPr>
        <w:t>ramosus</w:t>
      </w:r>
      <w:proofErr w:type="spellEnd"/>
      <w:r w:rsidRPr="00B73E8F">
        <w:rPr>
          <w:color w:val="000000" w:themeColor="text1"/>
        </w:rPr>
        <w:t xml:space="preserve"> is a common predatory bacteria of gram-negative bacteria in soil, and utilizes the rhizosphere niche because of high microbial richness and abundance of gram-negative prey </w:t>
      </w:r>
      <w:r w:rsidRPr="00B73E8F">
        <w:rPr>
          <w:color w:val="000000" w:themeColor="text1"/>
        </w:rPr>
        <w:fldChar w:fldCharType="begin" w:fldLock="1"/>
      </w:r>
      <w:r w:rsidR="006E1F09">
        <w:rPr>
          <w:color w:val="000000" w:themeColor="text1"/>
        </w:rPr>
        <w:instrText>ADDIN CSL_CITATION {"citationItems":[{"id":"ITEM-1","itemData":{"DOI":"10.3762/bjoc.12.58","ISSN":"18605397","abstract":"© 2016 Korp et al; licensee Beilstein-Institut. Bacteria, which prey on other microorganisms, are commonly found in the environment. While some of these organisms act as solitary hunters, others band together in large consortia before they attack their prey. Anecdotal reports suggest that bacteria practicing such a wolfpack strategy utilize antibiotics as predatory weapons. Consistent with this hypothesis, genome sequencing revealed that these micropredators possess impressive capacities for natural product biosynthesis. Here, we will present the results from recent chemical investigations of this bacterial group, compare the biosynthetic potential with that of non-predatory bacteria and discuss the link between predation and secondary metabolism.","author":[{"dropping-particle":"","family":"Korp","given":"Juliane","non-dropping-particle":"","parse-names":false,"suffix":""},{"dropping-particle":"","family":"Vela Gurovic","given":"María S.","non-dropping-particle":"","parse-names":false,"suffix":""},{"dropping-particle":"","family":"Nett","given":"Markus","non-dropping-particle":"","parse-names":false,"suffix":""}],"container-title":"Beilstein Journal of Organic Chemistry","id":"ITEM-1","issued":{"date-parts":[["2016"]]},"page":"594-607","title":"Antibiotics from predatory bacteria","type":"article-journal","volume":"12"},"uris":["http://www.mendeley.com/documents/?uuid=f3e260fd-a5da-47f6-b953-5538a294e39c"]}],"mendeley":{"formattedCitation":"(Korp et al., 2016)","plainTextFormattedCitation":"(Korp et al., 2016)","previouslyFormattedCitation":"(Korp et al.,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(Korp et al., 2016)</w:t>
      </w:r>
      <w:r w:rsidRPr="00B73E8F">
        <w:rPr>
          <w:color w:val="000000" w:themeColor="text1"/>
        </w:rPr>
        <w:fldChar w:fldCharType="end"/>
      </w:r>
      <w:r w:rsidRPr="00B73E8F">
        <w:rPr>
          <w:color w:val="000000" w:themeColor="text1"/>
        </w:rPr>
        <w:t xml:space="preserve">. This might explain the presence of </w:t>
      </w:r>
      <w:r w:rsidRPr="00B73E8F">
        <w:rPr>
          <w:i/>
          <w:iCs/>
          <w:color w:val="000000" w:themeColor="text1"/>
        </w:rPr>
        <w:t xml:space="preserve">A. </w:t>
      </w:r>
      <w:proofErr w:type="spellStart"/>
      <w:r w:rsidRPr="00B73E8F">
        <w:rPr>
          <w:i/>
          <w:iCs/>
          <w:color w:val="000000" w:themeColor="text1"/>
        </w:rPr>
        <w:t>ramosus</w:t>
      </w:r>
      <w:proofErr w:type="spellEnd"/>
      <w:r w:rsidRPr="00B73E8F">
        <w:rPr>
          <w:color w:val="000000" w:themeColor="text1"/>
        </w:rPr>
        <w:t xml:space="preserve"> as a strong indicator in Depth A. </w:t>
      </w:r>
      <w:proofErr w:type="spellStart"/>
      <w:r w:rsidRPr="001A2D00">
        <w:rPr>
          <w:color w:val="000000" w:themeColor="text1"/>
        </w:rPr>
        <w:t>Hyphomicrobiaceae</w:t>
      </w:r>
      <w:proofErr w:type="spellEnd"/>
      <w:r w:rsidRPr="001A2D00">
        <w:rPr>
          <w:color w:val="000000" w:themeColor="text1"/>
        </w:rPr>
        <w:t>, the most abundant indicator of Depth B (</w:t>
      </w:r>
      <w:r w:rsidR="005355D9">
        <w:rPr>
          <w:b/>
          <w:bCs/>
          <w:color w:val="000000" w:themeColor="text1"/>
        </w:rPr>
        <w:t>Figure</w:t>
      </w:r>
      <w:r w:rsidRPr="001A2D00">
        <w:rPr>
          <w:b/>
          <w:bCs/>
          <w:color w:val="000000" w:themeColor="text1"/>
        </w:rPr>
        <w:t xml:space="preserve"> </w:t>
      </w:r>
      <w:r w:rsidR="001A2D00">
        <w:rPr>
          <w:b/>
          <w:bCs/>
          <w:color w:val="000000" w:themeColor="text1"/>
        </w:rPr>
        <w:t>6</w:t>
      </w:r>
      <w:r w:rsidRPr="001A2D00">
        <w:rPr>
          <w:color w:val="000000" w:themeColor="text1"/>
        </w:rPr>
        <w:t xml:space="preserve">), are chemoheterotrophs in the class </w:t>
      </w:r>
      <w:proofErr w:type="spellStart"/>
      <w:r w:rsidRPr="001A2D00">
        <w:rPr>
          <w:color w:val="000000" w:themeColor="text1"/>
        </w:rPr>
        <w:t>Alphaproteobacteria</w:t>
      </w:r>
      <w:proofErr w:type="spellEnd"/>
      <w:r w:rsidRPr="00B73E8F">
        <w:rPr>
          <w:color w:val="000000" w:themeColor="text1"/>
        </w:rPr>
        <w:t xml:space="preserve"> and therefore heavily rely on carbon provided by other organisms </w:t>
      </w:r>
      <w:r w:rsidRPr="00B73E8F">
        <w:rPr>
          <w:color w:val="000000" w:themeColor="text1"/>
        </w:rPr>
        <w:fldChar w:fldCharType="begin" w:fldLock="1"/>
      </w:r>
      <w:r w:rsidR="006E1F09">
        <w:rPr>
          <w:color w:val="000000" w:themeColor="text1"/>
        </w:rPr>
        <w:instrText>ADDIN CSL_CITATION {"citationItems":[{"id":"ITEM-1","itemData":{"DOI":"10.1007/978-3-642-30138-4","ISBN":"9783642301384","abstract":"© 2014 Springer-Verlag Berlin Heidelberg. All rights are reserved. The Prokaryotes is a comprehensive, multi-authored, peer reviewed reference work on Bacteria and Achaea. This fourth edition of The Prokaryotes is organized to cover all taxonomic diversity, using the family level to delineate chapters. Different from other resources, this new Springer product includes not only taxonomy, but also prokaryotic biology and technology of taxa in a broad context. Technological aspects highlight the usefulness of prokaryotes in processes and products, including biocontrol agents and as genetics tools. The content of the expanded fourth edition is divided into two parts: Part 1 contains review chapters dealing with the most important general concepts in molecular, applied and general prokaryote biology; Part 2 describes the known properties of specific taxonomic groups. Two completely new sections have been added to Part 1: bacterial communities and human bacteriology. The bacterial communities section reflects the growing realization that studies on pure cultures of bacteria have led to an incomplete picture of the microbial world for two fundamental reasons: the vast majority of bacteria in soil, water and associated with biological tissues are currently not culturable, and that an understanding of microbial ecology requires knowledge on how different bacterial species interact with each other in their natural environment. The new section on human microbiology deals with bacteria associated with healthy humans and bacterial pathogenesis. Each of the major human diseases caused by bacteria is reviewed, from identifying the pathogens by classical clinical and non-culturing techniques to the biochemical mechanisms of the disease process. The 4th edition of The Prokaryotes is the most complete resource on the biology of prokaryotes.","author":[{"dropping-particle":"","family":"Rosenberg","given":"Eugene","non-dropping-particle":"","parse-names":false,"suffix":""},{"dropping-particle":"","family":"DeLong","given":"Edward F.","non-dropping-particle":"","parse-names":false,"suffix":""},{"dropping-particle":"","family":"Lory","given":"Stephen","non-dropping-particle":"","parse-names":false,"suffix":""},{"dropping-particle":"","family":"Stackebrandt","given":"Erko","non-dropping-particle":"","parse-names":false,"suffix":""},{"dropping-particle":"","family":"Thompson","given":"Fabiano","non-dropping-particle":"","parse-names":false,"suffix":""}],"container-title":"The Prokaryotes: Actinobacteria","id":"ITEM-1","issued":{"date-parts":[["2014"]]},"number-of-pages":"1-1061","title":"The prokaryotes: Actinobacteria","type":"book"},"uris":["http://www.mendeley.com/documents/?uuid=203943a5-2b12-4cef-b865-51197585dbcc"]}],"mendeley":{"formattedCitation":"(Rosenberg et al., 2014)","plainTextFormattedCitation":"(Rosenberg et al., 2014)","previouslyFormattedCitation":"(Rosenberg et al.,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(Rosenberg et al., 2014)</w:t>
      </w:r>
      <w:r w:rsidRPr="00B73E8F">
        <w:rPr>
          <w:color w:val="000000" w:themeColor="text1"/>
        </w:rPr>
        <w:fldChar w:fldCharType="end"/>
      </w:r>
      <w:r w:rsidRPr="00B73E8F">
        <w:rPr>
          <w:color w:val="000000" w:themeColor="text1"/>
        </w:rPr>
        <w:t xml:space="preserve">. </w:t>
      </w:r>
      <w:proofErr w:type="spellStart"/>
      <w:r w:rsidRPr="001A2D00">
        <w:rPr>
          <w:color w:val="000000" w:themeColor="text1"/>
        </w:rPr>
        <w:t>Xanthobacteraceae</w:t>
      </w:r>
      <w:proofErr w:type="spellEnd"/>
      <w:r w:rsidRPr="001A2D00">
        <w:rPr>
          <w:color w:val="000000" w:themeColor="text1"/>
        </w:rPr>
        <w:t xml:space="preserve"> (</w:t>
      </w:r>
      <w:proofErr w:type="spellStart"/>
      <w:r w:rsidRPr="001A2D00">
        <w:rPr>
          <w:color w:val="000000" w:themeColor="text1"/>
        </w:rPr>
        <w:t>Alphaproteobacteria</w:t>
      </w:r>
      <w:proofErr w:type="spellEnd"/>
      <w:r w:rsidRPr="001A2D00">
        <w:rPr>
          <w:color w:val="000000" w:themeColor="text1"/>
        </w:rPr>
        <w:t>) was</w:t>
      </w:r>
      <w:r w:rsidRPr="00B73E8F">
        <w:rPr>
          <w:color w:val="000000" w:themeColor="text1"/>
        </w:rPr>
        <w:t xml:space="preserve"> consistently associated within Depth C as an indicator species and are known as </w:t>
      </w:r>
      <w:proofErr w:type="spellStart"/>
      <w:r w:rsidRPr="00B73E8F">
        <w:rPr>
          <w:color w:val="000000" w:themeColor="text1"/>
        </w:rPr>
        <w:t>chemolithoautotrophs</w:t>
      </w:r>
      <w:proofErr w:type="spellEnd"/>
      <w:r w:rsidRPr="00B73E8F">
        <w:rPr>
          <w:color w:val="000000" w:themeColor="text1"/>
        </w:rPr>
        <w:t xml:space="preserve"> that utilize inorganic compounds from external sources, such as sulfur from bedrock or soil particulate </w:t>
      </w:r>
      <w:r w:rsidRPr="00B73E8F">
        <w:rPr>
          <w:color w:val="000000" w:themeColor="text1"/>
        </w:rPr>
        <w:fldChar w:fldCharType="begin" w:fldLock="1"/>
      </w:r>
      <w:r w:rsidR="006E1F09">
        <w:rPr>
          <w:color w:val="000000" w:themeColor="text1"/>
        </w:rPr>
        <w:instrText>ADDIN CSL_CITATION {"citationItems":[{"id":"ITEM-1","itemData":{"DOI":"10.1007/978-3-642-30197-1_258","ISBN":"978-3-642-30197-1","abstract":"The family Xanthobacteraceae, established in 2005 on the basis of 16S rRNA phylogeny, is affiliated with the Alphaproteobacteria. Currently (May 2012) it encompasses 7 genera (Xanthobacter [type genus], Ancylobacter, Azorhizobium, Labrys, Pseudolabrys, Pseudoxanthobacter, and Starkeya) and 28 species. All members grow as aerobic chemoheterotrophs, but facultative chemolithoautotrophy with hydrogen and/or reduced sulfur compounds is found in many species. Nitrogen fixation is widespread; the genus Azorhizobium entirely consists of N2-fixing symbionts that live in association with leguminous plants. Some species can grow on unusual substrates such as alkenes, halogenated aliphatic and aromatic compounds, terpenes, thiophenes, or polyaromatic compounds. Representatives of the family can be found worldwide in freshwater lakes and streams, soils, wetlands, and in polluted sites.","author":[{"dropping-particle":"","family":"Oren","given":"Aharon","non-dropping-particle":"","parse-names":false,"suffix":""}],"editor":[{"dropping-particle":"","family":"Rosenberg","given":"Eugene","non-dropping-particle":"","parse-names":false,"suffix":""},{"dropping-particle":"","family":"DeLong","given":"Edward F","non-dropping-particle":"","parse-names":false,"suffix":""},{"dropping-particle":"","family":"Lory","given":"Stephen","non-dropping-particle":"","parse-names":false,"suffix":""},{"dropping-particle":"","family":"Stackebrandt","given":"Erko","non-dropping-particle":"","parse-names":false,"suffix":""},{"dropping-particle":"","family":"Thompson","given":"Fabiano","non-dropping-particle":"","parse-names":false,"suffix":""}],"id":"ITEM-1","issued":{"date-parts":[["2014"]]},"page":"709-726","publisher":"Springer Berlin Heidelberg","publisher-place":"Berlin, Heidelberg","title":"The Family Xanthobacteraceae BT  - The Prokaryotes: Alphaproteobacteria and Betaproteobacteria","type":"chapter"},"uris":["http://www.mendeley.com/documents/?uuid=b960d860-b584-4f04-b7d0-9176b4dbb603"]}],"mendeley":{"formattedCitation":"(Oren, 2014)","plainTextFormattedCitation":"(Oren, 2014)","previouslyFormattedCitation":"(Oren,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(Oren, 2014)</w:t>
      </w:r>
      <w:r w:rsidRPr="00B73E8F">
        <w:rPr>
          <w:color w:val="000000" w:themeColor="text1"/>
        </w:rPr>
        <w:fldChar w:fldCharType="end"/>
      </w:r>
      <w:r w:rsidRPr="00B73E8F">
        <w:rPr>
          <w:color w:val="000000" w:themeColor="text1"/>
        </w:rPr>
        <w:t xml:space="preserve">. The identified indicator ASVs in this analysis and the defined spatial structure of this study illustrates how microbial communities are environmentally filtered in heterogeneous habitats like the rhizosphere </w:t>
      </w:r>
      <w:r w:rsidRPr="00B73E8F">
        <w:rPr>
          <w:color w:val="000000" w:themeColor="text1"/>
        </w:rPr>
        <w:fldChar w:fldCharType="begin" w:fldLock="1"/>
      </w:r>
      <w:r w:rsidR="006E1F09">
        <w:rPr>
          <w:color w:val="000000" w:themeColor="text1"/>
        </w:rPr>
        <w:instrText>ADDIN CSL_CITATION {"citationItems":[{"id":"ITEM-1","itemData":{"DOI":"10.1038/nature03073","ISSN":"00280836","abstract":"A positive power-law relationship between the number of species in an area and the size of that area has been observed repeatedly in plant and animal communities. This species-area relationship, thought to be one of the few laws in ecology, is fundamental to our understanding of the distribution of global biodiversity. However, such a relationship has not been reported for bacteria, and little is known regarding the spatial distribution of bacteria, relative to what is known of plants and animals. Here we describe a taxa-area relationship for bacteria over a scale of centimetres to hundreds of metres in salt marsh sediments. We found that bacterial communities located close together were more similar in composition than communities located farther apart, and we used the decay of community similarity with distance to show that bacteria can exhibit a taxa-area relationship. This relationship was driven primarily by environmental heterogeneity rather than geographic distance or plant composition.","author":[{"dropping-particle":"","family":"Horner-Devine","given":"M. Claire","non-dropping-particle":"","parse-names":false,"suffix":""},{"dropping-particle":"","family":"Lage","given":"Melissa","non-dropping-particle":"","parse-names":false,"suffix":""},{"dropping-particle":"","family":"Hughes","given":"Jennifer B.","non-dropping-particle":"","parse-names":false,"suffix":""},{"dropping-particle":"","family":"Bohannan","given":"Brendan J.M.","non-dropping-particle":"","parse-names":false,"suffix":""}],"container-title":"Nature","id":"ITEM-1","issue":"7018","issued":{"date-parts":[["2004"]]},"page":"750-753","title":"A taxa-area relationship for bacteria","type":"article-journal","volume":"432"},"uris":["http://www.mendeley.com/documents/?uuid=1e5ee26f-bd81-4383-b506-18be3f6e7f74"]},{"id":"ITEM-2","itemData":{"DOI":"10.1073/pnas.0507535103","ISBN":"0507535103","ISSN":"0027-8424","PMID":"16407148","abstract":"For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organisms.","author":[{"dropping-particle":"","family":"Fierer","given":"Noah","non-dropping-particle":"","parse-names":false,"suffix":""},{"dropping-particle":"","family":"Jackson","given":"Robert B","non-dropping-particle":"","parse-names":false,"suffix":""}],"container-title":"Proceedings of the National Academy of Sciences of the United States of America","id":"ITEM-2","issue":"3","issued":{"date-parts":[["2006"]]},"page":"626-31","title":"The diversity and biogeography of soil bacterial communities","type":"article-journal","volume":"103"},"uris":["http://www.mendeley.com/documents/?uuid=9b61d678-3884-493e-9d34-61ceb59183df"]}],"mendeley":{"formattedCitation":"(Horner-Devine et al., 2004; Fierer and Jackson, 2006b)","plainTextFormattedCitation":"(Horner-Devine et al., 2004; Fierer and Jackson, 2006b)","previouslyFormattedCitation":"(Horner-Devine et al., 2004; Fierer and Jackson, 2006b)"},"properties":{"noteIndex":0},"schema":"https://github.com/citation-style-language/schema/raw/master/csl-citation.json"}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(Horner-Devine et al., 2004; Fierer and Jackson, 2006b)</w:t>
      </w:r>
      <w:r w:rsidRPr="00B73E8F">
        <w:rPr>
          <w:color w:val="000000" w:themeColor="text1"/>
        </w:rPr>
        <w:fldChar w:fldCharType="end"/>
      </w:r>
      <w:r w:rsidRPr="00B73E8F">
        <w:rPr>
          <w:color w:val="000000" w:themeColor="text1"/>
        </w:rPr>
        <w:t xml:space="preserve">. </w:t>
      </w:r>
    </w:p>
    <w:p w14:paraId="6775DFDE" w14:textId="4D96561E" w:rsidR="002A797A" w:rsidRPr="00920A60" w:rsidRDefault="002A797A" w:rsidP="002A797A">
      <w:pPr>
        <w:pStyle w:val="Heading3"/>
      </w:pPr>
      <w:bookmarkStart w:id="38" w:name="_Toc102048006"/>
      <w:r w:rsidRPr="00920A60">
        <w:t>Sampling grain affects rarefied bacterial richness and relative abundance</w:t>
      </w:r>
      <w:bookmarkEnd w:id="38"/>
      <w:r w:rsidRPr="00920A60">
        <w:t xml:space="preserve"> </w:t>
      </w:r>
    </w:p>
    <w:p w14:paraId="301A41A2" w14:textId="3CC3D951" w:rsidR="002A797A" w:rsidRPr="001E4901" w:rsidRDefault="002A797A" w:rsidP="002A797A">
      <w:pPr>
        <w:spacing w:line="360" w:lineRule="auto"/>
        <w:rPr>
          <w:color w:val="000000" w:themeColor="text1"/>
        </w:rPr>
      </w:pPr>
      <w:r w:rsidRPr="001E4901">
        <w:rPr>
          <w:color w:val="000000" w:themeColor="text1"/>
        </w:rPr>
        <w:tab/>
        <w:t xml:space="preserve">High resolution molecular techniques and a comparable sampling grain are both integral components towards understanding the spatial structure of bacterial microbiomes within rhizosphere systems. By definition, the grain size during sampling procedures can impact one’s ability to detect macroecological patterns regarding species richness </w:t>
      </w:r>
      <w:r w:rsidRPr="00B73E8F">
        <w:rPr>
          <w:color w:val="000000" w:themeColor="text1"/>
        </w:rPr>
        <w:fldChar w:fldCharType="begin" w:fldLock="1"/>
      </w:r>
      <w:r w:rsidR="006E1F09">
        <w:rPr>
          <w:color w:val="000000" w:themeColor="text1"/>
        </w:rPr>
        <w:instrText>ADDIN CSL_CITATION {"citationItems":[{"id":"ITEM-1","itemData":{"author":[{"dropping-particle":"","family":"Wiens","given":"J. A","non-dropping-particle":"","parse-names":false,"suffix":""}],"container-title":"British Ecological Society","id":"ITEM-1","issue":"4","issued":{"date-parts":[["2016"]]},"page":"385-397","title":"Spatial Scaling in Ecology","type":"article-journal","volume":"3"},"uris":["http://www.mendeley.com/documents/?uuid=15dcf247-1bdd-4585-b017-c9b73b96d146"]},{"id":"ITEM-2","itemData":{"DOI":"10.1111/j.1365-2656.2006.01048.x","ISSN":"00218790","abstract":"1. Fifteen species richness estimators (three asymptotic based on species accumulation curves, 11 nonparametric, and one based in the species-area relationship) were compared by examining their performance in estimating the total species richness of epigean arthropods in the Azorean Laurisilva forests. Data obtained with standardized sampling of 78 transects in natural forest remnants of five islands were aggregated in seven different grains (i.e. ways of defining a single sample): islands, natural areas, transects, pairs of traps, traps, database records and individuals to assess the effect of using different sampling units on species richness estimations. 2. Estimated species richness scores depended both on the estimator considered and on the grain size used to aggregate data. However, several estimators (ACE, Chao1, Jackknife1 and 2 and Bootstrap) were precise in spite of grain variations. Weibull and several recent estimators [proposed by Rosenzweig et al. (Conservation Biology, 2003, 17, 864-874), and Ugland et al. (Journal of Animal Ecology, 2003, 72, 888-897)] performed poorly. 3. Estimations developed using the smaller grain sizes (pair of traps, traps, records and individuals) presented similar scores in a number of estimators (the above-mentioned plus ICE, Chao2, Michaelis-Menten, Negative Exponential and Clench). The estimations from those four sample sizes were also highly correlated. 4. Contrary to other studies, we conclude that most species richness estimators may be useful in biodiversity studies. Owing to their inherent formulas, several nonparametric and asymptotic estimators present insensitivity to differences in the way the samples are aggregated. Thus, they could be used to compare species richness scores obtained from different sampling strategies. Our results also point out that species richness estimations coming from small grain sizes can be directly compared and other estimators could give more precise results in those cases. We propose a decision framework based on our results and on the literature to assess which estimator should be used to compare species richness scores of different sites, depending on the grain size of the original data, and of the kind of data available (species occurrence or abundance data). © 2006 British Ecological Society.","author":[{"dropping-particle":"","family":"Hortal","given":"Joaquín","non-dropping-particle":"","parse-names":false,"suffix":""},{"dropping-particle":"V","family":"Borges","given":"Paulo A","non-dropping-particle":"","parse-names":false,"suffix":""},{"dropping-particle":"","family":"Gaspar","given":"Clara","non-dropping-particle":"","parse-names":false,"suffix":""}],"container-title":"Journal of Animal Ecology","id":"ITEM-2","issue":"1","issued":{"date-parts":[["2006"]]},"page":"274-287","title":"Evaluating the performance of species richness estimators: Sensitivity to sample grain size","type":"article-journal","volume":"75"},"uris":["http://www.mendeley.com/documents/?uuid=3ca283e4-427d-4e8a-9125-a6375317afd0"]}],"mendeley":{"formattedCitation":"(Hortal et al., 2006; Wiens, 2016)","plainTextFormattedCitation":"(Hortal et al., 2006; Wiens, 2016)","previouslyFormattedCitation":"(Hortal et al., 2006; Wiens,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(Hortal et al., 2006; Wiens, 2016)</w:t>
      </w:r>
      <w:r w:rsidRPr="00B73E8F">
        <w:rPr>
          <w:color w:val="000000" w:themeColor="text1"/>
        </w:rPr>
        <w:fldChar w:fldCharType="end"/>
      </w:r>
      <w:r w:rsidRPr="00B73E8F">
        <w:rPr>
          <w:color w:val="000000" w:themeColor="text1"/>
        </w:rPr>
        <w:t xml:space="preserve">. This similarly holds true when investigating plant-microbiome interactions within the rhizosphere. After standardization, comparisons between sequencing resolutions demonstrated that pooled samples </w:t>
      </w:r>
      <w:r w:rsidRPr="00B73E8F">
        <w:rPr>
          <w:i/>
          <w:iCs/>
          <w:color w:val="000000" w:themeColor="text1"/>
        </w:rPr>
        <w:t>in vitro</w:t>
      </w:r>
      <w:r w:rsidRPr="00B73E8F">
        <w:rPr>
          <w:color w:val="000000" w:themeColor="text1"/>
        </w:rPr>
        <w:t xml:space="preserve"> contain on average more raw reads. Similarly, after pairwise rarefaction, samples that were pooled </w:t>
      </w:r>
      <w:r w:rsidRPr="00920A60">
        <w:rPr>
          <w:i/>
          <w:iCs/>
          <w:color w:val="000000" w:themeColor="text1"/>
        </w:rPr>
        <w:t>in vitro</w:t>
      </w:r>
      <w:r w:rsidRPr="001E4901">
        <w:rPr>
          <w:color w:val="000000" w:themeColor="text1"/>
        </w:rPr>
        <w:t xml:space="preserve"> not only have on average a greater relative abundance in reads, </w:t>
      </w:r>
      <w:r w:rsidR="00CD0545" w:rsidRPr="001E4901">
        <w:rPr>
          <w:color w:val="000000" w:themeColor="text1"/>
        </w:rPr>
        <w:t>but they</w:t>
      </w:r>
      <w:r w:rsidRPr="001E4901">
        <w:rPr>
          <w:color w:val="000000" w:themeColor="text1"/>
        </w:rPr>
        <w:t xml:space="preserve"> also have greater dispersion around the median in comparison to samples pooled </w:t>
      </w:r>
      <w:r w:rsidRPr="001E4901">
        <w:rPr>
          <w:i/>
          <w:iCs/>
          <w:color w:val="000000" w:themeColor="text1"/>
        </w:rPr>
        <w:t>in silico</w:t>
      </w:r>
      <w:r w:rsidRPr="001E4901">
        <w:rPr>
          <w:color w:val="000000" w:themeColor="text1"/>
        </w:rPr>
        <w:t xml:space="preserve"> (</w:t>
      </w:r>
      <w:r w:rsidR="005355D9">
        <w:rPr>
          <w:b/>
          <w:bCs/>
          <w:color w:val="000000" w:themeColor="text1"/>
        </w:rPr>
        <w:t>Figure</w:t>
      </w:r>
      <w:r w:rsidRPr="002E3C74">
        <w:rPr>
          <w:b/>
          <w:bCs/>
          <w:color w:val="000000" w:themeColor="text1"/>
        </w:rPr>
        <w:t xml:space="preserve"> </w:t>
      </w:r>
      <w:r w:rsidR="000559D7">
        <w:rPr>
          <w:b/>
          <w:bCs/>
          <w:color w:val="000000" w:themeColor="text1"/>
        </w:rPr>
        <w:t>7</w:t>
      </w:r>
      <w:r w:rsidRPr="002E3C74">
        <w:rPr>
          <w:b/>
          <w:bCs/>
          <w:color w:val="000000" w:themeColor="text1"/>
        </w:rPr>
        <w:t>a</w:t>
      </w:r>
      <w:r w:rsidRPr="001E4901">
        <w:rPr>
          <w:color w:val="000000" w:themeColor="text1"/>
        </w:rPr>
        <w:t xml:space="preserve">). This illustrates that pooling prior to DNA extraction captures larger variance in the richness of 16S genes recovered from rhizosphere microbiomes. Samples pooled </w:t>
      </w:r>
      <w:r w:rsidRPr="001E4901">
        <w:rPr>
          <w:i/>
          <w:iCs/>
          <w:color w:val="000000" w:themeColor="text1"/>
        </w:rPr>
        <w:t>in silico</w:t>
      </w:r>
      <w:r w:rsidRPr="001E4901">
        <w:rPr>
          <w:color w:val="000000" w:themeColor="text1"/>
        </w:rPr>
        <w:t>, captured a larger quantity of rare, or less common across all samples, ASVs after sequencing than coarse grain samples from the same rhizosphere (</w:t>
      </w:r>
      <w:r w:rsidR="005355D9">
        <w:rPr>
          <w:b/>
          <w:bCs/>
          <w:color w:val="000000" w:themeColor="text1"/>
        </w:rPr>
        <w:t>Figure</w:t>
      </w:r>
      <w:r w:rsidRPr="002E3C74">
        <w:rPr>
          <w:b/>
          <w:bCs/>
          <w:color w:val="000000" w:themeColor="text1"/>
        </w:rPr>
        <w:t xml:space="preserve"> </w:t>
      </w:r>
      <w:r w:rsidR="000559D7">
        <w:rPr>
          <w:b/>
          <w:bCs/>
          <w:color w:val="000000" w:themeColor="text1"/>
        </w:rPr>
        <w:t>7</w:t>
      </w:r>
      <w:r w:rsidRPr="002E3C74">
        <w:rPr>
          <w:b/>
          <w:bCs/>
          <w:color w:val="000000" w:themeColor="text1"/>
        </w:rPr>
        <w:t>b</w:t>
      </w:r>
      <w:r w:rsidRPr="001E4901">
        <w:rPr>
          <w:color w:val="000000" w:themeColor="text1"/>
        </w:rPr>
        <w:t xml:space="preserve">). This pattern is the clearest at </w:t>
      </w:r>
      <w:r w:rsidRPr="001E4901">
        <w:rPr>
          <w:i/>
          <w:iCs/>
          <w:color w:val="000000" w:themeColor="text1"/>
        </w:rPr>
        <w:t>q</w:t>
      </w:r>
      <w:r w:rsidRPr="001E4901">
        <w:rPr>
          <w:color w:val="000000" w:themeColor="text1"/>
        </w:rPr>
        <w:t xml:space="preserve">=1, </w:t>
      </w:r>
      <w:r w:rsidR="00CD0545" w:rsidRPr="001E4901">
        <w:rPr>
          <w:color w:val="000000" w:themeColor="text1"/>
        </w:rPr>
        <w:t>however,</w:t>
      </w:r>
      <w:r w:rsidRPr="001E4901">
        <w:rPr>
          <w:color w:val="000000" w:themeColor="text1"/>
        </w:rPr>
        <w:t xml:space="preserve"> is still relevant when rare ASVs are down weighted from our analyses suggesting that pooling post sequencing can reduce the bias effects of library </w:t>
      </w:r>
      <w:r w:rsidRPr="001E4901">
        <w:rPr>
          <w:color w:val="000000" w:themeColor="text1"/>
        </w:rPr>
        <w:lastRenderedPageBreak/>
        <w:t xml:space="preserve">preparation and sequencing on richness estimates. At several steps throughout the gene sequencing procedure, selective and stochastic biases can affect the ratio of 16S genes from a complex, unknown microbiome. For instance, DNA extractions can be incomplete for soil microbiomes, </w:t>
      </w:r>
      <w:proofErr w:type="gramStart"/>
      <w:r w:rsidRPr="001E4901">
        <w:rPr>
          <w:color w:val="000000" w:themeColor="text1"/>
        </w:rPr>
        <w:t>where</w:t>
      </w:r>
      <w:proofErr w:type="gramEnd"/>
      <w:r w:rsidRPr="001E4901">
        <w:rPr>
          <w:color w:val="000000" w:themeColor="text1"/>
        </w:rPr>
        <w:t xml:space="preserve"> mechanical lysis and other purification steps favor </w:t>
      </w:r>
      <w:r w:rsidR="00CD0545" w:rsidRPr="001E4901">
        <w:rPr>
          <w:color w:val="000000" w:themeColor="text1"/>
        </w:rPr>
        <w:t>groups</w:t>
      </w:r>
      <w:r w:rsidRPr="001E4901">
        <w:rPr>
          <w:color w:val="000000" w:themeColor="text1"/>
        </w:rPr>
        <w:t xml:space="preserve"> of bacteria. Additionally, PCR amplification can cause biases during the annealing stage by selecting for templates that separate into single strand molecules with minimal effectiveness </w:t>
      </w:r>
      <w:r w:rsidRPr="00B73E8F">
        <w:rPr>
          <w:color w:val="000000" w:themeColor="text1"/>
        </w:rPr>
        <w:fldChar w:fldCharType="begin" w:fldLock="1"/>
      </w:r>
      <w:r w:rsidR="006E1F09">
        <w:rPr>
          <w:color w:val="000000" w:themeColor="text1"/>
        </w:rPr>
        <w:instrText>ADDIN CSL_CITATION {"citationItems":[{"id":"ITEM-1","itemData":{"DOI":"10.1128/aem.62.2.625-630.1996","ISSN":"00992240","PMID":"8593063","abstract":"The PCR is used widely for the study of rRNA genes amplified from mixed microbial populations. These studies resemble quantitative applications of PCR in that the templates are mixtures of homologs and the relative abundance of amplicons is thought to provide some measure of the gene ratios in the starting mixture. Although such studies have established the presence of novel rRNA genes in many natural ecosystems, inferences about gene abundance have been limited by uncertainties about the relative efficiency of gene amplification in the PCR. To address this question, three rRNA gene standards were prepared by PCR, mixed in known proportions, and amplified a second time by using primer pairs in which one primer was labeled with a fluorescent nucleotide derivative. The PCR products were digested with restriction endonucleases, and the frequencies of genes in the products were determined by electrophoresis on an Applied Biosystems 373A automated DNA sequencer in Genescan mode. Mixtures of two templates amplified with the 519F-1406R primer pair yielded products in the predicted proportions. A second primer pair (27F-338R) resulted in strong bias towards 1:1 mixtures of genes in final products, regardless of the initial proportions of the templates. This bias was strongly dependent on the number of cycles of replication. The results fit a kinetic model in which the reannealing of genes progressively inhibits the formation of template-primer hybrids.","author":[{"dropping-particle":"","family":"Suzuki","given":"Marcelino T.","non-dropping-particle":"","parse-names":false,"suffix":""},{"dropping-particle":"","family":"Giovannoni","given":"Stephen J.","non-dropping-particle":"","parse-names":false,"suffix":""}],"container-title":"Applied and Environmental Microbiology","id":"ITEM-1","issue":"2","issued":{"date-parts":[["1996"]]},"page":"625-630","title":"Bias caused by template annealing in the amplification of mixtures of 16S rRNA genes by PCR","type":"article-journal","volume":"62"},"uris":["http://www.mendeley.com/documents/?uuid=16e6720a-9df0-4388-a019-41b76ae47969"]},{"id":"ITEM-2","itemData":{"DOI":"10.1128/AEM.01451-14","ISSN":"10985336","abstract":"Massively parallel sequencing of 16S rRNA genes enables the comparison of terrestrial, aquatic, and host-associated microbial communities with sufficient sequencing depth for robust assessments of both alpha and beta diversity. Establishing standardized protocols for the analysis of microbial communities is dependent on increasing the reproducibility of PCR-based molecular surveys by minimizing sources of methodological bias. In this study, we tested the effects of template concentration, pooling of PCR amplicons, and sample preparation/interlane sequencing on the reproducibility associated with paired-end Illumina sequencing of bacterial 16S rRNA genes. Using DNA extracts from soil and fecal samples as templates, we sequenced pooled amplicons and individual reactions for both high (5- to 10-ng) and low (0.1-ng) template concentrations. In addition, all experimental manipulations were repeated on two separate days and sequenced on two different Illumina MiSeq lanes. Although within-sample sequence profiles were highly consistent, template concentration had a significant impact on sample profile variability for most samples. Pooling of multiple PCR amplicons, sample preparation, and interlane variability did not influence sample sequence data significantly. This systematic analysis underlines the importance of optimizing template concentration in order to minimize variability in microbial-community surveys and indicates that the practice of pooling multiple PCR amplicons prior to sequencing contributes proportionally less to reducing bias in 16S rRNA gene surveys with next-generation sequencing. © 2014, American Society for Microbiology.","author":[{"dropping-particle":"","family":"Kennedy","given":"Katherine","non-dropping-particle":"","parse-names":false,"suffix":""},{"dropping-particle":"","family":"Hall","given":"Michael W.","non-dropping-particle":"","parse-names":false,"suffix":""},{"dropping-particle":"","family":"Lynch","given":"Michael D.J.","non-dropping-particle":"","parse-names":false,"suffix":""},{"dropping-particle":"","family":"Moreno-Hagelsieb","given":"Gabriel","non-dropping-particle":"","parse-names":false,"suffix":""},{"dropping-particle":"","family":"Neufeld","given":"Josh D.","non-dropping-particle":"","parse-names":false,"suffix":""}],"container-title":"Applied and Environmental Microbiology","id":"ITEM-2","issue":"18","issued":{"date-parts":[["2014"]]},"page":"5717-5722","title":"Evaluating bias of Illumina-based bacterial 16S rRNA gene profiles","type":"article-journal","volume":"80"},"uris":["http://www.mendeley.com/documents/?uuid=c3157e0b-70c7-482d-b232-8a77d2464da0"]}],"mendeley":{"formattedCitation":"(Suzuki and Giovannoni, 1996; Kennedy et al., 2014)","plainTextFormattedCitation":"(Suzuki and Giovannoni, 1996; Kennedy et al., 2014)","previouslyFormattedCitation":"(Suzuki and Giovannoni, 1996; Kennedy et al., 2014)"},"properties":{"noteIndex":0},"schema":"https://github.com/citation-style-language/schema/raw/master/csl-citation.json"}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(Suzuki and Giovannoni, 1996; Kennedy et al., 2014)</w:t>
      </w:r>
      <w:r w:rsidRPr="00B73E8F">
        <w:rPr>
          <w:color w:val="000000" w:themeColor="text1"/>
        </w:rPr>
        <w:fldChar w:fldCharType="end"/>
      </w:r>
      <w:r w:rsidRPr="00B73E8F">
        <w:rPr>
          <w:color w:val="000000" w:themeColor="text1"/>
        </w:rPr>
        <w:t xml:space="preserve">. Pooling rhizosphere samples prior to DNA sequencing has been previously proposed as one method to reduce variation in richness estimates </w:t>
      </w:r>
      <w:r w:rsidRPr="00B73E8F">
        <w:rPr>
          <w:color w:val="000000" w:themeColor="text1"/>
        </w:rPr>
        <w:fldChar w:fldCharType="begin" w:fldLock="1"/>
      </w:r>
      <w:r w:rsidR="006E1F09">
        <w:rPr>
          <w:color w:val="000000" w:themeColor="text1"/>
        </w:rPr>
        <w:instrText>ADDIN CSL_CITATION {"citationItems":[{"id":"ITEM-1","itemData":{"DOI":"10.1111/nph.14141","ISBN":"1469-8137 (Electronic)\\r0028-646X (Linking)","ISSN":"14698137","PMID":"27500605","author":[{"dropping-particle":"","family":"Cahill","given":"James F.","non-dropping-particle":"","parse-names":false,"suffix":""},{"dropping-particle":"","family":"Cale","given":"Jonathan A.","non-dropping-particle":"","parse-names":false,"suffix":""},{"dropping-particle":"","family":"Karst","given":"Justine","non-dropping-particle":"","parse-names":false,"suffix":""},{"dropping-particle":"","family":"Bao","given":"Tan","non-dropping-particle":"","parse-names":false,"suffix":""},{"dropping-particle":"","family":"Pec","given":"Gregory J.","non-dropping-particle":"","parse-names":false,"suffix":""},{"dropping-particle":"","family":"Erbilgin","given":"Nadir","non-dropping-particle":"","parse-names":false,"suffix":""}],"container-title":"New Phytologist","id":"ITEM-1","issued":{"date-parts":[["2016"]]},"page":"11-14","title":"No silver bullet: Different soil handling techniques are useful for different research questions, exhibit differential type I and II error rates, and are sensitive to sampling intensity","type":"article-journal"},"uris":["http://www.mendeley.com/documents/?uuid=491130a2-3975-4862-9b29-c4d85f8eb2cf"]}],"mendeley":{"formattedCitation":"(Cahill et al., 2016)","plainTextFormattedCitation":"(Cahill et al., 2016)","previouslyFormattedCitation":"(Cahill et al., 2016)"},"properties":{"noteIndex":0},"schema":"https://github.com/citation-style-language/schema/raw/master/csl-citation.json"}</w:instrText>
      </w:r>
      <w:r w:rsidRPr="00B73E8F">
        <w:rPr>
          <w:color w:val="000000" w:themeColor="text1"/>
        </w:rPr>
        <w:fldChar w:fldCharType="separate"/>
      </w:r>
      <w:r w:rsidR="00CE6085" w:rsidRPr="00CE6085">
        <w:rPr>
          <w:noProof/>
          <w:color w:val="000000" w:themeColor="text1"/>
        </w:rPr>
        <w:t>(Cahill et al., 2016)</w:t>
      </w:r>
      <w:r w:rsidRPr="00B73E8F">
        <w:rPr>
          <w:color w:val="000000" w:themeColor="text1"/>
        </w:rPr>
        <w:fldChar w:fldCharType="end"/>
      </w:r>
      <w:r w:rsidRPr="00B73E8F">
        <w:rPr>
          <w:color w:val="000000" w:themeColor="text1"/>
        </w:rPr>
        <w:t>. However, by combining multiple samples after sequencing, it is possible to illustrate the spatial dep</w:t>
      </w:r>
      <w:r w:rsidRPr="00920A60">
        <w:rPr>
          <w:color w:val="000000" w:themeColor="text1"/>
        </w:rPr>
        <w:t xml:space="preserve">endence of rhizosphere associated microbiota while also reducing variation around richness estimates. Thus, the sampling grain chosen during library preparation and sequencing can </w:t>
      </w:r>
      <w:r w:rsidR="00CD0545" w:rsidRPr="001E4901">
        <w:rPr>
          <w:color w:val="000000" w:themeColor="text1"/>
        </w:rPr>
        <w:t>influence</w:t>
      </w:r>
      <w:r w:rsidRPr="001E4901">
        <w:rPr>
          <w:color w:val="000000" w:themeColor="text1"/>
        </w:rPr>
        <w:t xml:space="preserve"> our interpretations of rarefied richness of microbiomes. </w:t>
      </w:r>
    </w:p>
    <w:p w14:paraId="2A320844" w14:textId="1EFB9E51" w:rsidR="005F2B0B" w:rsidRPr="00B01F15" w:rsidRDefault="002A797A" w:rsidP="004F08CE">
      <w:pPr>
        <w:spacing w:line="360" w:lineRule="auto"/>
        <w:rPr>
          <w:color w:val="000000" w:themeColor="text1"/>
        </w:rPr>
      </w:pPr>
      <w:r w:rsidRPr="001E4901">
        <w:rPr>
          <w:color w:val="000000" w:themeColor="text1"/>
        </w:rPr>
        <w:tab/>
        <w:t>In summary, we conclude that sampling method contributes to differences in the relative abundance of reads and richness of rhizosphere associated bacteria, where higher sampling resolution captures more reliable estimates of relative abundance while also recovering higher alpha diversity estimates (</w:t>
      </w:r>
      <w:r w:rsidR="002E3C74" w:rsidRPr="001E4901">
        <w:rPr>
          <w:color w:val="000000" w:themeColor="text1"/>
        </w:rPr>
        <w:t>i.e.,</w:t>
      </w:r>
      <w:r w:rsidRPr="001E4901">
        <w:rPr>
          <w:color w:val="000000" w:themeColor="text1"/>
        </w:rPr>
        <w:t xml:space="preserve"> </w:t>
      </w:r>
      <w:proofErr w:type="gramStart"/>
      <w:r w:rsidRPr="001E4901">
        <w:rPr>
          <w:color w:val="000000" w:themeColor="text1"/>
        </w:rPr>
        <w:t>more rare</w:t>
      </w:r>
      <w:proofErr w:type="gramEnd"/>
      <w:r w:rsidRPr="001E4901">
        <w:rPr>
          <w:color w:val="000000" w:themeColor="text1"/>
        </w:rPr>
        <w:t xml:space="preserve"> ASVs) on average than a bulk sampling approach. Our study explicitly shows the spatial organization of bacterial communities within the rhizosphere environment; however, given our sampling design, we cannot tease apart host effects from environmental effects or the interaction between the two. Yet, this information proves useful when developing future rhizosphere microbiome related questions with the aim of having reproducible and comparable experimental designs in field settings. For example, to address how root-associated microbial communities change in response to applied drought treatments, taking multiple fine grain samples from different points within the rhizosphere, pooling these </w:t>
      </w:r>
      <w:r w:rsidRPr="001E4901">
        <w:rPr>
          <w:i/>
          <w:iCs/>
          <w:color w:val="000000" w:themeColor="text1"/>
        </w:rPr>
        <w:t xml:space="preserve">in silico, </w:t>
      </w:r>
      <w:r w:rsidRPr="001E4901">
        <w:rPr>
          <w:color w:val="000000" w:themeColor="text1"/>
        </w:rPr>
        <w:t xml:space="preserve">and testing against an indicator analysis can likely clarify which ASVs distinctly correlate to drought conditions. Better understanding how bacterial communities are spatially structured along plant host tissue and which grain size is appropriate for sampling will allow us to </w:t>
      </w:r>
      <w:r w:rsidR="00CD0545" w:rsidRPr="001E4901">
        <w:rPr>
          <w:color w:val="000000" w:themeColor="text1"/>
        </w:rPr>
        <w:t>infer which abiotic and biotic conditions shape and maintain rhizosphere microbiomes with more precision</w:t>
      </w:r>
      <w:r w:rsidRPr="001E4901">
        <w:rPr>
          <w:color w:val="000000" w:themeColor="text1"/>
        </w:rPr>
        <w:t>.</w:t>
      </w:r>
      <w:r w:rsidR="005F2B0B" w:rsidRPr="001E4901">
        <w:br w:type="page"/>
      </w:r>
    </w:p>
    <w:p w14:paraId="1EDEE614" w14:textId="0A1FE5EC" w:rsidR="004F08CE" w:rsidRPr="00672FAD" w:rsidRDefault="001E4901" w:rsidP="00E02779">
      <w:pPr>
        <w:pStyle w:val="Heading1"/>
      </w:pPr>
      <w:bookmarkStart w:id="39" w:name="_Toc420995896"/>
      <w:bookmarkStart w:id="40" w:name="_Toc422997483"/>
      <w:bookmarkStart w:id="41" w:name="_Toc427156466"/>
      <w:bookmarkStart w:id="42" w:name="_Toc102048007"/>
      <w:r w:rsidRPr="001E4901">
        <w:lastRenderedPageBreak/>
        <w:t>C</w:t>
      </w:r>
      <w:r w:rsidR="0062430E">
        <w:t>HAPTER TWO</w:t>
      </w:r>
      <w:r w:rsidR="00672FAD">
        <w:t>:</w:t>
      </w:r>
      <w:r w:rsidR="00672FAD" w:rsidRPr="001E4901">
        <w:br/>
      </w:r>
      <w:bookmarkEnd w:id="39"/>
      <w:bookmarkEnd w:id="40"/>
      <w:bookmarkEnd w:id="41"/>
      <w:r w:rsidR="0062430E">
        <w:rPr>
          <w:sz w:val="24"/>
        </w:rPr>
        <w:t>BACTERIAL COMMUNITIES RESPOND TO CHANGES IN SOIL MOISTURE THROUGHOUT THE SONORAN DESERT MONSOON SEASON</w:t>
      </w:r>
      <w:bookmarkEnd w:id="42"/>
    </w:p>
    <w:p w14:paraId="00D9B880" w14:textId="77777777" w:rsidR="007A5ED4" w:rsidRDefault="007A5ED4">
      <w:r>
        <w:rPr>
          <w:b/>
          <w:bCs/>
          <w:iCs/>
        </w:rPr>
        <w:br w:type="page"/>
      </w:r>
    </w:p>
    <w:p w14:paraId="682D55B8" w14:textId="024DE1BD" w:rsidR="004F08CE" w:rsidRPr="001E4901" w:rsidRDefault="00B863BB" w:rsidP="0097564A">
      <w:pPr>
        <w:pStyle w:val="Heading2"/>
        <w:spacing w:line="360" w:lineRule="auto"/>
      </w:pPr>
      <w:bookmarkStart w:id="43" w:name="_Toc102048008"/>
      <w:r>
        <w:lastRenderedPageBreak/>
        <w:t>A</w:t>
      </w:r>
      <w:r w:rsidR="0057074B">
        <w:t>bstract</w:t>
      </w:r>
      <w:bookmarkEnd w:id="43"/>
    </w:p>
    <w:p w14:paraId="2AEE7971" w14:textId="450B5B2D" w:rsidR="004F08CE" w:rsidRPr="006D3D3A" w:rsidRDefault="006D3D3A" w:rsidP="00E101E7">
      <w:pPr>
        <w:numPr>
          <w:ilvl w:val="12"/>
          <w:numId w:val="0"/>
        </w:numPr>
        <w:spacing w:line="360" w:lineRule="auto"/>
      </w:pPr>
      <w:r>
        <w:tab/>
      </w:r>
      <w:r w:rsidR="00E101E7">
        <w:t>As dry climates begin to experience greater extremes in seasonal rainfall and warming, interactions between plants and belowground microbial communities may decouple</w:t>
      </w:r>
      <w:r w:rsidR="00E101E7" w:rsidRPr="00531381">
        <w:t xml:space="preserve">. </w:t>
      </w:r>
      <w:r w:rsidR="00E101E7">
        <w:rPr>
          <w:color w:val="000000" w:themeColor="text1"/>
        </w:rPr>
        <w:t>R</w:t>
      </w:r>
      <w:r w:rsidR="00E101E7" w:rsidRPr="00531381">
        <w:rPr>
          <w:color w:val="000000" w:themeColor="text1"/>
        </w:rPr>
        <w:t xml:space="preserve">hizosphere microhabitats </w:t>
      </w:r>
      <w:r w:rsidR="00E101E7">
        <w:rPr>
          <w:color w:val="000000" w:themeColor="text1"/>
        </w:rPr>
        <w:t xml:space="preserve">are temporally dynamic and covary with abiotic conditions, such as soil moisture. </w:t>
      </w:r>
      <w:r w:rsidR="00E101E7" w:rsidRPr="00531381">
        <w:rPr>
          <w:color w:val="000000" w:themeColor="text1"/>
        </w:rPr>
        <w:t xml:space="preserve">While there is extensive knowledge on how abiotic conditions alter rhizosphere microbial richness, </w:t>
      </w:r>
      <w:r w:rsidR="00E101E7">
        <w:rPr>
          <w:color w:val="000000" w:themeColor="text1"/>
        </w:rPr>
        <w:t>more knowledge is needed to</w:t>
      </w:r>
      <w:r w:rsidR="00E101E7" w:rsidRPr="00531381">
        <w:rPr>
          <w:color w:val="000000" w:themeColor="text1"/>
        </w:rPr>
        <w:t xml:space="preserve"> understand </w:t>
      </w:r>
      <w:r w:rsidR="00E101E7">
        <w:rPr>
          <w:color w:val="000000" w:themeColor="text1"/>
        </w:rPr>
        <w:t xml:space="preserve">how </w:t>
      </w:r>
      <w:r w:rsidR="00E101E7" w:rsidRPr="00531381">
        <w:rPr>
          <w:color w:val="000000" w:themeColor="text1"/>
        </w:rPr>
        <w:t xml:space="preserve">temporal effects </w:t>
      </w:r>
      <w:r w:rsidR="00E101E7">
        <w:rPr>
          <w:color w:val="000000" w:themeColor="text1"/>
        </w:rPr>
        <w:t>interact with these conditions and effect community composition</w:t>
      </w:r>
      <w:r w:rsidR="00E101E7" w:rsidRPr="00531381">
        <w:t>.</w:t>
      </w:r>
      <w:r w:rsidR="00E101E7">
        <w:t xml:space="preserve"> Here,</w:t>
      </w:r>
      <w:r w:rsidR="00E101E7" w:rsidRPr="00BC3905">
        <w:t xml:space="preserve"> </w:t>
      </w:r>
      <w:r w:rsidR="00E101E7">
        <w:t xml:space="preserve">we used </w:t>
      </w:r>
      <w:r w:rsidR="00E101E7" w:rsidRPr="00417B5C">
        <w:rPr>
          <w:i/>
          <w:iCs/>
        </w:rPr>
        <w:t xml:space="preserve">Lupinus </w:t>
      </w:r>
      <w:proofErr w:type="spellStart"/>
      <w:r w:rsidR="00E101E7" w:rsidRPr="00417B5C">
        <w:rPr>
          <w:i/>
          <w:iCs/>
        </w:rPr>
        <w:t>neomexicanus</w:t>
      </w:r>
      <w:proofErr w:type="spellEnd"/>
      <w:r w:rsidR="00E101E7">
        <w:rPr>
          <w:i/>
          <w:iCs/>
        </w:rPr>
        <w:t xml:space="preserve"> </w:t>
      </w:r>
      <w:r w:rsidR="00E101E7">
        <w:t>and the seasonal North American Monsoon season to test the following question:</w:t>
      </w:r>
      <w:r w:rsidR="00E101E7" w:rsidRPr="00BC3905">
        <w:t xml:space="preserve"> </w:t>
      </w:r>
      <w:r w:rsidR="00E101E7">
        <w:t>t</w:t>
      </w:r>
      <w:r w:rsidR="00E101E7" w:rsidRPr="00BC3905">
        <w:t>o what degree does</w:t>
      </w:r>
      <w:r w:rsidR="00E101E7">
        <w:t xml:space="preserve"> rainfall exclusion treatments affect</w:t>
      </w:r>
      <w:r w:rsidR="00E101E7" w:rsidRPr="00BC3905">
        <w:t xml:space="preserve"> </w:t>
      </w:r>
      <w:r w:rsidR="00E101E7">
        <w:t>rhizosphere bacterial</w:t>
      </w:r>
      <w:r w:rsidR="00E101E7" w:rsidRPr="00BC3905">
        <w:t xml:space="preserve"> community </w:t>
      </w:r>
      <w:r w:rsidR="00E101E7">
        <w:t>composition</w:t>
      </w:r>
      <w:r w:rsidR="00E101E7" w:rsidRPr="00BC3905">
        <w:t xml:space="preserve"> </w:t>
      </w:r>
      <w:r w:rsidR="00E101E7">
        <w:t>across the monsoon season</w:t>
      </w:r>
      <w:r w:rsidR="00E101E7" w:rsidRPr="00BC3905">
        <w:t>?</w:t>
      </w:r>
      <w:r w:rsidR="00E101E7" w:rsidRPr="009A40D7">
        <w:t xml:space="preserve"> </w:t>
      </w:r>
      <w:r w:rsidR="00E101E7" w:rsidRPr="00BC3905">
        <w:t xml:space="preserve">To </w:t>
      </w:r>
      <w:r w:rsidR="00E101E7">
        <w:t>do so</w:t>
      </w:r>
      <w:r w:rsidR="00E101E7" w:rsidRPr="00BC3905">
        <w:t xml:space="preserve">, </w:t>
      </w:r>
      <w:r w:rsidR="00E101E7">
        <w:t>monsoon rainfall exclusion treatments were added to remove 60% (moderate exclusion), and 80% (high exclusion) of rainfall on the rhizosphere microhabitat.</w:t>
      </w:r>
      <w:r w:rsidR="00E101E7">
        <w:rPr>
          <w:color w:val="000000" w:themeColor="text1"/>
          <w:shd w:val="clear" w:color="auto" w:fill="FFFFFF"/>
        </w:rPr>
        <w:t xml:space="preserve"> Soil abiotic factors were also measured at the beginning and at the end of the monsoon season.</w:t>
      </w:r>
      <w:r w:rsidR="00E101E7" w:rsidRPr="006614A3">
        <w:rPr>
          <w:color w:val="000000" w:themeColor="text1"/>
          <w:shd w:val="clear" w:color="auto" w:fill="FFFFFF"/>
        </w:rPr>
        <w:t xml:space="preserve"> </w:t>
      </w:r>
      <w:r w:rsidR="00E101E7">
        <w:rPr>
          <w:color w:val="000000" w:themeColor="text1"/>
          <w:shd w:val="clear" w:color="auto" w:fill="FFFFFF"/>
        </w:rPr>
        <w:t xml:space="preserve">Our results illustrate that bacterial communities varied in community structure and phylogenetic membership among rainfall exclusion treatments. Bacterial richness by the end of the monsoon season was predicted by rainfall exclusion treatment as well as ammonium. In addition, a shift in the main abiotic predictor of bacterial richness was observed from nitrate to ammonium. Bacterial community turnover can be partially explained by rainfall exclusion treatments and ammonium content. When rare species are weighted equally with abundant species, sampling date, and rainfall exclusion treatments affect community turnover. </w:t>
      </w:r>
      <w:r w:rsidR="00E101E7" w:rsidRPr="009F54F9">
        <w:rPr>
          <w:iCs/>
          <w:color w:val="000000" w:themeColor="text1"/>
          <w:shd w:val="clear" w:color="auto" w:fill="FFFFFF"/>
        </w:rPr>
        <w:t xml:space="preserve">These results might indicate that bacterial taxa are influenced by soil abiotic factors and </w:t>
      </w:r>
      <w:r w:rsidR="00E101E7">
        <w:rPr>
          <w:iCs/>
          <w:color w:val="000000" w:themeColor="text1"/>
          <w:shd w:val="clear" w:color="auto" w:fill="FFFFFF"/>
        </w:rPr>
        <w:t>regional rainfall intra-annually.</w:t>
      </w:r>
    </w:p>
    <w:p w14:paraId="19B5A817" w14:textId="7D6CAF9B" w:rsidR="00236E6D" w:rsidRPr="001E4901" w:rsidRDefault="00B863BB" w:rsidP="00E101E7">
      <w:pPr>
        <w:pStyle w:val="Heading2"/>
        <w:spacing w:line="360" w:lineRule="auto"/>
      </w:pPr>
      <w:bookmarkStart w:id="44" w:name="_Toc102048009"/>
      <w:r>
        <w:t>I</w:t>
      </w:r>
      <w:r w:rsidR="0057074B">
        <w:t>ntroduction</w:t>
      </w:r>
      <w:bookmarkEnd w:id="44"/>
    </w:p>
    <w:p w14:paraId="46E291CC" w14:textId="11E591F9" w:rsidR="00E101E7" w:rsidRPr="00417B5C" w:rsidRDefault="00432633" w:rsidP="00E101E7">
      <w:pPr>
        <w:spacing w:line="360" w:lineRule="auto"/>
      </w:pPr>
      <w:r>
        <w:tab/>
      </w:r>
      <w:r w:rsidR="00E101E7">
        <w:t xml:space="preserve">As ecosystems experience changes in temperature, precipitation, and intensifying weather patterns, interactions between organisms and their environment can become strained and decoupled through phenological shifts </w:t>
      </w:r>
      <w:r w:rsidR="00E101E7">
        <w:fldChar w:fldCharType="begin" w:fldLock="1"/>
      </w:r>
      <w:r w:rsidR="006E1F09">
        <w:instrText>ADDIN CSL_CITATION {"citationItems":[{"id":"ITEM-1","itemData":{"DOI":"10.1098/rstb.2010.0037","ISSN":"14712970","PMID":"20513711","abstract":"Current predictions on species responses to climate change strongly rely on projecting altered environmental conditions on species distributions. However, it is increasingly acknowledged that climate change also influences species interactions. We review and synthesize literature information on biotic interactions and use it to argue that the abundance of species and the direction of selection during climate change vary depending on how their trophic interactions become disrupted. Plant abundance can be controlled by aboveground and belowground multitrophic level interactions with herbivores, pathogens, symbionts and their enemies. We discuss how these interactions may alter during climate change and the resulting species range shifts. We suggest conceptual analogies between species responses to climate warming and exotic species introduced in new ranges. There are also important differences: the herbivores, pathogens and mutualistic symbionts of rangeexpanding species and their enemies may co-migrate, and the continuous gene flow under climate warming can make adaptation in the expansion zone of range expanders different from that of cross-continental exotic species. We conclude that under climate change, results of altered species interactions may vary, ranging from species becoming rare to disproportionately abundant. Taking these possibilities into account will provide a new perspective on predicting species distribution under climate change. © 2010 The Royal Society.","author":[{"dropping-particle":"","family":"Putten","given":"Wim H.","non-dropping-particle":"Van Der","parse-names":false,"suffix":""},{"dropping-particle":"","family":"Macel","given":"Mirka","non-dropping-particle":"","parse-names":false,"suffix":""},{"dropping-particle":"","family":"Visser","given":"Marcel E.","non-dropping-particle":"","parse-names":false,"suffix":""}],"container-title":"Philosophical Transactions of the Royal Society B: Biological Sciences","id":"ITEM-1","issue":"1549","issued":{"date-parts":[["2010"]]},"page":"2025-2034","title":"Predicting species distribution and abundance responses to climate change: Why it is essential to include biotic interactions across trophic levels","type":"article-journal","volume":"365"},"uris":["http://www.mendeley.com/documents/?uuid=9f13cbff-6df1-45d4-9d03-2b86cbc2182e"]}],"mendeley":{"formattedCitation":"(Van Der Putten et al., 2010)","manualFormatting":"(see Van Der Putten et al. 2010)","plainTextFormattedCitation":"(Van Der Putten et al., 2010)","previouslyFormattedCitation":"(Van Der Putten et al., 2010)"},"properties":{"noteIndex":0},"schema":"https://github.com/citation-style-language/schema/raw/master/csl-citation.json"}</w:instrText>
      </w:r>
      <w:r w:rsidR="00E101E7">
        <w:fldChar w:fldCharType="separate"/>
      </w:r>
      <w:r w:rsidR="00E101E7" w:rsidRPr="00655ABB">
        <w:rPr>
          <w:noProof/>
        </w:rPr>
        <w:t>(</w:t>
      </w:r>
      <w:r w:rsidR="00E101E7">
        <w:rPr>
          <w:noProof/>
        </w:rPr>
        <w:t xml:space="preserve">see </w:t>
      </w:r>
      <w:r w:rsidR="00E101E7" w:rsidRPr="00655ABB">
        <w:rPr>
          <w:noProof/>
        </w:rPr>
        <w:t xml:space="preserve">Van Der Putten </w:t>
      </w:r>
      <w:r w:rsidR="00E101E7" w:rsidRPr="00655ABB">
        <w:rPr>
          <w:i/>
          <w:noProof/>
        </w:rPr>
        <w:t>et al.</w:t>
      </w:r>
      <w:r w:rsidR="00E101E7" w:rsidRPr="00655ABB">
        <w:rPr>
          <w:noProof/>
        </w:rPr>
        <w:t xml:space="preserve"> 2010)</w:t>
      </w:r>
      <w:r w:rsidR="00E101E7">
        <w:fldChar w:fldCharType="end"/>
      </w:r>
      <w:r w:rsidR="00E101E7">
        <w:t xml:space="preserve">. The western North American Monsoon (NAM) region circumscribes southeastern Arizona and western New Mexico in the United States </w:t>
      </w:r>
      <w:r w:rsidR="00E101E7">
        <w:fldChar w:fldCharType="begin" w:fldLock="1"/>
      </w:r>
      <w:r w:rsidR="006E1F09">
        <w:instrText>ADDIN CSL_CITATION {"citationItems":[{"id":"ITEM-1","itemData":{"DOI":"10.3354/cr010201","ISSN":"0936577X","abstract":"We determine precipitation regions for the United States-Mexico border region based on seasonality and variability of monthly precipitation at 309 stations for the period 1961 to 1990. Using a correlation matrix of input data to avoid the effect of elevation on precipitation, we apply principal components analysis with oblique rotation to regionalize this large, climatologically complex study area. We examine the applicability of the method, 2 techniques for defining region boundaries, the various defined regions themselves, and the effects of transforming input data and changing obliquity of component rotation. We obtain 9 consistent and largely contiguous regions from each of the analyses, including regions for the North American monsoon, the low deserts, the California Mediterranean regime, and for summer precipitation regimes adjoining the Gulf of Mexico. The derived regions and associated boundaries make physical sense in terms of the driving atmospheric processes, and they are robust to transformed input data and changes in rotation procedures. The central border regions are remarkably consistent across analyses, with small changes to peripheral regions. We also identify 4 monsoon sub-regions, and we illustrate the applicability of the regionalization via an analysis of relationships between monsoon precipitation variability and 500 mb pressure heights. Significantly different 500 mb circulation patterns are associated with wet and dry monsoon seasons in each of the sub-regions, and it appears that shifts in 500 mb circulation relative to the geographic position of each sub-region influence seasonal precipitation variability, directly or indirectly. There are important differences between some sub-regions, but in general wet monsoons are associated with northward meridional bulging of the subtropical anticyclone over the continental monsoon areas, while dry monsoons are associated with zonal stretching of the subtropical anticyclone over adjacent oceans with slightly higher pressure-heights. Overall, the study provides a clear regionalization of the precipitation climatology for the southwest United States and northern Mexico, and shows its utility for studies of climate variability.","author":[{"dropping-particle":"","family":"Comrie","given":"A. C.","non-dropping-particle":"","parse-names":false,"suffix":""},{"dropping-particle":"","family":"Glenn","given":"E. C.","non-dropping-particle":"","parse-names":false,"suffix":""}],"container-title":"Climate Research","id":"ITEM-1","issue":"3","issued":{"date-parts":[["1999"]]},"page":"201-215","title":"Principal components-based regionalization of precipitation regimes across the southwest United States and northern Mexico, with an application to monsoon precipitation variability","type":"article-journal","volume":"10"},"uris":["http://www.mendeley.com/documents/?uuid=0c38e60c-28ad-4b9a-bfc0-000ce0882341"]}],"mendeley":{"formattedCitation":"(Comrie and Glenn, 1999)","plainTextFormattedCitation":"(Comrie and Glenn, 1999)","previouslyFormattedCitation":"(Comrie and Glenn, 1999)"},"properties":{"noteIndex":0},"schema":"https://github.com/citation-style-language/schema/raw/master/csl-citation.json"}</w:instrText>
      </w:r>
      <w:r w:rsidR="00E101E7">
        <w:fldChar w:fldCharType="separate"/>
      </w:r>
      <w:r w:rsidR="00CE6085" w:rsidRPr="00CE6085">
        <w:rPr>
          <w:noProof/>
        </w:rPr>
        <w:t>(Comrie and Glenn, 1999)</w:t>
      </w:r>
      <w:r w:rsidR="00E101E7">
        <w:fldChar w:fldCharType="end"/>
      </w:r>
      <w:r w:rsidR="00E101E7">
        <w:t xml:space="preserve">. This region experiences increased precipitation from July-September that provides ~40% of the region’s mean annual precipitation </w:t>
      </w:r>
      <w:r w:rsidR="00E101E7">
        <w:fldChar w:fldCharType="begin" w:fldLock="1"/>
      </w:r>
      <w:r w:rsidR="006E1F09">
        <w:instrText>ADDIN CSL_CITATION {"citationItems":[{"id":"ITEM-1","itemData":{"DOI":"10.1175/1520-0442(2002)015&lt;2261:GOCSST&gt;2.0.CO;2","ISSN":"08948755","abstract":"Perhaps the most regular and predictable weather pattern in North American is the American (NA) or Mexican monsoon. Occuring in summer, it delivers about 35% and 45% of Arizona's and New Mexico's annual precipitation, respectively, and about 60% of northern Mexico's. While recent studies have linked strong NA monsoons to summer drought in the U.S. Midwest, the sequence of events that produce the NA monsoon remain unclear. This empirical study builds on the findings of many other studies that implicate the Gulf of California [(GOC) or simply the gulf] as the dominant moisture source for the monsoon. It examines six monsoon seasons in detail, and quantitatively relates GOC sea surface temperatures (SST) to the timing, amount, and regional extent of monsoon rainfall. This six season study is based on satellite measurements of rainfall [using the Special Sensor Microwave Imager (SSM/I)] and GOC SST at high spatial and temporal resolution. Key findings include the following. 1) Monsoon rainfall did not occur prior to the onset of GOC SSTs exceeding 26°C, and the incremental advance of SSTs &gt; 26°C up the mainland coast of Mexico appears necessary for the northward advance of the monsoon. 2) For the period June-August, 75% of the rainfall in the Arizona-New Mexico region (AZNM) occured after northern GOC SSTs exceeded 29°C, with relatively heavy rains typically beginning 0-7 days after this exceedance. 3) For a given year, SSTs in the southern and central GOC reached 29.5°C during a similar time frame, but such warming was delayed in the northern GOC. This warming delay coincided with a rainfall delay for AZNM relative to regions farther south. 4) Based on the 17 yr of available SST data, 14 of those years exhibited the following behavior: When northern gulf SSTs were relatively high for some period during the first half of July, rainfall during June-August in Arizona was relatively high. Otherwise, June-August Arizona rainfall was normal or below normal. 5) Anomalously wet July-September periods in Arizona do not correspond to anomalously wet periods in New Mexico, based on data from 1950 to the present. The wettest Arizona seasons, about 1.1 standard deviations wetter than normal, were strongly related to summer drought in the Midwest, being about 0.8 standard deviations drier than normal. This was not true for the wettest New Mexico years (Midwest rainfall was near normal), but these years exhibited dry conditions in the interior Northwest, with standard de…","author":[{"dropping-particle":"","family":"Mitchell","given":"David L.","non-dropping-particle":"","parse-names":false,"suffix":""},{"dropping-particle":"","family":"Ivanova","given":"Dorothea","non-dropping-particle":"","parse-names":false,"suffix":""},{"dropping-particle":"","family":"Rabin","given":"Robert","non-dropping-particle":"","parse-names":false,"suffix":""},{"dropping-particle":"","family":"Brown","given":"Timothy J.","non-dropping-particle":"","parse-names":false,"suffix":""},{"dropping-particle":"","family":"Redmond","given":"Kelly","non-dropping-particle":"","parse-names":false,"suffix":""}],"container-title":"Journal of Climate","id":"ITEM-1","issue":"17","issued":{"date-parts":[["2002"]]},"page":"2261-2281","title":"Gulf of California sea surface temperatures and the North American Monsoon: Mechanistic implications from observations","type":"article-journal","volume":"15"},"uris":["http://www.mendeley.com/documents/?uuid=cd3cb6eb-1a74-4709-a631-4e9a0f61ef3b"]}],"mendeley":{"formattedCitation":"(Mitchell et al., 2002)","plainTextFormattedCitation":"(Mitchell et al., 2002)","previouslyFormattedCitation":"(Mitchell et al., 2002)"},"properties":{"noteIndex":0},"schema":"https://github.com/citation-style-language/schema/raw/master/csl-citation.json"}</w:instrText>
      </w:r>
      <w:r w:rsidR="00E101E7">
        <w:fldChar w:fldCharType="separate"/>
      </w:r>
      <w:r w:rsidR="00CE6085" w:rsidRPr="00CE6085">
        <w:rPr>
          <w:noProof/>
        </w:rPr>
        <w:t>(Mitchell et al., 2002)</w:t>
      </w:r>
      <w:r w:rsidR="00E101E7">
        <w:fldChar w:fldCharType="end"/>
      </w:r>
      <w:r w:rsidR="00E101E7">
        <w:t xml:space="preserve">. Throughout the NAM region, plant life history traits (e.g., photosynthetic growth, belowground growth, flowering, fruiting, etc.) are notably influenced by </w:t>
      </w:r>
      <w:r w:rsidR="00E101E7" w:rsidRPr="00A2574A">
        <w:t>seasonal rainfall,</w:t>
      </w:r>
      <w:r w:rsidR="00E101E7" w:rsidRPr="003C3F37">
        <w:t xml:space="preserve"> and</w:t>
      </w:r>
      <w:r w:rsidR="00E101E7">
        <w:t xml:space="preserve"> thus interactions between plants and other organisms are more strongly linked </w:t>
      </w:r>
      <w:r w:rsidR="00E101E7">
        <w:lastRenderedPageBreak/>
        <w:t xml:space="preserve">during this season </w:t>
      </w:r>
      <w:r w:rsidR="00E101E7">
        <w:fldChar w:fldCharType="begin" w:fldLock="1"/>
      </w:r>
      <w:r w:rsidR="006E1F09">
        <w:instrText>ADDIN CSL_CITATION {"citationItems":[{"id":"ITEM-1","itemData":{"DOI":"10.1637/0003-0031-183.2.145","ISSN":"00030031","abstract":"Diagnosing the variability in prospective inter-specific interactions informs both our understanding of particular species as well as how the ecological complex of which they can be a part are altered by their presence. This study uses empirical field descriptions, complemented by published floras and the resources at centers for species conservation, to explore macro-ecological patterns in interactions between plants and ants. I describe on-plant foraging by ants on 70 plant species (11 families, 29 genera) in the Sonoran Desert region, highlighting particular combinations of plant species, ontogenetic stages, and season where forager visitation is disproportionately high or low. Through my plant-Ant association surveys, I find species-specific descriptions of on-plant foraging: (1) are qualitatively similar among sites (an arboretum and a wilder location), (2) can predict the activities of ground foraging ants at the patch scale (plant neighborhoods of 12 m2), (3) show plant community types within the warm North American deserts have diverging likelihoods of on-plant foraging, and (4) brief inspections can describe among-plant variation in likelihoods of visitation by ants as well as herbivores that can be deterred by ants.","author":[{"dropping-particle":"","family":"Ness","given":"J. H.","non-dropping-particle":"","parse-names":false,"suffix":""}],"container-title":"American Midland Naturalist","id":"ITEM-1","issue":"2","issued":{"date-parts":[["2020"]]},"page":"145-163","title":"Hot spots and hot moments for on-plant foraging by ants within the flora of warm north american deserts","type":"article-journal","volume":"183"},"uris":["http://www.mendeley.com/documents/?uuid=f634d1ed-4d84-4daa-91c6-a9cbbefb0860"]}],"mendeley":{"formattedCitation":"(Ness, 2020)","plainTextFormattedCitation":"(Ness, 2020)","previouslyFormattedCitation":"(Ness, 2020)"},"properties":{"noteIndex":0},"schema":"https://github.com/citation-style-language/schema/raw/master/csl-citation.json"}</w:instrText>
      </w:r>
      <w:r w:rsidR="00E101E7">
        <w:fldChar w:fldCharType="separate"/>
      </w:r>
      <w:r w:rsidR="00CE6085" w:rsidRPr="00CE6085">
        <w:rPr>
          <w:noProof/>
        </w:rPr>
        <w:t>(Ness, 2020)</w:t>
      </w:r>
      <w:r w:rsidR="00E101E7">
        <w:fldChar w:fldCharType="end"/>
      </w:r>
      <w:r w:rsidR="00E101E7">
        <w:t xml:space="preserve">. Additionally, macroecological rules have attempted to predict patterns in species richness and abundance across spatiotemporal extents, but have lacked a concise lexicon that unites the field, particularly when linking mechanisms at both a macro and microscale </w:t>
      </w:r>
      <w:r w:rsidR="00E101E7">
        <w:fldChar w:fldCharType="begin" w:fldLock="1"/>
      </w:r>
      <w:r w:rsidR="006E1F09">
        <w:instrText>ADDIN CSL_CITATION {"citationItems":[{"id":"ITEM-1","itemData":{"DOI":"10.1046/j.1365-2699.2001.00563.x","ISSN":"03050270","abstract":"Aim Current weaknesses of diversity theory include: a failure to distinguish different biogeographical response variables under the general heading of diversity; and a general failure of ecological theory to deal adequately with geographical scale. Our aim is to articulate the case for a top-down approach to theory building, in which scale is addressed explicitly and in which different response variables are clearly distinguished. Location The article draws upon both theoretical contributions and empirical analyses from all latitudes, focusing on terrestrial ecosystems and with some bias towards (woody) plants. Methods We review current diversity theory and terminology in relation to scale of applicability. As a starting point in developing a general theory, we take the issue of geographical gradients in species richness as a main theme and evaluate the extent to which commonly cited theories are likely to operate at scales from the macro down to the local. Results A degree of confusion surrounds the use of the terms alpha, beta and gamma diversity, and the terms local, landscape and macro-scale are preferred here as a more intuitive framework. The distinction between inventory and differentiation diversity is highlighted as important as, in terms of scale of analysis, are the concepts of focus and extent. The importance of holding area constant in analysis is stressed, as is the notion that different environmental factors exhibit measurable heterogeneity at different scales. Evaluation of several of the most common diversity theories put forward for the grand clines in species richness, indicates that they can be collapsed to dynamic hypotheses based on climate or historical explanations. The importance of the many ecological/ biological mechanisms that have been proposed is evident mainly at local scales of analysis, whilst at the macro-scale they are dependent largely upon climatic controls for their operation. Local communities have often been found not to be saturated, i.e. to be non-equilibrial. This is argued, perhaps counter-intuitively, to be entirely compatible with the persistence through time of macro-scale patterns of richness that are climatically determined. The review also incorporates recent developments in macroecology, Rapoport's rule, trade-offs, and the importance of isolation, landscape impedance and geometric constraints on richness (the mid-domain effect) in generating richness patterns; highlighting those phenomena that are cont…","author":[{"dropping-particle":"","family":"Whittaker","given":"Robert J.","non-dropping-particle":"","parse-names":false,"suffix":""},{"dropping-particle":"","family":"Willis","given":"Katherine J.","non-dropping-particle":"","parse-names":false,"suffix":""},{"dropping-particle":"","family":"Field","given":"Richard","non-dropping-particle":"","parse-names":false,"suffix":""}],"container-title":"Journal of Biogeography","id":"ITEM-1","issue":"4","issued":{"date-parts":[["2001"]]},"page":"453-470","title":"Scale and species richness: Towards a general, hierarchical theory of species diversity","type":"article-journal","volume":"28"},"uris":["http://www.mendeley.com/documents/?uuid=41a250ac-bd39-482c-b200-060dce8e1727"]},{"id":"ITEM-2","itemData":{"DOI":"10.3389/fevo.2021.633155","ISSN":"2296701X","abstract":"Macroecological rules have been developed for plants and animals that describe large-scale distributional patterns and attempt to explain the underlying physiological and ecological processes behind them. Similarly, microorganisms exhibit patterns in relative abundance, distribution, diversity, and traits across space and time, yet it remains unclear the extent to which microorganisms follow macroecological rules initially developed for macroorganisms. Additionally, the usefulness of these rules as a null hypothesis when surveying microorganisms has yet to be fully evaluated. With rapid advancements in sequencing technology, we have seen a recent increase in microbial studies that utilize macroecological frameworks. Here, we review and synthesize these macroecological microbial studies with two main objectives: (1) to determine to what extent macroecological rules explain the distribution of host-associated and free-living microorganisms, and (2) to understand which environmental factors and stochastic processes may explain these patterns among microbial clades (archaea, bacteria, fungi, and protists) and habitats (host-associated and free living; terrestrial and aquatic). Overall, 78% of microbial macroecology studies focused on free living, aquatic organisms. In addition, most studies examined macroecological rules at the community level with only 35% of studies surveying organismal patterns across space. At the community level microorganisms often tracked patterns of macroorganisms for island biogeography (74% confirm) but rarely followed Latitudinal Diversity Gradients (LDGs) of macroorganisms (only 32% confirm). However, when microorganisms and macroorganisms shared the same macroecological patterns, underlying environmental drivers (e.g., temperature) were the same. Because we found a lack of studies for many microbial groups and habitats, we conclude our review by outlining several outstanding questions and creating recommendations for future studies in microbial ecology.","author":[{"dropping-particle":"","family":"Dickey","given":"Jonathan R.","non-dropping-particle":"","parse-names":false,"suffix":""},{"dropping-particle":"","family":"Swenie","given":"Rachel A.","non-dropping-particle":"","parse-names":false,"suffix":""},{"dropping-particle":"","family":"Turner","given":"Sophia C.","non-dropping-particle":"","parse-names":false,"suffix":""},{"dropping-particle":"","family":"Winfrey","given":"Claire C.","non-dropping-particle":"","parse-names":false,"suffix":""},{"dropping-particle":"","family":"Yaffar","given":"Daniela","non-dropping-particle":"","parse-names":false,"suffix":""},{"dropping-particle":"","family":"Padukone","given":"Anchal","non-dropping-particle":"","parse-names":false,"suffix":""},{"dropping-particle":"","family":"Beals","given":"Kendall K.","non-dropping-particle":"","parse-names":false,"suffix":""},{"dropping-particle":"","family":"Sheldon","given":"Kimberly S.","non-dropping-particle":"","parse-names":false,"suffix":""},{"dropping-particle":"","family":"Kivlin","given":"Stephanie N.","non-dropping-particle":"","parse-names":false,"suffix":""}],"container-title":"Frontiers in Ecology and Evolution","id":"ITEM-2","issue":"April","issued":{"date-parts":[["2021"]]},"title":"The Utility of Macroecological Rules for Microbial Biogeography","type":"article-journal","volume":"9"},"uris":["http://www.mendeley.com/documents/?uuid=5cd2c468-a291-4c25-a4d0-ed65c389442b"]}],"mendeley":{"formattedCitation":"(Whittaker et al., 2001; Dickey et al., 2021)","plainTextFormattedCitation":"(Whittaker et al., 2001; Dickey et al., 2021)","previouslyFormattedCitation":"(Whittaker et al., 2001; Dickey et al., 2021)"},"properties":{"noteIndex":0},"schema":"https://github.com/citation-style-language/schema/raw/master/csl-citation.json"}</w:instrText>
      </w:r>
      <w:r w:rsidR="00E101E7">
        <w:fldChar w:fldCharType="separate"/>
      </w:r>
      <w:r w:rsidR="00CE6085" w:rsidRPr="00CE6085">
        <w:rPr>
          <w:noProof/>
        </w:rPr>
        <w:t>(Whittaker et al., 2001; Dickey et al., 2021)</w:t>
      </w:r>
      <w:r w:rsidR="00E101E7">
        <w:fldChar w:fldCharType="end"/>
      </w:r>
      <w:r w:rsidR="00E101E7">
        <w:t xml:space="preserve">. </w:t>
      </w:r>
      <w:r w:rsidR="00E101E7">
        <w:fldChar w:fldCharType="begin" w:fldLock="1"/>
      </w:r>
      <w:r w:rsidR="006E1F09">
        <w:instrText>ADDIN CSL_CITATION {"citationItems":[{"id":"ITEM-1","itemData":{"ISSN":"0033-5770","author":[{"dropping-particle":"","family":"Vellend","given":"Mark","non-dropping-particle":"","parse-names":false,"suffix":""}],"container-title":"The Quarterly review of biology","id":"ITEM-1","issue":"2","issued":{"date-parts":[["2010"]]},"page":"183-206","publisher":"The University of Chicago Press&lt;? Pub Caret?&gt;","title":"Conceptual synthesis in community ecology","type":"article-journal","volume":"85"},"uris":["http://www.mendeley.com/documents/?uuid=8ab9d6dd-be78-4daa-9149-4d8301103383"]}],"mendeley":{"formattedCitation":"(Vellend, 2010)","manualFormatting":"Vellend (2010) ","plainTextFormattedCitation":"(Vellend, 2010)","previouslyFormattedCitation":"(Vellend, 2010)"},"properties":{"noteIndex":0},"schema":"https://github.com/citation-style-language/schema/raw/master/csl-citation.json"}</w:instrText>
      </w:r>
      <w:r w:rsidR="00E101E7">
        <w:fldChar w:fldCharType="separate"/>
      </w:r>
      <w:r w:rsidR="00E101E7" w:rsidRPr="00B5646B">
        <w:rPr>
          <w:noProof/>
        </w:rPr>
        <w:t xml:space="preserve">Vellend </w:t>
      </w:r>
      <w:r w:rsidR="00E101E7">
        <w:rPr>
          <w:noProof/>
        </w:rPr>
        <w:t>(</w:t>
      </w:r>
      <w:r w:rsidR="00E101E7" w:rsidRPr="00B5646B">
        <w:rPr>
          <w:noProof/>
        </w:rPr>
        <w:t>2010</w:t>
      </w:r>
      <w:r w:rsidR="00E101E7">
        <w:rPr>
          <w:noProof/>
        </w:rPr>
        <w:t xml:space="preserve">) </w:t>
      </w:r>
      <w:r w:rsidR="00E101E7">
        <w:fldChar w:fldCharType="end"/>
      </w:r>
      <w:r w:rsidR="00E101E7">
        <w:t xml:space="preserve">synthesized community level patterns in richness and abundance as driven by mechanisms such as selection, drift, dispersal, and speciation providing groundwork for studies in microbial community ecology. While the effects of varying precipitation regimes are more understood for plant-animal and plant-plant interactions, there is little information on how these changing ecological conditions affect plant-microbial interactions. </w:t>
      </w:r>
    </w:p>
    <w:p w14:paraId="7D001AF8" w14:textId="78291954" w:rsidR="00E101E7" w:rsidRDefault="00E101E7" w:rsidP="00E101E7">
      <w:pPr>
        <w:spacing w:line="360" w:lineRule="auto"/>
      </w:pPr>
      <w:r>
        <w:tab/>
        <w:t xml:space="preserve">There has been recent discussion that supports the idea that free-living microbial communities might be structured by similar ecological mechanisms as plants and animals </w:t>
      </w:r>
      <w:r>
        <w:fldChar w:fldCharType="begin" w:fldLock="1"/>
      </w:r>
      <w:r w:rsidR="006E1F09">
        <w:instrText>ADDIN CSL_CITATION {"citationItems":[{"id":"ITEM-1","itemData":{"DOI":"10.3389/fevo.2021.633155","ISSN":"2296701X","abstract":"Macroecological rules have been developed for plants and animals that describe large-scale distributional patterns and attempt to explain the underlying physiological and ecological processes behind them. Similarly, microorganisms exhibit patterns in relative abundance, distribution, diversity, and traits across space and time, yet it remains unclear the extent to which microorganisms follow macroecological rules initially developed for macroorganisms. Additionally, the usefulness of these rules as a null hypothesis when surveying microorganisms has yet to be fully evaluated. With rapid advancements in sequencing technology, we have seen a recent increase in microbial studies that utilize macroecological frameworks. Here, we review and synthesize these macroecological microbial studies with two main objectives: (1) to determine to what extent macroecological rules explain the distribution of host-associated and free-living microorganisms, and (2) to understand which environmental factors and stochastic processes may explain these patterns among microbial clades (archaea, bacteria, fungi, and protists) and habitats (host-associated and free living; terrestrial and aquatic). Overall, 78% of microbial macroecology studies focused on free living, aquatic organisms. In addition, most studies examined macroecological rules at the community level with only 35% of studies surveying organismal patterns across space. At the community level microorganisms often tracked patterns of macroorganisms for island biogeography (74% confirm) but rarely followed Latitudinal Diversity Gradients (LDGs) of macroorganisms (only 32% confirm). However, when microorganisms and macroorganisms shared the same macroecological patterns, underlying environmental drivers (e.g., temperature) were the same. Because we found a lack of studies for many microbial groups and habitats, we conclude our review by outlining several outstanding questions and creating recommendations for future studies in microbial ecology.","author":[{"dropping-particle":"","family":"Dickey","given":"Jonathan R.","non-dropping-particle":"","parse-names":false,"suffix":""},{"dropping-particle":"","family":"Swenie","given":"Rachel A.","non-dropping-particle":"","parse-names":false,"suffix":""},{"dropping-particle":"","family":"Turner","given":"Sophia C.","non-dropping-particle":"","parse-names":false,"suffix":""},{"dropping-particle":"","family":"Winfrey","given":"Claire C.","non-dropping-particle":"","parse-names":false,"suffix":""},{"dropping-particle":"","family":"Yaffar","given":"Daniela","non-dropping-particle":"","parse-names":false,"suffix":""},{"dropping-particle":"","family":"Padukone","given":"Anchal","non-dropping-particle":"","parse-names":false,"suffix":""},{"dropping-particle":"","family":"Beals","given":"Kendall K.","non-dropping-particle":"","parse-names":false,"suffix":""},{"dropping-particle":"","family":"Sheldon","given":"Kimberly S.","non-dropping-particle":"","parse-names":false,"suffix":""},{"dropping-particle":"","family":"Kivlin","given":"Stephanie N.","non-dropping-particle":"","parse-names":false,"suffix":""}],"container-title":"Frontiers in Ecology and Evolution","id":"ITEM-1","issue":"April","issued":{"date-parts":[["2021"]]},"title":"The Utility of Macroecological Rules for Microbial Biogeography","type":"article-journal","volume":"9"},"uris":["http://www.mendeley.com/documents/?uuid=5cd2c468-a291-4c25-a4d0-ed65c389442b"]},{"id":"ITEM-2","itemData":{"DOI":"10.1111/geb.13162","ISSN":"14668238","abstract":"Introduction: Rapidly advancing technologies and accumulating information about microbial communities across the globe allow the quantification of microbial properties and functions at a macro-scale. These emerging microbial biogeographic patterns call for a practical macroecological approach to investigate their underlying mechanisms. Aims: The primary aims of this paper are to review the advancements of microbial macroecology in seeking mechanisms governing microbial biogeographic patterns, and to further lay out a roadmap for microbial macroecology in 10 years. Methods: We reviewed the progress of microbial macroecology and demonstrated the application of the microbial macroecological approach to microbial biogeographic patterns with three case studies. Results: Microbial macroecology provides a platform for understanding microbial abundance, community structure, and functioning across space, time, and taxonomic hierarchy. It emphasizes the integral effects of environmental filtering, microbial responses, diversification, dispersal, and local extinction that drive the microbial biogeographic patterns. The microbial macroecological approach emphasizes the last two stages of the four-stage scientific method applied to microbial ecology: (a) describing microbial traits across scales to reveal patterns, (b) mathematically representing these patterns, (c) developing and testing conceptual models to build a mechanistic understanding of these patterns from a macroecological perspective, (d) plugging the new knowledge into the theoretical advancements. Three case studies were used to demonstrate the microbial macroecological approach for understanding the global patterns of microbial biomass carbon, microbial composition (fungi : bacteria ratio), and microbial carbon use efficiency. Conclusions: Microbial macroecology offers a platform for understanding the mechanisms that drive biogeographic patterns of microbial abundance, diversity and functions. It is likely that these patterns and mechanisms will be increasingly incorporated into predictive models that link climate, carbon dynamics, and biogeochemical processes. A roadmap is outlined for the growing microbial macroecology field; we expect significant progress will be made in five research directions over the next 10 years.","author":[{"dropping-particle":"","family":"Xu","given":"Xiaofeng","non-dropping-particle":"","parse-names":false,"suffix":""},{"dropping-particle":"","family":"Wang","given":"Nannan","non-dropping-particle":"","parse-names":false,"suffix":""},{"dropping-particle":"","family":"Lipson","given":"David","non-dropping-particle":"","parse-names":false,"suffix":""},{"dropping-particle":"","family":"Sinsabaugh","given":"Robert","non-dropping-particle":"","parse-names":false,"suffix":""},{"dropping-particle":"","family":"Schimel","given":"Josh","non-dropping-particle":"","parse-names":false,"suffix":""},{"dropping-particle":"","family":"He","given":"Liyuan","non-dropping-particle":"","parse-names":false,"suffix":""},{"dropping-particle":"","family":"Soudzilovskaia","given":"Nadejda A.","non-dropping-particle":"","parse-names":false,"suffix":""},{"dropping-particle":"","family":"Tedersoo","given":"Leho","non-dropping-particle":"","parse-names":false,"suffix":""}],"container-title":"Global Ecology and Biogeography","id":"ITEM-2","issue":"11","issued":{"date-parts":[["2020"]]},"page":"1870-1886","title":"Microbial macroecology: In search of mechanisms governing microbial biogeographic patterns","type":"article-journal","volume":"29"},"uris":["http://www.mendeley.com/documents/?uuid=116a0741-678a-49a2-8c16-7d8eba1659f5"]}],"mendeley":{"formattedCitation":"(Xu et al., 2020; Dickey et al., 2021)","plainTextFormattedCitation":"(Xu et al., 2020; Dickey et al., 2021)","previouslyFormattedCitation":"(Xu et al., 2020; Dickey et al., 2021)"},"properties":{"noteIndex":0},"schema":"https://github.com/citation-style-language/schema/raw/master/csl-citation.json"}</w:instrText>
      </w:r>
      <w:r>
        <w:fldChar w:fldCharType="separate"/>
      </w:r>
      <w:r w:rsidR="00CE6085" w:rsidRPr="00CE6085">
        <w:rPr>
          <w:noProof/>
        </w:rPr>
        <w:t>(Xu et al., 2020; Dickey et al., 2021)</w:t>
      </w:r>
      <w:r>
        <w:fldChar w:fldCharType="end"/>
      </w:r>
      <w:r>
        <w:t xml:space="preserve">. For example, microbial communities have been observed to follow similar macroecological patterns, such as species-area, or taxa-area relationships </w:t>
      </w:r>
      <w:r>
        <w:fldChar w:fldCharType="begin" w:fldLock="1"/>
      </w:r>
      <w:r w:rsidR="006E1F09">
        <w:instrText>ADDIN CSL_CITATION {"citationItems":[{"id":"ITEM-1","itemData":{"abstract":"With at least 40% new or updated content since the last edition, Clinical Decision Support, 2nd Edition explores the crucial new motivating factors poised to accelerate Clinical Decision Support (CDS) adoption. This book is mostly focused on the US perspective because of initiatives driving EHR adoption, the articulation of 'meaningful use', and new policy attention in process including the Office of the National Coordinator for Health Information Technology (ONC) and the Center for Medicare and Medicaid Services (CMS). A few chapters focus on the broader international perspective. Clinical Decision Support, 2nd Edition explores the technology, sources of knowledge, evolution of successful forms of CDS, and organizational and policy perspectives surrounding CDS. Exploring a roadmap for CDS, with all its efficacy benefits including reduced errors, improved quality, and cost savings, as well as the still substantial roadblocks needed to be overcome by policy-makers, clinicians, and clinical informatics experts, the field is poised anew on the brink of broad adoption. Clinical Decision Support, 2nd Edition provides an updated and pragmatic view of the methodological processes and implementation considerations. This book also considers advanced technologies and architectures, standards, and cooperative activities needed on a societal basis for truly large-scale adoption.At least 40% updated, and seven new chapters since the previous edition, with the new and revised content focused on new opportunities and challenges for clinical decision support at point of care, given changes in science, technology, regulatory policy, and healthcare financeInforms healthcare leaders and planners, health IT system developers, healthcare IT organization leaders and staff, clinical informatics professionals and researchers, and clinicians with an interest in the role of technology in shaping healthcare of the future","author":[{"dropping-particle":"","family":"Arrhenius","given":"Olof","non-dropping-particle":"","parse-names":false,"suffix":""}],"container-title":"British Ecological Society","id":"ITEM-1","issue":"1","issued":{"date-parts":[["1921"]]},"page":"95-99","title":"Species and Area","type":"article-journal","volume":"9"},"uris":["http://www.mendeley.com/documents/?uuid=60f13826-d1b6-4c7c-9d19-1c44aa07b5de"]}],"mendeley":{"formattedCitation":"(Arrhenius, 1921)","plainTextFormattedCitation":"(Arrhenius, 1921)","previouslyFormattedCitation":"(Arrhenius, 1921)"},"properties":{"noteIndex":0},"schema":"https://github.com/citation-style-language/schema/raw/master/csl-citation.json"}</w:instrText>
      </w:r>
      <w:r>
        <w:fldChar w:fldCharType="separate"/>
      </w:r>
      <w:r w:rsidR="00CE6085" w:rsidRPr="00CE6085">
        <w:rPr>
          <w:noProof/>
        </w:rPr>
        <w:t>(Arrhenius, 1921)</w:t>
      </w:r>
      <w:r>
        <w:fldChar w:fldCharType="end"/>
      </w:r>
      <w:r>
        <w:t xml:space="preserve">, such that microbial richness increases as spatial scale increases </w:t>
      </w:r>
      <w:r>
        <w:fldChar w:fldCharType="begin" w:fldLock="1"/>
      </w:r>
      <w:r w:rsidR="006E1F09">
        <w:instrText>ADDIN CSL_CITATION {"citationItems":[{"id":"ITEM-1","itemData":{"DOI":"10.1016/j.tree.2006.06.012","ISSN":"01695347","abstract":"A central goal in ecology is to understand the spatial scaling of biodiversity. Patterns in the spatial distribution of organisms provide important clues about the underlying mechanisms that structure ecological communities and are central to setting conservation priorities. Although microorganisms comprise much of Earth's biodiversity, little is known about their biodiversity scaling relationships relative to that for plants and animals. Here, we discuss current knowledge of microbial diversity at local and global scales. We focus on three spatial patterns: the distance-decay relationship (how community composition changes with geographic distance), the taxa-area relationship, and the local:global taxa richness ratio. Recent empirical analyses of these patterns for microorganisms suggest that there are biodiversity scaling rules common to all forms of life. © 2006 Elsevier Ltd. All rights reserved.","author":[{"dropping-particle":"","family":"Green","given":"Jessica","non-dropping-particle":"","parse-names":false,"suffix":""},{"dropping-particle":"","family":"Bohannan","given":"Brendan J.M.","non-dropping-particle":"","parse-names":false,"suffix":""}],"container-title":"Trends in Ecology and Evolution","id":"ITEM-1","issue":"9","issued":{"date-parts":[["2006"]]},"page":"501-507","title":"Spatial scaling of microbial biodiversity","type":"article-journal","volume":"21"},"uris":["http://www.mendeley.com/documents/?uuid=02218c5a-0051-40f9-b103-c1f2b3010f64"]}],"mendeley":{"formattedCitation":"(Green and Bohannan, 2006)","plainTextFormattedCitation":"(Green and Bohannan, 2006)","previouslyFormattedCitation":"(Green and Bohannan, 2006)"},"properties":{"noteIndex":0},"schema":"https://github.com/citation-style-language/schema/raw/master/csl-citation.json"}</w:instrText>
      </w:r>
      <w:r>
        <w:fldChar w:fldCharType="separate"/>
      </w:r>
      <w:r w:rsidR="00CE6085" w:rsidRPr="00CE6085">
        <w:rPr>
          <w:noProof/>
        </w:rPr>
        <w:t>(Green and Bohannan, 2006)</w:t>
      </w:r>
      <w:r>
        <w:fldChar w:fldCharType="end"/>
      </w:r>
      <w:r>
        <w:t xml:space="preserve">. This pattern has been detected in multiple free-living microbial groups, ranging from marsh bacteria </w:t>
      </w:r>
      <w:r>
        <w:fldChar w:fldCharType="begin" w:fldLock="1"/>
      </w:r>
      <w:r w:rsidR="006E1F09">
        <w:instrText>ADDIN CSL_CITATION {"citationItems":[{"id":"ITEM-1","itemData":{"DOI":"10.1038/nature03073","ISSN":"00280836","abstract":"A positive power-law relationship between the number of species in an area and the size of that area has been observed repeatedly in plant and animal communities. This species-area relationship, thought to be one of the few laws in ecology, is fundamental to our understanding of the distribution of global biodiversity. However, such a relationship has not been reported for bacteria, and little is known regarding the spatial distribution of bacteria, relative to what is known of plants and animals. Here we describe a taxa-area relationship for bacteria over a scale of centimetres to hundreds of metres in salt marsh sediments. We found that bacterial communities located close together were more similar in composition than communities located farther apart, and we used the decay of community similarity with distance to show that bacteria can exhibit a taxa-area relationship. This relationship was driven primarily by environmental heterogeneity rather than geographic distance or plant composition.","author":[{"dropping-particle":"","family":"Horner-Devine","given":"M. Claire","non-dropping-particle":"","parse-names":false,"suffix":""},{"dropping-particle":"","family":"Lage","given":"Melissa","non-dropping-particle":"","parse-names":false,"suffix":""},{"dropping-particle":"","family":"Hughes","given":"Jennifer B.","non-dropping-particle":"","parse-names":false,"suffix":""},{"dropping-particle":"","family":"Bohannan","given":"Brendan J.M.","non-dropping-particle":"","parse-names":false,"suffix":""}],"container-title":"Nature","id":"ITEM-1","issue":"7018","issued":{"date-parts":[["2004"]]},"page":"750-753","title":"A taxa-area relationship for bacteria","type":"article-journal","volume":"432"},"uris":["http://www.mendeley.com/documents/?uuid=1e5ee26f-bd81-4383-b506-18be3f6e7f74"]}],"mendeley":{"formattedCitation":"(Horner-Devine et al., 2004)","plainTextFormattedCitation":"(Horner-Devine et al., 2004)","previouslyFormattedCitation":"(Horner-Devine et al., 2004)"},"properties":{"noteIndex":0},"schema":"https://github.com/citation-style-language/schema/raw/master/csl-citation.json"}</w:instrText>
      </w:r>
      <w:r>
        <w:fldChar w:fldCharType="separate"/>
      </w:r>
      <w:r w:rsidR="00CE6085" w:rsidRPr="00CE6085">
        <w:rPr>
          <w:noProof/>
        </w:rPr>
        <w:t>(Horner-Devine et al., 2004)</w:t>
      </w:r>
      <w:r>
        <w:fldChar w:fldCharType="end"/>
      </w:r>
      <w:r>
        <w:t xml:space="preserve">, soil fungi </w:t>
      </w:r>
      <w:r>
        <w:fldChar w:fldCharType="begin" w:fldLock="1"/>
      </w:r>
      <w:r w:rsidR="006E1F09">
        <w:instrText>ADDIN CSL_CITATION {"citationItems":[{"id":"ITEM-1","itemData":{"author":[{"dropping-particle":"","family":"Green","given":"Jessica","non-dropping-particle":"","parse-names":false,"suffix":""},{"dropping-particle":"","family":"Holmes","given":"Andrew","non-dropping-particle":"","parse-names":false,"suffix":""},{"dropping-particle":"","family":"Westoby","given":"Mark","non-dropping-particle":"","parse-names":false,"suffix":""},{"dropping-particle":"","family":"Oliver","given":"Ian","non-dropping-particle":"","parse-names":false,"suffix":""},{"dropping-particle":"","family":"Briscoe","given":"David","non-dropping-particle":"","parse-names":false,"suffix":""},{"dropping-particle":"","family":"Dangerfield","given":"Mark","non-dropping-particle":"","parse-names":false,"suffix":""},{"dropping-particle":"","family":"Gillings","given":"Michael","non-dropping-particle":"","parse-names":false,"suffix":""},{"dropping-particle":"","family":"Beattie","given":"Andrew","non-dropping-particle":"","parse-names":false,"suffix":""}],"container-title":"Nature","id":"ITEM-1","issue":"1999","issued":{"date-parts":[["2004"]]},"page":"747-750","title":"Spatial scaling of microbial eukaryote diversity","type":"article-journal","volume":"432"},"uris":["http://www.mendeley.com/documents/?uuid=95f79efb-c6b4-4065-ada4-b0e9c59f73f1"]}],"mendeley":{"formattedCitation":"(Green et al., 2004)","plainTextFormattedCitation":"(Green et al., 2004)","previouslyFormattedCitation":"(Green et al., 2004)"},"properties":{"noteIndex":0},"schema":"https://github.com/citation-style-language/schema/raw/master/csl-citation.json"}</w:instrText>
      </w:r>
      <w:r>
        <w:fldChar w:fldCharType="separate"/>
      </w:r>
      <w:r w:rsidR="00CE6085" w:rsidRPr="00CE6085">
        <w:rPr>
          <w:noProof/>
        </w:rPr>
        <w:t>(Green et al., 2004)</w:t>
      </w:r>
      <w:r>
        <w:fldChar w:fldCharType="end"/>
      </w:r>
      <w:r>
        <w:t xml:space="preserve">, soil bacteria </w:t>
      </w:r>
      <w:r>
        <w:fldChar w:fldCharType="begin" w:fldLock="1"/>
      </w:r>
      <w:r w:rsidR="006E1F09">
        <w:instrText>ADDIN CSL_CITATION {"citationItems":[{"id":"ITEM-1","itemData":{"ISSN":"1466-822X","author":[{"dropping-particle":"","family":"Noguez","given":"Ana M","non-dropping-particle":"","parse-names":false,"suffix":""},{"dropping-particle":"","family":"Arita","given":"Héctor T","non-dropping-particle":"","parse-names":false,"suffix":""},{"dropping-particle":"","family":"Escalante","given":"Ana E","non-dropping-particle":"","parse-names":false,"suffix":""},{"dropping-particle":"","family":"Forney","given":"Larry J","non-dropping-particle":"","parse-names":false,"suffix":""},{"dropping-particle":"","family":"García‐Oliva","given":"Felipe","non-dropping-particle":"","parse-names":false,"suffix":""},{"dropping-particle":"","family":"Souza","given":"Valeria","non-dropping-particle":"","parse-names":false,"suffix":""}],"container-title":"Global Ecology and Biogeography","id":"ITEM-1","issue":"3","issued":{"date-parts":[["2005"]]},"page":"241-248","publisher":"Wiley Online Library","title":"Microbial macroecology: highly structured prokaryotic soil assemblages in a tropical deciduous forest","type":"article-journal","volume":"14"},"uris":["http://www.mendeley.com/documents/?uuid=21f092f0-7939-4090-af9e-6c24f54677b7"]}],"mendeley":{"formattedCitation":"(Noguez et al., 2005)","plainTextFormattedCitation":"(Noguez et al., 2005)","previouslyFormattedCitation":"(Noguez et al., 2005)"},"properties":{"noteIndex":0},"schema":"https://github.com/citation-style-language/schema/raw/master/csl-citation.json"}</w:instrText>
      </w:r>
      <w:r>
        <w:fldChar w:fldCharType="separate"/>
      </w:r>
      <w:r w:rsidR="00CE6085" w:rsidRPr="00CE6085">
        <w:rPr>
          <w:noProof/>
        </w:rPr>
        <w:t>(Noguez et al., 2005)</w:t>
      </w:r>
      <w:r>
        <w:fldChar w:fldCharType="end"/>
      </w:r>
      <w:r>
        <w:t xml:space="preserve">, freshwater aquatic bacteria </w:t>
      </w:r>
      <w:r>
        <w:fldChar w:fldCharType="begin" w:fldLock="1"/>
      </w:r>
      <w:r w:rsidR="006E1F09">
        <w:instrText>ADDIN CSL_CITATION {"citationItems":[{"id":"ITEM-1","itemData":{"ISSN":"1939-9170","author":[{"dropping-particle":"","family":"Reche","given":"Isabel","non-dropping-particle":"","parse-names":false,"suffix":""},{"dropping-particle":"","family":"Pulido-Villena","given":"Elvira","non-dropping-particle":"","parse-names":false,"suffix":""},{"dropping-particle":"","family":"Morales-Baquero","given":"Rafael","non-dropping-particle":"","parse-names":false,"suffix":""},{"dropping-particle":"","family":"Casamayor","given":"Emilio O","non-dropping-particle":"","parse-names":false,"suffix":""}],"container-title":"Ecology","id":"ITEM-1","issue":"7","issued":{"date-parts":[["2005"]]},"page":"1715-1722","publisher":"Wiley Online Library","title":"Does ecosystem size determine aquatic bacterial richness?","type":"article-journal","volume":"86"},"uris":["http://www.mendeley.com/documents/?uuid=d8f983a8-93eb-4793-8098-a433b512af95"]}],"mendeley":{"formattedCitation":"(Reche et al., 2005)","plainTextFormattedCitation":"(Reche et al., 2005)","previouslyFormattedCitation":"(Reche et al., 2005)"},"properties":{"noteIndex":0},"schema":"https://github.com/citation-style-language/schema/raw/master/csl-citation.json"}</w:instrText>
      </w:r>
      <w:r>
        <w:fldChar w:fldCharType="separate"/>
      </w:r>
      <w:r w:rsidR="00CE6085" w:rsidRPr="00CE6085">
        <w:rPr>
          <w:noProof/>
        </w:rPr>
        <w:t>(Reche et al., 2005)</w:t>
      </w:r>
      <w:r>
        <w:fldChar w:fldCharType="end"/>
      </w:r>
      <w:r>
        <w:t xml:space="preserve">, and even bacterial communities found in tree holes </w:t>
      </w:r>
      <w:r>
        <w:fldChar w:fldCharType="begin" w:fldLock="1"/>
      </w:r>
      <w:r w:rsidR="006E1F09">
        <w:instrText>ADDIN CSL_CITATION {"citationItems":[{"id":"ITEM-1","itemData":{"DOI":"10.1126/science.1111318","ISSN":"00368075","author":[{"dropping-particle":"","family":"Bell","given":"Thomas","non-dropping-particle":"","parse-names":false,"suffix":""},{"dropping-particle":"","family":"Ager","given":"Duane","non-dropping-particle":"","parse-names":false,"suffix":""},{"dropping-particle":"","family":"Song","given":"Ji Inn","non-dropping-particle":"","parse-names":false,"suffix":""},{"dropping-particle":"","family":"Newman","given":"Jonathan A.","non-dropping-particle":"","parse-names":false,"suffix":""},{"dropping-particle":"","family":"Thompson","given":"Ian P.","non-dropping-particle":"","parse-names":false,"suffix":""},{"dropping-particle":"","family":"Lilley","given":"Andrew K.","non-dropping-particle":"","parse-names":false,"suffix":""},{"dropping-particle":"","family":"Gast","given":"Christopher J.","non-dropping-particle":"Van Der","parse-names":false,"suffix":""}],"container-title":"Science","id":"ITEM-1","issue":"5730","issued":{"date-parts":[["2005"]]},"page":"1884","title":"Ecology: Larger islands house more bacterial taxa","type":"article-journal","volume":"308"},"uris":["http://www.mendeley.com/documents/?uuid=d7de2f09-b62f-44dd-8f65-ae396f8d2416"]}],"mendeley":{"formattedCitation":"(Bell et al., 2005)","plainTextFormattedCitation":"(Bell et al., 2005)","previouslyFormattedCitation":"(Bell et al., 2005)"},"properties":{"noteIndex":0},"schema":"https://github.com/citation-style-language/schema/raw/master/csl-citation.json"}</w:instrText>
      </w:r>
      <w:r>
        <w:fldChar w:fldCharType="separate"/>
      </w:r>
      <w:r w:rsidR="00CE6085" w:rsidRPr="00CE6085">
        <w:rPr>
          <w:noProof/>
        </w:rPr>
        <w:t>(Bell et al., 2005)</w:t>
      </w:r>
      <w:r>
        <w:fldChar w:fldCharType="end"/>
      </w:r>
      <w:r>
        <w:t xml:space="preserve">. With changing climate, it is important to understand the direction and magnitude of change in microbial richness patterns. </w:t>
      </w:r>
      <w:r>
        <w:fldChar w:fldCharType="begin" w:fldLock="1"/>
      </w:r>
      <w:r w:rsidR="006E1F09">
        <w:instrText>ADDIN CSL_CITATION {"citationItems":[{"id":"ITEM-1","itemData":{"DOI":"10.1111/gcb.12338","ISSN":"13541013","PMID":"23897832","abstract":"We investigated how the legacy of warming and summer drought affected microbial communities in five different replicated long-term (&gt;10 years) field experiments across Europe (EU-FP7 INCREASE infrastructure). To focus explicitly on legacy effects (i.e., indirect rather than direct effects of the environmental factors), we measured microbial variables under the same moisture and temperature in a brief screening, and following a pre-incubation at stable conditions. Specifically, we investigated the size and composition of the soil microbial community (PLFA) alongside measurements of bacterial (leucine incorporation) and fungal (acetate in ergosterol incorporation) growth rates, previously shown to be highly responsive to changes in environmental factors, and microbial respiration. We found no legacy effects on the microbial community size, composition, growth rates, or basal respiration rates at the effect sizes used in our experimental setup (0.6 °C, about 30% precipitation reduction). Our findings support previous reports from single short-term ecosystem studies thereby providing a clear evidence base to allow long-term, broad-scale generalizations to be made. The implication of our study is that warming and summer drought will not result in legacy effects on the microbial community and their processes within the effect sizes here studied. While legacy effects on microbial processes during perturbation cycles, such as drying-rewetting, and on tolerance to drought and warming remain to be studied, our results suggest that any effects on overall ecosystem processes will be rather limited. Thus, the legacies of warming and drought should not be prioritized factors to consider when modeling contemporary rates of biogeochemical processes in soil. © 2013 John Wiley &amp; Sons Ltd.","author":[{"dropping-particle":"","family":"Rousk","given":"Johannes","non-dropping-particle":"","parse-names":false,"suffix":""},{"dropping-particle":"","family":"Smith","given":"Andrew R.","non-dropping-particle":"","parse-names":false,"suffix":""},{"dropping-particle":"","family":"Jones","given":"Davey L.","non-dropping-particle":"","parse-names":false,"suffix":""}],"container-title":"Global Change Biology","id":"ITEM-1","issue":"12","issued":{"date-parts":[["2013"]]},"page":"3872-3884","title":"Investigating the long-term legacy of drought and warming on the soil microbial community across five European shrubland ecosystems","type":"article-journal","volume":"19"},"uris":["http://www.mendeley.com/documents/?uuid=d7b02643-8c6d-472c-877c-2360ae35be93"]}],"mendeley":{"formattedCitation":"(Rousk et al., 2013)","manualFormatting":"Rousk, Smith and Jones (2013)","plainTextFormattedCitation":"(Rousk et al., 2013)","previouslyFormattedCitation":"(Rousk et al., 2013)"},"properties":{"noteIndex":0},"schema":"https://github.com/citation-style-language/schema/raw/master/csl-citation.json"}</w:instrText>
      </w:r>
      <w:r>
        <w:fldChar w:fldCharType="separate"/>
      </w:r>
      <w:r w:rsidRPr="00C7184C">
        <w:rPr>
          <w:noProof/>
        </w:rPr>
        <w:t xml:space="preserve">Rousk, Smith and Jones </w:t>
      </w:r>
      <w:r>
        <w:rPr>
          <w:noProof/>
        </w:rPr>
        <w:t>(</w:t>
      </w:r>
      <w:r w:rsidRPr="00C7184C">
        <w:rPr>
          <w:noProof/>
        </w:rPr>
        <w:t>2013)</w:t>
      </w:r>
      <w:r>
        <w:fldChar w:fldCharType="end"/>
      </w:r>
      <w:r>
        <w:t xml:space="preserve"> concluded that 30% rainfall removal had no long-term effect on microbial composition or relative abundance. However, </w:t>
      </w:r>
      <w:r>
        <w:fldChar w:fldCharType="begin" w:fldLock="1"/>
      </w:r>
      <w:r w:rsidR="006E1F09">
        <w:instrText>ADDIN CSL_CITATION {"citationItems":[{"id":"ITEM-1","itemData":{"DOI":"10.1038/s41396-020-00882-x","ISSN":"17517370","PMID":"33452480","abstract":"Environmental stress is increasing worldwide, yet we lack a clear picture of how stress disrupts the stability of microbial communities and the ecosystem services they provide. Here, we present the first evidence that naturally-occurring microbiomes display network properties characteristic of unstable communities when under persistent stress. By assessing changes in diversity and structure of soil microbiomes along 40 replicate stress gradients (elevation/water availability gradients) in the Florida scrub ecosystem, we show that: (1) prokaryotic and fungal diversity decline in high stress, and (2) two network properties of stable microbial communities—modularity and negative:positive cohesion—have a clear negative relationship with environmental stress, explaining 51–78% of their variation. Interestingly, pathogenic taxa/functional guilds decreased in relative abundance along the stress gradient, while oligotrophs and mutualists increased, suggesting that the shift in negative:positive cohesion could result from decreasing negative:positive biotic interactions consistent with the predictions of the Stress Gradient Hypothesis. Given the crucial role microbiomes play in ecosystem functions, our results suggest that, by limiting the compartmentalization of microbial associations and creating communities dominated by positive associations, increasing stress in the Anthropocene could destabilize microbiomes and undermine their ecosystem services.","author":[{"dropping-particle":"","family":"Hernandez","given":"Damian J.","non-dropping-particle":"","parse-names":false,"suffix":""},{"dropping-particle":"","family":"David","given":"Aaron S.","non-dropping-particle":"","parse-names":false,"suffix":""},{"dropping-particle":"","family":"Menges","given":"Eric S.","non-dropping-particle":"","parse-names":false,"suffix":""},{"dropping-particle":"","family":"Searcy","given":"Christopher A.","non-dropping-particle":"","parse-names":false,"suffix":""},{"dropping-particle":"","family":"Afkhami","given":"Michelle E.","non-dropping-particle":"","parse-names":false,"suffix":""}],"container-title":"ISME Journal","id":"ITEM-1","issue":"6","issued":{"date-parts":[["2021"]]},"page":"1722-1734","publisher":"Springer US","title":"Environmental stress destabilizes microbial networks","type":"article-journal","volume":"15"},"uris":["http://www.mendeley.com/documents/?uuid=4f1004e2-8c53-459f-867d-1a25979b7c2e"]}],"mendeley":{"formattedCitation":"(Hernandez et al., 2021)","manualFormatting":"Hernandez et al. (2021)","plainTextFormattedCitation":"(Hernandez et al., 2021)","previouslyFormattedCitation":"(Hernandez et al., 2021)"},"properties":{"noteIndex":0},"schema":"https://github.com/citation-style-language/schema/raw/master/csl-citation.json"}</w:instrText>
      </w:r>
      <w:r>
        <w:fldChar w:fldCharType="separate"/>
      </w:r>
      <w:r w:rsidRPr="00D026CA">
        <w:rPr>
          <w:noProof/>
        </w:rPr>
        <w:t xml:space="preserve">Hernandez </w:t>
      </w:r>
      <w:r w:rsidRPr="00D026CA">
        <w:rPr>
          <w:i/>
          <w:noProof/>
        </w:rPr>
        <w:t>et al.</w:t>
      </w:r>
      <w:r w:rsidRPr="00D026CA">
        <w:rPr>
          <w:noProof/>
        </w:rPr>
        <w:t xml:space="preserve"> </w:t>
      </w:r>
      <w:r>
        <w:rPr>
          <w:noProof/>
        </w:rPr>
        <w:t>(</w:t>
      </w:r>
      <w:r w:rsidRPr="00D026CA">
        <w:rPr>
          <w:noProof/>
        </w:rPr>
        <w:t>2021)</w:t>
      </w:r>
      <w:r>
        <w:fldChar w:fldCharType="end"/>
      </w:r>
      <w:r>
        <w:t xml:space="preserve"> recently showed that environmental stress can disrupt these patterns in microbial biodiversity by reducing richness and destabilizing microbial networks on a much shorter time scale. Free-living bacterial communities have also been shown to respond to changes in soil moisture brought on by short-term rainfall perturbations in wet tropical climates </w:t>
      </w:r>
      <w:r>
        <w:fldChar w:fldCharType="begin" w:fldLock="1"/>
      </w:r>
      <w:r w:rsidR="006E1F09">
        <w:instrText>ADDIN CSL_CITATION {"citationItems":[{"id":"ITEM-1","itemData":{"DOI":"10.1007/s00248-014-0436-z","ISSN":"00953628","abstract":"Many wet tropical forests, which contain a quarter of global terrestrial biomass carbon stocks, will experience changes in precipitation regime over the next century. Soil microbial responses to altered rainfall are likely to be an important feedback on ecosystem carbon cycling, but the ecological mechanisms underpinning these responses are poorly understood. We examined how reduced rainfall affected soil microbial abundance, activity, and community composition using a 6-month precipitation exclusion experiment at La Selva Biological Station, Costa Rica. Thereafter, we addressed the persistent effects of field moisture treatments by exposing soils to a controlled soil moisture gradient in the lab for 4 weeks. In the field, compositional and functional responses to reduced rainfall were dependent on initial conditions, consistent with a large degree of spatial heterogeneity in tropical forests. However, the precipitation manipulation significantly altered microbial functional responses to soil moisture. Communities with prior drought exposure exhibited higher respiration rates per unit microbial biomass under all conditions and respired significantly more CO2 than control soils at low soil moisture. These functional patterns suggest that changes in microbial physiology may drive positive feedbacks to rising atmospheric CO2 concentrations if wet tropical forests experience longer or more intense dry seasons in the future.","author":[{"dropping-particle":"","family":"Waring","given":"Bonnie G.","non-dropping-particle":"","parse-names":false,"suffix":""},{"dropping-particle":"V.","family":"Hawkes","given":"Christine","non-dropping-particle":"","parse-names":false,"suffix":""}],"container-title":"Microbial Ecology","id":"ITEM-1","issue":"4","issued":{"date-parts":[["2015"]]},"page":"843-854","title":"Short-Term Precipitation Exclusion Alters Microbial Responses to Soil Moisture in a Wet Tropical Forest","type":"article-journal","volume":"69"},"uris":["http://www.mendeley.com/documents/?uuid=d949d78c-b431-4366-8e55-192d2fea17e6"]}],"mendeley":{"formattedCitation":"(Waring and Hawkes, 2015)","manualFormatting":"by Waring &amp; Hawkes (2015)","plainTextFormattedCitation":"(Waring and Hawkes, 2015)","previouslyFormattedCitation":"(Waring and Hawkes, 2015)"},"properties":{"noteIndex":0},"schema":"https://github.com/citation-style-language/schema/raw/master/csl-citation.json"}</w:instrText>
      </w:r>
      <w:r>
        <w:fldChar w:fldCharType="separate"/>
      </w:r>
      <w:r>
        <w:rPr>
          <w:noProof/>
        </w:rPr>
        <w:t xml:space="preserve">by </w:t>
      </w:r>
      <w:r w:rsidRPr="00C6687B">
        <w:rPr>
          <w:noProof/>
        </w:rPr>
        <w:t xml:space="preserve">Waring &amp; Hawkes </w:t>
      </w:r>
      <w:r>
        <w:rPr>
          <w:noProof/>
        </w:rPr>
        <w:t>(</w:t>
      </w:r>
      <w:r w:rsidRPr="00C6687B">
        <w:rPr>
          <w:noProof/>
        </w:rPr>
        <w:t>2015)</w:t>
      </w:r>
      <w:r>
        <w:fldChar w:fldCharType="end"/>
      </w:r>
      <w:r>
        <w:t>. Yet, observed diversity patterns for host-associated microorganisms might contradict patterns of free-living microorganisms as hosts may contribute to dispersal limitation and function as a buffer from environmental changes.</w:t>
      </w:r>
    </w:p>
    <w:p w14:paraId="08179076" w14:textId="1E4E833B" w:rsidR="00E101E7" w:rsidRDefault="00E101E7" w:rsidP="00E101E7">
      <w:pPr>
        <w:spacing w:line="360" w:lineRule="auto"/>
      </w:pPr>
      <w:r>
        <w:tab/>
        <w:t xml:space="preserve">Plant host-associated bacterial communities are hierarchically structured across a vertical spatial extent, from belowground plant tissue to aboveground plant tissue </w:t>
      </w:r>
      <w:r>
        <w:fldChar w:fldCharType="begin" w:fldLock="1"/>
      </w:r>
      <w:r w:rsidR="006E1F09">
        <w:instrText>ADDIN CSL_CITATION {"citationItems":[{"id":"ITEM-1","itemData":{"ISSN":"1432184X","abstract":"Advancements in molecular technology have reduced the constraints that the grain of observation, or the spatial resolution and volume of the sampling unit, has on the characterization of plant-associated microbiomes. With discrete ecological sampling and massive parallel sequencing, we can more precisely portray microbiome community assembly and microbial recruitment to host tissue over space and time. Here, we differentiate rarefied community richness and relative abundance in bacterial microbiomes of Salvia lyrata dependent on three spatial depths, which are discrete physical distances from the soil surface within the rhizosphere microhabitat as a proxy for the root system zones. To assess the impact of sampling grain on rarefied community richness and relative abundance, we evaluated the variation of these metrics between samples pooled prior to DNA extraction and samples pooled after sequencing. A distance-based redundancy analysis with the quantitative Jaccard distance revealed that rhizosphere microbiomes vary in richness between rhizosphere soil depths. At all orders of diversity, rarefied microbial richness was consistently lowest at the deepest samples taken (approximately 4 cm from soil surface) in comparison with other rhizosphere soil depths. We additionally show that finer grain sampling (i.e., three samples of equal volume pooled after sequencing) recovers greater microbial richness when using 16S rRNA gene sequencing to describe microbial communities found within the rhizosphere system. In summary, to further elucidate the extent host-specific microbiomes assemble within the rhizosphere, the grain at which bacterial communities are sampled should reflect and encompass fine-scale heterogeneity of the system.","author":[{"dropping-particle":"","family":"Dickey","given":"Jonathan R.","non-dropping-particle":"","parse-names":false,"suffix":""},{"dropping-particle":"","family":"Fordyce","given":"James A.","non-dropping-particle":"","parse-names":false,"suffix":""},{"dropping-particle":"","family":"Lebeis","given":"Sarah L.","non-dropping-particle":"","parse-names":false,"suffix":""}],"container-title":"Microbial Ecology","id":"ITEM-1","issue":"4","issued":{"date-parts":[["2020"]]},"page":"846-858","publisher":"Microbial Ecology","title":"Bacterial communities of the Salvia lyrata rhizosphere explained by spatial structure and sampling grain","type":"article-journal","volume":"80"},"uris":["http://www.mendeley.com/documents/?uuid=dbec8823-a9d9-4a80-aeb0-fb6d476fb1ff"]},{"id":"ITEM-2","itemData":{"DOI":"10.7287/peerj.preprints.27393v1","abstract":"Plant-associated microbes are critical players in host health, fitness and productivity. Despite microbes' importance in plants, seeds are mostly sterile, and most plant microbes are recruited from an environmental pool. Surprisingly little is known about the processes that govern how environmental microbes assemble on plants in nature. In this study we examine how bacteria are distributed across plant parts, and how these distributions interact with spatial gradients. We sequenced amplicons of bacteria from six plant parts and adjacent soil of Scaevola taccada, a common beach shrub, along a 60 km transect spanning Oʻahu island's windward coast, as well as within a single intensively-sampled site. Bacteria are more strongly partitioned by plant part as compared with location. Within S. taccada plants, microbial communities are highly nested: soil and rhizosphere communities contain much of the diversity found elsewhere, whereas reproductive parts fall at the bottom of the nestedness hierarchy. Nestedness patterns suggest either that microbes follow a source/sink gradient from the ground up, or else that assembly processes correlate with other traits, such as tissue persistence, that are vertically stratified. Our work shines light on the origins and determinants of plant-associated microbes across plant and landscape scales. PeerJ Preprints | https://doi.org/10.7287/peerj.preprints.27393v1 | CC BY 4.0","author":[{"dropping-particle":"","family":"Amend","given":"Anthony S","non-dropping-particle":"","parse-names":false,"suffix":""},{"dropping-particle":"","family":"Cobian","given":"Gerald M","non-dropping-particle":"","parse-names":false,"suffix":""},{"dropping-particle":"","family":"Laruson","given":"Aki J","non-dropping-particle":"","parse-names":false,"suffix":""},{"dropping-particle":"","family":"Remple","given":"Kristina","non-dropping-particle":"","parse-names":false,"suffix":""},{"dropping-particle":"","family":"Tucker","given":"Sarah J","non-dropping-particle":"","parse-names":false,"suffix":""},{"dropping-particle":"","family":"Kirsten","given":"E","non-dropping-particle":"","parse-names":false,"suffix":""},{"dropping-particle":"","family":"Antaky","given":"Carmen","non-dropping-particle":"","parse-names":false,"suffix":""},{"dropping-particle":"","family":"Boraks","given":"Andre","non-dropping-particle":"","parse-names":false,"suffix":""},{"dropping-particle":"","family":"Jones","given":"Casey A","non-dropping-particle":"","parse-names":false,"suffix":""},{"dropping-particle":"","family":"Kuehu","given":"Donna","non-dropping-particle":"","parse-names":false,"suffix":""},{"dropping-particle":"","family":"Lensing","given":"Becca R","non-dropping-particle":"","parse-names":false,"suffix":""},{"dropping-particle":"","family":"Richardson","given":"Daniel T","non-dropping-particle":"","parse-names":false,"suffix":""},{"dropping-particle":"","family":"Riley","given":"Paul P","non-dropping-particle":"","parse-names":false,"suffix":""}],"container-title":"PeerJPreprints","id":"ITEM-2","issued":{"date-parts":[["2018"]]},"page":"1-18","title":"Phytobiomes are compositionally nested from the ground up Phytobiomes are compositionally nested from the ground up","type":"article-journal"},"uris":["http://www.mendeley.com/documents/?uuid=e0363598-29b8-4560-98d1-138cde5a9413"]}],"mendeley":{"formattedCitation":"(Amend et al., 2018; Dickey et al., 2020)","plainTextFormattedCitation":"(Amend et al., 2018; Dickey et al., 2020)","previouslyFormattedCitation":"(Amend et al., 2018; Dickey et al., 2020)"},"properties":{"noteIndex":0},"schema":"https://github.com/citation-style-language/schema/raw/master/csl-citation.json"}</w:instrText>
      </w:r>
      <w:r>
        <w:fldChar w:fldCharType="separate"/>
      </w:r>
      <w:r w:rsidR="00CE6085" w:rsidRPr="00CE6085">
        <w:rPr>
          <w:noProof/>
        </w:rPr>
        <w:t>(Amend et al., 2018; Dickey et al., 2020)</w:t>
      </w:r>
      <w:r>
        <w:fldChar w:fldCharType="end"/>
      </w:r>
      <w:r>
        <w:t xml:space="preserve">. </w:t>
      </w:r>
      <w:r>
        <w:fldChar w:fldCharType="begin" w:fldLock="1"/>
      </w:r>
      <w:r w:rsidR="006E1F09">
        <w:instrText>ADDIN CSL_CITATION {"citationItems":[{"id":"ITEM-1","itemData":{"DOI":"10.1038/s41396-021-00967-1","ISSN":"17517370","abstract":"Plants grown in distinct soils typically harbor distinct microbial communities, but the degree of the soil microbiome influence on plant microbiome assembly remains largely undetermined. We also know that the microbes associated with seeds can contribute to the plant microbiome, but the magnitude of this contribution is likely variable. We quantified the influence of soil and seed microbiomes on the bacterial community composition of seedlings by independently inoculating seeds from a single cultivar of wheat (Triticum aestivum) with 219 unique soil slurries while holding other environmental factors constant, determining the composition of the seed, soil, and seedling bacterial communities via cultivation-independent methods. Soil bacterial communities exert a strong, but variable, influence on seedling bacterial community structure, with the extent of the soil bacterial contribution dependent on the soil in question. By testing a wide range of soils, we were able to show that the specific composition of the seedling microbiome is predictable from knowing which bacterial taxa are found in soil. Although the most ubiquitous taxa associated with the seedlings were seed derived, the contributions of the seed microbiome to the seedling microbiome were variable and dependent on soil bacterial community composition. Together this work improves our predictive understanding of how the plant microbiome assembles and how the seedling microbiome could be directly or indirectly manipulated to improve plant health.","author":[{"dropping-particle":"","family":"Walsh","given":"Corinne M.","non-dropping-particle":"","parse-names":false,"suffix":""},{"dropping-particle":"","family":"Becker-Uncapher","given":"Isadore","non-dropping-particle":"","parse-names":false,"suffix":""},{"dropping-particle":"","family":"Carlson","given":"Madeline","non-dropping-particle":"","parse-names":false,"suffix":""},{"dropping-particle":"","family":"Fierer","given":"Noah","non-dropping-particle":"","parse-names":false,"suffix":""}],"container-title":"ISME Journal","id":"ITEM-1","issued":{"date-parts":[["2021"]]},"page":"10-15","publisher":"Springer US","title":"Variable influences of soil and seed-associated bacterial communities on the assembly of seedling microbiomes","type":"article-journal"},"uris":["http://www.mendeley.com/documents/?uuid=86cfb52a-bbe0-414f-b439-a071c598779f"]}],"mendeley":{"formattedCitation":"(Walsh et al., 2021)","manualFormatting":"As indicated by Walsh et al. (2021)","plainTextFormattedCitation":"(Walsh et al., 2021)","previouslyFormattedCitation":"(Walsh et al., 2021)"},"properties":{"noteIndex":0},"schema":"https://github.com/citation-style-language/schema/raw/master/csl-citation.json"}</w:instrText>
      </w:r>
      <w:r>
        <w:fldChar w:fldCharType="separate"/>
      </w:r>
      <w:r>
        <w:rPr>
          <w:noProof/>
        </w:rPr>
        <w:t xml:space="preserve">As indicated by </w:t>
      </w:r>
      <w:r w:rsidRPr="00DD5695">
        <w:rPr>
          <w:noProof/>
        </w:rPr>
        <w:t xml:space="preserve">Walsh </w:t>
      </w:r>
      <w:r w:rsidRPr="00DD5695">
        <w:rPr>
          <w:i/>
          <w:noProof/>
        </w:rPr>
        <w:t>et al.</w:t>
      </w:r>
      <w:r w:rsidRPr="00DD5695">
        <w:rPr>
          <w:noProof/>
        </w:rPr>
        <w:t xml:space="preserve"> </w:t>
      </w:r>
      <w:r>
        <w:rPr>
          <w:noProof/>
        </w:rPr>
        <w:t>(</w:t>
      </w:r>
      <w:r w:rsidRPr="00DD5695">
        <w:rPr>
          <w:noProof/>
        </w:rPr>
        <w:t>2021)</w:t>
      </w:r>
      <w:r>
        <w:fldChar w:fldCharType="end"/>
      </w:r>
      <w:r>
        <w:t xml:space="preserve">, </w:t>
      </w:r>
      <w:r w:rsidRPr="00A2574A">
        <w:t>plant host</w:t>
      </w:r>
      <w:r w:rsidRPr="00E41EB8">
        <w:t>-</w:t>
      </w:r>
      <w:r>
        <w:t xml:space="preserve">associated bacterial </w:t>
      </w:r>
      <w:r>
        <w:lastRenderedPageBreak/>
        <w:t xml:space="preserve">communities are both vertically transmitted and influenced by bulk soil microbiomes as seeds germinate, indicating that plant host-associated microbiome assembly is dynamic. Additionally, in the rhizosphere microhabitat, or the region of soil adjacent to the epidermis (~3mm), soil abiotic factors (e.g., pH, moisture, C:N, P, etc.) play a large role in determining bacterial community and composition </w:t>
      </w:r>
      <w:r>
        <w:fldChar w:fldCharType="begin" w:fldLock="1"/>
      </w:r>
      <w:r w:rsidR="006E1F09">
        <w:instrText>ADDIN CSL_CITATION {"citationItems":[{"id":"ITEM-1","itemData":{"DOI":"10.1093/jxb/erp053","ISSN":"00220957","abstract":"Plant species is considered to be one of the most important factors in shaping rhizobacterial communities, but specific plant-microbe interactions in the rhizosphere are still not fully understood. Arabidopsis thaliana, for which a large number of naturally occurring ecotype accessions exist, lacks mycorrhizal associations and is hence an ideal model for rhizobacterial studies. Eight Arabidopsis accessions were found to exert a marked selective influence on bacteria associated with their roots, as determined by terminal-restriction fragment length polymorphism (T-RFLP) and ribosomal intergenic spacer analysis (RISA). Community differences in species composition and relative abundance were both significant (P &lt;0.001). The eight distinct and reproducible accession-dependent community profiles also differed from control bulk soil. Root exudates of these variants were analysed by high performance liquid chromatography (HPLC) to try to establish whether the unique rhizobacterial assemblages among accessions could be attributed to plant-regulated chemical changes in the rhizosphere. Natural variation in root exudation patterns was clearly exhibited, suggesting that differences in exudation patterns among accessions could be influencing bacterial assemblages. Other factors such as root system architecture are also probably involved. Finally, to investigate the Arabidopsis rhizosphere further, the phylogenetic diversity of rhizobacteria from accession Cvi-0 is described.","author":[{"dropping-particle":"","family":"Micallef","given":"Shirley A.","non-dropping-particle":"","parse-names":false,"suffix":""},{"dropping-particle":"","family":"Shiaris","given":"Michael P.","non-dropping-particle":"","parse-names":false,"suffix":""},{"dropping-particle":"","family":"Colón-Carmona","given":"Adán","non-dropping-particle":"","parse-names":false,"suffix":""}],"container-title":"Journal of Experimental Botany","id":"ITEM-1","issue":"6","issued":{"date-parts":[["2009"]]},"page":"1729-1742","title":"Influence of Arabidopsis thaliana accessions on rhizobacterial communities and natural variation in root exudates","type":"article-journal","volume":"60"},"uris":["http://www.mendeley.com/documents/?uuid=040acbd8-edc6-42e5-8d21-4aa5b97dcb59"]},{"id":"ITEM-2","itemData":{"DOI":"10.1007/s11104-014-2059-z","ISSN":"0032079X","abstract":"Aims: This study analyzed the extent to which root exudates diffuse from the root surface towards the soil depending on topsoil and subsoil properties and the effect of arbuscular mycorrhizal fungal hyphae on root-derived C distribution in the rhizosphere. Methods: Alfalfa was grown in three-compartment pots. Nylon gauze prevented either roots alone or roots and arbuscular mycorrhizal fungal hyphae from penetrating into the rhizosphere compartments. 14CO2 pulse labeling enabled the measurement of 14C-labeled exudates in dissolved (DOC) and total organic carbon (TOC) in the rhizosphere, distributed either by diffusion alone or by diffusion, root hair and hyphal transport. Results: Root exudation and microbial decomposition of exudates was higher in the rhizosphere with topsoil compared to subsoil properties. Exudates extended over 28 mm (DOC) and 20 mm (TOC). Different soil properties and mycorrhization, likely caused by the low arbuscular mycorrhizal colonization of roots (13 ± 4 % (topsoil properties) and 18 ± 5 % (subsoil properties)), had no effect. Conclusions: Higher microbial decomposition compensated for higher root exudation into the rhizosphere with topsoil properties, which resulted in equal exudate extent when compared to the rhizosphere with subsoil properties. Higher 14C activity used for labeling compared with previous studies enabled the detection of low exudate concentrations at longer distances from the root surface. © 2014 Springer International Publishing Switzerland.","author":[{"dropping-particle":"","family":"Hafner","given":"Silke","non-dropping-particle":"","parse-names":false,"suffix":""},{"dropping-particle":"","family":"Wiesenberg","given":"Guido L.B.","non-dropping-particle":"","parse-names":false,"suffix":""},{"dropping-particle":"","family":"Stolnikova","given":"Ekaterina","non-dropping-particle":"","parse-names":false,"suffix":""},{"dropping-particle":"","family":"Merz","given":"Klara","non-dropping-particle":"","parse-names":false,"suffix":""},{"dropping-particle":"","family":"Kuzyakov","given":"Yakov","non-dropping-particle":"","parse-names":false,"suffix":""}],"container-title":"Plant and Soil","id":"ITEM-2","issue":"1","issued":{"date-parts":[["2014"]]},"page":"101-115","title":"Spatial distribution and turnover of root-derived carbon in alfalfa rhizosphere depending on top- and subsoil properties and mycorrhization","type":"article-journal","volume":"380"},"uris":["http://www.mendeley.com/documents/?uuid=29c34dc9-7eae-4436-9f7a-8f554fff2706"]},{"id":"ITEM-3","itemData":{"DOI":"10.1073/pnas.0507535103","ISBN":"0507535103","ISSN":"00278424","PMID":"16407148","abstract":"For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 © 2006 by The National Academy of Sciences of the USA.","author":[{"dropping-particle":"","family":"Fierer","given":"Noah","non-dropping-particle":"","parse-names":false,"suffix":""},{"dropping-particle":"","family":"Jackson","given":"Robert B.","non-dropping-particle":"","parse-names":false,"suffix":""}],"container-title":"Proceedings of the National Academy of Sciences of the United States of America","id":"ITEM-3","issue":"3","issued":{"date-parts":[["2006"]]},"page":"626-631","title":"The diversity and biogeography of soil bacterial communities","type":"article-journal","volume":"103"},"uris":["http://www.mendeley.com/documents/?uuid=9fa0626f-a197-40d6-acd9-2889abd2e7c6"]}],"mendeley":{"formattedCitation":"(Fierer and Jackson, 2006a; Micallef et al., 2009; Hafner et al., 2014)","plainTextFormattedCitation":"(Fierer and Jackson, 2006a; Micallef et al., 2009; Hafner et al., 2014)","previouslyFormattedCitation":"(Fierer and Jackson, 2006a; Micallef et al., 2009; Hafner et al., 2014)"},"properties":{"noteIndex":0},"schema":"https://github.com/citation-style-language/schema/raw/master/csl-citation.json"}</w:instrText>
      </w:r>
      <w:r>
        <w:fldChar w:fldCharType="separate"/>
      </w:r>
      <w:r w:rsidR="00CE6085" w:rsidRPr="00CE6085">
        <w:rPr>
          <w:noProof/>
        </w:rPr>
        <w:t>(Fierer and Jackson, 2006a; Micallef et al., 2009; Hafner et al., 2014)</w:t>
      </w:r>
      <w:r>
        <w:fldChar w:fldCharType="end"/>
      </w:r>
      <w:r>
        <w:t xml:space="preserve">. There have been several studies that investigate how rhizospheric bacterial communities respond to pulses in soil abiotic factors, such as soil drying-rewetting cycles. For example, </w:t>
      </w:r>
      <w:r>
        <w:fldChar w:fldCharType="begin" w:fldLock="1"/>
      </w:r>
      <w:r w:rsidR="006E1F09">
        <w:instrText>ADDIN CSL_CITATION {"citationItems":[{"id":"ITEM-1","itemData":{"DOI":"10.1111/1462-2920.13474","ISSN":"14622920","PMID":"27459511","abstract":"Although desert soils support functionally important microbial communities that affect plant growth and influence many biogeochemical processes, the impact of future changes in precipitation patterns on the microbiota and their activities is largely unknown. We performed in-situ experiments to investigate the effect of simulated rainfall on bacterial communities associated with the widespread perennial shrub, Rhazya stricta in Arabian desert soils. The bacterial community composition was distinct between three different soil compartments: surface biological crust, root-attached, and the broader rhizosphere. Simulated rainfall had no significant effect on the overall bacterial community composition, but some population-level responses were observed, especially in soil crusts where Betaproteobacteria, Sphingobacteria, and Bacilli became more abundant. Bacterial biomass in the nutrient-rich crust increased three-fold one week after watering, whereas it did not change in the rhizosphere, despite its much higher water retention. These findings indicate that between rainfall events, desert-soil microbial communities enter into stasis, with limited species turnover, and reactivate rapidly and relatively uniformly when water becomes available. However, microbiota in the crust, which was relatively enriched in nutrients and organic matter, were primarily water-limited, compared with the rhizosphere microbiota that were co-limited by nutrients and water.","author":[{"dropping-particle":"","family":"Aslam","given":"Shazia N.","non-dropping-particle":"","parse-names":false,"suffix":""},{"dropping-particle":"","family":"Dumbrell","given":"Alex J.","non-dropping-particle":"","parse-names":false,"suffix":""},{"dropping-particle":"","family":"Sabir","given":"Jamal S.","non-dropping-particle":"","parse-names":false,"suffix":""},{"dropping-particle":"","family":"Mutwakil","given":"Mohammed H.Z.","non-dropping-particle":"","parse-names":false,"suffix":""},{"dropping-particle":"","family":"Baeshen","given":"Mohammed M.N.","non-dropping-particle":"","parse-names":false,"suffix":""},{"dropping-particle":"","family":"Abo-Aba","given":"Salah E.M.","non-dropping-particle":"","parse-names":false,"suffix":""},{"dropping-particle":"","family":"Clark","given":"Dave R.","non-dropping-particle":"","parse-names":false,"suffix":""},{"dropping-particle":"","family":"Yates","given":"Steven A.","non-dropping-particle":"","parse-names":false,"suffix":""},{"dropping-particle":"","family":"Baeshen","given":"Nabih A.","non-dropping-particle":"","parse-names":false,"suffix":""},{"dropping-particle":"","family":"Underwood","given":"Graham J.C.","non-dropping-particle":"","parse-names":false,"suffix":""},{"dropping-particle":"","family":"McGenity","given":"Terry J.","non-dropping-particle":"","parse-names":false,"suffix":""}],"container-title":"Environmental Microbiology","id":"ITEM-1","issue":"12","issued":{"date-parts":[["2016"]]},"page":"5048-5062","title":"Soil compartment is a major determinant of the impact of simulated rainfall on desert microbiota","type":"article-journal","volume":"18"},"uris":["http://www.mendeley.com/documents/?uuid=2c2cc366-eec3-4ca6-a9cd-08547f9bc843"]}],"mendeley":{"formattedCitation":"(Aslam et al., 2016)","manualFormatting":"Aslam et al. (2016)","plainTextFormattedCitation":"(Aslam et al., 2016)","previouslyFormattedCitation":"(Aslam et al., 2016)"},"properties":{"noteIndex":0},"schema":"https://github.com/citation-style-language/schema/raw/master/csl-citation.json"}</w:instrText>
      </w:r>
      <w:r>
        <w:fldChar w:fldCharType="separate"/>
      </w:r>
      <w:r w:rsidRPr="00AA23C5">
        <w:rPr>
          <w:noProof/>
        </w:rPr>
        <w:t xml:space="preserve">Aslam </w:t>
      </w:r>
      <w:r w:rsidRPr="00AA23C5">
        <w:rPr>
          <w:i/>
          <w:noProof/>
        </w:rPr>
        <w:t>et al.</w:t>
      </w:r>
      <w:r w:rsidRPr="00AA23C5">
        <w:rPr>
          <w:noProof/>
        </w:rPr>
        <w:t xml:space="preserve"> </w:t>
      </w:r>
      <w:r>
        <w:rPr>
          <w:noProof/>
        </w:rPr>
        <w:t>(</w:t>
      </w:r>
      <w:r w:rsidRPr="00AA23C5">
        <w:rPr>
          <w:noProof/>
        </w:rPr>
        <w:t>2016)</w:t>
      </w:r>
      <w:r>
        <w:fldChar w:fldCharType="end"/>
      </w:r>
      <w:r>
        <w:t xml:space="preserve"> demonstrated that rhizosphere bacterial communities respond to simulated rainfall and co-limited soil abiotic factors in desert ecosystems. Their results suggest that abundant taxa in these communities withstand pulses in water with little to no species turnover. On the other hand, </w:t>
      </w:r>
      <w:r>
        <w:fldChar w:fldCharType="begin" w:fldLock="1"/>
      </w:r>
      <w:r w:rsidR="006E1F09">
        <w:instrText>ADDIN CSL_CITATION {"citationItems":[{"id":"ITEM-1","itemData":{"DOI":"10.1038/srep45735","ISSN":"20452322","abstract":"© 2017 The Author(s). Life in desert soil is marked by episodic pulses of water and nutrients followed by long periods of drought. While the desert flora and fauna flourish after rainfall the response of soil microorganisms remains unclear and understudied. We provide the first systematic study of the role of soil aqueous habitat dynamics in shaping microbial community composition and diversity. Detailed monitoring of natural microbial communities after a rainfall event revealed a remarkable decrease in diversity and a significant transition in community composition that were gradually restored to pre-rainfall values during soil desiccation. Modelling results suggest a critical role for the fragmented aqueous habitat in maintaining microbial diversity under dry soil conditions and diversity loss with wetting events that increase connectivity among habitats. This interdisciplinary study provides new insights into wetting and drying processes that promote and restore the unparalleled microbial diversity found in soil.","author":[{"dropping-particle":"","family":"Štovíček","given":"Adam","non-dropping-particle":"","parse-names":false,"suffix":""},{"dropping-particle":"","family":"Kim","given":"Minsu","non-dropping-particle":"","parse-names":false,"suffix":""},{"dropping-particle":"","family":"Or","given":"Dani","non-dropping-particle":"","parse-names":false,"suffix":""},{"dropping-particle":"","family":"Gillor","given":"Osnat","non-dropping-particle":"","parse-names":false,"suffix":""}],"container-title":"Scientific Reports","id":"ITEM-1","issue":"April","issued":{"date-parts":[["2017"]]},"page":"1-9","publisher":"Nature Publishing Group","title":"Microbial community response to hydration-desiccation cycles in desert soil","type":"article-journal","volume":"7"},"uris":["http://www.mendeley.com/documents/?uuid=c85dfe55-59e6-4b61-a785-465cfbc34c9d"]}],"mendeley":{"formattedCitation":"(Štovíček et al., 2017)","manualFormatting":"Štovíček et al. (2017)","plainTextFormattedCitation":"(Štovíček et al., 2017)","previouslyFormattedCitation":"(Štovíček et al., 2017)"},"properties":{"noteIndex":0},"schema":"https://github.com/citation-style-language/schema/raw/master/csl-citation.json"}</w:instrText>
      </w:r>
      <w:r>
        <w:fldChar w:fldCharType="separate"/>
      </w:r>
      <w:r w:rsidRPr="009130D3">
        <w:rPr>
          <w:noProof/>
        </w:rPr>
        <w:t xml:space="preserve">Štovíček </w:t>
      </w:r>
      <w:r w:rsidRPr="009130D3">
        <w:rPr>
          <w:i/>
          <w:noProof/>
        </w:rPr>
        <w:t>et al.</w:t>
      </w:r>
      <w:r w:rsidRPr="009130D3">
        <w:rPr>
          <w:noProof/>
        </w:rPr>
        <w:t xml:space="preserve"> </w:t>
      </w:r>
      <w:r>
        <w:rPr>
          <w:noProof/>
        </w:rPr>
        <w:t>(</w:t>
      </w:r>
      <w:r w:rsidRPr="009130D3">
        <w:rPr>
          <w:noProof/>
        </w:rPr>
        <w:t>2017)</w:t>
      </w:r>
      <w:r>
        <w:fldChar w:fldCharType="end"/>
      </w:r>
      <w:r>
        <w:t xml:space="preserve"> showed that microbial communities decrease in richness under extreme moisture (anoxic) conditions soils favor anerobic bacteria. To gain further insight on how plant host-associated bacterial communities respond to changing environmental pressures, the aim of this study is to assess the relative importance seasonal rainfall and soil abiotic factors have on structuring bacterial communities in the rhizosphere.</w:t>
      </w:r>
    </w:p>
    <w:p w14:paraId="79C99AB4" w14:textId="2F41791C" w:rsidR="004F08CE" w:rsidRPr="00E101E7" w:rsidRDefault="00E101E7" w:rsidP="00E101E7">
      <w:pPr>
        <w:spacing w:line="360" w:lineRule="auto"/>
        <w:rPr>
          <w:color w:val="000000" w:themeColor="text1"/>
        </w:rPr>
      </w:pPr>
      <w:r>
        <w:tab/>
      </w:r>
      <w:r w:rsidRPr="006A2402">
        <w:rPr>
          <w:color w:val="000000" w:themeColor="text1"/>
        </w:rPr>
        <w:t xml:space="preserve">While there is </w:t>
      </w:r>
      <w:r>
        <w:rPr>
          <w:color w:val="000000" w:themeColor="text1"/>
        </w:rPr>
        <w:t xml:space="preserve">some </w:t>
      </w:r>
      <w:r w:rsidRPr="006A2402">
        <w:rPr>
          <w:color w:val="000000" w:themeColor="text1"/>
        </w:rPr>
        <w:t xml:space="preserve">understanding of how free-living microorganisms respond to environmental filters in </w:t>
      </w:r>
      <w:r>
        <w:rPr>
          <w:color w:val="000000" w:themeColor="text1"/>
        </w:rPr>
        <w:t xml:space="preserve">the </w:t>
      </w:r>
      <w:r w:rsidRPr="006A2402">
        <w:rPr>
          <w:color w:val="000000" w:themeColor="text1"/>
        </w:rPr>
        <w:t xml:space="preserve">light of macroecological theory, much more research is needed </w:t>
      </w:r>
      <w:r>
        <w:rPr>
          <w:color w:val="000000" w:themeColor="text1"/>
        </w:rPr>
        <w:t>to comprehend</w:t>
      </w:r>
      <w:r w:rsidRPr="006A2402">
        <w:rPr>
          <w:color w:val="000000" w:themeColor="text1"/>
        </w:rPr>
        <w:t xml:space="preserve"> the complexit</w:t>
      </w:r>
      <w:r>
        <w:rPr>
          <w:color w:val="000000" w:themeColor="text1"/>
        </w:rPr>
        <w:t>ies</w:t>
      </w:r>
      <w:r w:rsidRPr="006A2402">
        <w:rPr>
          <w:color w:val="000000" w:themeColor="text1"/>
        </w:rPr>
        <w:t xml:space="preserve"> </w:t>
      </w:r>
      <w:r>
        <w:rPr>
          <w:color w:val="000000" w:themeColor="text1"/>
        </w:rPr>
        <w:t>of</w:t>
      </w:r>
      <w:r w:rsidRPr="006A2402">
        <w:rPr>
          <w:color w:val="000000" w:themeColor="text1"/>
        </w:rPr>
        <w:t xml:space="preserve"> how plant-host associated microbial communities respond to</w:t>
      </w:r>
      <w:r>
        <w:rPr>
          <w:color w:val="000000" w:themeColor="text1"/>
        </w:rPr>
        <w:t xml:space="preserve"> environmental change</w:t>
      </w:r>
      <w:r w:rsidRPr="006A2402">
        <w:rPr>
          <w:color w:val="000000" w:themeColor="text1"/>
        </w:rPr>
        <w:t xml:space="preserve">. Here, </w:t>
      </w:r>
      <w:r>
        <w:rPr>
          <w:color w:val="000000" w:themeColor="text1"/>
        </w:rPr>
        <w:t>we</w:t>
      </w:r>
      <w:r w:rsidRPr="006A2402">
        <w:rPr>
          <w:color w:val="000000" w:themeColor="text1"/>
        </w:rPr>
        <w:t xml:space="preserve"> </w:t>
      </w:r>
      <w:r>
        <w:rPr>
          <w:color w:val="000000" w:themeColor="text1"/>
        </w:rPr>
        <w:t xml:space="preserve">used </w:t>
      </w:r>
      <w:r w:rsidRPr="006E6ED3">
        <w:rPr>
          <w:i/>
          <w:iCs/>
          <w:color w:val="000000" w:themeColor="text1"/>
        </w:rPr>
        <w:t xml:space="preserve">Lupinus </w:t>
      </w:r>
      <w:proofErr w:type="spellStart"/>
      <w:r w:rsidRPr="006E6ED3">
        <w:rPr>
          <w:i/>
          <w:iCs/>
          <w:color w:val="000000" w:themeColor="text1"/>
        </w:rPr>
        <w:t>neomexicanus</w:t>
      </w:r>
      <w:proofErr w:type="spellEnd"/>
      <w:r w:rsidRPr="006E6ED3">
        <w:rPr>
          <w:i/>
          <w:iCs/>
          <w:color w:val="000000" w:themeColor="text1"/>
        </w:rPr>
        <w:t xml:space="preserve"> </w:t>
      </w:r>
      <w:r>
        <w:rPr>
          <w:color w:val="000000" w:themeColor="text1"/>
        </w:rPr>
        <w:t>Greene and three rainfall exclusion treatments: 0% exclusion (control), 60% (moderate</w:t>
      </w:r>
      <w:r w:rsidRPr="00290177">
        <w:rPr>
          <w:color w:val="000000" w:themeColor="text1"/>
        </w:rPr>
        <w:t xml:space="preserve"> </w:t>
      </w:r>
      <w:r>
        <w:rPr>
          <w:color w:val="000000" w:themeColor="text1"/>
        </w:rPr>
        <w:t xml:space="preserve">exclusion), and 80% (high exclusion) to </w:t>
      </w:r>
      <w:r>
        <w:t xml:space="preserve">address to what extent does bacterial community composition in the rhizosphere respond to manipulated rainfall and soil abiotic factors across the NAM season in the Sonoran Desert? Three possible alternative </w:t>
      </w:r>
      <w:r w:rsidRPr="003C1E33">
        <w:t>predictions arise from manipulating rhizosphere soil moisture with rain</w:t>
      </w:r>
      <w:r w:rsidRPr="00260901">
        <w:t xml:space="preserve">fall exclusion treatments </w:t>
      </w:r>
      <w:r w:rsidRPr="00FF4F72">
        <w:t>across</w:t>
      </w:r>
      <w:r w:rsidRPr="005E185D">
        <w:t xml:space="preserve"> the NAM season.</w:t>
      </w:r>
      <w:r>
        <w:t xml:space="preserve"> First, there could be no net gain or loss in bacterial taxa based on rainfall exclusion treatments. Second</w:t>
      </w:r>
      <w:r w:rsidRPr="00A2574A">
        <w:t xml:space="preserve">, rainfall </w:t>
      </w:r>
      <w:r>
        <w:t xml:space="preserve">exclusion </w:t>
      </w:r>
      <w:r w:rsidRPr="00A2574A">
        <w:t>c</w:t>
      </w:r>
      <w:r>
        <w:t xml:space="preserve">ould </w:t>
      </w:r>
      <w:r w:rsidRPr="00A2574A">
        <w:t>homogenize the rhizosphere microhabitat</w:t>
      </w:r>
      <w:r>
        <w:t>, favoring drier, more anoxic conditions,</w:t>
      </w:r>
      <w:r w:rsidRPr="00A2574A">
        <w:t xml:space="preserve"> and </w:t>
      </w:r>
      <w:r>
        <w:t xml:space="preserve">lead </w:t>
      </w:r>
      <w:r w:rsidRPr="00A2574A">
        <w:t xml:space="preserve">to </w:t>
      </w:r>
      <w:r>
        <w:t xml:space="preserve">reduced bacterial richness and </w:t>
      </w:r>
      <w:r w:rsidRPr="00A2574A">
        <w:t xml:space="preserve">a </w:t>
      </w:r>
      <w:r>
        <w:t>change in</w:t>
      </w:r>
      <w:r w:rsidRPr="00A2574A">
        <w:t xml:space="preserve"> bacterial </w:t>
      </w:r>
      <w:r>
        <w:t>community composition</w:t>
      </w:r>
      <w:r w:rsidRPr="00A2574A">
        <w:t>.</w:t>
      </w:r>
      <w:r>
        <w:t xml:space="preserve"> Lastly</w:t>
      </w:r>
      <w:r w:rsidRPr="003C1E33">
        <w:t>,</w:t>
      </w:r>
      <w:r>
        <w:t xml:space="preserve"> we might expect</w:t>
      </w:r>
      <w:r w:rsidRPr="003C1E33">
        <w:t xml:space="preserve"> there </w:t>
      </w:r>
      <w:r>
        <w:t>to</w:t>
      </w:r>
      <w:r w:rsidRPr="003C1E33">
        <w:t xml:space="preserve"> be </w:t>
      </w:r>
      <w:r>
        <w:t>an</w:t>
      </w:r>
      <w:r w:rsidRPr="003C1E33">
        <w:t xml:space="preserve"> </w:t>
      </w:r>
      <w:r>
        <w:t>increase in bacterial richness and a change in community composition</w:t>
      </w:r>
      <w:r w:rsidRPr="003C1E33">
        <w:t xml:space="preserve"> </w:t>
      </w:r>
      <w:r>
        <w:t xml:space="preserve">as bacterial groups persist over a short time scale and compete for a single limiting resource, soil moisture </w:t>
      </w:r>
      <w:r>
        <w:fldChar w:fldCharType="begin" w:fldLock="1"/>
      </w:r>
      <w:r w:rsidR="006E1F09">
        <w:instrText>ADDIN CSL_CITATION {"citationItems":[{"id":"ITEM-1","itemData":{"ISSN":"1939-9170","author":[{"dropping-particle":"","family":"Tilman","given":"David","non-dropping-particle":"","parse-names":false,"suffix":""}],"container-title":"Ecology","id":"ITEM-1","issue":"1","issued":{"date-parts":[["1994"]]},"page":"2-16","publisher":"Wiley Online Library","title":"Competition and biodiversity in spatially structured habitats","type":"article-journal","volume":"75"},"uris":["http://www.mendeley.com/documents/?uuid=a7e67947-9bd5-48dc-a628-5772455f3e98"]}],"mendeley":{"formattedCitation":"(Tilman, 1994)","plainTextFormattedCitation":"(Tilman, 1994)","previouslyFormattedCitation":"(Tilman, 1994)"},"properties":{"noteIndex":0},"schema":"https://github.com/citation-style-language/schema/raw/master/csl-citation.json"}</w:instrText>
      </w:r>
      <w:r>
        <w:fldChar w:fldCharType="separate"/>
      </w:r>
      <w:r w:rsidR="00CE6085" w:rsidRPr="00CE6085">
        <w:rPr>
          <w:noProof/>
        </w:rPr>
        <w:t>(Tilman, 1994)</w:t>
      </w:r>
      <w:r>
        <w:fldChar w:fldCharType="end"/>
      </w:r>
      <w:r>
        <w:t xml:space="preserve">. </w:t>
      </w:r>
    </w:p>
    <w:p w14:paraId="4640E60C" w14:textId="721F7561" w:rsidR="00FF195C" w:rsidRDefault="00B863BB" w:rsidP="00E101E7">
      <w:pPr>
        <w:pStyle w:val="Heading2"/>
        <w:spacing w:line="360" w:lineRule="auto"/>
      </w:pPr>
      <w:bookmarkStart w:id="45" w:name="_Toc102048010"/>
      <w:r>
        <w:lastRenderedPageBreak/>
        <w:t>M</w:t>
      </w:r>
      <w:r w:rsidR="0057074B">
        <w:t>ethods</w:t>
      </w:r>
      <w:bookmarkEnd w:id="45"/>
    </w:p>
    <w:p w14:paraId="688617E8" w14:textId="5DFD3DDA" w:rsidR="00B863BB" w:rsidRDefault="00B863BB" w:rsidP="00E101E7">
      <w:pPr>
        <w:pStyle w:val="Heading3"/>
      </w:pPr>
      <w:bookmarkStart w:id="46" w:name="_Toc102048011"/>
      <w:r>
        <w:t>Experimental design</w:t>
      </w:r>
      <w:bookmarkEnd w:id="46"/>
    </w:p>
    <w:p w14:paraId="7CB623F1" w14:textId="30C52703" w:rsidR="00E101E7" w:rsidRDefault="00432633" w:rsidP="00E101E7">
      <w:pPr>
        <w:spacing w:line="360" w:lineRule="auto"/>
        <w:rPr>
          <w:iCs/>
          <w:color w:val="000000" w:themeColor="text1"/>
          <w:shd w:val="clear" w:color="auto" w:fill="FFFFFF"/>
        </w:rPr>
      </w:pPr>
      <w:r>
        <w:rPr>
          <w:bCs/>
        </w:rPr>
        <w:tab/>
      </w:r>
      <w:r w:rsidR="00E101E7" w:rsidRPr="00BC3905">
        <w:rPr>
          <w:bCs/>
        </w:rPr>
        <w:t>The</w:t>
      </w:r>
      <w:r w:rsidR="00E101E7" w:rsidRPr="00BC3905">
        <w:t xml:space="preserve"> genus </w:t>
      </w:r>
      <w:r w:rsidR="00E101E7" w:rsidRPr="00BC3905">
        <w:rPr>
          <w:i/>
        </w:rPr>
        <w:t xml:space="preserve">Lupinus </w:t>
      </w:r>
      <w:r w:rsidR="00E101E7" w:rsidRPr="00BC3905">
        <w:t>provides an important system for plant-microbiome studies due to its large fleshy root system</w:t>
      </w:r>
      <w:r w:rsidR="00E101E7">
        <w:t xml:space="preserve"> </w:t>
      </w:r>
      <w:r w:rsidR="00E101E7" w:rsidRPr="00BC3905">
        <w:t xml:space="preserve">and </w:t>
      </w:r>
      <w:r w:rsidR="00E101E7">
        <w:t>long flowering period</w:t>
      </w:r>
      <w:r w:rsidR="00E101E7" w:rsidRPr="00BC3905">
        <w:t xml:space="preserve">. </w:t>
      </w:r>
      <w:r w:rsidR="00E101E7" w:rsidRPr="00BC3905">
        <w:rPr>
          <w:i/>
          <w:iCs/>
          <w:color w:val="000000" w:themeColor="text1"/>
          <w:shd w:val="clear" w:color="auto" w:fill="FFFFFF"/>
        </w:rPr>
        <w:t>L</w:t>
      </w:r>
      <w:r w:rsidR="00E101E7">
        <w:rPr>
          <w:i/>
          <w:iCs/>
          <w:color w:val="000000" w:themeColor="text1"/>
          <w:shd w:val="clear" w:color="auto" w:fill="FFFFFF"/>
        </w:rPr>
        <w:t xml:space="preserve">. </w:t>
      </w:r>
      <w:proofErr w:type="spellStart"/>
      <w:r w:rsidR="00E101E7" w:rsidRPr="00BC3905">
        <w:rPr>
          <w:i/>
          <w:iCs/>
          <w:color w:val="000000" w:themeColor="text1"/>
          <w:shd w:val="clear" w:color="auto" w:fill="FFFFFF"/>
        </w:rPr>
        <w:t>neomexicanus</w:t>
      </w:r>
      <w:proofErr w:type="spellEnd"/>
      <w:r w:rsidR="00E101E7">
        <w:rPr>
          <w:i/>
          <w:iCs/>
          <w:color w:val="000000" w:themeColor="text1"/>
          <w:shd w:val="clear" w:color="auto" w:fill="FFFFFF"/>
        </w:rPr>
        <w:t xml:space="preserve"> </w:t>
      </w:r>
      <w:r w:rsidR="00E101E7">
        <w:rPr>
          <w:color w:val="000000" w:themeColor="text1"/>
          <w:shd w:val="clear" w:color="auto" w:fill="FFFFFF"/>
        </w:rPr>
        <w:t>Greene</w:t>
      </w:r>
      <w:r w:rsidR="00E101E7" w:rsidRPr="00BC3905">
        <w:rPr>
          <w:i/>
          <w:iCs/>
          <w:color w:val="000000" w:themeColor="text1"/>
          <w:shd w:val="clear" w:color="auto" w:fill="FFFFFF"/>
        </w:rPr>
        <w:t xml:space="preserve"> </w:t>
      </w:r>
      <w:r w:rsidR="00E101E7" w:rsidRPr="00BC3905">
        <w:rPr>
          <w:iCs/>
          <w:color w:val="000000" w:themeColor="text1"/>
          <w:shd w:val="clear" w:color="auto" w:fill="FFFFFF"/>
        </w:rPr>
        <w:t>is a</w:t>
      </w:r>
      <w:r w:rsidR="00E101E7">
        <w:rPr>
          <w:iCs/>
          <w:color w:val="000000" w:themeColor="text1"/>
          <w:shd w:val="clear" w:color="auto" w:fill="FFFFFF"/>
        </w:rPr>
        <w:t xml:space="preserve">n endemic </w:t>
      </w:r>
      <w:r w:rsidR="00E101E7" w:rsidRPr="00BC3905">
        <w:rPr>
          <w:iCs/>
          <w:color w:val="000000" w:themeColor="text1"/>
          <w:shd w:val="clear" w:color="auto" w:fill="FFFFFF"/>
        </w:rPr>
        <w:t xml:space="preserve">species native to the </w:t>
      </w:r>
      <w:proofErr w:type="spellStart"/>
      <w:r w:rsidR="00E101E7" w:rsidRPr="00BC3905">
        <w:rPr>
          <w:iCs/>
          <w:color w:val="000000" w:themeColor="text1"/>
          <w:shd w:val="clear" w:color="auto" w:fill="FFFFFF"/>
        </w:rPr>
        <w:t>Madrean</w:t>
      </w:r>
      <w:proofErr w:type="spellEnd"/>
      <w:r w:rsidR="00E101E7" w:rsidRPr="00BC3905">
        <w:rPr>
          <w:iCs/>
          <w:color w:val="000000" w:themeColor="text1"/>
          <w:shd w:val="clear" w:color="auto" w:fill="FFFFFF"/>
        </w:rPr>
        <w:t xml:space="preserve"> Archipelago</w:t>
      </w:r>
      <w:r w:rsidR="00E101E7">
        <w:rPr>
          <w:iCs/>
          <w:color w:val="000000" w:themeColor="text1"/>
          <w:shd w:val="clear" w:color="auto" w:fill="FFFFFF"/>
        </w:rPr>
        <w:t xml:space="preserve"> ecoregion</w:t>
      </w:r>
      <w:r w:rsidR="00E101E7" w:rsidRPr="00BC3905">
        <w:rPr>
          <w:iCs/>
          <w:color w:val="000000" w:themeColor="text1"/>
          <w:shd w:val="clear" w:color="auto" w:fill="FFFFFF"/>
        </w:rPr>
        <w:t xml:space="preserve"> in </w:t>
      </w:r>
      <w:r w:rsidR="00E101E7">
        <w:rPr>
          <w:iCs/>
          <w:color w:val="000000" w:themeColor="text1"/>
          <w:shd w:val="clear" w:color="auto" w:fill="FFFFFF"/>
        </w:rPr>
        <w:t xml:space="preserve">Southern Arizona </w:t>
      </w:r>
      <w:r w:rsidR="00E101E7" w:rsidRPr="00BC3905">
        <w:rPr>
          <w:iCs/>
          <w:color w:val="000000" w:themeColor="text1"/>
          <w:shd w:val="clear" w:color="auto" w:fill="FFFFFF"/>
        </w:rPr>
        <w:t xml:space="preserve">where it </w:t>
      </w:r>
      <w:r w:rsidR="00E101E7">
        <w:rPr>
          <w:iCs/>
          <w:color w:val="000000" w:themeColor="text1"/>
          <w:shd w:val="clear" w:color="auto" w:fill="FFFFFF"/>
        </w:rPr>
        <w:t>can be</w:t>
      </w:r>
      <w:r w:rsidR="00E101E7" w:rsidRPr="00BC3905">
        <w:rPr>
          <w:iCs/>
          <w:color w:val="000000" w:themeColor="text1"/>
          <w:shd w:val="clear" w:color="auto" w:fill="FFFFFF"/>
        </w:rPr>
        <w:t xml:space="preserve"> found </w:t>
      </w:r>
      <w:r w:rsidR="00E101E7">
        <w:rPr>
          <w:iCs/>
          <w:color w:val="000000" w:themeColor="text1"/>
          <w:shd w:val="clear" w:color="auto" w:fill="FFFFFF"/>
        </w:rPr>
        <w:t>at</w:t>
      </w:r>
      <w:r w:rsidR="00E101E7" w:rsidRPr="00BC3905">
        <w:rPr>
          <w:iCs/>
          <w:color w:val="000000" w:themeColor="text1"/>
          <w:shd w:val="clear" w:color="auto" w:fill="FFFFFF"/>
        </w:rPr>
        <w:t xml:space="preserve"> mid-level </w:t>
      </w:r>
      <w:r w:rsidR="00E101E7" w:rsidRPr="00BC3899">
        <w:rPr>
          <w:iCs/>
          <w:color w:val="000000" w:themeColor="text1"/>
          <w:shd w:val="clear" w:color="auto" w:fill="FFFFFF"/>
        </w:rPr>
        <w:t xml:space="preserve">elevation plant communities of the Chiricahua Mountains (e.g., </w:t>
      </w:r>
      <w:r w:rsidR="00E101E7" w:rsidRPr="00BC3899">
        <w:rPr>
          <w:color w:val="000000"/>
        </w:rPr>
        <w:t>31°53'50.3"N 109°16'38.5"W)</w:t>
      </w:r>
      <w:r w:rsidR="00E101E7" w:rsidRPr="00BC3899">
        <w:rPr>
          <w:iCs/>
          <w:color w:val="000000" w:themeColor="text1"/>
          <w:shd w:val="clear" w:color="auto" w:fill="FFFFFF"/>
        </w:rPr>
        <w:t xml:space="preserve">. </w:t>
      </w:r>
      <w:r w:rsidR="00E101E7" w:rsidRPr="005A1E8A">
        <w:rPr>
          <w:iCs/>
          <w:color w:val="000000" w:themeColor="text1"/>
          <w:shd w:val="clear" w:color="auto" w:fill="FFFFFF"/>
        </w:rPr>
        <w:t xml:space="preserve">This region </w:t>
      </w:r>
      <w:r w:rsidR="00E101E7">
        <w:rPr>
          <w:iCs/>
          <w:color w:val="000000" w:themeColor="text1"/>
          <w:shd w:val="clear" w:color="auto" w:fill="FFFFFF"/>
        </w:rPr>
        <w:t>experiences</w:t>
      </w:r>
      <w:r w:rsidR="00E101E7" w:rsidRPr="005A1E8A">
        <w:rPr>
          <w:iCs/>
          <w:color w:val="000000" w:themeColor="text1"/>
          <w:shd w:val="clear" w:color="auto" w:fill="FFFFFF"/>
        </w:rPr>
        <w:t xml:space="preserve"> seasonal monsoons </w:t>
      </w:r>
      <w:r w:rsidR="00E101E7">
        <w:rPr>
          <w:iCs/>
          <w:color w:val="000000" w:themeColor="text1"/>
          <w:shd w:val="clear" w:color="auto" w:fill="FFFFFF"/>
        </w:rPr>
        <w:t xml:space="preserve">in the late summer months, </w:t>
      </w:r>
      <w:r w:rsidR="00E101E7" w:rsidRPr="005A1E8A">
        <w:rPr>
          <w:iCs/>
          <w:color w:val="000000" w:themeColor="text1"/>
          <w:shd w:val="clear" w:color="auto" w:fill="FFFFFF"/>
        </w:rPr>
        <w:t xml:space="preserve">which </w:t>
      </w:r>
      <w:r w:rsidR="00E101E7" w:rsidRPr="005A1E8A">
        <w:t xml:space="preserve">act as a natural experiment to test the impact of </w:t>
      </w:r>
      <w:r w:rsidR="00E101E7">
        <w:t xml:space="preserve">reduced </w:t>
      </w:r>
      <w:r w:rsidR="00E101E7" w:rsidRPr="005A1E8A">
        <w:t>precipitation</w:t>
      </w:r>
      <w:r w:rsidR="00E101E7">
        <w:t xml:space="preserve"> </w:t>
      </w:r>
      <w:r w:rsidR="00E101E7" w:rsidRPr="005A1E8A">
        <w:t xml:space="preserve">on plant-microbe interactions. Since the mid 1970s, long-term data suggests a general intensification of rainfall in the North American Monsoon region, yet this pattern still remains difficult to predict </w:t>
      </w:r>
      <w:r w:rsidR="00E101E7" w:rsidRPr="005A1E8A">
        <w:rPr>
          <w:color w:val="000000" w:themeColor="text1"/>
        </w:rPr>
        <w:t>annually</w:t>
      </w:r>
      <w:r w:rsidR="00E101E7">
        <w:rPr>
          <w:color w:val="000000" w:themeColor="text1"/>
        </w:rPr>
        <w:t xml:space="preserve"> </w:t>
      </w:r>
      <w:r w:rsidR="00E101E7" w:rsidRPr="005A1E8A">
        <w:rPr>
          <w:color w:val="000000" w:themeColor="text1"/>
        </w:rPr>
        <w:fldChar w:fldCharType="begin" w:fldLock="1"/>
      </w:r>
      <w:r w:rsidR="006E1F09">
        <w:rPr>
          <w:color w:val="000000" w:themeColor="text1"/>
        </w:rPr>
        <w:instrText>ADDIN CSL_CITATION {"citationItems":[{"id":"ITEM-1","itemData":{"DOI":"10.1029/2019GL082461","ISSN":"19448007","abstract":"As the atmosphere gets warmer, rainfall intensification is expected across the planet with anticipated impacts on ecological and human systems. In the southwestern United States and northwestern Mexico, the highly variable and localized nature of rainfall during the North American Monsoon makes it difficult to detect temporal changes in rainfall intensities in response to climatic change. This study addresses this challenge by using the dense, subdaily, and daily observations from 59 rain gauges located in southeastern Arizona. We find an intensification of monsoon subdaily rainfall intensities starting in the mid-1970s that has not been observed in previous studies or simulated with high-resolution climate models. Our results highlight the need for long-term, high spatiotemporal observations to detect environmental responses to a changing climate in highly variable environments and show that analyses based on limited observations or gridded data sets fail to capture temporal changes potentially leading to erroneous conclusions.","author":[{"dropping-particle":"","family":"Demaria","given":"Eleonora M.C.","non-dropping-particle":"","parse-names":false,"suffix":""},{"dropping-particle":"","family":"Hazenberg","given":"Pieter","non-dropping-particle":"","parse-names":false,"suffix":""},{"dropping-particle":"","family":"Scott","given":"Russell L.","non-dropping-particle":"","parse-names":false,"suffix":""},{"dropping-particle":"","family":"Meles","given":"Menberu B.","non-dropping-particle":"","parse-names":false,"suffix":""},{"dropping-particle":"","family":"Nichols","given":"Mary","non-dropping-particle":"","parse-names":false,"suffix":""},{"dropping-particle":"","family":"Goodrich","given":"David","non-dropping-particle":"","parse-names":false,"suffix":""}],"container-title":"Geophysical Research Letters","id":"ITEM-1","issued":{"date-parts":[["2019"]]},"title":"Intensification of the North American Monsoon Rainfall as Observed From a Long-Term High-Density Gauge Network","type":"article-journal"},"uris":["http://www.mendeley.com/documents/?uuid=f8fcc12f-27fe-44c9-a1f1-951c21f92986"]}],"mendeley":{"formattedCitation":"(Demaria et al., 2019)","plainTextFormattedCitation":"(Demaria et al., 2019)","previouslyFormattedCitation":"(Demaria et al., 2019)"},"properties":{"noteIndex":0},"schema":"https://github.com/citation-style-language/schema/raw/master/csl-citation.json"}</w:instrText>
      </w:r>
      <w:r w:rsidR="00E101E7" w:rsidRPr="005A1E8A">
        <w:rPr>
          <w:color w:val="000000" w:themeColor="text1"/>
        </w:rPr>
        <w:fldChar w:fldCharType="separate"/>
      </w:r>
      <w:r w:rsidR="00CE6085" w:rsidRPr="00CE6085">
        <w:rPr>
          <w:noProof/>
          <w:color w:val="000000" w:themeColor="text1"/>
        </w:rPr>
        <w:t>(Demaria et al., 2019)</w:t>
      </w:r>
      <w:r w:rsidR="00E101E7" w:rsidRPr="005A1E8A">
        <w:rPr>
          <w:color w:val="000000" w:themeColor="text1"/>
        </w:rPr>
        <w:fldChar w:fldCharType="end"/>
      </w:r>
      <w:r w:rsidR="00E101E7">
        <w:rPr>
          <w:color w:val="000000" w:themeColor="text1"/>
        </w:rPr>
        <w:t xml:space="preserve">. </w:t>
      </w:r>
    </w:p>
    <w:p w14:paraId="029DD05D" w14:textId="36DA9DE6" w:rsidR="00B863BB" w:rsidRPr="008043A1" w:rsidRDefault="00E101E7" w:rsidP="004B0512">
      <w:pPr>
        <w:spacing w:line="360" w:lineRule="auto"/>
      </w:pPr>
      <w:r>
        <w:rPr>
          <w:iCs/>
          <w:color w:val="000000" w:themeColor="text1"/>
          <w:shd w:val="clear" w:color="auto" w:fill="FFFFFF"/>
        </w:rPr>
        <w:tab/>
      </w:r>
      <w:r w:rsidRPr="005A1E8A">
        <w:rPr>
          <w:color w:val="000000" w:themeColor="text1"/>
        </w:rPr>
        <w:t xml:space="preserve">To directly test to what extent rhizospheric </w:t>
      </w:r>
      <w:r>
        <w:rPr>
          <w:color w:val="000000" w:themeColor="text1"/>
        </w:rPr>
        <w:t>bacterial community composition</w:t>
      </w:r>
      <w:r w:rsidRPr="005A1E8A">
        <w:rPr>
          <w:color w:val="000000" w:themeColor="text1"/>
        </w:rPr>
        <w:t xml:space="preserve"> changes due to </w:t>
      </w:r>
      <w:r>
        <w:rPr>
          <w:color w:val="000000" w:themeColor="text1"/>
        </w:rPr>
        <w:t>varying monsoon</w:t>
      </w:r>
      <w:r w:rsidRPr="005A1E8A">
        <w:rPr>
          <w:color w:val="000000" w:themeColor="text1"/>
        </w:rPr>
        <w:t xml:space="preserve"> </w:t>
      </w:r>
      <w:r>
        <w:rPr>
          <w:color w:val="000000" w:themeColor="text1"/>
        </w:rPr>
        <w:t>rain intensity across the season</w:t>
      </w:r>
      <w:r w:rsidRPr="005A1E8A">
        <w:rPr>
          <w:color w:val="000000" w:themeColor="text1"/>
        </w:rPr>
        <w:t xml:space="preserve">, monsoon </w:t>
      </w:r>
      <w:r>
        <w:rPr>
          <w:color w:val="000000" w:themeColor="text1"/>
        </w:rPr>
        <w:t>rainfall</w:t>
      </w:r>
      <w:r w:rsidRPr="005A1E8A">
        <w:rPr>
          <w:color w:val="000000" w:themeColor="text1"/>
        </w:rPr>
        <w:t xml:space="preserve"> </w:t>
      </w:r>
      <w:r>
        <w:rPr>
          <w:color w:val="000000" w:themeColor="text1"/>
        </w:rPr>
        <w:t xml:space="preserve">was manipulated </w:t>
      </w:r>
      <w:r w:rsidRPr="005A1E8A">
        <w:rPr>
          <w:color w:val="000000" w:themeColor="text1"/>
        </w:rPr>
        <w:t>by adding rain</w:t>
      </w:r>
      <w:r>
        <w:rPr>
          <w:color w:val="000000" w:themeColor="text1"/>
        </w:rPr>
        <w:t>fall exclusion</w:t>
      </w:r>
      <w:r w:rsidRPr="005A1E8A">
        <w:rPr>
          <w:color w:val="000000" w:themeColor="text1"/>
        </w:rPr>
        <w:t xml:space="preserve"> shelters following guidelines provided by </w:t>
      </w:r>
      <w:r w:rsidRPr="005A1E8A">
        <w:rPr>
          <w:color w:val="000000" w:themeColor="text1"/>
        </w:rPr>
        <w:fldChar w:fldCharType="begin" w:fldLock="1"/>
      </w:r>
      <w:r w:rsidR="006E1F09">
        <w:rPr>
          <w:color w:val="000000" w:themeColor="text1"/>
        </w:rPr>
        <w:instrText>ADDIN CSL_CITATION {"citationItems":[{"id":"ITEM-1","itemData":{"DOI":"10.1111/j.1461-0248.2012.01793.x","ISSN":"14610248","abstract":"Climatic changes, including altered precipitation regimes, will affect key ecosystem processes, such as plant productivity and biodiversity for many terrestrial ecosystems. Past and ongoing precipitation experiments have been conducted to quantify these potential changes. An analysis of these experiments indicates that they have provided important information on how water regulates ecosystem processes. However, they do not adequately represent global biomes nor forecasted precipitation scenarios and their potential contribution to advance our understanding of ecosystem responses to precipitation changes is therefore limited, as is their potential value for the development and testing of ecosystem models. This highlights the need for new precipitation experiments in biomes and ambient climatic conditions hitherto poorly studied applying relevant complex scenarios including changes in precipitation frequency and amplitude, seasonality, extremity and interactions with other global change drivers. A systematic and holistic approach to investigate how soil and plant community characteristics change with altered precipitation regimes and the consequent effects on ecosystem processes and functioning within these experiments will greatly increase their value to the climate change and ecosystem research communities. Experiments should specifically test how changes in precipitation leading to exceedance of biological thresholds affect ecosystem resilience and acclimation. © 2012 Blackwell Publishing Ltd/CNRS.","author":[{"dropping-particle":"","family":"Beier","given":"Claus","non-dropping-particle":"","parse-names":false,"suffix":""},{"dropping-particle":"","family":"Beierkuhnlein","given":"Carl","non-dropping-particle":"","parse-names":false,"suffix":""},{"dropping-particle":"","family":"Wohlgemuth","given":"Thomas","non-dropping-particle":"","parse-names":false,"suffix":""},{"dropping-particle":"","family":"Penuelas","given":"Josep","non-dropping-particle":"","parse-names":false,"suffix":""},{"dropping-particle":"","family":"Emmett","given":"Bridget","non-dropping-particle":"","parse-names":false,"suffix":""},{"dropping-particle":"","family":"Körner","given":"Christian","non-dropping-particle":"","parse-names":false,"suffix":""},{"dropping-particle":"","family":"Boeck","given":"Hans","non-dropping-particle":"de","parse-names":false,"suffix":""},{"dropping-particle":"","family":"Christensen","given":"Jens Hesselbjerg","non-dropping-particle":"","parse-names":false,"suffix":""},{"dropping-particle":"","family":"Leuzinger","given":"Sebastian","non-dropping-particle":"","parse-names":false,"suffix":""},{"dropping-particle":"","family":"Janssens","given":"Ivan A.","non-dropping-particle":"","parse-names":false,"suffix":""},{"dropping-particle":"","family":"Hansen","given":"Karin","non-dropping-particle":"","parse-names":false,"suffix":""}],"container-title":"Ecology Letters","id":"ITEM-1","issue":"8","issued":{"date-parts":[["2012"]]},"page":"899-911","title":"Precipitation manipulation experiments - challenges and recommendations for the future","type":"article-journal","volume":"15"},"uris":["http://www.mendeley.com/documents/?uuid=da724e8d-e2a1-4488-b410-9a83b18f9127"]}],"mendeley":{"formattedCitation":"(Beier et al., 2012)","manualFormatting":"Beier et al. (2012","plainTextFormattedCitation":"(Beier et al., 2012)","previouslyFormattedCitation":"(Beier et al., 2012)"},"properties":{"noteIndex":0},"schema":"https://github.com/citation-style-language/schema/raw/master/csl-citation.json"}</w:instrText>
      </w:r>
      <w:r w:rsidRPr="005A1E8A">
        <w:rPr>
          <w:color w:val="000000" w:themeColor="text1"/>
        </w:rPr>
        <w:fldChar w:fldCharType="separate"/>
      </w:r>
      <w:r w:rsidRPr="00BD070A">
        <w:rPr>
          <w:noProof/>
          <w:color w:val="000000" w:themeColor="text1"/>
        </w:rPr>
        <w:t xml:space="preserve">Beier </w:t>
      </w:r>
      <w:r w:rsidRPr="00BD070A">
        <w:rPr>
          <w:i/>
          <w:noProof/>
          <w:color w:val="000000" w:themeColor="text1"/>
        </w:rPr>
        <w:t>et al.</w:t>
      </w:r>
      <w:r w:rsidRPr="00BD070A">
        <w:rPr>
          <w:noProof/>
          <w:color w:val="000000" w:themeColor="text1"/>
        </w:rPr>
        <w:t xml:space="preserve"> </w:t>
      </w:r>
      <w:r>
        <w:rPr>
          <w:noProof/>
          <w:color w:val="000000" w:themeColor="text1"/>
        </w:rPr>
        <w:t>(</w:t>
      </w:r>
      <w:r w:rsidRPr="00BD070A">
        <w:rPr>
          <w:noProof/>
          <w:color w:val="000000" w:themeColor="text1"/>
        </w:rPr>
        <w:t>2012</w:t>
      </w:r>
      <w:r w:rsidRPr="005A1E8A">
        <w:rPr>
          <w:color w:val="000000" w:themeColor="text1"/>
        </w:rPr>
        <w:fldChar w:fldCharType="end"/>
      </w:r>
      <w:r>
        <w:rPr>
          <w:color w:val="000000" w:themeColor="text1"/>
        </w:rPr>
        <w:t>)</w:t>
      </w:r>
      <w:r w:rsidRPr="005A1E8A">
        <w:rPr>
          <w:color w:val="000000" w:themeColor="text1"/>
        </w:rPr>
        <w:t xml:space="preserve">. </w:t>
      </w:r>
      <w:r w:rsidRPr="00BD070A">
        <w:rPr>
          <w:iCs/>
          <w:color w:val="000000" w:themeColor="text1"/>
          <w:shd w:val="clear" w:color="auto" w:fill="FFFFFF"/>
        </w:rPr>
        <w:t>Short-term</w:t>
      </w:r>
      <w:r>
        <w:rPr>
          <w:iCs/>
          <w:color w:val="000000" w:themeColor="text1"/>
          <w:shd w:val="clear" w:color="auto" w:fill="FFFFFF"/>
        </w:rPr>
        <w:t xml:space="preserve"> rainfall exclusion shelters were constructed before the onset of the North American monsoon season to obtain baseline estimates for bacterial communities of the rhizosphere, soil moisture, ammonium, nitrate, and phosphorous. </w:t>
      </w:r>
      <w:r>
        <w:rPr>
          <w:bCs/>
          <w:color w:val="000000" w:themeColor="text1"/>
          <w:shd w:val="clear" w:color="auto" w:fill="FFFFFF"/>
        </w:rPr>
        <w:t xml:space="preserve">To observe the response of bacterial communities, </w:t>
      </w:r>
      <w:r>
        <w:rPr>
          <w:color w:val="000000" w:themeColor="text1"/>
        </w:rPr>
        <w:t>rainfall exclusion</w:t>
      </w:r>
      <w:r w:rsidRPr="005A1E8A">
        <w:rPr>
          <w:color w:val="000000" w:themeColor="text1"/>
        </w:rPr>
        <w:t xml:space="preserve"> </w:t>
      </w:r>
      <w:r>
        <w:rPr>
          <w:color w:val="000000" w:themeColor="text1"/>
        </w:rPr>
        <w:t>treatments</w:t>
      </w:r>
      <w:r w:rsidRPr="005A1E8A">
        <w:rPr>
          <w:color w:val="000000" w:themeColor="text1"/>
        </w:rPr>
        <w:t xml:space="preserve"> were designed to effectively </w:t>
      </w:r>
      <w:r>
        <w:rPr>
          <w:color w:val="000000" w:themeColor="text1"/>
        </w:rPr>
        <w:t xml:space="preserve">remove </w:t>
      </w:r>
      <w:r w:rsidRPr="005A1E8A">
        <w:rPr>
          <w:color w:val="000000" w:themeColor="text1"/>
        </w:rPr>
        <w:t>60%</w:t>
      </w:r>
      <w:r>
        <w:rPr>
          <w:color w:val="000000" w:themeColor="text1"/>
        </w:rPr>
        <w:t xml:space="preserve"> (moderate </w:t>
      </w:r>
      <w:r w:rsidRPr="00B110F2">
        <w:rPr>
          <w:color w:val="000000" w:themeColor="text1"/>
        </w:rPr>
        <w:t>exclusion), or 80% (</w:t>
      </w:r>
      <w:r>
        <w:rPr>
          <w:color w:val="000000" w:themeColor="text1"/>
        </w:rPr>
        <w:t>high</w:t>
      </w:r>
      <w:r w:rsidRPr="00B110F2">
        <w:rPr>
          <w:color w:val="000000" w:themeColor="text1"/>
        </w:rPr>
        <w:t xml:space="preserve"> exclusion) of seasonal rainfall on the rhizosphere </w:t>
      </w:r>
      <w:r w:rsidRPr="006F2B5C">
        <w:rPr>
          <w:color w:val="000000" w:themeColor="text1"/>
        </w:rPr>
        <w:t xml:space="preserve">microhabitat </w:t>
      </w:r>
      <w:r w:rsidRPr="00DD73CC">
        <w:rPr>
          <w:color w:val="000000" w:themeColor="text1"/>
        </w:rPr>
        <w:t>(n=22</w:t>
      </w:r>
      <w:r>
        <w:rPr>
          <w:color w:val="000000" w:themeColor="text1"/>
        </w:rPr>
        <w:t xml:space="preserve"> each treatment</w:t>
      </w:r>
      <w:r w:rsidRPr="00B110F2">
        <w:rPr>
          <w:color w:val="000000" w:themeColor="text1"/>
        </w:rPr>
        <w:t xml:space="preserve">, </w:t>
      </w:r>
      <w:r w:rsidR="005355D9">
        <w:rPr>
          <w:b/>
          <w:bCs/>
          <w:color w:val="000000" w:themeColor="text1"/>
        </w:rPr>
        <w:t>Figure</w:t>
      </w:r>
      <w:r w:rsidRPr="00B110F2">
        <w:rPr>
          <w:b/>
          <w:bCs/>
          <w:color w:val="000000" w:themeColor="text1"/>
        </w:rPr>
        <w:t xml:space="preserve"> </w:t>
      </w:r>
      <w:r>
        <w:rPr>
          <w:b/>
          <w:bCs/>
          <w:color w:val="000000" w:themeColor="text1"/>
        </w:rPr>
        <w:t>8</w:t>
      </w:r>
      <w:r w:rsidRPr="00B110F2">
        <w:rPr>
          <w:color w:val="000000" w:themeColor="text1"/>
        </w:rPr>
        <w:t>).</w:t>
      </w:r>
      <w:r w:rsidRPr="00B110F2">
        <w:rPr>
          <w:iCs/>
          <w:color w:val="000000" w:themeColor="text1"/>
          <w:shd w:val="clear" w:color="auto" w:fill="FFFFFF"/>
        </w:rPr>
        <w:t xml:space="preserve"> </w:t>
      </w:r>
      <w:r>
        <w:rPr>
          <w:iCs/>
          <w:color w:val="000000" w:themeColor="text1"/>
          <w:shd w:val="clear" w:color="auto" w:fill="FFFFFF"/>
        </w:rPr>
        <w:t>Exclusion treatment</w:t>
      </w:r>
      <w:r w:rsidRPr="00B110F2">
        <w:rPr>
          <w:iCs/>
          <w:color w:val="000000" w:themeColor="text1"/>
          <w:shd w:val="clear" w:color="auto" w:fill="FFFFFF"/>
        </w:rPr>
        <w:t>s were constructed using 1m</w:t>
      </w:r>
      <w:r w:rsidRPr="00B110F2">
        <w:rPr>
          <w:iCs/>
          <w:color w:val="000000" w:themeColor="text1"/>
          <w:shd w:val="clear" w:color="auto" w:fill="FFFFFF"/>
          <w:vertAlign w:val="superscript"/>
        </w:rPr>
        <w:t>2</w:t>
      </w:r>
      <w:r w:rsidRPr="00B110F2">
        <w:rPr>
          <w:iCs/>
          <w:color w:val="000000" w:themeColor="text1"/>
          <w:shd w:val="clear" w:color="auto" w:fill="FFFFFF"/>
        </w:rPr>
        <w:t xml:space="preserve"> 6mil heavy-duty clear plastic sheeting with either </w:t>
      </w:r>
      <w:r>
        <w:rPr>
          <w:iCs/>
          <w:color w:val="000000" w:themeColor="text1"/>
          <w:shd w:val="clear" w:color="auto" w:fill="FFFFFF"/>
        </w:rPr>
        <w:t>2</w:t>
      </w:r>
      <w:r w:rsidRPr="00B110F2">
        <w:rPr>
          <w:iCs/>
          <w:color w:val="000000" w:themeColor="text1"/>
          <w:shd w:val="clear" w:color="auto" w:fill="FFFFFF"/>
        </w:rPr>
        <w:t>0</w:t>
      </w:r>
      <w:r>
        <w:rPr>
          <w:iCs/>
          <w:color w:val="000000" w:themeColor="text1"/>
          <w:shd w:val="clear" w:color="auto" w:fill="FFFFFF"/>
        </w:rPr>
        <w:t>%</w:t>
      </w:r>
      <w:r w:rsidRPr="008B16CE">
        <w:rPr>
          <w:iCs/>
          <w:color w:val="000000" w:themeColor="text1"/>
          <w:shd w:val="clear" w:color="auto" w:fill="FFFFFF"/>
        </w:rPr>
        <w:t xml:space="preserve"> or </w:t>
      </w:r>
      <w:r>
        <w:rPr>
          <w:iCs/>
          <w:color w:val="000000" w:themeColor="text1"/>
          <w:shd w:val="clear" w:color="auto" w:fill="FFFFFF"/>
        </w:rPr>
        <w:t>4</w:t>
      </w:r>
      <w:r w:rsidRPr="008B16CE">
        <w:rPr>
          <w:iCs/>
          <w:color w:val="000000" w:themeColor="text1"/>
          <w:shd w:val="clear" w:color="auto" w:fill="FFFFFF"/>
        </w:rPr>
        <w:t>0% of its area removed, two 12” and 24” wooden landscape stakes, and wooden dowels to provide structure.</w:t>
      </w:r>
      <w:r>
        <w:rPr>
          <w:iCs/>
          <w:color w:val="000000" w:themeColor="text1"/>
          <w:shd w:val="clear" w:color="auto" w:fill="FFFFFF"/>
        </w:rPr>
        <w:t xml:space="preserve"> This design made certain that rainfall moved off and away from the plot. </w:t>
      </w:r>
      <w:r w:rsidRPr="008B16CE">
        <w:rPr>
          <w:iCs/>
          <w:color w:val="000000" w:themeColor="text1"/>
          <w:shd w:val="clear" w:color="auto" w:fill="FFFFFF"/>
        </w:rPr>
        <w:t xml:space="preserve">Each </w:t>
      </w:r>
      <w:r w:rsidRPr="00B110F2">
        <w:rPr>
          <w:iCs/>
          <w:color w:val="000000" w:themeColor="text1"/>
          <w:shd w:val="clear" w:color="auto" w:fill="FFFFFF"/>
        </w:rPr>
        <w:t>1m</w:t>
      </w:r>
      <w:r w:rsidRPr="00B110F2">
        <w:rPr>
          <w:iCs/>
          <w:color w:val="000000" w:themeColor="text1"/>
          <w:shd w:val="clear" w:color="auto" w:fill="FFFFFF"/>
          <w:vertAlign w:val="superscript"/>
        </w:rPr>
        <w:t>2</w:t>
      </w:r>
      <w:r>
        <w:rPr>
          <w:iCs/>
          <w:color w:val="000000" w:themeColor="text1"/>
          <w:shd w:val="clear" w:color="auto" w:fill="FFFFFF"/>
        </w:rPr>
        <w:t xml:space="preserve"> exclusion treatment was centered and placed over a focal plant for rhizosphere sampling. The control received no rainfall exclusion treatment.</w:t>
      </w:r>
    </w:p>
    <w:p w14:paraId="26E494BC" w14:textId="4B5DFBFD" w:rsidR="00B863BB" w:rsidRDefault="004B0512" w:rsidP="004B0512">
      <w:pPr>
        <w:pStyle w:val="Heading3"/>
      </w:pPr>
      <w:bookmarkStart w:id="47" w:name="_Toc102048012"/>
      <w:r>
        <w:t xml:space="preserve">Soil abiotic factor </w:t>
      </w:r>
      <w:r w:rsidR="00B863BB">
        <w:t>data collection</w:t>
      </w:r>
      <w:bookmarkEnd w:id="47"/>
    </w:p>
    <w:p w14:paraId="26872B0D" w14:textId="34B7EA66" w:rsidR="008043A1" w:rsidRDefault="00432633" w:rsidP="008043A1">
      <w:pPr>
        <w:spacing w:line="360" w:lineRule="auto"/>
      </w:pPr>
      <w:r>
        <w:rPr>
          <w:color w:val="000000" w:themeColor="text1"/>
        </w:rPr>
        <w:tab/>
      </w:r>
      <w:r w:rsidR="004B0512">
        <w:rPr>
          <w:color w:val="000000" w:themeColor="text1"/>
        </w:rPr>
        <w:t xml:space="preserve">Since rhizosphere bacterial communities influence the concentrations of nitrogen, phosphorous (and vice versa), several soil abiotic factors were measured in addition to changes in precipitation. </w:t>
      </w:r>
      <w:r w:rsidR="004B0512" w:rsidRPr="00521FBE">
        <w:rPr>
          <w:color w:val="000000" w:themeColor="text1"/>
        </w:rPr>
        <w:t xml:space="preserve">Gravimetric moisture content of rhizosphere soil </w:t>
      </w:r>
      <w:r w:rsidR="004B0512">
        <w:rPr>
          <w:color w:val="000000" w:themeColor="text1"/>
        </w:rPr>
        <w:t xml:space="preserve">was </w:t>
      </w:r>
      <w:r w:rsidR="004B0512" w:rsidRPr="00521FBE">
        <w:rPr>
          <w:color w:val="000000" w:themeColor="text1"/>
        </w:rPr>
        <w:t>measured as the difference in soil moisture between soil and oven dried soil</w:t>
      </w:r>
      <w:r w:rsidR="004B0512">
        <w:rPr>
          <w:color w:val="000000" w:themeColor="text1"/>
        </w:rPr>
        <w:t xml:space="preserve"> divided by oven</w:t>
      </w:r>
      <w:r w:rsidR="004B0512" w:rsidRPr="00521FBE">
        <w:rPr>
          <w:color w:val="000000" w:themeColor="text1"/>
        </w:rPr>
        <w:t xml:space="preserve"> dried soil. Rhizosphere soil was dried at 54°C for 48 hours in a</w:t>
      </w:r>
      <w:r w:rsidR="004B0512">
        <w:rPr>
          <w:color w:val="000000" w:themeColor="text1"/>
        </w:rPr>
        <w:t xml:space="preserve"> laboratory </w:t>
      </w:r>
      <w:r w:rsidR="004B0512" w:rsidRPr="00521FBE">
        <w:rPr>
          <w:color w:val="000000" w:themeColor="text1"/>
        </w:rPr>
        <w:t xml:space="preserve">oven </w:t>
      </w:r>
      <w:r w:rsidR="004B0512" w:rsidRPr="00BC3899">
        <w:rPr>
          <w:iCs/>
          <w:color w:val="000000" w:themeColor="text1"/>
          <w:shd w:val="clear" w:color="auto" w:fill="FFFFFF"/>
        </w:rPr>
        <w:fldChar w:fldCharType="begin" w:fldLock="1"/>
      </w:r>
      <w:r w:rsidR="006E1F09">
        <w:rPr>
          <w:iCs/>
          <w:color w:val="000000" w:themeColor="text1"/>
          <w:shd w:val="clear" w:color="auto" w:fill="FFFFFF"/>
        </w:rPr>
        <w:instrText>ADDIN CSL_CITATION {"citationItems":[{"id":"ITEM-1","itemData":{"ISBN":"072621146X 9780726211461","author":[{"dropping-particle":"","family":"Australia","given":"Standards Association of","non-dropping-particle":"","parse-names":false,"suffix":""}],"id":"ITEM-1","issued":{"date-parts":[["1977"]]},"language":"English","publisher":"North Sydney, N.S.W: The Association","title":"Methods of testing soils for engineering purposes","type":"book"},"uris":["http://www.mendeley.com/documents/?uuid=9fd0ed48-3843-41e8-89dd-a9e3c6de1bcd"]}],"mendeley":{"formattedCitation":"(Australia, 1977)","plainTextFormattedCitation":"(Australia, 1977)","previouslyFormattedCitation":"(Australia, 1977)"},"properties":{"noteIndex":0},"schema":"https://github.com/citation-style-language/schema/raw/master/csl-citation.json"}</w:instrText>
      </w:r>
      <w:r w:rsidR="004B0512" w:rsidRPr="00BC3899">
        <w:rPr>
          <w:iCs/>
          <w:color w:val="000000" w:themeColor="text1"/>
          <w:shd w:val="clear" w:color="auto" w:fill="FFFFFF"/>
        </w:rPr>
        <w:fldChar w:fldCharType="separate"/>
      </w:r>
      <w:r w:rsidR="00CE6085" w:rsidRPr="00CE6085">
        <w:rPr>
          <w:iCs/>
          <w:noProof/>
          <w:color w:val="000000" w:themeColor="text1"/>
          <w:shd w:val="clear" w:color="auto" w:fill="FFFFFF"/>
        </w:rPr>
        <w:t>(Australia, 1977)</w:t>
      </w:r>
      <w:r w:rsidR="004B0512" w:rsidRPr="00BC3899">
        <w:rPr>
          <w:iCs/>
          <w:color w:val="000000" w:themeColor="text1"/>
          <w:shd w:val="clear" w:color="auto" w:fill="FFFFFF"/>
        </w:rPr>
        <w:fldChar w:fldCharType="end"/>
      </w:r>
      <w:r w:rsidR="004B0512" w:rsidRPr="00BC3899">
        <w:rPr>
          <w:iCs/>
          <w:color w:val="000000" w:themeColor="text1"/>
          <w:shd w:val="clear" w:color="auto" w:fill="FFFFFF"/>
        </w:rPr>
        <w:t xml:space="preserve">. </w:t>
      </w:r>
      <w:r w:rsidR="004B0512">
        <w:t xml:space="preserve">Across the monsoon </w:t>
      </w:r>
      <w:r w:rsidR="008043A1">
        <w:br w:type="page"/>
      </w:r>
      <w:r w:rsidR="008043A1">
        <w:rPr>
          <w:b/>
          <w:bCs/>
          <w:noProof/>
        </w:rPr>
        <w:lastRenderedPageBreak/>
        <w:drawing>
          <wp:inline distT="0" distB="0" distL="0" distR="0" wp14:anchorId="404B52E3" wp14:editId="24B7A815">
            <wp:extent cx="5486400" cy="2770749"/>
            <wp:effectExtent l="0" t="0" r="0" b="0"/>
            <wp:docPr id="25" name="Picture 25" descr="A picture containing text, sky,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ky, da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2770749"/>
                    </a:xfrm>
                    <a:prstGeom prst="rect">
                      <a:avLst/>
                    </a:prstGeom>
                  </pic:spPr>
                </pic:pic>
              </a:graphicData>
            </a:graphic>
          </wp:inline>
        </w:drawing>
      </w:r>
    </w:p>
    <w:p w14:paraId="2A8B4D11" w14:textId="77777777" w:rsidR="008043A1" w:rsidRPr="00A404BE" w:rsidRDefault="008043A1" w:rsidP="008043A1">
      <w:pPr>
        <w:pStyle w:val="Caption"/>
        <w:rPr>
          <w:shd w:val="clear" w:color="auto" w:fill="FFFFFF"/>
        </w:rPr>
      </w:pPr>
      <w:bookmarkStart w:id="48" w:name="_Toc102046878"/>
      <w:r w:rsidRPr="005A1E8A">
        <w:rPr>
          <w:shd w:val="clear" w:color="auto" w:fill="FFFFFF"/>
        </w:rPr>
        <w:t xml:space="preserve">Figure </w:t>
      </w:r>
      <w:r>
        <w:rPr>
          <w:shd w:val="clear" w:color="auto" w:fill="FFFFFF"/>
        </w:rPr>
        <w:t>8</w:t>
      </w:r>
      <w:r w:rsidRPr="005A1E8A">
        <w:rPr>
          <w:shd w:val="clear" w:color="auto" w:fill="FFFFFF"/>
        </w:rPr>
        <w:t>.</w:t>
      </w:r>
      <w:r>
        <w:rPr>
          <w:shd w:val="clear" w:color="auto" w:fill="FFFFFF"/>
        </w:rPr>
        <w:t xml:space="preserve"> </w:t>
      </w:r>
      <w:r w:rsidRPr="00A404BE">
        <w:rPr>
          <w:shd w:val="clear" w:color="auto" w:fill="FFFFFF"/>
        </w:rPr>
        <w:t>Visual representation of rainfall exclusion treatments set up near Rustler Park in the Chiricahua Mountain Range.</w:t>
      </w:r>
      <w:bookmarkEnd w:id="48"/>
      <w:r w:rsidRPr="00A404BE">
        <w:rPr>
          <w:shd w:val="clear" w:color="auto" w:fill="FFFFFF"/>
        </w:rPr>
        <w:t xml:space="preserve"> </w:t>
      </w:r>
    </w:p>
    <w:p w14:paraId="3D18599F" w14:textId="77777777" w:rsidR="008043A1" w:rsidRDefault="008043A1" w:rsidP="008043A1">
      <w:r>
        <w:br w:type="page"/>
      </w:r>
    </w:p>
    <w:p w14:paraId="7F3BDBC9" w14:textId="57D0FEE1" w:rsidR="004B0512" w:rsidRPr="003E1964" w:rsidRDefault="004B0512" w:rsidP="004B0512">
      <w:pPr>
        <w:spacing w:line="360" w:lineRule="auto"/>
        <w:rPr>
          <w:iCs/>
          <w:color w:val="000000" w:themeColor="text1"/>
          <w:shd w:val="clear" w:color="auto" w:fill="FFFFFF"/>
        </w:rPr>
      </w:pPr>
      <w:r>
        <w:lastRenderedPageBreak/>
        <w:t>season, plants that underwent high rainfall exclusion were on average 1.66 grams of water per gram soil drier than plants the received moderate rainfall exclusion treatment. Further, plants that underwent high rainfall exclusion were observed to be 2.64 grams of water per gram soil drier than the control treatment (0% rainfall exclusion).</w:t>
      </w:r>
    </w:p>
    <w:p w14:paraId="4D0AE56B" w14:textId="5478417A" w:rsidR="00B863BB" w:rsidRPr="00432633" w:rsidRDefault="004B0512" w:rsidP="004B0512">
      <w:pPr>
        <w:spacing w:line="360" w:lineRule="auto"/>
        <w:rPr>
          <w:color w:val="000000" w:themeColor="text1"/>
        </w:rPr>
      </w:pPr>
      <w:r>
        <w:rPr>
          <w:color w:val="000000" w:themeColor="text1"/>
        </w:rPr>
        <w:tab/>
      </w:r>
      <w:r w:rsidRPr="00417B5C">
        <w:rPr>
          <w:color w:val="000000" w:themeColor="text1"/>
        </w:rPr>
        <w:t xml:space="preserve">Rhizosphere </w:t>
      </w:r>
      <w:r>
        <w:rPr>
          <w:color w:val="000000" w:themeColor="text1"/>
        </w:rPr>
        <w:t>chemical properties</w:t>
      </w:r>
      <w:r w:rsidRPr="00417B5C">
        <w:rPr>
          <w:color w:val="000000" w:themeColor="text1"/>
        </w:rPr>
        <w:t xml:space="preserve"> were measured by estimating </w:t>
      </w:r>
      <w:r>
        <w:rPr>
          <w:color w:val="000000" w:themeColor="text1"/>
        </w:rPr>
        <w:t>each factor as a fixed ratio in the soil after</w:t>
      </w:r>
      <w:r w:rsidRPr="00417B5C">
        <w:rPr>
          <w:color w:val="000000" w:themeColor="text1"/>
        </w:rPr>
        <w:t xml:space="preserve"> fumigated with chloroform </w:t>
      </w:r>
      <w:r>
        <w:rPr>
          <w:color w:val="000000" w:themeColor="text1"/>
        </w:rPr>
        <w:t>and extracted with potassium sulfate (</w:t>
      </w:r>
      <w:r w:rsidRPr="00897E0E">
        <w:rPr>
          <w:color w:val="000000" w:themeColor="text1"/>
        </w:rPr>
        <w:t>K</w:t>
      </w:r>
      <w:r w:rsidRPr="00897E0E">
        <w:rPr>
          <w:color w:val="000000" w:themeColor="text1"/>
          <w:vertAlign w:val="subscript"/>
        </w:rPr>
        <w:t>2</w:t>
      </w:r>
      <w:r w:rsidRPr="00897E0E">
        <w:rPr>
          <w:color w:val="000000" w:themeColor="text1"/>
        </w:rPr>
        <w:t>SO</w:t>
      </w:r>
      <w:r w:rsidRPr="00897E0E">
        <w:rPr>
          <w:color w:val="000000" w:themeColor="text1"/>
          <w:vertAlign w:val="subscript"/>
        </w:rPr>
        <w:t>4</w:t>
      </w:r>
      <w:r w:rsidRPr="00417B5C">
        <w:rPr>
          <w:color w:val="000000" w:themeColor="text1"/>
        </w:rPr>
        <w:fldChar w:fldCharType="begin" w:fldLock="1"/>
      </w:r>
      <w:r w:rsidR="006E1F09">
        <w:rPr>
          <w:color w:val="000000" w:themeColor="text1"/>
        </w:rPr>
        <w:instrText>ADDIN CSL_CITATION {"citationItems":[{"id":"ITEM-1","itemData":{"ISBN":"0038-0717","ISSN":"0038-0717","abstract":"AN EXTRACTION METHOD FOR MEASURING SOIL MICROBIAL BIOMASS C","author":[{"dropping-particle":"","family":"Vance","given":"E.D.","non-dropping-particle":"","parse-names":false,"suffix":""},{"dropping-particle":"","family":"Brookes","given":"P. C.","non-dropping-particle":"","parse-names":false,"suffix":""},{"dropping-particle":"","family":"Jenkinson","given":"D.S.","non-dropping-particle":"","parse-names":false,"suffix":""}],"container-title":"Soil Biology and Biochemistry","id":"ITEM-1","issue":"6","issued":{"date-parts":[["1987"]]},"page":"1-5","title":"An extraction method for measuring soil microbial biomass C","type":"article-journal","volume":"19"},"uris":["http://www.mendeley.com/documents/?uuid=f3ca9f42-127f-402d-af83-0c251a1d37e8"]},{"id":"ITEM-2","itemData":{"ISSN":"0038-0717","author":[{"dropping-particle":"","family":"Wu","given":"JJRG","non-dropping-particle":"","parse-names":false,"suffix":""},{"dropping-particle":"","family":"Joergensen","given":"R G","non-dropping-particle":"","parse-names":false,"suffix":""},{"dropping-particle":"","family":"Pommerening","given":"Birgit","non-dropping-particle":"","parse-names":false,"suffix":""},{"dropping-particle":"","family":"Chaussod","given":"Rémi","non-dropping-particle":"","parse-names":false,"suffix":""},{"dropping-particle":"","family":"Brookes","given":"P C","non-dropping-particle":"","parse-names":false,"suffix":""}],"container-title":"Soil biology &amp; biochemistry","id":"ITEM-2","issue":"8","issued":{"date-parts":[["1990"]]},"page":"1167-1169","title":"Measurement of soil microbial biomass C by fumigation-extraction-an automated procedure.","type":"article-journal","volume":"22"},"uris":["http://www.mendeley.com/documents/?uuid=882fc6b7-c026-4200-973a-1e57b42c716a"]},{"id":"ITEM-3","itemData":{"DOI":"10.1016/0038-0717(85)90144-0","ISSN":"00380717","abstract":"A new \"direct extraction\" method for measuring soil microbial biomass nitrogen (biomass N) is described. The new method (fumigation-extraction) is based on CHC13 fumigation, followed by immediate extraction with 0.5 M K2SO4 and measurement of total N released by CHC13 in the soil extracts. The amounts of NH4-N and total N extracted by K2SO4 immediately after fumigation increased with fumigation time up to 5 days. Total N released by CHC13 after 1 day fumigation (1 day CHC13-N) and after 5 days fumigation (5 day CHC13-N) were positively correlated with the flush of mineral N (FN) in 37 soils that had been fumigated, the fumigant removed and the soils incubated for 10 days (fumigation-incubation). The regression equations were 1 day CHC13-N = (0.79 ± 0.022) FN and 5 day CHC13-N = (1.01 ± 0.027) FN, both regressions accounting for 92% of the variance in the data. In field soils previously treated with 15N-labelled fertilizer, the amounts of labelled N, measured after fumigation-extraction, were very similar to the amounts of labelled N mineralized during fumigation-incubation; both were about 4 times as heavily labelled as the soil N as a whole. These results suggest that fumigation-extraction and fumigation-incubation both measure the same fraction of the soil organic N (probably the cytoplasmic component of the soil microbial biomass) and that measurement of the total N released by CHC13 fumigation for 24 h provides a rapid method for measuring biomass N. © 1985.","author":[{"dropping-particle":"","family":"Brookes","given":"P. C.","non-dropping-particle":"","parse-names":false,"suffix":""},{"dropping-particle":"","family":"Landman","given":"Andrea","non-dropping-particle":"","parse-names":false,"suffix":""},{"dropping-particle":"","family":"Pruden","given":"G.","non-dropping-particle":"","parse-names":false,"suffix":""},{"dropping-particle":"","family":"Jenkinson","given":"D. S.","non-dropping-particle":"","parse-names":false,"suffix":""}],"container-title":"Soil Biology and Biochemistry","id":"ITEM-3","issue":"6","issued":{"date-parts":[["1985"]]},"page":"837-842","title":"Chloroform fumigation and the release of soil nitrogen: A rapid direct extraction method to measure microbial biomass nitrogen in soil","type":"article-journal","volume":"17"},"uris":["http://www.mendeley.com/documents/?uuid=d4458923-f4f3-48d1-812e-697a46589b3d"]}],"mendeley":{"formattedCitation":"(Brookes et al., 1985; Vance et al., 1987; Wu et al., 1990)","manualFormatting":"; Brookes et al. 1985; Vance et al. 1987; Wu et al. 1990)","plainTextFormattedCitation":"(Brookes et al., 1985; Vance et al., 1987; Wu et al., 1990)","previouslyFormattedCitation":"(Brookes et al., 1985; Vance et al., 1987; Wu et al., 1990)"},"properties":{"noteIndex":0},"schema":"https://github.com/citation-style-language/schema/raw/master/csl-citation.json"}</w:instrText>
      </w:r>
      <w:r w:rsidRPr="00417B5C">
        <w:rPr>
          <w:color w:val="000000" w:themeColor="text1"/>
        </w:rPr>
        <w:fldChar w:fldCharType="separate"/>
      </w:r>
      <w:r>
        <w:rPr>
          <w:noProof/>
          <w:color w:val="000000" w:themeColor="text1"/>
        </w:rPr>
        <w:t xml:space="preserve">; </w:t>
      </w:r>
      <w:r w:rsidRPr="00417B5C">
        <w:rPr>
          <w:noProof/>
          <w:color w:val="000000" w:themeColor="text1"/>
        </w:rPr>
        <w:t xml:space="preserve">Brookes </w:t>
      </w:r>
      <w:r w:rsidRPr="00417B5C">
        <w:rPr>
          <w:i/>
          <w:noProof/>
          <w:color w:val="000000" w:themeColor="text1"/>
        </w:rPr>
        <w:t>et al.</w:t>
      </w:r>
      <w:r w:rsidRPr="00417B5C">
        <w:rPr>
          <w:noProof/>
          <w:color w:val="000000" w:themeColor="text1"/>
        </w:rPr>
        <w:t xml:space="preserve"> 1985; Vance </w:t>
      </w:r>
      <w:r w:rsidRPr="00417B5C">
        <w:rPr>
          <w:i/>
          <w:noProof/>
          <w:color w:val="000000" w:themeColor="text1"/>
        </w:rPr>
        <w:t>et al.</w:t>
      </w:r>
      <w:r w:rsidRPr="00417B5C">
        <w:rPr>
          <w:noProof/>
          <w:color w:val="000000" w:themeColor="text1"/>
        </w:rPr>
        <w:t xml:space="preserve"> 1987; Wu </w:t>
      </w:r>
      <w:r w:rsidRPr="00417B5C">
        <w:rPr>
          <w:i/>
          <w:noProof/>
          <w:color w:val="000000" w:themeColor="text1"/>
        </w:rPr>
        <w:t>et al.</w:t>
      </w:r>
      <w:r w:rsidRPr="00417B5C">
        <w:rPr>
          <w:noProof/>
          <w:color w:val="000000" w:themeColor="text1"/>
        </w:rPr>
        <w:t xml:space="preserve"> 1990)</w:t>
      </w:r>
      <w:r w:rsidRPr="00417B5C">
        <w:rPr>
          <w:color w:val="000000" w:themeColor="text1"/>
        </w:rPr>
        <w:fldChar w:fldCharType="end"/>
      </w:r>
      <w:r w:rsidRPr="00417B5C">
        <w:rPr>
          <w:color w:val="000000" w:themeColor="text1"/>
        </w:rPr>
        <w:t>. Each rhizosphere soil sample was subsampled twice (2 grams of soil per subsample) and placed into 50</w:t>
      </w:r>
      <w:r>
        <w:rPr>
          <w:color w:val="000000" w:themeColor="text1"/>
        </w:rPr>
        <w:t xml:space="preserve"> </w:t>
      </w:r>
      <w:r w:rsidRPr="00417B5C">
        <w:rPr>
          <w:color w:val="000000" w:themeColor="text1"/>
        </w:rPr>
        <w:t xml:space="preserve">mL falcon tubes. </w:t>
      </w:r>
      <w:r>
        <w:rPr>
          <w:color w:val="000000" w:themeColor="text1"/>
        </w:rPr>
        <w:t>One</w:t>
      </w:r>
      <w:r w:rsidRPr="00417B5C">
        <w:rPr>
          <w:color w:val="000000" w:themeColor="text1"/>
        </w:rPr>
        <w:t xml:space="preserve"> subsample received 10</w:t>
      </w:r>
      <w:r>
        <w:rPr>
          <w:color w:val="000000" w:themeColor="text1"/>
        </w:rPr>
        <w:t xml:space="preserve"> </w:t>
      </w:r>
      <w:r w:rsidRPr="00417B5C">
        <w:rPr>
          <w:color w:val="000000" w:themeColor="text1"/>
        </w:rPr>
        <w:t>mL of 0.5M K</w:t>
      </w:r>
      <w:r w:rsidRPr="00417B5C">
        <w:rPr>
          <w:color w:val="000000" w:themeColor="text1"/>
          <w:vertAlign w:val="subscript"/>
        </w:rPr>
        <w:t>2</w:t>
      </w:r>
      <w:r w:rsidRPr="00417B5C">
        <w:rPr>
          <w:color w:val="000000" w:themeColor="text1"/>
        </w:rPr>
        <w:t>SO</w:t>
      </w:r>
      <w:r w:rsidRPr="00417B5C">
        <w:rPr>
          <w:color w:val="000000" w:themeColor="text1"/>
          <w:vertAlign w:val="subscript"/>
        </w:rPr>
        <w:t>4</w:t>
      </w:r>
      <w:r w:rsidRPr="00417B5C">
        <w:rPr>
          <w:color w:val="000000" w:themeColor="text1"/>
        </w:rPr>
        <w:t xml:space="preserve"> a</w:t>
      </w:r>
      <w:r>
        <w:rPr>
          <w:color w:val="000000" w:themeColor="text1"/>
        </w:rPr>
        <w:t>nd was placed on a</w:t>
      </w:r>
      <w:r w:rsidRPr="00417B5C">
        <w:rPr>
          <w:color w:val="000000" w:themeColor="text1"/>
        </w:rPr>
        <w:t xml:space="preserve"> shaker plate for one hour. The soil mixture was then filtered with Whatman Grade 1 filter paper and acid washed funnels</w:t>
      </w:r>
      <w:r>
        <w:rPr>
          <w:color w:val="000000" w:themeColor="text1"/>
        </w:rPr>
        <w:t>, where</w:t>
      </w:r>
      <w:r w:rsidRPr="00417B5C">
        <w:rPr>
          <w:color w:val="000000" w:themeColor="text1"/>
        </w:rPr>
        <w:t xml:space="preserve"> the</w:t>
      </w:r>
      <w:r>
        <w:rPr>
          <w:color w:val="000000" w:themeColor="text1"/>
        </w:rPr>
        <w:t xml:space="preserve"> filtered</w:t>
      </w:r>
      <w:r w:rsidRPr="00417B5C">
        <w:rPr>
          <w:color w:val="000000" w:themeColor="text1"/>
        </w:rPr>
        <w:t xml:space="preserve"> supernatant was stored in 15mL falcon tubes at -20°C.</w:t>
      </w:r>
      <w:r>
        <w:rPr>
          <w:color w:val="000000" w:themeColor="text1"/>
        </w:rPr>
        <w:t xml:space="preserve"> The other</w:t>
      </w:r>
      <w:r w:rsidRPr="00897E0E">
        <w:rPr>
          <w:color w:val="000000" w:themeColor="text1"/>
        </w:rPr>
        <w:t xml:space="preserve"> subsample received 800</w:t>
      </w:r>
      <w:r>
        <w:rPr>
          <w:color w:val="000000" w:themeColor="text1"/>
        </w:rPr>
        <w:t xml:space="preserve"> </w:t>
      </w:r>
      <w:r w:rsidRPr="00F22AE4">
        <w:rPr>
          <w:color w:val="000000" w:themeColor="text1"/>
          <w:shd w:val="clear" w:color="auto" w:fill="FFFFFF"/>
        </w:rPr>
        <w:t>µ</w:t>
      </w:r>
      <w:r w:rsidRPr="00897E0E">
        <w:rPr>
          <w:color w:val="000000" w:themeColor="text1"/>
        </w:rPr>
        <w:t>L of chloroform and incubated for 24 hours</w:t>
      </w:r>
      <w:r>
        <w:rPr>
          <w:color w:val="000000" w:themeColor="text1"/>
        </w:rPr>
        <w:t xml:space="preserve"> at room temperature</w:t>
      </w:r>
      <w:r w:rsidRPr="00897E0E">
        <w:rPr>
          <w:color w:val="000000" w:themeColor="text1"/>
        </w:rPr>
        <w:t xml:space="preserve"> prior to extraction with K</w:t>
      </w:r>
      <w:r w:rsidRPr="00897E0E">
        <w:rPr>
          <w:color w:val="000000" w:themeColor="text1"/>
          <w:vertAlign w:val="subscript"/>
        </w:rPr>
        <w:t>2</w:t>
      </w:r>
      <w:r w:rsidRPr="00897E0E">
        <w:rPr>
          <w:color w:val="000000" w:themeColor="text1"/>
        </w:rPr>
        <w:t>SO</w:t>
      </w:r>
      <w:r w:rsidRPr="00897E0E">
        <w:rPr>
          <w:color w:val="000000" w:themeColor="text1"/>
          <w:vertAlign w:val="subscript"/>
        </w:rPr>
        <w:t>4</w:t>
      </w:r>
      <w:r w:rsidRPr="00897E0E">
        <w:rPr>
          <w:color w:val="000000" w:themeColor="text1"/>
        </w:rPr>
        <w:t xml:space="preserve">. </w:t>
      </w:r>
      <w:r w:rsidRPr="00417B5C">
        <w:rPr>
          <w:color w:val="000000" w:themeColor="text1"/>
        </w:rPr>
        <w:t>After 24 hours</w:t>
      </w:r>
      <w:r>
        <w:rPr>
          <w:color w:val="000000" w:themeColor="text1"/>
        </w:rPr>
        <w:t>, t</w:t>
      </w:r>
      <w:r w:rsidRPr="00417B5C">
        <w:rPr>
          <w:color w:val="000000" w:themeColor="text1"/>
        </w:rPr>
        <w:t xml:space="preserve">he fumigated subsamples were opened to </w:t>
      </w:r>
      <w:r>
        <w:rPr>
          <w:color w:val="000000" w:themeColor="text1"/>
        </w:rPr>
        <w:t>allow</w:t>
      </w:r>
      <w:r w:rsidRPr="00417B5C">
        <w:rPr>
          <w:color w:val="000000" w:themeColor="text1"/>
        </w:rPr>
        <w:t xml:space="preserve"> the chloroform </w:t>
      </w:r>
      <w:r>
        <w:rPr>
          <w:color w:val="000000" w:themeColor="text1"/>
        </w:rPr>
        <w:t xml:space="preserve">to </w:t>
      </w:r>
      <w:r w:rsidRPr="00417B5C">
        <w:rPr>
          <w:color w:val="000000" w:themeColor="text1"/>
        </w:rPr>
        <w:t>evaporate</w:t>
      </w:r>
      <w:r>
        <w:rPr>
          <w:color w:val="000000" w:themeColor="text1"/>
        </w:rPr>
        <w:t xml:space="preserve"> for 30 minutes</w:t>
      </w:r>
      <w:r w:rsidRPr="00417B5C">
        <w:rPr>
          <w:color w:val="000000" w:themeColor="text1"/>
        </w:rPr>
        <w:t>. Fumigated subsamples then received 10</w:t>
      </w:r>
      <w:r>
        <w:rPr>
          <w:color w:val="000000" w:themeColor="text1"/>
        </w:rPr>
        <w:t xml:space="preserve"> </w:t>
      </w:r>
      <w:r w:rsidRPr="00417B5C">
        <w:rPr>
          <w:color w:val="000000" w:themeColor="text1"/>
        </w:rPr>
        <w:t>mL of 0.5M K</w:t>
      </w:r>
      <w:r w:rsidRPr="00417B5C">
        <w:rPr>
          <w:color w:val="000000" w:themeColor="text1"/>
          <w:vertAlign w:val="subscript"/>
        </w:rPr>
        <w:t>2</w:t>
      </w:r>
      <w:r w:rsidRPr="00417B5C">
        <w:rPr>
          <w:color w:val="000000" w:themeColor="text1"/>
        </w:rPr>
        <w:t>SO</w:t>
      </w:r>
      <w:r w:rsidRPr="00417B5C">
        <w:rPr>
          <w:color w:val="000000" w:themeColor="text1"/>
          <w:vertAlign w:val="subscript"/>
        </w:rPr>
        <w:t>4</w:t>
      </w:r>
      <w:r w:rsidRPr="00417B5C">
        <w:rPr>
          <w:color w:val="000000" w:themeColor="text1"/>
        </w:rPr>
        <w:t xml:space="preserve"> and were similarly extracted</w:t>
      </w:r>
      <w:r>
        <w:rPr>
          <w:color w:val="000000" w:themeColor="text1"/>
        </w:rPr>
        <w:t>, filtered, and stored</w:t>
      </w:r>
      <w:r w:rsidRPr="00417B5C">
        <w:rPr>
          <w:color w:val="000000" w:themeColor="text1"/>
        </w:rPr>
        <w:t xml:space="preserve"> as described above.</w:t>
      </w:r>
      <w:r>
        <w:rPr>
          <w:color w:val="000000" w:themeColor="text1"/>
        </w:rPr>
        <w:t xml:space="preserve"> Four chemical assays were conducted on each </w:t>
      </w:r>
      <w:r w:rsidRPr="00521FBE">
        <w:rPr>
          <w:color w:val="000000" w:themeColor="text1"/>
        </w:rPr>
        <w:t>K</w:t>
      </w:r>
      <w:r w:rsidRPr="00521FBE">
        <w:rPr>
          <w:color w:val="000000" w:themeColor="text1"/>
          <w:vertAlign w:val="subscript"/>
        </w:rPr>
        <w:t>2</w:t>
      </w:r>
      <w:r w:rsidRPr="00521FBE">
        <w:rPr>
          <w:color w:val="000000" w:themeColor="text1"/>
        </w:rPr>
        <w:t>SO</w:t>
      </w:r>
      <w:r w:rsidRPr="00521FBE">
        <w:rPr>
          <w:color w:val="000000" w:themeColor="text1"/>
          <w:vertAlign w:val="subscript"/>
        </w:rPr>
        <w:t>4</w:t>
      </w:r>
      <w:r>
        <w:rPr>
          <w:color w:val="000000" w:themeColor="text1"/>
          <w:vertAlign w:val="subscript"/>
        </w:rPr>
        <w:t xml:space="preserve"> </w:t>
      </w:r>
      <w:r>
        <w:rPr>
          <w:color w:val="000000" w:themeColor="text1"/>
        </w:rPr>
        <w:t>sample in triplicate to estimate ammonium (NH</w:t>
      </w:r>
      <w:r w:rsidRPr="00417B5C">
        <w:rPr>
          <w:color w:val="000000" w:themeColor="text1"/>
          <w:vertAlign w:val="subscript"/>
        </w:rPr>
        <w:t>4</w:t>
      </w:r>
      <w:r w:rsidRPr="00417B5C">
        <w:rPr>
          <w:color w:val="000000" w:themeColor="text1"/>
          <w:vertAlign w:val="superscript"/>
        </w:rPr>
        <w:t>+</w:t>
      </w:r>
      <w:r>
        <w:rPr>
          <w:color w:val="000000" w:themeColor="text1"/>
        </w:rPr>
        <w:t>), nitrate (NO</w:t>
      </w:r>
      <w:r>
        <w:rPr>
          <w:color w:val="000000" w:themeColor="text1"/>
          <w:vertAlign w:val="subscript"/>
        </w:rPr>
        <w:t>3</w:t>
      </w:r>
      <w:r w:rsidRPr="00521FBE">
        <w:rPr>
          <w:color w:val="000000" w:themeColor="text1"/>
          <w:vertAlign w:val="superscript"/>
        </w:rPr>
        <w:t>-</w:t>
      </w:r>
      <w:r>
        <w:rPr>
          <w:color w:val="000000" w:themeColor="text1"/>
        </w:rPr>
        <w:t xml:space="preserve">), and phosphorous (P) content in the rhizosphere microhabitat. Ammonium content was estimated using the indophenol-blue </w:t>
      </w:r>
      <w:proofErr w:type="spellStart"/>
      <w:r>
        <w:rPr>
          <w:color w:val="000000" w:themeColor="text1"/>
        </w:rPr>
        <w:t>colormetric</w:t>
      </w:r>
      <w:proofErr w:type="spellEnd"/>
      <w:r>
        <w:rPr>
          <w:color w:val="000000" w:themeColor="text1"/>
        </w:rPr>
        <w:t xml:space="preserve"> change Berthelot method </w:t>
      </w:r>
      <w:r>
        <w:rPr>
          <w:color w:val="000000" w:themeColor="text1"/>
        </w:rPr>
        <w:fldChar w:fldCharType="begin" w:fldLock="1"/>
      </w:r>
      <w:r w:rsidR="006E1F09">
        <w:rPr>
          <w:color w:val="000000" w:themeColor="text1"/>
        </w:rPr>
        <w:instrText>ADDIN CSL_CITATION {"citationItems":[{"id":"ITEM-1","itemData":{"DOI":"10.1016/0043-1354(78)90107-0","ISSN":"00431354","abstract":"An ammonia determination based on formation of a substituted indophenol with sodium salicylate as phenolic reagent has been developed and compared with other methods. Sensitivity and reproducibility are comparable with results obtained in a method where phenol was used, while a number of the disadvantages inherent to the use of phenol are avoided. The salicylate method is specific for NH3N and interferences are generally absent in samples from natural fresh waters. The method can be easily applied for seawater analysis. © 1978.","author":[{"dropping-particle":"","family":"Verdouw","given":"H.","non-dropping-particle":"","parse-names":false,"suffix":""},{"dropping-particle":"","family":"Echteld","given":"C. J.A.","non-dropping-particle":"Van","parse-names":false,"suffix":""},{"dropping-particle":"","family":"Dekkers","given":"E. M.J.","non-dropping-particle":"","parse-names":false,"suffix":""}],"container-title":"Water Research","id":"ITEM-1","issue":"6","issued":{"date-parts":[["1978"]]},"page":"399-402","title":"Ammonia determination based on indophenol formation with sodium salicylate","type":"article-journal","volume":"12"},"uris":["http://www.mendeley.com/documents/?uuid=c87709f0-6a81-4c26-ae4a-dad961afba8b"]},{"id":"ITEM-2","itemData":{"DOI":"10.1021/ac60252a045","ISSN":"15206882","abstract":"The Berthelot color reaction has been investigated with the particular aim of presenting a simple, reliable analytical procedure. The combination of two reagents prepared readily, phenol plus nitroprusside and alkali plus hypochlorite, gave excellent reproducibility with great convenience. After the ammonium sulfate sample was mixed with the phenol reagent the hypochlorite reagent could be added up to 30 minutes later without change of absorbance, whereas if this sample were mixed with a reagent containing hypochlorite or with alkaline phenate plus nitroprusside, there was a decrease in absorbance unless the second reagent was added immediately. Satisfactory color development with minimal precautions was given by a variety of reagent concentrations and by reaction temperatures of 20°, 25°, 37°, and 75° C. Sensitivity was increased at 75° C although the time to reach maximum absorbance was longer than at 37° C. The absorbance maximum was reached quickly at 100° C but this temperature is not recommended because the absorbance decreased rapidly thereafter. © 1967, American Chemical Society. All rights reserved.","author":[{"dropping-particle":"","family":"Weatherburn","given":"M. W.","non-dropping-particle":"","parse-names":false,"suffix":""}],"container-title":"Analytical Chemistry","id":"ITEM-2","issue":"8","issued":{"date-parts":[["1967"]]},"page":"971-974","title":"Phenol-Hypochlorite Reaction for Determination of Ammonia","type":"article-journal","volume":"39"},"uris":["http://www.mendeley.com/documents/?uuid=adae76cc-aae6-4711-b14c-dd73d86a4ec7"]}],"mendeley":{"formattedCitation":"(Weatherburn, 1967; Verdouw et al., 1978)","plainTextFormattedCitation":"(Weatherburn, 1967; Verdouw et al., 1978)","previouslyFormattedCitation":"(Weatherburn, 1967; Verdouw et al., 1978)"},"properties":{"noteIndex":0},"schema":"https://github.com/citation-style-language/schema/raw/master/csl-citation.json"}</w:instrText>
      </w:r>
      <w:r>
        <w:rPr>
          <w:color w:val="000000" w:themeColor="text1"/>
        </w:rPr>
        <w:fldChar w:fldCharType="separate"/>
      </w:r>
      <w:r w:rsidR="00CE6085" w:rsidRPr="00CE6085">
        <w:rPr>
          <w:noProof/>
          <w:color w:val="000000" w:themeColor="text1"/>
        </w:rPr>
        <w:t>(Weatherburn, 1967; Verdouw et al., 1978)</w:t>
      </w:r>
      <w:r>
        <w:rPr>
          <w:color w:val="000000" w:themeColor="text1"/>
        </w:rPr>
        <w:fldChar w:fldCharType="end"/>
      </w:r>
      <w:r>
        <w:rPr>
          <w:color w:val="000000" w:themeColor="text1"/>
        </w:rPr>
        <w:t xml:space="preserve">. </w:t>
      </w:r>
      <w:r>
        <w:rPr>
          <w:color w:val="000000" w:themeColor="text1"/>
          <w:shd w:val="clear" w:color="auto" w:fill="FFFFFF"/>
        </w:rPr>
        <w:t xml:space="preserve">Nitrate for each rhizosphere sample were captured through a reaction with the </w:t>
      </w:r>
      <w:r w:rsidRPr="00521FBE">
        <w:rPr>
          <w:color w:val="000000" w:themeColor="text1"/>
        </w:rPr>
        <w:t>K</w:t>
      </w:r>
      <w:r w:rsidRPr="00521FBE">
        <w:rPr>
          <w:color w:val="000000" w:themeColor="text1"/>
          <w:vertAlign w:val="subscript"/>
        </w:rPr>
        <w:t>2</w:t>
      </w:r>
      <w:r w:rsidRPr="00521FBE">
        <w:rPr>
          <w:color w:val="000000" w:themeColor="text1"/>
        </w:rPr>
        <w:t>SO</w:t>
      </w:r>
      <w:r w:rsidRPr="00521FBE">
        <w:rPr>
          <w:color w:val="000000" w:themeColor="text1"/>
          <w:vertAlign w:val="subscript"/>
        </w:rPr>
        <w:t>4</w:t>
      </w:r>
      <w:r>
        <w:rPr>
          <w:color w:val="000000" w:themeColor="text1"/>
          <w:vertAlign w:val="subscript"/>
        </w:rPr>
        <w:t xml:space="preserve"> </w:t>
      </w:r>
      <w:r>
        <w:rPr>
          <w:color w:val="000000" w:themeColor="text1"/>
        </w:rPr>
        <w:t>extraction</w:t>
      </w:r>
      <w:r>
        <w:rPr>
          <w:color w:val="000000" w:themeColor="text1"/>
          <w:shd w:val="clear" w:color="auto" w:fill="FFFFFF"/>
        </w:rPr>
        <w:t>, a vanadium (III) chloride (VCl</w:t>
      </w:r>
      <w:r w:rsidRPr="00417B5C">
        <w:rPr>
          <w:color w:val="000000" w:themeColor="text1"/>
          <w:shd w:val="clear" w:color="auto" w:fill="FFFFFF"/>
          <w:vertAlign w:val="subscript"/>
        </w:rPr>
        <w:t>3</w:t>
      </w:r>
      <w:r>
        <w:rPr>
          <w:color w:val="000000" w:themeColor="text1"/>
          <w:shd w:val="clear" w:color="auto" w:fill="FFFFFF"/>
        </w:rPr>
        <w:t>) acid solution,</w:t>
      </w:r>
      <w:r>
        <w:rPr>
          <w:color w:val="000000" w:themeColor="text1"/>
        </w:rPr>
        <w:t xml:space="preserve"> and Griess reagents </w:t>
      </w:r>
      <w:r>
        <w:rPr>
          <w:color w:val="000000" w:themeColor="text1"/>
        </w:rPr>
        <w:fldChar w:fldCharType="begin" w:fldLock="1"/>
      </w:r>
      <w:r w:rsidR="006E1F09">
        <w:rPr>
          <w:color w:val="000000" w:themeColor="text1"/>
        </w:rPr>
        <w:instrText>ADDIN CSL_CITATION {"citationItems":[{"id":"ITEM-1","itemData":{"DOI":"10.1081/AL-120024647","ISSN":"00032719","abstract":"A spectrophotometric procedure for determination of nitrate in water, soil extracts, and a variety of other sample types is described using one reagent solution which is easily prepared and stored. Sample and equipment requirements are minimal. Reduced chemical hazard, simplicity, and versatility represent improvements over existing methods. Limit of detection is 0.01 μg N mL -1 (0.72 μM NO3-) or less, depending on the matrix.","author":[{"dropping-particle":"","family":"Doane","given":"Timothy A.","non-dropping-particle":"","parse-names":false,"suffix":""},{"dropping-particle":"","family":"Horwáth","given":"William R.","non-dropping-particle":"","parse-names":false,"suffix":""}],"container-title":"Analytical Letters","id":"ITEM-1","issue":"12","issued":{"date-parts":[["2003"]]},"page":"2713-2722","title":"Spectrophotometric determination of nitrate with a single reagent","type":"article-journal","volume":"36"},"uris":["http://www.mendeley.com/documents/?uuid=1e4701f8-8330-4785-a335-b08fc8ee921b"]},{"id":"ITEM-2","itemData":{"author":[{"dropping-particle":"","family":"Mulvaney","given":"R L","non-dropping-particle":"","parse-names":false,"suffix":""}],"container-title":"Methods of soil analysis: part 3 chemical methods","id":"ITEM-2","issued":{"date-parts":[["1996"]]},"page":"1123-1184","publisher":"Wiley Online Library","title":"Nitrogen—inorganic forms","type":"article-journal","volume":"5"},"uris":["http://www.mendeley.com/documents/?uuid=b9c7bfe4-a5b8-42bf-8cdc-954465a06eee"]}],"mendeley":{"formattedCitation":"(Mulvaney, 1996; Doane and Horwáth, 2003)","plainTextFormattedCitation":"(Mulvaney, 1996; Doane and Horwáth, 2003)","previouslyFormattedCitation":"(Mulvaney, 1996; Doane and Horwáth, 2003)"},"properties":{"noteIndex":0},"schema":"https://github.com/citation-style-language/schema/raw/master/csl-citation.json"}</w:instrText>
      </w:r>
      <w:r>
        <w:rPr>
          <w:color w:val="000000" w:themeColor="text1"/>
        </w:rPr>
        <w:fldChar w:fldCharType="separate"/>
      </w:r>
      <w:r w:rsidR="00CE6085" w:rsidRPr="00CE6085">
        <w:rPr>
          <w:noProof/>
          <w:color w:val="000000" w:themeColor="text1"/>
        </w:rPr>
        <w:t>(Mulvaney, 1996; Doane and Horwáth, 2003)</w:t>
      </w:r>
      <w:r>
        <w:rPr>
          <w:color w:val="000000" w:themeColor="text1"/>
        </w:rPr>
        <w:fldChar w:fldCharType="end"/>
      </w:r>
      <w:r>
        <w:rPr>
          <w:color w:val="000000" w:themeColor="text1"/>
        </w:rPr>
        <w:t xml:space="preserve">. Lastly, phosphorous was measured by the reaction with ammonium para-molybdate and sulfuric acid and a malachite green solution </w:t>
      </w:r>
      <w:r>
        <w:rPr>
          <w:color w:val="000000" w:themeColor="text1"/>
        </w:rPr>
        <w:fldChar w:fldCharType="begin" w:fldLock="1"/>
      </w:r>
      <w:r w:rsidR="006E1F09">
        <w:rPr>
          <w:color w:val="000000" w:themeColor="text1"/>
        </w:rPr>
        <w:instrText>ADDIN CSL_CITATION {"citationItems":[{"id":"ITEM-1","itemData":{"author":[{"dropping-particle":"","family":"Lajtha","given":"K","non-dropping-particle":"","parse-names":false,"suffix":""},{"dropping-particle":"","family":"Driscoll","given":"C T","non-dropping-particle":"","parse-names":false,"suffix":""},{"dropping-particle":"","family":"Jarrell","given":"W M","non-dropping-particle":"","parse-names":false,"suffix":""},{"dropping-particle":"","family":"Elliott","given":"E T","non-dropping-particle":"","parse-names":false,"suffix":""}],"container-title":"Standard soil methods for long-term ecological research. Edited by GP Robertson, DC Coleman, CS Bledsoe, and P. Sollins. Oxford University Press, Oxford, UK","id":"ITEM-1","issued":{"date-parts":[["1999"]]},"title":"Chapter 7. Soil P characterization and total element analysis","type":"article-journal"},"uris":["http://www.mendeley.com/documents/?uuid=2cebb969-24de-45d4-94ee-41953c6a3af8"]}],"mendeley":{"formattedCitation":"(Lajtha et al., 1999)","plainTextFormattedCitation":"(Lajtha et al., 1999)","previouslyFormattedCitation":"(Lajtha et al., 1999)"},"properties":{"noteIndex":0},"schema":"https://github.com/citation-style-language/schema/raw/master/csl-citation.json"}</w:instrText>
      </w:r>
      <w:r>
        <w:rPr>
          <w:color w:val="000000" w:themeColor="text1"/>
        </w:rPr>
        <w:fldChar w:fldCharType="separate"/>
      </w:r>
      <w:r w:rsidR="00CE6085" w:rsidRPr="00CE6085">
        <w:rPr>
          <w:noProof/>
          <w:color w:val="000000" w:themeColor="text1"/>
        </w:rPr>
        <w:t>(Lajtha et al., 1999)</w:t>
      </w:r>
      <w:r>
        <w:rPr>
          <w:color w:val="000000" w:themeColor="text1"/>
        </w:rPr>
        <w:fldChar w:fldCharType="end"/>
      </w:r>
      <w:r>
        <w:rPr>
          <w:color w:val="000000" w:themeColor="text1"/>
        </w:rPr>
        <w:t xml:space="preserve">. Color absorbance was measured on a </w:t>
      </w:r>
      <w:proofErr w:type="spellStart"/>
      <w:r>
        <w:rPr>
          <w:color w:val="000000" w:themeColor="text1"/>
        </w:rPr>
        <w:t>BioTek</w:t>
      </w:r>
      <w:proofErr w:type="spellEnd"/>
      <w:r>
        <w:rPr>
          <w:color w:val="000000" w:themeColor="text1"/>
        </w:rPr>
        <w:t xml:space="preserve"> Synergy H1 microplate reader (</w:t>
      </w:r>
      <w:proofErr w:type="spellStart"/>
      <w:r>
        <w:rPr>
          <w:color w:val="000000" w:themeColor="text1"/>
        </w:rPr>
        <w:t>BioTek</w:t>
      </w:r>
      <w:proofErr w:type="spellEnd"/>
      <w:r>
        <w:rPr>
          <w:color w:val="000000" w:themeColor="text1"/>
        </w:rPr>
        <w:t xml:space="preserve"> Instruments Inc., Winooski, VT, USA) set at a wavelength (</w:t>
      </w:r>
      <w:r w:rsidRPr="00DC2798">
        <w:rPr>
          <w:color w:val="000000" w:themeColor="text1"/>
        </w:rPr>
        <w:t>λ</w:t>
      </w:r>
      <w:r>
        <w:rPr>
          <w:color w:val="000000" w:themeColor="text1"/>
        </w:rPr>
        <w:t>)</w:t>
      </w:r>
      <w:r w:rsidRPr="00DC2798">
        <w:rPr>
          <w:color w:val="000000" w:themeColor="text1"/>
        </w:rPr>
        <w:t xml:space="preserve"> = </w:t>
      </w:r>
      <w:r>
        <w:rPr>
          <w:color w:val="000000" w:themeColor="text1"/>
        </w:rPr>
        <w:t xml:space="preserve">667 </w:t>
      </w:r>
      <w:r w:rsidRPr="00DC2798">
        <w:rPr>
          <w:color w:val="000000" w:themeColor="text1"/>
        </w:rPr>
        <w:t>nm</w:t>
      </w:r>
      <w:r>
        <w:rPr>
          <w:color w:val="000000" w:themeColor="text1"/>
        </w:rPr>
        <w:t xml:space="preserve"> for ammonium, </w:t>
      </w:r>
      <w:r w:rsidRPr="00DC2798">
        <w:rPr>
          <w:color w:val="000000" w:themeColor="text1"/>
        </w:rPr>
        <w:t xml:space="preserve">λ = </w:t>
      </w:r>
      <w:r>
        <w:rPr>
          <w:color w:val="000000" w:themeColor="text1"/>
        </w:rPr>
        <w:t xml:space="preserve">540 </w:t>
      </w:r>
      <w:r w:rsidRPr="00DC2798">
        <w:rPr>
          <w:color w:val="000000" w:themeColor="text1"/>
        </w:rPr>
        <w:t>nm</w:t>
      </w:r>
      <w:r>
        <w:rPr>
          <w:color w:val="000000" w:themeColor="text1"/>
        </w:rPr>
        <w:t xml:space="preserve"> for nitrate, and </w:t>
      </w:r>
      <w:r w:rsidRPr="00DC2798">
        <w:rPr>
          <w:color w:val="000000" w:themeColor="text1"/>
        </w:rPr>
        <w:t xml:space="preserve">λ = </w:t>
      </w:r>
      <w:r>
        <w:rPr>
          <w:color w:val="000000" w:themeColor="text1"/>
        </w:rPr>
        <w:t xml:space="preserve">630 </w:t>
      </w:r>
      <w:r w:rsidRPr="00DC2798">
        <w:rPr>
          <w:color w:val="000000" w:themeColor="text1"/>
        </w:rPr>
        <w:t>nm</w:t>
      </w:r>
      <w:r>
        <w:rPr>
          <w:color w:val="000000" w:themeColor="text1"/>
        </w:rPr>
        <w:t xml:space="preserve"> for phosphorous. All color absorbance values were converted to concentrations per gram of rhizosphere soil. </w:t>
      </w:r>
    </w:p>
    <w:p w14:paraId="6148130A" w14:textId="1DE60C62" w:rsidR="00B863BB" w:rsidRDefault="00B863BB" w:rsidP="004B0512">
      <w:pPr>
        <w:pStyle w:val="Heading3"/>
      </w:pPr>
      <w:bookmarkStart w:id="49" w:name="_Toc102048013"/>
      <w:r>
        <w:t>Bacterial community collection</w:t>
      </w:r>
      <w:bookmarkEnd w:id="49"/>
    </w:p>
    <w:p w14:paraId="572C5138" w14:textId="77777777" w:rsidR="004B0512" w:rsidRDefault="00432633" w:rsidP="004B0512">
      <w:pPr>
        <w:spacing w:line="360" w:lineRule="auto"/>
        <w:rPr>
          <w:color w:val="000000" w:themeColor="text1"/>
        </w:rPr>
      </w:pPr>
      <w:r>
        <w:tab/>
      </w:r>
      <w:r w:rsidR="004B0512" w:rsidRPr="00BC3905">
        <w:t>Bacteria</w:t>
      </w:r>
      <w:r w:rsidR="004B0512">
        <w:t>l communities</w:t>
      </w:r>
      <w:r w:rsidR="004B0512" w:rsidRPr="00BC3905">
        <w:t xml:space="preserve"> were sampled using </w:t>
      </w:r>
      <w:r w:rsidR="004B0512">
        <w:t xml:space="preserve">sterilized, handheld soil cores and stored in sterile </w:t>
      </w:r>
      <w:proofErr w:type="spellStart"/>
      <w:r w:rsidR="004B0512" w:rsidRPr="00BC3905">
        <w:t>Nasco</w:t>
      </w:r>
      <w:proofErr w:type="spellEnd"/>
      <w:r w:rsidR="004B0512" w:rsidRPr="00BC3905">
        <w:t xml:space="preserve"> Whirl</w:t>
      </w:r>
      <w:r w:rsidR="004B0512" w:rsidRPr="00A61C02">
        <w:t>-</w:t>
      </w:r>
      <w:proofErr w:type="spellStart"/>
      <w:r w:rsidR="004B0512" w:rsidRPr="00A61C02">
        <w:t>Paks</w:t>
      </w:r>
      <w:proofErr w:type="spellEnd"/>
      <w:r w:rsidR="004B0512" w:rsidRPr="00A61C02">
        <w:t xml:space="preserve"> </w:t>
      </w:r>
      <w:r w:rsidR="004B0512" w:rsidRPr="005A1E8A">
        <w:rPr>
          <w:color w:val="000000" w:themeColor="text1"/>
        </w:rPr>
        <w:t>(</w:t>
      </w:r>
      <w:proofErr w:type="spellStart"/>
      <w:r w:rsidR="004B0512" w:rsidRPr="005A1E8A">
        <w:rPr>
          <w:color w:val="000000" w:themeColor="text1"/>
        </w:rPr>
        <w:t>Nasco</w:t>
      </w:r>
      <w:proofErr w:type="spellEnd"/>
      <w:r w:rsidR="004B0512" w:rsidRPr="005A1E8A">
        <w:rPr>
          <w:color w:val="000000" w:themeColor="text1"/>
        </w:rPr>
        <w:t>, Fort Atkinson, WI, USA)</w:t>
      </w:r>
      <w:r w:rsidR="004B0512" w:rsidRPr="00A61C02">
        <w:t>.</w:t>
      </w:r>
      <w:r w:rsidR="004B0512">
        <w:t xml:space="preserve"> Detritus and other debris were removed around </w:t>
      </w:r>
      <w:r w:rsidR="004B0512" w:rsidRPr="006C635C">
        <w:t xml:space="preserve">the base of each plant and the sterilized soil core placed near the base and </w:t>
      </w:r>
      <w:r w:rsidR="004B0512" w:rsidRPr="006C635C">
        <w:lastRenderedPageBreak/>
        <w:t xml:space="preserve">pushed down approximately 5-7 cm. </w:t>
      </w:r>
      <w:r w:rsidR="004B0512">
        <w:t>Field equipment was wiped clean of any remaining soil particulate and surface sterilized with 70% ethanol</w:t>
      </w:r>
      <w:r w:rsidR="004B0512" w:rsidRPr="00BC3905">
        <w:t xml:space="preserve"> between </w:t>
      </w:r>
      <w:r w:rsidR="004B0512">
        <w:t xml:space="preserve">each replicate. </w:t>
      </w:r>
      <w:r w:rsidR="004B0512" w:rsidRPr="006C635C">
        <w:rPr>
          <w:color w:val="000000" w:themeColor="text1"/>
        </w:rPr>
        <w:t>Rhizosphere microbiomes were sampled once prior to monsoon onset (June 2019) and once near</w:t>
      </w:r>
      <w:r w:rsidR="004B0512">
        <w:rPr>
          <w:color w:val="000000" w:themeColor="text1"/>
        </w:rPr>
        <w:t xml:space="preserve"> the end of the season (August 2019)</w:t>
      </w:r>
      <w:r w:rsidR="004B0512" w:rsidRPr="002F741B">
        <w:rPr>
          <w:bCs/>
          <w:color w:val="000000" w:themeColor="text1"/>
          <w:shd w:val="clear" w:color="auto" w:fill="FFFFFF"/>
        </w:rPr>
        <w:t xml:space="preserve">. Baseline estimates of </w:t>
      </w:r>
      <w:r w:rsidR="004B0512">
        <w:rPr>
          <w:bCs/>
          <w:color w:val="000000" w:themeColor="text1"/>
          <w:shd w:val="clear" w:color="auto" w:fill="FFFFFF"/>
        </w:rPr>
        <w:t>bacterial richness</w:t>
      </w:r>
      <w:r w:rsidR="004B0512" w:rsidRPr="002F741B">
        <w:rPr>
          <w:bCs/>
          <w:color w:val="000000" w:themeColor="text1"/>
          <w:shd w:val="clear" w:color="auto" w:fill="FFFFFF"/>
        </w:rPr>
        <w:t xml:space="preserve"> and </w:t>
      </w:r>
      <w:r w:rsidR="004B0512">
        <w:rPr>
          <w:bCs/>
          <w:color w:val="000000" w:themeColor="text1"/>
          <w:shd w:val="clear" w:color="auto" w:fill="FFFFFF"/>
        </w:rPr>
        <w:t>rhizospheric soil abiotic data</w:t>
      </w:r>
      <w:r w:rsidR="004B0512" w:rsidRPr="002F741B">
        <w:rPr>
          <w:bCs/>
          <w:color w:val="000000" w:themeColor="text1"/>
          <w:shd w:val="clear" w:color="auto" w:fill="FFFFFF"/>
        </w:rPr>
        <w:t xml:space="preserve"> are </w:t>
      </w:r>
      <w:r w:rsidR="004B0512">
        <w:rPr>
          <w:bCs/>
          <w:color w:val="000000" w:themeColor="text1"/>
          <w:shd w:val="clear" w:color="auto" w:fill="FFFFFF"/>
        </w:rPr>
        <w:t>correspond to</w:t>
      </w:r>
      <w:r w:rsidR="004B0512" w:rsidRPr="002F741B">
        <w:rPr>
          <w:bCs/>
          <w:color w:val="000000" w:themeColor="text1"/>
          <w:shd w:val="clear" w:color="auto" w:fill="FFFFFF"/>
        </w:rPr>
        <w:t xml:space="preserve"> the first sampling period prior to </w:t>
      </w:r>
      <w:r w:rsidR="004B0512">
        <w:rPr>
          <w:bCs/>
          <w:color w:val="000000" w:themeColor="text1"/>
          <w:shd w:val="clear" w:color="auto" w:fill="FFFFFF"/>
        </w:rPr>
        <w:t>treatment</w:t>
      </w:r>
      <w:r w:rsidR="004B0512" w:rsidRPr="002F741B">
        <w:rPr>
          <w:bCs/>
          <w:color w:val="000000" w:themeColor="text1"/>
          <w:shd w:val="clear" w:color="auto" w:fill="FFFFFF"/>
        </w:rPr>
        <w:t xml:space="preserve"> installation.</w:t>
      </w:r>
      <w:r w:rsidR="004B0512">
        <w:rPr>
          <w:bCs/>
          <w:color w:val="000000" w:themeColor="text1"/>
          <w:shd w:val="clear" w:color="auto" w:fill="FFFFFF"/>
        </w:rPr>
        <w:t xml:space="preserve"> </w:t>
      </w:r>
      <w:r w:rsidR="004B0512">
        <w:rPr>
          <w:color w:val="000000" w:themeColor="text1"/>
        </w:rPr>
        <w:t xml:space="preserve">After field collection, rhizosphere samples were stored at </w:t>
      </w:r>
      <w:r w:rsidR="004B0512">
        <w:rPr>
          <w:color w:val="000000" w:themeColor="text1"/>
          <w:shd w:val="clear" w:color="auto" w:fill="FFFFFF"/>
        </w:rPr>
        <w:t>-80</w:t>
      </w:r>
      <w:r w:rsidR="004B0512" w:rsidRPr="00417B5C">
        <w:rPr>
          <w:color w:val="000000" w:themeColor="text1"/>
        </w:rPr>
        <w:t>°C</w:t>
      </w:r>
      <w:r w:rsidR="004B0512">
        <w:rPr>
          <w:color w:val="000000" w:themeColor="text1"/>
        </w:rPr>
        <w:t xml:space="preserve"> until DNA isolation. </w:t>
      </w:r>
    </w:p>
    <w:p w14:paraId="5A34B094" w14:textId="7C502D88" w:rsidR="004B0512" w:rsidRDefault="004B0512" w:rsidP="004B0512">
      <w:pPr>
        <w:spacing w:line="360" w:lineRule="auto"/>
        <w:rPr>
          <w:color w:val="000000" w:themeColor="text1"/>
        </w:rPr>
      </w:pPr>
      <w:r>
        <w:rPr>
          <w:color w:val="000000" w:themeColor="text1"/>
        </w:rPr>
        <w:tab/>
      </w:r>
      <w:r>
        <w:rPr>
          <w:color w:val="000000" w:themeColor="text1"/>
          <w:shd w:val="clear" w:color="auto" w:fill="FFFFFF"/>
        </w:rPr>
        <w:t>Rhizosphere samples were thawed from -80</w:t>
      </w:r>
      <w:r w:rsidRPr="00417B5C">
        <w:rPr>
          <w:color w:val="000000" w:themeColor="text1"/>
        </w:rPr>
        <w:t xml:space="preserve">°C </w:t>
      </w:r>
      <w:r>
        <w:rPr>
          <w:color w:val="000000" w:themeColor="text1"/>
          <w:shd w:val="clear" w:color="auto" w:fill="FFFFFF"/>
        </w:rPr>
        <w:t xml:space="preserve">storage for an </w:t>
      </w:r>
      <w:r w:rsidRPr="006C635C">
        <w:rPr>
          <w:color w:val="000000" w:themeColor="text1"/>
          <w:shd w:val="clear" w:color="auto" w:fill="FFFFFF"/>
        </w:rPr>
        <w:t>hour, weighed to 250</w:t>
      </w:r>
      <w:r>
        <w:rPr>
          <w:color w:val="000000" w:themeColor="text1"/>
          <w:shd w:val="clear" w:color="auto" w:fill="FFFFFF"/>
        </w:rPr>
        <w:t xml:space="preserve"> </w:t>
      </w:r>
      <w:r w:rsidRPr="006C635C">
        <w:rPr>
          <w:color w:val="000000" w:themeColor="text1"/>
          <w:shd w:val="clear" w:color="auto" w:fill="FFFFFF"/>
        </w:rPr>
        <w:t>mg,</w:t>
      </w:r>
      <w:r w:rsidRPr="00AD753F">
        <w:rPr>
          <w:color w:val="000000" w:themeColor="text1"/>
          <w:shd w:val="clear" w:color="auto" w:fill="FFFFFF"/>
        </w:rPr>
        <w:t xml:space="preserve"> and placed into a 96 well plate for DNA isolation using the </w:t>
      </w:r>
      <w:proofErr w:type="spellStart"/>
      <w:r w:rsidRPr="00AD753F">
        <w:rPr>
          <w:color w:val="000000" w:themeColor="text1"/>
          <w:shd w:val="clear" w:color="auto" w:fill="FFFFFF"/>
        </w:rPr>
        <w:t>DNeasy</w:t>
      </w:r>
      <w:proofErr w:type="spellEnd"/>
      <w:r w:rsidRPr="00AD753F">
        <w:rPr>
          <w:color w:val="000000" w:themeColor="text1"/>
          <w:shd w:val="clear" w:color="auto" w:fill="FFFFFF"/>
        </w:rPr>
        <w:t xml:space="preserve"> </w:t>
      </w:r>
      <w:proofErr w:type="spellStart"/>
      <w:r w:rsidRPr="00AD753F">
        <w:rPr>
          <w:color w:val="000000" w:themeColor="text1"/>
          <w:shd w:val="clear" w:color="auto" w:fill="FFFFFF"/>
        </w:rPr>
        <w:t>PowerSoil</w:t>
      </w:r>
      <w:proofErr w:type="spellEnd"/>
      <w:r w:rsidRPr="00AD753F">
        <w:rPr>
          <w:color w:val="000000" w:themeColor="text1"/>
          <w:shd w:val="clear" w:color="auto" w:fill="FFFFFF"/>
        </w:rPr>
        <w:t xml:space="preserve"> HTP 96 Kit (</w:t>
      </w:r>
      <w:proofErr w:type="spellStart"/>
      <w:r w:rsidRPr="00BC3905">
        <w:rPr>
          <w:color w:val="000000" w:themeColor="text1"/>
        </w:rPr>
        <w:t>MoBio</w:t>
      </w:r>
      <w:proofErr w:type="spellEnd"/>
      <w:r w:rsidRPr="00BC3905">
        <w:rPr>
          <w:color w:val="000000" w:themeColor="text1"/>
        </w:rPr>
        <w:t xml:space="preserve"> Laboratories, Inc., Carlsbad, CA, USA</w:t>
      </w:r>
      <w:r w:rsidRPr="00BC3905">
        <w:rPr>
          <w:color w:val="000000" w:themeColor="text1"/>
          <w:shd w:val="clear" w:color="auto" w:fill="FFFFFF"/>
        </w:rPr>
        <w:t xml:space="preserve">). At </w:t>
      </w:r>
      <w:r w:rsidRPr="005B1E53">
        <w:rPr>
          <w:color w:val="000000" w:themeColor="text1"/>
          <w:shd w:val="clear" w:color="auto" w:fill="FFFFFF"/>
        </w:rPr>
        <w:t>S</w:t>
      </w:r>
      <w:r w:rsidRPr="00BC3905">
        <w:rPr>
          <w:color w:val="000000" w:themeColor="text1"/>
          <w:shd w:val="clear" w:color="auto" w:fill="FFFFFF"/>
        </w:rPr>
        <w:t>tep 30 in this protocol, the final elution volume was modified to 50</w:t>
      </w:r>
      <w:r>
        <w:rPr>
          <w:color w:val="000000" w:themeColor="text1"/>
          <w:shd w:val="clear" w:color="auto" w:fill="FFFFFF"/>
        </w:rPr>
        <w:t xml:space="preserve"> </w:t>
      </w:r>
      <w:r w:rsidRPr="005A1E8A">
        <w:rPr>
          <w:color w:val="000000" w:themeColor="text1"/>
          <w:shd w:val="clear" w:color="auto" w:fill="FFFFFF"/>
        </w:rPr>
        <w:t>µL</w:t>
      </w:r>
      <w:r w:rsidRPr="005A1E8A">
        <w:rPr>
          <w:color w:val="000000" w:themeColor="text1"/>
        </w:rPr>
        <w:t xml:space="preserve"> of Solution C6</w:t>
      </w:r>
      <w:r>
        <w:rPr>
          <w:color w:val="000000" w:themeColor="text1"/>
        </w:rPr>
        <w:t xml:space="preserve">, which sat on the membrane at room temperature for 5 minutes before the final centrifuge step. All isolated DNA was then </w:t>
      </w:r>
      <w:r w:rsidRPr="0008601D">
        <w:rPr>
          <w:color w:val="000000" w:themeColor="text1"/>
        </w:rPr>
        <w:t>transferred in</w:t>
      </w:r>
      <w:r w:rsidRPr="00CA5535">
        <w:rPr>
          <w:color w:val="000000" w:themeColor="text1"/>
        </w:rPr>
        <w:t>to sterile 1.</w:t>
      </w:r>
      <w:r w:rsidRPr="00BA0803">
        <w:rPr>
          <w:color w:val="000000" w:themeColor="text1"/>
        </w:rPr>
        <w:t>5</w:t>
      </w:r>
      <w:r>
        <w:rPr>
          <w:color w:val="000000" w:themeColor="text1"/>
        </w:rPr>
        <w:t xml:space="preserve"> </w:t>
      </w:r>
      <w:r w:rsidRPr="00BA0803">
        <w:rPr>
          <w:color w:val="000000" w:themeColor="text1"/>
          <w:shd w:val="clear" w:color="auto" w:fill="FFFFFF"/>
        </w:rPr>
        <w:t>mL</w:t>
      </w:r>
      <w:r w:rsidRPr="00BA0803" w:rsidDel="00BC3905">
        <w:rPr>
          <w:color w:val="000000" w:themeColor="text1"/>
        </w:rPr>
        <w:t xml:space="preserve"> </w:t>
      </w:r>
      <w:r w:rsidRPr="00BA0803">
        <w:rPr>
          <w:color w:val="000000" w:themeColor="text1"/>
        </w:rPr>
        <w:t>tubes and stored at -80</w:t>
      </w:r>
      <w:r w:rsidRPr="00417B5C">
        <w:rPr>
          <w:color w:val="000000" w:themeColor="text1"/>
        </w:rPr>
        <w:t xml:space="preserve">°C until </w:t>
      </w:r>
      <w:r>
        <w:rPr>
          <w:color w:val="000000" w:themeColor="text1"/>
        </w:rPr>
        <w:t>16S PCR amplification</w:t>
      </w:r>
      <w:r w:rsidRPr="00417B5C">
        <w:rPr>
          <w:color w:val="000000" w:themeColor="text1"/>
        </w:rPr>
        <w:t xml:space="preserve">. DNA concentrations for each sample were verified using a </w:t>
      </w:r>
      <w:proofErr w:type="spellStart"/>
      <w:r w:rsidRPr="00417B5C">
        <w:rPr>
          <w:color w:val="000000" w:themeColor="text1"/>
        </w:rPr>
        <w:t>NanoDrop</w:t>
      </w:r>
      <w:proofErr w:type="spellEnd"/>
      <w:r w:rsidRPr="00417B5C">
        <w:rPr>
          <w:color w:val="000000" w:themeColor="text1"/>
        </w:rPr>
        <w:t xml:space="preserve"> 2000 Spectrophotometer (</w:t>
      </w:r>
      <w:proofErr w:type="spellStart"/>
      <w:r w:rsidRPr="00417B5C">
        <w:rPr>
          <w:color w:val="000000" w:themeColor="text1"/>
        </w:rPr>
        <w:t>NanoDrop</w:t>
      </w:r>
      <w:proofErr w:type="spellEnd"/>
      <w:r w:rsidRPr="00417B5C">
        <w:rPr>
          <w:color w:val="000000" w:themeColor="text1"/>
        </w:rPr>
        <w:t xml:space="preserve"> Products, Wilmington, DE, USA).</w:t>
      </w:r>
      <w:r>
        <w:rPr>
          <w:color w:val="000000"/>
        </w:rPr>
        <w:t xml:space="preserve"> </w:t>
      </w:r>
      <w:r w:rsidRPr="00CA5535">
        <w:rPr>
          <w:color w:val="000000"/>
        </w:rPr>
        <w:t xml:space="preserve">For bacterial communities, the V3-V4 region of the 16S rRNA gene was targeted using the primer pair 341F and 785R during the initial amplification PCR step. The sequences for 341F and 785R are </w:t>
      </w:r>
      <w:r w:rsidRPr="00CA5535">
        <w:rPr>
          <w:color w:val="000000" w:themeColor="text1"/>
        </w:rPr>
        <w:t xml:space="preserve">5’-CCTACGGGNGGCWGCAG-3’and 5’-GACTACHVGGGTATCTAATCC-3’ respectively </w:t>
      </w:r>
      <w:r w:rsidRPr="0008601D">
        <w:rPr>
          <w:color w:val="000000" w:themeColor="text1"/>
        </w:rPr>
        <w:fldChar w:fldCharType="begin" w:fldLock="1"/>
      </w:r>
      <w:r w:rsidR="006E1F09">
        <w:rPr>
          <w:color w:val="000000" w:themeColor="text1"/>
        </w:rPr>
        <w:instrText>ADDIN CSL_CITATION {"citationItems":[{"id":"ITEM-1","itemData":{"DOI":"10.1093/nar/gks808","ISSN":"1362-4962","PMID":"22933715","abstract":"16S ribosomal RNA gene (rDNA) amplicon analysis remains the standard approach for the cultivation-independent investigation of microbial diversity. The accuracy of these analyses depends strongly on the choice of primers. The overall coverage and phylum spectrum of 175 primers and 512 primer pairs were evaluated in silico with respect to the SILVA 16S/18S rDNA non-redundant reference dataset (SSURef 108 NR). Based on this evaluation a selection of 'best available' primer pairs for Bacteria and Archaea for three amplicon size classes (100-400, 400-1000, ≥ 1000 bp) is provided. The most promising bacterial primer pair (S-D-Bact-0341-b-S-17/S-D-Bact-0785-a-A-21), with an amplicon size of 464 bp, was experimentally evaluated by comparing the taxonomic distribution of the 16S rDNA amplicons with 16S rDNA fragments from directly sequenced metagenomes. The results of this study may be used as a guideline for selecting primer pairs with the best overall coverage and phylum spectrum for specific applications, therefore reducing the bias in PCR-based microbial diversity studies.","author":[{"dropping-particle":"","family":"Klindworth","given":"Anna","non-dropping-particle":"","parse-names":false,"suffix":""},{"dropping-particle":"","family":"Pruesse","given":"Elmar","non-dropping-particle":"","parse-names":false,"suffix":""},{"dropping-particle":"","family":"Schweer","given":"Timmy","non-dropping-particle":"","parse-names":false,"suffix":""},{"dropping-particle":"","family":"Peplies","given":"Jörg","non-dropping-particle":"","parse-names":false,"suffix":""},{"dropping-particle":"","family":"Quast","given":"Christian","non-dropping-particle":"","parse-names":false,"suffix":""},{"dropping-particle":"","family":"Horn","given":"Matthias","non-dropping-particle":"","parse-names":false,"suffix":""},{"dropping-particle":"","family":"Glöckner","given":"Frank Oliver","non-dropping-particle":"","parse-names":false,"suffix":""}],"container-title":"Nucleic acids research","id":"ITEM-1","issue":"1","issued":{"date-parts":[["2013"]]},"page":"1-11","title":"Evaluation of general 16S ribosomal RNA gene PCR primers for classical and next-generation sequencing-based diversity studies.","type":"article-journal","volume":"41"},"uris":["http://www.mendeley.com/documents/?uuid=7eb1bac1-0545-485f-9240-adbd68a089e1"]},{"id":"ITEM-2","itemData":{"DOI":"10.3389/fmicb.2017.00494","ISSN":"1664302X","abstract":"© 2017 Thijs, Op De Beeck, Beckers, Truyens, Stevens, Van Hamme, Weyens and Vangronsveld. Bacterial taxonomic community analyses using PCR-amplification of the 16S rRNA gene and high-throughput sequencing has become a cornerstone in microbiology research. To reliably detect the members, or operational taxonomic units (OTUs), that make up bacterial communities, taxonomic surveys rely on the use of the most informative PCR primers to amplify the broad range of phylotypes present in up-to-date reference databases. However, primers specific for the domain Bacteria were often developed some time ago against database versions that are now out of date. Here we evaluated the performance of four bacterial primers for characterizing complex microbial communities in explosives contaminated and non-contaminated forest soil and by in silico evaluation against the current SILVA123 database. Primer pair 341f/785r produced the highest number of bacterial OTUs, phylogenetic richness, Shannon diversity, low non-specificity and most reproducible results, followed by 967f/1391r and 799f/1193r. Primer pair 68f/518r showed overall low coverage and a bias toward Alphaproteobacteria. In silico, primer pair 341f/785r showed the highest coverage of the domain Bacteria (96.1%) with no obvious bias toward the majority of bacterial species. This suggests the high utility of primer pair 341f/785r for soil and plant-associated bacterial microbiome studies.","author":[{"dropping-particle":"","family":"Thijs","given":"Sofie","non-dropping-particle":"","parse-names":false,"suffix":""},{"dropping-particle":"","family":"Beeck","given":"Michiel Op","non-dropping-particle":"De","parse-names":false,"suffix":""},{"dropping-particle":"","family":"Beckers","given":"Bram","non-dropping-particle":"","parse-names":false,"suffix":""},{"dropping-particle":"","family":"Truyens","given":"Sascha","non-dropping-particle":"","parse-names":false,"suffix":""},{"dropping-particle":"","family":"Stevens","given":"Vincent","non-dropping-particle":"","parse-names":false,"suffix":""},{"dropping-particle":"","family":"Hamme","given":"Jonathan D.","non-dropping-particle":"Van","parse-names":false,"suffix":""},{"dropping-particle":"","family":"Weyens","given":"Nele","non-dropping-particle":"","parse-names":false,"suffix":""},{"dropping-particle":"","family":"Vangronsveld","given":"Jaco","non-dropping-particle":"","parse-names":false,"suffix":""}],"container-title":"Frontiers in Microbiology","id":"ITEM-2","issued":{"date-parts":[["2017"]]},"page":"1-15","title":"Comparative evaluation of four bacteria-specific primer pairs for 16S rRNA gene surveys","type":"article-journal","volume":"8"},"uris":["http://www.mendeley.com/documents/?uuid=e126d665-084d-49a6-ab11-8a31d422f7b9"]}],"mendeley":{"formattedCitation":"(Klindworth et al., 2013; Thijs et al., 2017)","plainTextFormattedCitation":"(Klindworth et al., 2013; Thijs et al., 2017)","previouslyFormattedCitation":"(Klindworth et al., 2013; Thijs et al., 2017)"},"properties":{"noteIndex":0},"schema":"https://github.com/citation-style-language/schema/raw/master/csl-citation.json"}</w:instrText>
      </w:r>
      <w:r w:rsidRPr="0008601D">
        <w:rPr>
          <w:color w:val="000000" w:themeColor="text1"/>
        </w:rPr>
        <w:fldChar w:fldCharType="separate"/>
      </w:r>
      <w:r w:rsidR="00CE6085" w:rsidRPr="00CE6085">
        <w:rPr>
          <w:noProof/>
          <w:color w:val="000000" w:themeColor="text1"/>
        </w:rPr>
        <w:t>(Klindworth et al., 2013; Thijs et al., 2017)</w:t>
      </w:r>
      <w:r w:rsidRPr="0008601D">
        <w:rPr>
          <w:color w:val="000000" w:themeColor="text1"/>
        </w:rPr>
        <w:fldChar w:fldCharType="end"/>
      </w:r>
      <w:r w:rsidRPr="0008601D">
        <w:rPr>
          <w:color w:val="000000" w:themeColor="text1"/>
        </w:rPr>
        <w:t>. 5</w:t>
      </w:r>
      <w:r>
        <w:rPr>
          <w:color w:val="000000" w:themeColor="text1"/>
        </w:rPr>
        <w:t xml:space="preserve"> </w:t>
      </w:r>
      <w:r w:rsidRPr="0008601D">
        <w:rPr>
          <w:color w:val="000000" w:themeColor="text1"/>
          <w:shd w:val="clear" w:color="auto" w:fill="FFFFFF"/>
        </w:rPr>
        <w:t>µ</w:t>
      </w:r>
      <w:r w:rsidRPr="00CA5535">
        <w:rPr>
          <w:color w:val="000000" w:themeColor="text1"/>
        </w:rPr>
        <w:t>L at 1</w:t>
      </w:r>
      <w:r w:rsidRPr="00CA5535">
        <w:rPr>
          <w:color w:val="000000" w:themeColor="text1"/>
          <w:shd w:val="clear" w:color="auto" w:fill="FFFFFF"/>
        </w:rPr>
        <w:t>µ</w:t>
      </w:r>
      <w:r w:rsidRPr="00CA5535">
        <w:rPr>
          <w:color w:val="000000" w:themeColor="text1"/>
        </w:rPr>
        <w:t>M of the forward and reverse primers and 12.5</w:t>
      </w:r>
      <w:r>
        <w:rPr>
          <w:color w:val="000000" w:themeColor="text1"/>
        </w:rPr>
        <w:t xml:space="preserve"> </w:t>
      </w:r>
      <w:r w:rsidRPr="00CA5535">
        <w:rPr>
          <w:color w:val="000000" w:themeColor="text1"/>
          <w:shd w:val="clear" w:color="auto" w:fill="FFFFFF"/>
        </w:rPr>
        <w:t>µ</w:t>
      </w:r>
      <w:r w:rsidRPr="00CA5535">
        <w:rPr>
          <w:color w:val="000000" w:themeColor="text1"/>
        </w:rPr>
        <w:t xml:space="preserve">L of the KAPA HiFi </w:t>
      </w:r>
      <w:proofErr w:type="spellStart"/>
      <w:r w:rsidRPr="00CA5535">
        <w:rPr>
          <w:color w:val="000000" w:themeColor="text1"/>
        </w:rPr>
        <w:t>HotStart</w:t>
      </w:r>
      <w:proofErr w:type="spellEnd"/>
      <w:r w:rsidRPr="00CA5535">
        <w:rPr>
          <w:color w:val="000000" w:themeColor="text1"/>
        </w:rPr>
        <w:t xml:space="preserve"> Ready Mix (KAPA Biosystems, Wilmington, MA, USA) were combined with 2.5</w:t>
      </w:r>
      <w:r>
        <w:rPr>
          <w:color w:val="000000" w:themeColor="text1"/>
        </w:rPr>
        <w:t xml:space="preserve"> </w:t>
      </w:r>
      <w:r w:rsidRPr="00CA5535">
        <w:rPr>
          <w:color w:val="000000" w:themeColor="text1"/>
          <w:shd w:val="clear" w:color="auto" w:fill="FFFFFF"/>
        </w:rPr>
        <w:t>µ</w:t>
      </w:r>
      <w:r w:rsidRPr="00CA5535">
        <w:rPr>
          <w:color w:val="000000" w:themeColor="text1"/>
        </w:rPr>
        <w:t>L of DNA template per reaction. PCR conditions were set for 95</w:t>
      </w:r>
      <w:r w:rsidRPr="00CA5535">
        <w:rPr>
          <w:color w:val="000000"/>
        </w:rPr>
        <w:t>°C for 3 minutes, followed by 25 cycles of 95°C for 30 seconds, 55°C for 30 seconds, and 72°C for 30 seconds with a final elongation step of 72°C for 5 minutes. This protocol produced 25</w:t>
      </w:r>
      <w:r>
        <w:rPr>
          <w:color w:val="000000"/>
        </w:rPr>
        <w:t xml:space="preserve"> </w:t>
      </w:r>
      <w:r w:rsidRPr="00CA5535">
        <w:rPr>
          <w:color w:val="000000" w:themeColor="text1"/>
          <w:shd w:val="clear" w:color="auto" w:fill="FFFFFF"/>
        </w:rPr>
        <w:t>µ</w:t>
      </w:r>
      <w:r w:rsidRPr="00CA5535">
        <w:rPr>
          <w:color w:val="000000" w:themeColor="text1"/>
        </w:rPr>
        <w:t>L</w:t>
      </w:r>
      <w:r w:rsidRPr="00CA5535">
        <w:rPr>
          <w:color w:val="000000"/>
        </w:rPr>
        <w:t xml:space="preserve"> of 16S rRNA amplicon per sample. </w:t>
      </w:r>
      <w:r w:rsidRPr="00BA0803">
        <w:rPr>
          <w:color w:val="000000" w:themeColor="text1"/>
        </w:rPr>
        <w:t xml:space="preserve">All PCR </w:t>
      </w:r>
      <w:r w:rsidRPr="00F558E5">
        <w:rPr>
          <w:color w:val="000000" w:themeColor="text1"/>
        </w:rPr>
        <w:t xml:space="preserve">products </w:t>
      </w:r>
      <w:r w:rsidRPr="00471502">
        <w:rPr>
          <w:color w:val="000000" w:themeColor="text1"/>
        </w:rPr>
        <w:t>w</w:t>
      </w:r>
      <w:r w:rsidRPr="006E0BF8">
        <w:rPr>
          <w:color w:val="000000" w:themeColor="text1"/>
        </w:rPr>
        <w:t>e</w:t>
      </w:r>
      <w:r w:rsidRPr="00740AD1">
        <w:rPr>
          <w:color w:val="000000" w:themeColor="text1"/>
        </w:rPr>
        <w:t>r</w:t>
      </w:r>
      <w:r w:rsidRPr="00F558E5">
        <w:rPr>
          <w:color w:val="000000" w:themeColor="text1"/>
        </w:rPr>
        <w:t xml:space="preserve">e then </w:t>
      </w:r>
      <w:r>
        <w:rPr>
          <w:color w:val="000000" w:themeColor="text1"/>
        </w:rPr>
        <w:t xml:space="preserve">cleaned </w:t>
      </w:r>
      <w:r w:rsidRPr="00F558E5">
        <w:rPr>
          <w:color w:val="000000" w:themeColor="text1"/>
        </w:rPr>
        <w:t>with 20</w:t>
      </w:r>
      <w:r>
        <w:rPr>
          <w:color w:val="000000" w:themeColor="text1"/>
        </w:rPr>
        <w:t xml:space="preserve"> </w:t>
      </w:r>
      <w:r w:rsidRPr="00CA5535">
        <w:rPr>
          <w:color w:val="000000" w:themeColor="text1"/>
          <w:shd w:val="clear" w:color="auto" w:fill="FFFFFF"/>
        </w:rPr>
        <w:t>µ</w:t>
      </w:r>
      <w:r w:rsidRPr="006E0BF8">
        <w:rPr>
          <w:color w:val="000000" w:themeColor="text1"/>
        </w:rPr>
        <w:t>L</w:t>
      </w:r>
      <w:r w:rsidRPr="00740AD1">
        <w:rPr>
          <w:color w:val="000000" w:themeColor="text1"/>
        </w:rPr>
        <w:t xml:space="preserve"> </w:t>
      </w:r>
      <w:proofErr w:type="spellStart"/>
      <w:r w:rsidRPr="00F558E5">
        <w:rPr>
          <w:color w:val="000000" w:themeColor="text1"/>
        </w:rPr>
        <w:t>Agencourt</w:t>
      </w:r>
      <w:proofErr w:type="spellEnd"/>
      <w:r w:rsidRPr="00F558E5">
        <w:rPr>
          <w:color w:val="000000" w:themeColor="text1"/>
        </w:rPr>
        <w:t xml:space="preserve"> </w:t>
      </w:r>
      <w:proofErr w:type="spellStart"/>
      <w:r w:rsidRPr="00F558E5">
        <w:rPr>
          <w:color w:val="000000" w:themeColor="text1"/>
        </w:rPr>
        <w:t>AMPure</w:t>
      </w:r>
      <w:proofErr w:type="spellEnd"/>
      <w:r w:rsidRPr="00F558E5">
        <w:rPr>
          <w:color w:val="000000" w:themeColor="text1"/>
        </w:rPr>
        <w:t xml:space="preserve"> XP magnetic beads </w:t>
      </w:r>
      <w:r w:rsidRPr="00CA5535">
        <w:rPr>
          <w:color w:val="000000" w:themeColor="text1"/>
        </w:rPr>
        <w:t xml:space="preserve">(Beckman Coulter, Brea, CA, USA) </w:t>
      </w:r>
      <w:r w:rsidRPr="00F558E5">
        <w:rPr>
          <w:color w:val="000000" w:themeColor="text1"/>
        </w:rPr>
        <w:t>fol</w:t>
      </w:r>
      <w:r w:rsidRPr="00471502">
        <w:rPr>
          <w:color w:val="000000" w:themeColor="text1"/>
        </w:rPr>
        <w:t>l</w:t>
      </w:r>
      <w:r w:rsidRPr="006E0BF8">
        <w:rPr>
          <w:color w:val="000000" w:themeColor="text1"/>
        </w:rPr>
        <w:t>o</w:t>
      </w:r>
      <w:r w:rsidRPr="00740AD1">
        <w:rPr>
          <w:color w:val="000000" w:themeColor="text1"/>
        </w:rPr>
        <w:t>w</w:t>
      </w:r>
      <w:r w:rsidRPr="00F558E5">
        <w:rPr>
          <w:color w:val="000000" w:themeColor="text1"/>
        </w:rPr>
        <w:t>ed</w:t>
      </w:r>
      <w:r>
        <w:rPr>
          <w:color w:val="000000" w:themeColor="text1"/>
        </w:rPr>
        <w:t xml:space="preserve"> by two 200 </w:t>
      </w:r>
      <w:r w:rsidRPr="002F741B">
        <w:rPr>
          <w:color w:val="000000" w:themeColor="text1"/>
          <w:shd w:val="clear" w:color="auto" w:fill="FFFFFF"/>
        </w:rPr>
        <w:t>µ</w:t>
      </w:r>
      <w:r>
        <w:rPr>
          <w:color w:val="000000" w:themeColor="text1"/>
        </w:rPr>
        <w:t xml:space="preserve">L washes of freshly prepared 80% ethanol. Remaining ethanol was then removed, and PCR products were allowed to dry for 10 minutes before they were resuspended in 50 </w:t>
      </w:r>
      <w:r w:rsidRPr="002F741B">
        <w:rPr>
          <w:color w:val="000000" w:themeColor="text1"/>
          <w:shd w:val="clear" w:color="auto" w:fill="FFFFFF"/>
        </w:rPr>
        <w:t>µ</w:t>
      </w:r>
      <w:r>
        <w:rPr>
          <w:color w:val="000000" w:themeColor="text1"/>
        </w:rPr>
        <w:t xml:space="preserve">L of Tris-HCl. Purified PCR products were then stored in </w:t>
      </w:r>
      <w:r>
        <w:rPr>
          <w:color w:val="000000"/>
        </w:rPr>
        <w:t>-20</w:t>
      </w:r>
      <w:r w:rsidRPr="00BC3905">
        <w:rPr>
          <w:color w:val="000000"/>
        </w:rPr>
        <w:t>°</w:t>
      </w:r>
      <w:r>
        <w:rPr>
          <w:color w:val="000000"/>
        </w:rPr>
        <w:t xml:space="preserve">C until multiplexing steps. </w:t>
      </w:r>
    </w:p>
    <w:p w14:paraId="0AE1DBED" w14:textId="5C963AA6" w:rsidR="00B863BB" w:rsidRPr="004B0512" w:rsidRDefault="004B0512" w:rsidP="004B0512">
      <w:pPr>
        <w:spacing w:line="360" w:lineRule="auto"/>
        <w:rPr>
          <w:color w:val="000000" w:themeColor="text1"/>
          <w:shd w:val="clear" w:color="auto" w:fill="FFFFFF"/>
        </w:rPr>
      </w:pPr>
      <w:r>
        <w:rPr>
          <w:color w:val="000000" w:themeColor="text1"/>
        </w:rPr>
        <w:tab/>
        <w:t xml:space="preserve">Samples were multiplexed with specifically designed index primers that allow for bridge amplification and cluster generation on the Illumina </w:t>
      </w:r>
      <w:proofErr w:type="spellStart"/>
      <w:r>
        <w:rPr>
          <w:color w:val="000000" w:themeColor="text1"/>
        </w:rPr>
        <w:t>MiSeq</w:t>
      </w:r>
      <w:proofErr w:type="spellEnd"/>
      <w:r>
        <w:rPr>
          <w:color w:val="000000" w:themeColor="text1"/>
        </w:rPr>
        <w:t xml:space="preserve"> flow cell (Illumina Corporation, San Diego, CA, USA). Each sample was multiplexed with a unique combination of forward and reverse index primers for sample identification in downstream bioinformatics and hypothesis </w:t>
      </w:r>
      <w:r>
        <w:rPr>
          <w:color w:val="000000" w:themeColor="text1"/>
        </w:rPr>
        <w:lastRenderedPageBreak/>
        <w:t>testing</w:t>
      </w:r>
      <w:r w:rsidRPr="00967E87">
        <w:rPr>
          <w:color w:val="000000" w:themeColor="text1"/>
        </w:rPr>
        <w:t xml:space="preserve">. </w:t>
      </w:r>
      <w:r>
        <w:rPr>
          <w:color w:val="000000" w:themeColor="text1"/>
        </w:rPr>
        <w:t xml:space="preserve">These primers were sourced from the i5/i7 </w:t>
      </w:r>
      <w:proofErr w:type="spellStart"/>
      <w:r>
        <w:rPr>
          <w:color w:val="000000" w:themeColor="text1"/>
        </w:rPr>
        <w:t>Nextera</w:t>
      </w:r>
      <w:proofErr w:type="spellEnd"/>
      <w:r>
        <w:rPr>
          <w:color w:val="000000" w:themeColor="text1"/>
        </w:rPr>
        <w:t xml:space="preserve"> XT Index Kit</w:t>
      </w:r>
      <w:r>
        <w:rPr>
          <w:color w:val="000000" w:themeColor="text1"/>
          <w:shd w:val="clear" w:color="auto" w:fill="FFFFFF"/>
        </w:rPr>
        <w:t xml:space="preserve">. This index PCR used a total volume of 50 </w:t>
      </w:r>
      <w:r w:rsidRPr="002F741B">
        <w:rPr>
          <w:color w:val="000000" w:themeColor="text1"/>
          <w:shd w:val="clear" w:color="auto" w:fill="FFFFFF"/>
        </w:rPr>
        <w:t>µ</w:t>
      </w:r>
      <w:r>
        <w:rPr>
          <w:color w:val="000000" w:themeColor="text1"/>
          <w:shd w:val="clear" w:color="auto" w:fill="FFFFFF"/>
        </w:rPr>
        <w:t xml:space="preserve">L that consisted of 5 </w:t>
      </w:r>
      <w:r w:rsidRPr="002F741B">
        <w:rPr>
          <w:color w:val="000000" w:themeColor="text1"/>
          <w:shd w:val="clear" w:color="auto" w:fill="FFFFFF"/>
        </w:rPr>
        <w:t>µ</w:t>
      </w:r>
      <w:r>
        <w:rPr>
          <w:color w:val="000000" w:themeColor="text1"/>
          <w:shd w:val="clear" w:color="auto" w:fill="FFFFFF"/>
        </w:rPr>
        <w:t xml:space="preserve">L of purified PCR product from the previous reactions, 5 </w:t>
      </w:r>
      <w:r w:rsidRPr="002F741B">
        <w:rPr>
          <w:color w:val="000000" w:themeColor="text1"/>
          <w:shd w:val="clear" w:color="auto" w:fill="FFFFFF"/>
        </w:rPr>
        <w:t>µ</w:t>
      </w:r>
      <w:r>
        <w:rPr>
          <w:color w:val="000000" w:themeColor="text1"/>
          <w:shd w:val="clear" w:color="auto" w:fill="FFFFFF"/>
        </w:rPr>
        <w:t xml:space="preserve">L of forward and reverse index primers, 25 </w:t>
      </w:r>
      <w:r w:rsidRPr="002F741B">
        <w:rPr>
          <w:color w:val="000000" w:themeColor="text1"/>
          <w:shd w:val="clear" w:color="auto" w:fill="FFFFFF"/>
        </w:rPr>
        <w:t>µ</w:t>
      </w:r>
      <w:r>
        <w:rPr>
          <w:color w:val="000000" w:themeColor="text1"/>
          <w:shd w:val="clear" w:color="auto" w:fill="FFFFFF"/>
        </w:rPr>
        <w:t xml:space="preserve">L of KAPA HiFi </w:t>
      </w:r>
      <w:proofErr w:type="spellStart"/>
      <w:r>
        <w:rPr>
          <w:color w:val="000000" w:themeColor="text1"/>
          <w:shd w:val="clear" w:color="auto" w:fill="FFFFFF"/>
        </w:rPr>
        <w:t>HotStart</w:t>
      </w:r>
      <w:proofErr w:type="spellEnd"/>
      <w:r>
        <w:rPr>
          <w:color w:val="000000" w:themeColor="text1"/>
          <w:shd w:val="clear" w:color="auto" w:fill="FFFFFF"/>
        </w:rPr>
        <w:t xml:space="preserve"> Ready Mix, and </w:t>
      </w:r>
      <w:r w:rsidRPr="00471502">
        <w:rPr>
          <w:color w:val="000000" w:themeColor="text1"/>
          <w:shd w:val="clear" w:color="auto" w:fill="FFFFFF"/>
        </w:rPr>
        <w:t>1</w:t>
      </w:r>
      <w:r w:rsidRPr="006B634B">
        <w:rPr>
          <w:color w:val="000000" w:themeColor="text1"/>
          <w:shd w:val="clear" w:color="auto" w:fill="FFFFFF"/>
        </w:rPr>
        <w:t>0</w:t>
      </w:r>
      <w:r>
        <w:rPr>
          <w:color w:val="000000" w:themeColor="text1"/>
          <w:shd w:val="clear" w:color="auto" w:fill="FFFFFF"/>
        </w:rPr>
        <w:t xml:space="preserve"> </w:t>
      </w:r>
      <w:r w:rsidRPr="00576CD9">
        <w:rPr>
          <w:color w:val="000000" w:themeColor="text1"/>
          <w:shd w:val="clear" w:color="auto" w:fill="FFFFFF"/>
        </w:rPr>
        <w:t xml:space="preserve">µL of </w:t>
      </w:r>
      <w:r>
        <w:rPr>
          <w:color w:val="000000" w:themeColor="text1"/>
          <w:shd w:val="clear" w:color="auto" w:fill="FFFFFF"/>
        </w:rPr>
        <w:t>sterile nuclease free w</w:t>
      </w:r>
      <w:r w:rsidRPr="00576CD9">
        <w:rPr>
          <w:color w:val="000000" w:themeColor="text1"/>
          <w:shd w:val="clear" w:color="auto" w:fill="FFFFFF"/>
        </w:rPr>
        <w:t>ater. This PCR was performe</w:t>
      </w:r>
      <w:r w:rsidRPr="006E0BF8">
        <w:rPr>
          <w:color w:val="000000" w:themeColor="text1"/>
          <w:shd w:val="clear" w:color="auto" w:fill="FFFFFF"/>
        </w:rPr>
        <w:t>d</w:t>
      </w:r>
      <w:r w:rsidRPr="00B956B4">
        <w:rPr>
          <w:color w:val="000000" w:themeColor="text1"/>
          <w:shd w:val="clear" w:color="auto" w:fill="FFFFFF"/>
        </w:rPr>
        <w:t xml:space="preserve"> </w:t>
      </w:r>
      <w:r w:rsidRPr="00740AD1">
        <w:rPr>
          <w:color w:val="000000" w:themeColor="text1"/>
          <w:shd w:val="clear" w:color="auto" w:fill="FFFFFF"/>
        </w:rPr>
        <w:t>o</w:t>
      </w:r>
      <w:r w:rsidRPr="00471502">
        <w:rPr>
          <w:color w:val="000000" w:themeColor="text1"/>
          <w:shd w:val="clear" w:color="auto" w:fill="FFFFFF"/>
        </w:rPr>
        <w:t>n the following conditions: an initial cycle of 95</w:t>
      </w:r>
      <w:r w:rsidRPr="00CA5535">
        <w:rPr>
          <w:color w:val="000000" w:themeColor="text1"/>
        </w:rPr>
        <w:t>ºC</w:t>
      </w:r>
      <w:r>
        <w:rPr>
          <w:color w:val="000000" w:themeColor="text1"/>
        </w:rPr>
        <w:t xml:space="preserve"> for 3 minutes followed by an 8-cycle sequence of 95</w:t>
      </w:r>
      <w:r w:rsidRPr="00D526B6">
        <w:rPr>
          <w:color w:val="000000" w:themeColor="text1"/>
        </w:rPr>
        <w:t>ºC</w:t>
      </w:r>
      <w:r>
        <w:rPr>
          <w:color w:val="000000" w:themeColor="text1"/>
        </w:rPr>
        <w:t xml:space="preserve"> for 3 seconds, 55</w:t>
      </w:r>
      <w:r w:rsidRPr="00D526B6">
        <w:rPr>
          <w:color w:val="000000" w:themeColor="text1"/>
        </w:rPr>
        <w:t>ºC</w:t>
      </w:r>
      <w:r>
        <w:rPr>
          <w:color w:val="000000" w:themeColor="text1"/>
        </w:rPr>
        <w:t xml:space="preserve"> for 30 seconds, and 72</w:t>
      </w:r>
      <w:r w:rsidRPr="00D526B6">
        <w:rPr>
          <w:color w:val="000000" w:themeColor="text1"/>
        </w:rPr>
        <w:t>ºC</w:t>
      </w:r>
      <w:r>
        <w:rPr>
          <w:color w:val="000000" w:themeColor="text1"/>
        </w:rPr>
        <w:t xml:space="preserve"> for 30 seconds with a final elongation period held at 72</w:t>
      </w:r>
      <w:r w:rsidRPr="00D526B6">
        <w:rPr>
          <w:color w:val="000000" w:themeColor="text1"/>
        </w:rPr>
        <w:t>ºC</w:t>
      </w:r>
      <w:r>
        <w:rPr>
          <w:color w:val="000000" w:themeColor="text1"/>
        </w:rPr>
        <w:t xml:space="preserve"> for 5 minutes. Index PCR products (50 </w:t>
      </w:r>
      <w:r w:rsidRPr="002F741B">
        <w:rPr>
          <w:color w:val="000000" w:themeColor="text1"/>
          <w:shd w:val="clear" w:color="auto" w:fill="FFFFFF"/>
        </w:rPr>
        <w:t>µ</w:t>
      </w:r>
      <w:r>
        <w:rPr>
          <w:color w:val="000000" w:themeColor="text1"/>
          <w:shd w:val="clear" w:color="auto" w:fill="FFFFFF"/>
        </w:rPr>
        <w:t xml:space="preserve">L per rhizosphere sample) were purified using 56 </w:t>
      </w:r>
      <w:r w:rsidRPr="002F741B">
        <w:rPr>
          <w:color w:val="000000" w:themeColor="text1"/>
          <w:shd w:val="clear" w:color="auto" w:fill="FFFFFF"/>
        </w:rPr>
        <w:t>µ</w:t>
      </w:r>
      <w:r>
        <w:rPr>
          <w:color w:val="000000" w:themeColor="text1"/>
          <w:shd w:val="clear" w:color="auto" w:fill="FFFFFF"/>
        </w:rPr>
        <w:t xml:space="preserve">L of </w:t>
      </w:r>
      <w:proofErr w:type="spellStart"/>
      <w:r>
        <w:rPr>
          <w:color w:val="000000" w:themeColor="text1"/>
          <w:shd w:val="clear" w:color="auto" w:fill="FFFFFF"/>
        </w:rPr>
        <w:t>Agencourt</w:t>
      </w:r>
      <w:proofErr w:type="spellEnd"/>
      <w:r>
        <w:rPr>
          <w:color w:val="000000" w:themeColor="text1"/>
          <w:shd w:val="clear" w:color="auto" w:fill="FFFFFF"/>
        </w:rPr>
        <w:t xml:space="preserve"> </w:t>
      </w:r>
      <w:proofErr w:type="spellStart"/>
      <w:r>
        <w:rPr>
          <w:color w:val="000000" w:themeColor="text1"/>
          <w:shd w:val="clear" w:color="auto" w:fill="FFFFFF"/>
        </w:rPr>
        <w:t>AMPure</w:t>
      </w:r>
      <w:proofErr w:type="spellEnd"/>
      <w:r>
        <w:rPr>
          <w:color w:val="000000" w:themeColor="text1"/>
          <w:shd w:val="clear" w:color="auto" w:fill="FFFFFF"/>
        </w:rPr>
        <w:t xml:space="preserve"> XP magnetic beads and two washes of 220 </w:t>
      </w:r>
      <w:r w:rsidRPr="002F741B">
        <w:rPr>
          <w:color w:val="000000" w:themeColor="text1"/>
          <w:shd w:val="clear" w:color="auto" w:fill="FFFFFF"/>
        </w:rPr>
        <w:t>µ</w:t>
      </w:r>
      <w:r>
        <w:rPr>
          <w:color w:val="000000" w:themeColor="text1"/>
          <w:shd w:val="clear" w:color="auto" w:fill="FFFFFF"/>
        </w:rPr>
        <w:t xml:space="preserve">L of freshly prepared 80% ethanol. Cleaned product was then resuspended in 25 </w:t>
      </w:r>
      <w:r w:rsidRPr="002F741B">
        <w:rPr>
          <w:color w:val="000000" w:themeColor="text1"/>
          <w:shd w:val="clear" w:color="auto" w:fill="FFFFFF"/>
        </w:rPr>
        <w:t>µ</w:t>
      </w:r>
      <w:r>
        <w:rPr>
          <w:color w:val="000000" w:themeColor="text1"/>
          <w:shd w:val="clear" w:color="auto" w:fill="FFFFFF"/>
        </w:rPr>
        <w:t xml:space="preserve">L Tris-HCl after all remaining ethanol was allowed to evaporate. After multiplexing and purification, all DNA libraries were quantified using a </w:t>
      </w:r>
      <w:proofErr w:type="spellStart"/>
      <w:r>
        <w:rPr>
          <w:color w:val="000000" w:themeColor="text1"/>
          <w:shd w:val="clear" w:color="auto" w:fill="FFFFFF"/>
        </w:rPr>
        <w:t>NanoDrop</w:t>
      </w:r>
      <w:proofErr w:type="spellEnd"/>
      <w:r>
        <w:rPr>
          <w:color w:val="000000" w:themeColor="text1"/>
          <w:shd w:val="clear" w:color="auto" w:fill="FFFFFF"/>
        </w:rPr>
        <w:t xml:space="preserve"> spectrophotometer (</w:t>
      </w:r>
      <w:proofErr w:type="spellStart"/>
      <w:r>
        <w:rPr>
          <w:color w:val="000000" w:themeColor="text1"/>
          <w:shd w:val="clear" w:color="auto" w:fill="FFFFFF"/>
        </w:rPr>
        <w:t>NanoDrop</w:t>
      </w:r>
      <w:proofErr w:type="spellEnd"/>
      <w:r>
        <w:rPr>
          <w:color w:val="000000" w:themeColor="text1"/>
          <w:shd w:val="clear" w:color="auto" w:fill="FFFFFF"/>
        </w:rPr>
        <w:t xml:space="preserve"> Products, Wilmington, DE, USA) and then pooled in equal </w:t>
      </w:r>
      <w:r w:rsidRPr="00F265ED">
        <w:rPr>
          <w:color w:val="000000" w:themeColor="text1"/>
          <w:shd w:val="clear" w:color="auto" w:fill="FFFFFF"/>
        </w:rPr>
        <w:t>c</w:t>
      </w:r>
      <w:r w:rsidRPr="006E0BF8">
        <w:rPr>
          <w:color w:val="000000" w:themeColor="text1"/>
          <w:shd w:val="clear" w:color="auto" w:fill="FFFFFF"/>
        </w:rPr>
        <w:t>o</w:t>
      </w:r>
      <w:r w:rsidRPr="00B956B4">
        <w:rPr>
          <w:color w:val="000000" w:themeColor="text1"/>
          <w:shd w:val="clear" w:color="auto" w:fill="FFFFFF"/>
        </w:rPr>
        <w:t>n</w:t>
      </w:r>
      <w:r w:rsidRPr="00740AD1">
        <w:rPr>
          <w:color w:val="000000" w:themeColor="text1"/>
          <w:shd w:val="clear" w:color="auto" w:fill="FFFFFF"/>
        </w:rPr>
        <w:t>c</w:t>
      </w:r>
      <w:r w:rsidRPr="00F265ED">
        <w:rPr>
          <w:color w:val="000000" w:themeColor="text1"/>
          <w:shd w:val="clear" w:color="auto" w:fill="FFFFFF"/>
        </w:rPr>
        <w:t xml:space="preserve">entrations. Lastly, a Bioanalyzer </w:t>
      </w:r>
      <w:r w:rsidRPr="00CA5535">
        <w:rPr>
          <w:color w:val="000000" w:themeColor="text1"/>
        </w:rPr>
        <w:t>(Agilent Technologies, Santa Clara, CA, USA)</w:t>
      </w:r>
      <w:r>
        <w:rPr>
          <w:color w:val="000000" w:themeColor="text1"/>
        </w:rPr>
        <w:t xml:space="preserve"> was used to verify product length. The </w:t>
      </w:r>
      <w:r w:rsidRPr="004B0512">
        <w:rPr>
          <w:color w:val="000000" w:themeColor="text1"/>
        </w:rPr>
        <w:t xml:space="preserve">pooled mixture was then diluted to 4pM with Tris and was placed onto the Illumina </w:t>
      </w:r>
      <w:proofErr w:type="spellStart"/>
      <w:r w:rsidRPr="004B0512">
        <w:rPr>
          <w:color w:val="000000" w:themeColor="text1"/>
        </w:rPr>
        <w:t>MiSeq</w:t>
      </w:r>
      <w:proofErr w:type="spellEnd"/>
      <w:r w:rsidRPr="004B0512">
        <w:rPr>
          <w:color w:val="000000" w:themeColor="text1"/>
        </w:rPr>
        <w:t xml:space="preserve"> V3 flow cell with 20% </w:t>
      </w:r>
      <w:proofErr w:type="spellStart"/>
      <w:r w:rsidRPr="004B0512">
        <w:rPr>
          <w:color w:val="000000" w:themeColor="text1"/>
        </w:rPr>
        <w:t>PhiX</w:t>
      </w:r>
      <w:proofErr w:type="spellEnd"/>
      <w:r w:rsidRPr="004B0512">
        <w:rPr>
          <w:color w:val="000000" w:themeColor="text1"/>
        </w:rPr>
        <w:t xml:space="preserve">. The </w:t>
      </w:r>
      <w:proofErr w:type="spellStart"/>
      <w:r w:rsidRPr="004B0512">
        <w:rPr>
          <w:color w:val="000000" w:themeColor="text1"/>
        </w:rPr>
        <w:t>MiSeq</w:t>
      </w:r>
      <w:proofErr w:type="spellEnd"/>
      <w:r w:rsidRPr="004B0512">
        <w:rPr>
          <w:color w:val="000000" w:themeColor="text1"/>
        </w:rPr>
        <w:t xml:space="preserve"> instrument at the University of Tennessee Genomics Core, Knoxville, Tennessee, USA was set to read a 2x300 paired end cycle.</w:t>
      </w:r>
    </w:p>
    <w:p w14:paraId="69FFB983" w14:textId="66709710" w:rsidR="00B863BB" w:rsidRPr="004B0512" w:rsidRDefault="00B863BB" w:rsidP="004B0512">
      <w:pPr>
        <w:pStyle w:val="Heading3"/>
      </w:pPr>
      <w:bookmarkStart w:id="50" w:name="_Toc102048014"/>
      <w:r w:rsidRPr="004B0512">
        <w:t>Bioinformatics</w:t>
      </w:r>
      <w:bookmarkEnd w:id="50"/>
    </w:p>
    <w:p w14:paraId="7E5C41DA" w14:textId="43DC5767" w:rsidR="004B0512" w:rsidRPr="004B0512" w:rsidRDefault="00461549" w:rsidP="004B0512">
      <w:pPr>
        <w:spacing w:line="360" w:lineRule="auto"/>
        <w:rPr>
          <w:color w:val="000000" w:themeColor="text1"/>
        </w:rPr>
      </w:pPr>
      <w:r w:rsidRPr="004B0512">
        <w:tab/>
      </w:r>
      <w:r w:rsidR="004B0512" w:rsidRPr="004B0512">
        <w:t xml:space="preserve">All 16S amplicon sequence data was processed with the open-source DADA2 pipeline </w:t>
      </w:r>
      <w:r w:rsidR="004B0512" w:rsidRPr="004B0512">
        <w:rPr>
          <w:color w:val="000000" w:themeColor="text1"/>
        </w:rPr>
        <w:t>version 1.8 (</w:t>
      </w:r>
      <w:hyperlink r:id="rId20" w:history="1">
        <w:r w:rsidR="004B0512" w:rsidRPr="004B0512">
          <w:rPr>
            <w:rStyle w:val="Hyperlink"/>
            <w:rFonts w:ascii="Times New Roman" w:hAnsi="Times New Roman"/>
            <w:color w:val="000000" w:themeColor="text1"/>
          </w:rPr>
          <w:t>https://github.com/benjjneb/dada2</w:t>
        </w:r>
      </w:hyperlink>
      <w:r w:rsidR="004B0512" w:rsidRPr="004B0512">
        <w:rPr>
          <w:color w:val="000000" w:themeColor="text1"/>
        </w:rPr>
        <w:t xml:space="preserve">). This pipeline recognized sequence anomalies at a single nucleotide resolution, or at 99% dissimilarity </w:t>
      </w:r>
      <w:r w:rsidR="004B0512" w:rsidRPr="004B0512">
        <w:rPr>
          <w:color w:val="000000" w:themeColor="text1"/>
        </w:rPr>
        <w:fldChar w:fldCharType="begin" w:fldLock="1"/>
      </w:r>
      <w:r w:rsidR="006E1F09">
        <w:rPr>
          <w:color w:val="000000" w:themeColor="text1"/>
        </w:rPr>
        <w:instrText>ADDIN CSL_CITATION {"citationItems":[{"id":"ITEM-1","itemData":{"DOI":"10.1038/nmeth.3869","ISSN":"15487105","abstract":"We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variants.","author":[{"dropping-particle":"","family":"Callahan","given":"Benjamin J.","non-dropping-particle":"","parse-names":false,"suffix":""},{"dropping-particle":"","family":"McMurdie","given":"Paul J.","non-dropping-particle":"","parse-names":false,"suffix":""},{"dropping-particle":"","family":"Rosen","given":"Michael J.","non-dropping-particle":"","parse-names":false,"suffix":""},{"dropping-particle":"","family":"Han","given":"Andrew W.","non-dropping-particle":"","parse-names":false,"suffix":""},{"dropping-particle":"","family":"Johnson","given":"Amy Jo A.","non-dropping-particle":"","parse-names":false,"suffix":""},{"dropping-particle":"","family":"Holmes","given":"Susan P.","non-dropping-particle":"","parse-names":false,"suffix":""}],"container-title":"Nature Methods","id":"ITEM-1","issue":"7","issued":{"date-parts":[["2016"]]},"page":"581-583","title":"DADA2: High-resolution sample inference from Illumina amplicon data","type":"article-journal","volume":"13"},"uris":["http://www.mendeley.com/documents/?uuid=3587fcd7-dbb5-4fc7-8a8a-e616d0d930c7"]}],"mendeley":{"formattedCitation":"(Callahan et al., 2016)","plainTextFormattedCitation":"(Callahan et al., 2016)","previouslyFormattedCitation":"(Callahan et al., 2016)"},"properties":{"noteIndex":0},"schema":"https://github.com/citation-style-language/schema/raw/master/csl-citation.json"}</w:instrText>
      </w:r>
      <w:r w:rsidR="004B0512" w:rsidRPr="004B0512">
        <w:rPr>
          <w:color w:val="000000" w:themeColor="text1"/>
        </w:rPr>
        <w:fldChar w:fldCharType="separate"/>
      </w:r>
      <w:r w:rsidR="00CE6085" w:rsidRPr="00CE6085">
        <w:rPr>
          <w:noProof/>
          <w:color w:val="000000" w:themeColor="text1"/>
        </w:rPr>
        <w:t>(Callahan et al., 2016)</w:t>
      </w:r>
      <w:r w:rsidR="004B0512" w:rsidRPr="004B0512">
        <w:rPr>
          <w:color w:val="000000" w:themeColor="text1"/>
        </w:rPr>
        <w:fldChar w:fldCharType="end"/>
      </w:r>
      <w:r w:rsidR="004B0512" w:rsidRPr="004B0512">
        <w:rPr>
          <w:color w:val="000000" w:themeColor="text1"/>
        </w:rPr>
        <w:t xml:space="preserve">. All bioinformatics and data handling were conducted in RStudio version 1.2.5033. Read quality was examined prior to trimming and sequence reads with low quality scores below Q=30 </w:t>
      </w:r>
      <w:proofErr w:type="gramStart"/>
      <w:r w:rsidR="004B0512" w:rsidRPr="004B0512">
        <w:rPr>
          <w:color w:val="000000" w:themeColor="text1"/>
        </w:rPr>
        <w:t>were</w:t>
      </w:r>
      <w:proofErr w:type="gramEnd"/>
      <w:r w:rsidR="004B0512" w:rsidRPr="004B0512">
        <w:rPr>
          <w:color w:val="000000" w:themeColor="text1"/>
        </w:rPr>
        <w:t xml:space="preserve"> filtered out. Amplification primers were trimmed at the 5’ end according to the length of the primer (341F: 17, 785R: 21). All 16S forward reads and reverse reads were then truncated at 270 and 265, respectively. Next, amplicons were dereplicated for every sample using </w:t>
      </w:r>
      <w:proofErr w:type="spellStart"/>
      <w:r w:rsidR="004B0512" w:rsidRPr="004B0512">
        <w:rPr>
          <w:color w:val="000000" w:themeColor="text1"/>
        </w:rPr>
        <w:t>derepFastq</w:t>
      </w:r>
      <w:proofErr w:type="spellEnd"/>
      <w:r w:rsidR="004B0512" w:rsidRPr="004B0512">
        <w:rPr>
          <w:color w:val="000000" w:themeColor="text1"/>
        </w:rPr>
        <w:t xml:space="preserve"> within DADA2. This function grouped together and counted all unique sequences found in each sample. Paired sequence reads were then </w:t>
      </w:r>
      <w:proofErr w:type="gramStart"/>
      <w:r w:rsidR="004B0512" w:rsidRPr="004B0512">
        <w:rPr>
          <w:color w:val="000000" w:themeColor="text1"/>
        </w:rPr>
        <w:t>merged</w:t>
      </w:r>
      <w:proofErr w:type="gramEnd"/>
      <w:r w:rsidR="004B0512" w:rsidRPr="004B0512">
        <w:rPr>
          <w:color w:val="000000" w:themeColor="text1"/>
        </w:rPr>
        <w:t xml:space="preserve"> and unique amplicon sequence variants (ASVs) inferred. Chimeras were identified across all sample and removed using the </w:t>
      </w:r>
      <w:proofErr w:type="spellStart"/>
      <w:r w:rsidR="004B0512" w:rsidRPr="004B0512">
        <w:rPr>
          <w:color w:val="000000" w:themeColor="text1"/>
        </w:rPr>
        <w:t>removeBimeraDenovo</w:t>
      </w:r>
      <w:proofErr w:type="spellEnd"/>
      <w:r w:rsidR="004B0512" w:rsidRPr="004B0512">
        <w:rPr>
          <w:color w:val="000000" w:themeColor="text1"/>
        </w:rPr>
        <w:t xml:space="preserve"> function. A unified ASV table was created for bacterial communities, where rows are samples and columns are unique ASVs. </w:t>
      </w:r>
    </w:p>
    <w:p w14:paraId="34575270" w14:textId="3CD62FB1" w:rsidR="004B0512" w:rsidRPr="004B0512" w:rsidRDefault="004B0512" w:rsidP="004B0512">
      <w:pPr>
        <w:spacing w:line="360" w:lineRule="auto"/>
      </w:pPr>
      <w:r w:rsidRPr="004B0512">
        <w:rPr>
          <w:color w:val="000000" w:themeColor="text1"/>
        </w:rPr>
        <w:lastRenderedPageBreak/>
        <w:tab/>
        <w:t xml:space="preserve">Rarefaction occurred by rarifying to the lowest number of reads (2,367) 1,000 times using the </w:t>
      </w:r>
      <w:proofErr w:type="spellStart"/>
      <w:r w:rsidRPr="004B0512">
        <w:rPr>
          <w:color w:val="000000" w:themeColor="text1"/>
        </w:rPr>
        <w:t>rrarefy</w:t>
      </w:r>
      <w:proofErr w:type="spellEnd"/>
      <w:r w:rsidRPr="004B0512">
        <w:rPr>
          <w:color w:val="000000" w:themeColor="text1"/>
        </w:rPr>
        <w:t xml:space="preserve"> function in the vegan package </w:t>
      </w:r>
      <w:r w:rsidRPr="004B0512">
        <w:rPr>
          <w:color w:val="000000" w:themeColor="text1"/>
        </w:rPr>
        <w:fldChar w:fldCharType="begin" w:fldLock="1"/>
      </w:r>
      <w:r w:rsidR="006E1F09">
        <w:rPr>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2019)","plainTextFormattedCitation":"(Oksanen et al., 2019)","previouslyFormattedCitation":"(Oksanen et al., 2019)"},"properties":{"noteIndex":0},"schema":"https://github.com/citation-style-language/schema/raw/master/csl-citation.json"}</w:instrText>
      </w:r>
      <w:r w:rsidRPr="004B0512">
        <w:rPr>
          <w:color w:val="000000" w:themeColor="text1"/>
        </w:rPr>
        <w:fldChar w:fldCharType="separate"/>
      </w:r>
      <w:r w:rsidR="00CE6085" w:rsidRPr="00CE6085">
        <w:rPr>
          <w:noProof/>
          <w:color w:val="000000" w:themeColor="text1"/>
        </w:rPr>
        <w:t>(Oksanen et al., 2019)</w:t>
      </w:r>
      <w:r w:rsidRPr="004B0512">
        <w:rPr>
          <w:color w:val="000000" w:themeColor="text1"/>
        </w:rPr>
        <w:fldChar w:fldCharType="end"/>
      </w:r>
      <w:r w:rsidRPr="004B0512">
        <w:rPr>
          <w:color w:val="000000" w:themeColor="text1"/>
        </w:rPr>
        <w:t xml:space="preserve">. Bacterial ASV abundances were proportionally standardized across each row with the </w:t>
      </w:r>
      <w:proofErr w:type="spellStart"/>
      <w:r w:rsidRPr="004B0512">
        <w:rPr>
          <w:color w:val="000000" w:themeColor="text1"/>
        </w:rPr>
        <w:t>decostand</w:t>
      </w:r>
      <w:proofErr w:type="spellEnd"/>
      <w:r w:rsidRPr="004B0512">
        <w:rPr>
          <w:color w:val="000000" w:themeColor="text1"/>
        </w:rPr>
        <w:t xml:space="preserve"> function in vegan. The standardized</w:t>
      </w:r>
      <w:r w:rsidRPr="004B0512">
        <w:t xml:space="preserve"> ASV table was then fed into vegan’s </w:t>
      </w:r>
      <w:proofErr w:type="spellStart"/>
      <w:r w:rsidRPr="004B0512">
        <w:t>vegdist</w:t>
      </w:r>
      <w:proofErr w:type="spellEnd"/>
      <w:r w:rsidRPr="004B0512">
        <w:t xml:space="preserve"> function to create quantitative Jaccard (</w:t>
      </w:r>
      <w:proofErr w:type="spellStart"/>
      <w:r w:rsidRPr="004B0512">
        <w:t>Ružička</w:t>
      </w:r>
      <w:proofErr w:type="spellEnd"/>
      <w:r w:rsidRPr="004B0512">
        <w:t xml:space="preserve">) </w:t>
      </w:r>
      <w:r w:rsidRPr="004B0512">
        <w:rPr>
          <w:color w:val="000000" w:themeColor="text1"/>
        </w:rPr>
        <w:t xml:space="preserve">dissimilarity indices, which notably has been used throughout ecology to describe community dissimilarity along gradients (e.g., pH and elevation; </w:t>
      </w:r>
      <w:r w:rsidRPr="004B0512">
        <w:rPr>
          <w:color w:val="000000" w:themeColor="text1"/>
        </w:rPr>
        <w:fldChar w:fldCharType="begin" w:fldLock="1"/>
      </w:r>
      <w:r w:rsidR="006E1F09">
        <w:rPr>
          <w:color w:val="000000" w:themeColor="text1"/>
        </w:rPr>
        <w:instrText>ADDIN CSL_CITATION {"citationItems":[{"id":"ITEM-1","itemData":{"DOI":"10.1007/BF00038687","ISSN":"00423106","abstract":"The robustness of quantitative measures of compositional dissimilarity between sites was evaluated using extensive computer simulations of species' abundance patterns over one and two dimensional configurations of sample sites in ecological space. Robustness was equated with the strength over a range of models, of the linear and monotonic (rank-order) relationship between the compositional dissimilarities and the corresponding Euclidean distances between sites measured in the ecological space. The range of models reflected different assumptions about species' response curve shape, sampling pattern of sites, noise level of the data, species' interactions, trends in total site abundance, and beta diversity of gradients. The Kulczynski, Bray-Curtis and Relativized Manhattan measures were found to have not only a robust monotonic relationship with ecological distance, but also a robust linear (proportional) relationship until ecological distances became large. Less robust measures included Chord distance, Kendall's coefficient, Chisquared distance, Manhattan distance, and Euclidean distance. A new ordination method, hybrid multidimensional scaling (HMDS), is introduced that combines metric and nonmetric criteria, and so takes advantage of the particular properties of robust dissimilarity measures such as the Kulczynski measure. © 1987 Dr W. Junk Publishers.","author":[{"dropping-particle":"","family":"Faith","given":"Daniel P.","non-dropping-particle":"","parse-names":false,"suffix":""},{"dropping-particle":"","family":"Minchin","given":"Peter R.","non-dropping-particle":"","parse-names":false,"suffix":""},{"dropping-particle":"","family":"Belbin","given":"Lee","non-dropping-particle":"","parse-names":false,"suffix":""}],"container-title":"Vegetatio","id":"ITEM-1","issue":"1-3","issued":{"date-parts":[["1987"]]},"page":"57-68","title":"Compositional dissimilarity as a robust measure of ecological distance","type":"article-journal","volume":"69"},"uris":["http://www.mendeley.com/documents/?uuid=dc9b5bcb-a59c-4ada-92b6-48762f23fc3f"]}],"mendeley":{"formattedCitation":"(Faith et al., 1987)","manualFormatting":"Faith et al. 1987)","plainTextFormattedCitation":"(Faith et al., 1987)","previouslyFormattedCitation":"(Faith et al., 1987)"},"properties":{"noteIndex":0},"schema":"https://github.com/citation-style-language/schema/raw/master/csl-citation.json"}</w:instrText>
      </w:r>
      <w:r w:rsidRPr="004B0512">
        <w:rPr>
          <w:color w:val="000000" w:themeColor="text1"/>
        </w:rPr>
        <w:fldChar w:fldCharType="separate"/>
      </w:r>
      <w:r w:rsidRPr="004B0512">
        <w:rPr>
          <w:noProof/>
          <w:color w:val="000000" w:themeColor="text1"/>
        </w:rPr>
        <w:t xml:space="preserve">Faith </w:t>
      </w:r>
      <w:r w:rsidRPr="004B0512">
        <w:rPr>
          <w:i/>
          <w:noProof/>
          <w:color w:val="000000" w:themeColor="text1"/>
        </w:rPr>
        <w:t>et al.</w:t>
      </w:r>
      <w:r w:rsidRPr="004B0512">
        <w:rPr>
          <w:noProof/>
          <w:color w:val="000000" w:themeColor="text1"/>
        </w:rPr>
        <w:t xml:space="preserve"> 1987)</w:t>
      </w:r>
      <w:r w:rsidRPr="004B0512">
        <w:rPr>
          <w:color w:val="000000" w:themeColor="text1"/>
        </w:rPr>
        <w:fldChar w:fldCharType="end"/>
      </w:r>
      <w:r w:rsidRPr="004B0512">
        <w:rPr>
          <w:color w:val="000000" w:themeColor="text1"/>
        </w:rPr>
        <w:t xml:space="preserve">. 16S rRNA data was assigned to bacterial taxonomy by rank (e.g., Kingdom, Phylum, Class, etc.) using a naïve Bayesian taxonomic classifier developed by </w:t>
      </w:r>
      <w:r w:rsidRPr="004B0512">
        <w:rPr>
          <w:color w:val="000000" w:themeColor="text1"/>
        </w:rPr>
        <w:fldChar w:fldCharType="begin" w:fldLock="1"/>
      </w:r>
      <w:r w:rsidR="006E1F09">
        <w:rPr>
          <w:color w:val="000000" w:themeColor="text1"/>
        </w:rPr>
        <w:instrText>ADDIN CSL_CITATION {"citationItems":[{"id":"ITEM-1","itemData":{"DOI":"10.1128/AEM.00062-07","ISSN":"00992240","PMID":"17586664","abstract":"The Ribosomal Database Project (RDP) Classifier, a naïve Bayesian classifier, can rapidly and accurately classify bacterial 16S rRNA sequences into the new higher-order taxonomy proposed in Bergey's Taxonomic Outline of the Prokaryotes (2nd ed., release 5.0, Springer-Verlag, New York, NY, 2004). It provides taxonomic assignments from domain to genus, with confidence estimates for each assignment. The majority of classifications (98%) were of high estimated confidence (≥95%) and high accuracy (98%). In addition to being tested with the corpus of 5,014 type strain sequences from Bergey's outline, the RDP Classifier was tested with a corpus of 23,095 rRNA sequences as assigned by the NCBI into their alternative higher-order taxonomy. The results from leave-one-out testing on both corpora show that the overall accuracies at all levels of confidence for near-full-length and 400-base segments were 89% or above down to the genus level, and the majority of the classification errors appear to be due to anomalies in the current taxonomies. For shorter rRNA segments, such as those that might be generated by pyrosequencing, the error rate varied greatly over the length of the 16S rRNA gene, with segments around the V2 and V4 variable regions giving the lowest error rates. The RDP Classifier is suitable both for the analysis of single rRNA sequences and for the analysis of libraries of thousands of sequences. Another related tool, RDP Library Compare, was developed to facilitate microbial-community comparison based on 16S rRNA gene sequence libraries. It combines the RDP Classifier with a statistical test to flag taxa differentially represented between samples. The RDP Classifier and RDP Library Compare are available online at http://rdp.cme.msu. edu/. Copyright © 2007, American Society for Microbiology. All Rights Reserved.","author":[{"dropping-particle":"","family":"Wang","given":"Qiong","non-dropping-particle":"","parse-names":false,"suffix":""},{"dropping-particle":"","family":"Garrity","given":"George M.","non-dropping-particle":"","parse-names":false,"suffix":""},{"dropping-particle":"","family":"Tiedje","given":"James M.","non-dropping-particle":"","parse-names":false,"suffix":""},{"dropping-particle":"","family":"Cole","given":"James R.","non-dropping-particle":"","parse-names":false,"suffix":""}],"container-title":"Applied and Environmental Microbiology","id":"ITEM-1","issue":"16","issued":{"date-parts":[["2007"]]},"page":"5261-5267","title":"Naïve Bayesian classifier for rapid assignment of rRNA sequences into the new bacterial taxonomy","type":"article-journal","volume":"73"},"uris":["http://www.mendeley.com/documents/?uuid=f97a318f-609a-4152-992f-4f11f10b0196"]}],"mendeley":{"formattedCitation":"(Wang et al., 2007)","manualFormatting":"Wang et al. (2007). ","plainTextFormattedCitation":"(Wang et al., 2007)","previouslyFormattedCitation":"(Wang et al., 2007)"},"properties":{"noteIndex":0},"schema":"https://github.com/citation-style-language/schema/raw/master/csl-citation.json"}</w:instrText>
      </w:r>
      <w:r w:rsidRPr="004B0512">
        <w:rPr>
          <w:color w:val="000000" w:themeColor="text1"/>
        </w:rPr>
        <w:fldChar w:fldCharType="separate"/>
      </w:r>
      <w:r w:rsidRPr="004B0512">
        <w:rPr>
          <w:noProof/>
          <w:color w:val="000000" w:themeColor="text1"/>
        </w:rPr>
        <w:t xml:space="preserve">Wang </w:t>
      </w:r>
      <w:r w:rsidRPr="004B0512">
        <w:rPr>
          <w:i/>
          <w:noProof/>
          <w:color w:val="000000" w:themeColor="text1"/>
        </w:rPr>
        <w:t>et al.</w:t>
      </w:r>
      <w:r w:rsidRPr="004B0512">
        <w:rPr>
          <w:noProof/>
          <w:color w:val="000000" w:themeColor="text1"/>
        </w:rPr>
        <w:t xml:space="preserve"> (2007). </w:t>
      </w:r>
      <w:r w:rsidRPr="004B0512">
        <w:rPr>
          <w:color w:val="000000" w:themeColor="text1"/>
        </w:rPr>
        <w:fldChar w:fldCharType="end"/>
      </w:r>
      <w:r w:rsidRPr="004B0512">
        <w:rPr>
          <w:color w:val="000000" w:themeColor="text1"/>
        </w:rPr>
        <w:t xml:space="preserve">Here, ASVs were compared to known reference sequences using the open-source database SILVA version 132 </w:t>
      </w:r>
      <w:r w:rsidRPr="004B0512">
        <w:rPr>
          <w:color w:val="000000" w:themeColor="text1"/>
        </w:rPr>
        <w:fldChar w:fldCharType="begin" w:fldLock="1"/>
      </w:r>
      <w:r w:rsidR="006E1F09">
        <w:rPr>
          <w:color w:val="000000" w:themeColor="text1"/>
        </w:rPr>
        <w:instrText>ADDIN CSL_CITATION {"citationItems":[{"id":"ITEM-1","itemData":{"DOI":"10.1093/nar/gks1219","ISSN":"03051048","abstract":"SILVA (from Latin silva, forest, http://www.arb-silva.de) is a comprehensive web resource for up to date, quality-controlled databases of aligned ribosomal RNA (rRNA) gene sequences from the Bacteria, Archaea and Eukaryota domains and supplementary online services. The referred database release 111 (July 2012) contains 3 194 778 small subunit and 288 717 large subunit rRNA gene sequences. Since the initial description of the project, substantial new features have been introduced, including advanced quality control procedures, an improved rRNA gene aligner, online tools for probe and primer evaluation and optimized browsing, searching and downloading on the website. Furthermore, the extensively curated SILVA taxonomy and the new non-redundant SILVA datasets provide an ideal reference for high-throughput classification of data from next-generation sequencing approaches.","author":[{"dropping-particle":"","family":"Quast","given":"Christian","non-dropping-particle":"","parse-names":false,"suffix":""},{"dropping-particle":"","family":"Pruesse","given":"Elmar","non-dropping-particle":"","parse-names":false,"suffix":""},{"dropping-particle":"","family":"Yilmaz","given":"Pelin","non-dropping-particle":"","parse-names":false,"suffix":""},{"dropping-particle":"","family":"Gerken","given":"Jan","non-dropping-particle":"","parse-names":false,"suffix":""},{"dropping-particle":"","family":"Schweer","given":"Timmy","non-dropping-particle":"","parse-names":false,"suffix":""},{"dropping-particle":"","family":"Yarza","given":"Pablo","non-dropping-particle":"","parse-names":false,"suffix":""},{"dropping-particle":"","family":"Peplies","given":"Jörg","non-dropping-particle":"","parse-names":false,"suffix":""},{"dropping-particle":"","family":"Glöckner","given":"Frank Oliver","non-dropping-particle":"","parse-names":false,"suffix":""}],"container-title":"Nucleic Acids Research","id":"ITEM-1","issue":"D1","issued":{"date-parts":[["2013"]]},"page":"590-596","title":"The SILVA ribosomal RNA gene database project: Improved data processing and web-based tools","type":"article-journal","volume":"41"},"uris":["http://www.mendeley.com/documents/?uuid=733ecaaa-a03c-47f9-bbe2-fb37ecf51336"]},{"id":"ITEM-2","itemData":{"DOI":"10.1093/nar/gkt1209","ISSN":"03051048","abstract":"SILVA (from Latin silva, forest, http://www.arb-silva.de) is a comprehensive resource for up-to-date quality-controlled databases of aligned ribosomal RNA (rRNA) gene sequences from the Bacteria, Archaea and Eukaryota domains and supplementary online services. SILVA provides a manually curated taxonomy for all three domains of life, based on representative phylogenetic trees for the small- and large-subunit rRNA genes. This article describes the improvements the SILVA taxonomy has undergone in the last 3 years. Specifically we are focusing on the curation process, the various resources used for curation and the comparison of the SILVA taxonomy with Greengenes and RDP-II taxonomies. Our comparisons not only revealed a reasonable overlap between the taxa names, but also points to significant differences in both names and numbers of taxa between the three resources.","author":[{"dropping-particle":"","family":"Yilmaz","given":"Pelin","non-dropping-particle":"","parse-names":false,"suffix":""},{"dropping-particle":"","family":"Parfrey","given":"Laura Wegener","non-dropping-particle":"","parse-names":false,"suffix":""},{"dropping-particle":"","family":"Yarza","given":"Pablo","non-dropping-particle":"","parse-names":false,"suffix":""},{"dropping-particle":"","family":"Gerken","given":"Jan","non-dropping-particle":"","parse-names":false,"suffix":""},{"dropping-particle":"","family":"Pruesse","given":"Elmar","non-dropping-particle":"","parse-names":false,"suffix":""},{"dropping-particle":"","family":"Quast","given":"Christian","non-dropping-particle":"","parse-names":false,"suffix":""},{"dropping-particle":"","family":"Schweer","given":"Timmy","non-dropping-particle":"","parse-names":false,"suffix":""},{"dropping-particle":"","family":"Peplies","given":"Jörg","non-dropping-particle":"","parse-names":false,"suffix":""},{"dropping-particle":"","family":"Ludwig","given":"Wolfgang","non-dropping-particle":"","parse-names":false,"suffix":""},{"dropping-particle":"","family":"Glöckner","given":"Frank Oliver","non-dropping-particle":"","parse-names":false,"suffix":""}],"container-title":"Nucleic Acids Research","id":"ITEM-2","issue":"D1","issued":{"date-parts":[["2014"]]},"page":"643-648","title":"The SILVA and \"all-species Living Tree Project (LTP)\" taxonomic frameworks","type":"article-journal","volume":"42"},"uris":["http://www.mendeley.com/documents/?uuid=1c47a301-bd43-4a3a-8ec3-bb1b740f2c45"]}],"mendeley":{"formattedCitation":"(Quast et al., 2013; Yilmaz et al., 2014)","plainTextFormattedCitation":"(Quast et al., 2013; Yilmaz et al., 2014)","previouslyFormattedCitation":"(Quast et al., 2013; Yilmaz et al., 2014)"},"properties":{"noteIndex":0},"schema":"https://github.com/citation-style-language/schema/raw/master/csl-citation.json"}</w:instrText>
      </w:r>
      <w:r w:rsidRPr="004B0512">
        <w:rPr>
          <w:color w:val="000000" w:themeColor="text1"/>
        </w:rPr>
        <w:fldChar w:fldCharType="separate"/>
      </w:r>
      <w:r w:rsidR="00CE6085" w:rsidRPr="00CE6085">
        <w:rPr>
          <w:noProof/>
          <w:color w:val="000000" w:themeColor="text1"/>
        </w:rPr>
        <w:t>(Quast et al., 2013; Yilmaz et al., 2014)</w:t>
      </w:r>
      <w:r w:rsidRPr="004B0512">
        <w:rPr>
          <w:color w:val="000000" w:themeColor="text1"/>
        </w:rPr>
        <w:fldChar w:fldCharType="end"/>
      </w:r>
      <w:r w:rsidRPr="004B0512">
        <w:rPr>
          <w:color w:val="000000" w:themeColor="text1"/>
        </w:rPr>
        <w:t xml:space="preserve">. Taxa that correspond to NA or </w:t>
      </w:r>
      <w:proofErr w:type="spellStart"/>
      <w:r w:rsidRPr="004B0512">
        <w:rPr>
          <w:color w:val="000000" w:themeColor="text1"/>
        </w:rPr>
        <w:t>Eukaryota</w:t>
      </w:r>
      <w:proofErr w:type="spellEnd"/>
      <w:r w:rsidRPr="004B0512">
        <w:rPr>
          <w:color w:val="000000" w:themeColor="text1"/>
        </w:rPr>
        <w:t xml:space="preserve"> at the kingdom level were removed from the data set. Similarly, all taxa that correspond to chloroplast and mitochondria were removed. </w:t>
      </w:r>
    </w:p>
    <w:p w14:paraId="56778A36" w14:textId="7B765358" w:rsidR="00B863BB" w:rsidRPr="004B0512" w:rsidRDefault="004B0512" w:rsidP="004B0512">
      <w:pPr>
        <w:spacing w:line="360" w:lineRule="auto"/>
        <w:rPr>
          <w:color w:val="000000" w:themeColor="text1"/>
          <w:shd w:val="clear" w:color="auto" w:fill="FFFFFF"/>
        </w:rPr>
      </w:pPr>
      <w:r w:rsidRPr="004B0512">
        <w:rPr>
          <w:color w:val="000000" w:themeColor="text1"/>
          <w:shd w:val="clear" w:color="auto" w:fill="FFFFFF"/>
        </w:rPr>
        <w:tab/>
        <w:t xml:space="preserve">The program PASTA (Practical Alignment using </w:t>
      </w:r>
      <w:proofErr w:type="spellStart"/>
      <w:r w:rsidRPr="004B0512">
        <w:rPr>
          <w:color w:val="000000" w:themeColor="text1"/>
          <w:shd w:val="clear" w:color="auto" w:fill="FFFFFF"/>
        </w:rPr>
        <w:t>Saté</w:t>
      </w:r>
      <w:proofErr w:type="spellEnd"/>
      <w:r w:rsidRPr="004B0512">
        <w:rPr>
          <w:color w:val="000000" w:themeColor="text1"/>
          <w:shd w:val="clear" w:color="auto" w:fill="FFFFFF"/>
        </w:rPr>
        <w:t xml:space="preserve"> and </w:t>
      </w:r>
      <w:proofErr w:type="spellStart"/>
      <w:r w:rsidRPr="004B0512">
        <w:rPr>
          <w:color w:val="000000" w:themeColor="text1"/>
          <w:shd w:val="clear" w:color="auto" w:fill="FFFFFF"/>
        </w:rPr>
        <w:t>TrAnsitivity</w:t>
      </w:r>
      <w:proofErr w:type="spellEnd"/>
      <w:r w:rsidRPr="004B0512">
        <w:rPr>
          <w:color w:val="000000" w:themeColor="text1"/>
          <w:shd w:val="clear" w:color="auto" w:fill="FFFFFF"/>
        </w:rPr>
        <w:t xml:space="preserve">; </w:t>
      </w:r>
      <w:r w:rsidRPr="004B0512">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{"citationItems":[{"id":"ITEM-1","itemData":{"DOI":"10.1089/cmb.2014.0156","ISSN":"10665277","PMID":"25549288","abstract":"We introduce PASTA, a new multiple sequence alignment algorithm. PASTA uses a new technique to produce an alignment given a guide tree that enables it to be both highly scalable and very accurate. We present a study on biological and simulated data with up to 200,000 sequences, showing that PASTA produces highly accurate alignments, improving on the accuracy and scalability of the leading alignment methods (including SATé). We also show that trees estimated on PASTA alignments are highly accurate - slightly better than SATé trees, but with substantial improvements relative to other methods. Finally, PASTA is faster than SATé, highly parallelizable, and requires relatively little memory.","author":[{"dropping-particle":"","family":"Mirarab","given":"Siavash","non-dropping-particle":"","parse-names":false,"suffix":""},{"dropping-particle":"","family":"Nguyen","given":"Nam","non-dropping-particle":"","parse-names":false,"suffix":""},{"dropping-particle":"","family":"Guo","given":"Sheng","non-dropping-particle":"","parse-names":false,"suffix":""},{"dropping-particle":"","family":"Wang","given":"Li San","non-dropping-particle":"","parse-names":false,"suffix":""},{"dropping-particle":"","family":"Kim","given":"Junhyong","non-dropping-particle":"","parse-names":false,"suffix":""},{"dropping-particle":"","family":"Warnow","given":"Tandy","non-dropping-particle":"","parse-names":false,"suffix":""}],"container-title":"Journal of Computational Biology","id":"ITEM-1","issue":"5","issued":{"date-parts":[["2015"]]},"page":"377-386","title":"PASTA: Ultra-large multiple sequence alignment for nucleotide and amino-acid sequences","type":"article-journal","volume":"22"},"uris":["http://www.mendeley.com/documents/?uuid=e6bac3c8-2799-4ff5-81b8-7a2620e4e046"]}],"mendeley":{"formattedCitation":"(Mirarab et al., 2015)","manualFormatting":"Mirarab et al. 2015)","plainTextFormattedCitation":"(Mirarab et al., 2015)","previouslyFormattedCitation":"(Mirarab et al., 2015)"},"properties":{"noteIndex":0},"schema":"https://github.com/citation-style-language/schema/raw/master/csl-citation.json"}</w:instrText>
      </w:r>
      <w:r w:rsidRPr="004B0512">
        <w:rPr>
          <w:color w:val="000000" w:themeColor="text1"/>
          <w:shd w:val="clear" w:color="auto" w:fill="FFFFFF"/>
        </w:rPr>
        <w:fldChar w:fldCharType="separate"/>
      </w:r>
      <w:r w:rsidRPr="004B0512">
        <w:rPr>
          <w:noProof/>
          <w:color w:val="000000" w:themeColor="text1"/>
          <w:shd w:val="clear" w:color="auto" w:fill="FFFFFF"/>
        </w:rPr>
        <w:t xml:space="preserve">Mirarab </w:t>
      </w:r>
      <w:r w:rsidRPr="004B0512">
        <w:rPr>
          <w:i/>
          <w:noProof/>
          <w:color w:val="000000" w:themeColor="text1"/>
          <w:shd w:val="clear" w:color="auto" w:fill="FFFFFF"/>
        </w:rPr>
        <w:t>et al.</w:t>
      </w:r>
      <w:r w:rsidRPr="004B0512">
        <w:rPr>
          <w:noProof/>
          <w:color w:val="000000" w:themeColor="text1"/>
          <w:shd w:val="clear" w:color="auto" w:fill="FFFFFF"/>
        </w:rPr>
        <w:t xml:space="preserve"> 2015)</w:t>
      </w:r>
      <w:r w:rsidRPr="004B0512">
        <w:rPr>
          <w:color w:val="000000" w:themeColor="text1"/>
          <w:shd w:val="clear" w:color="auto" w:fill="FFFFFF"/>
        </w:rPr>
        <w:fldChar w:fldCharType="end"/>
      </w:r>
      <w:r w:rsidRPr="004B0512">
        <w:rPr>
          <w:color w:val="000000" w:themeColor="text1"/>
          <w:shd w:val="clear" w:color="auto" w:fill="FFFFFF"/>
        </w:rPr>
        <w:t xml:space="preserve"> was used to carry out multiple sequence alignment using the external aligner software, MAFFT </w:t>
      </w:r>
      <w:r w:rsidRPr="004B0512">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{"citationItems":[{"id":"ITEM-1","itemData":{"DOI":"10.1093/molbev/mst010","ISSN":"1537-1719","PMID":"23329690","abstract":"We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limitations.","author":[{"dropping-particle":"","family":"Katoh","given":"Kazutaka","non-dropping-particle":"","parse-names":false,"suffix":""},{"dropping-particle":"","family":"Standley","given":"Daron M","non-dropping-particle":"","parse-names":false,"suffix":""}],"container-title":"Molecular biology and evolution","id":"ITEM-1","issue":"4","issued":{"date-parts":[["2013"]]},"page":"772-80","title":"MAFFT multiple sequence alignment software version 7: improvements in performance and usability","type":"article-journal","volume":"30"},"uris":["http://www.mendeley.com/documents/?uuid=dffd9c92-32c7-47d1-b87e-4e36581c7e9e"]}],"mendeley":{"formattedCitation":"(Katoh and Standley, 2013)","plainTextFormattedCitation":"(Katoh and Standley, 2013)","previouslyFormattedCitation":"(Katoh and Standley, 2013)"},"properties":{"noteIndex":0},"schema":"https://github.com/citation-style-language/schema/raw/master/csl-citation.json"}</w:instrText>
      </w:r>
      <w:r w:rsidRPr="004B0512">
        <w:rPr>
          <w:color w:val="000000" w:themeColor="text1"/>
          <w:shd w:val="clear" w:color="auto" w:fill="FFFFFF"/>
        </w:rPr>
        <w:fldChar w:fldCharType="separate"/>
      </w:r>
      <w:r w:rsidR="00CE6085" w:rsidRPr="00CE6085">
        <w:rPr>
          <w:noProof/>
          <w:color w:val="000000" w:themeColor="text1"/>
          <w:shd w:val="clear" w:color="auto" w:fill="FFFFFF"/>
        </w:rPr>
        <w:t>(Katoh and Standley, 2013)</w:t>
      </w:r>
      <w:r w:rsidRPr="004B0512">
        <w:rPr>
          <w:color w:val="000000" w:themeColor="text1"/>
          <w:shd w:val="clear" w:color="auto" w:fill="FFFFFF"/>
        </w:rPr>
        <w:fldChar w:fldCharType="end"/>
      </w:r>
      <w:r w:rsidRPr="004B0512">
        <w:rPr>
          <w:color w:val="000000" w:themeColor="text1"/>
          <w:shd w:val="clear" w:color="auto" w:fill="FFFFFF"/>
        </w:rPr>
        <w:t xml:space="preserve">. PASTA took the aligned 16S rRNA gene data and inferred a Maximum Likelihood phylogenetic tree using the FastTree-2 </w:t>
      </w:r>
      <w:r w:rsidRPr="004B0512">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{"citationItems":[{"id":"ITEM-1","itemData":{"DOI":"10.1371/journal.pone.0009490","ISSN":"19326203","PMID":"20224823","abstract":"Background: We recently described FastTree, a tool for inferring phylogenies for alignments with up to hundreds of thousands of sequences. Here, we describe improvements to FastTree that improve its accuracy without sacrificing scalability. Methodology/Principal Findings: Where FastTree 1 used nearest-neighbor interchanges (NNIs) and the minimum-evolution criterion to improve the tree, FastTree 2 adds minimum-evolution subtree-pruning-regrafting (SPRs) and maximum-likelihood NNIs. FastTree 2 uses heuristics to restrict the search for better trees and estimates a rate of evolution for each site (the \"CAT\" approximation). Nevertheless, for both simulated and genuine alignments, FastTree 2 is slightly more accurate than a standard implementation of maximum-likelihood NNIs (PhyML 3 with default settings). Although FastTree 2 is not quite as accurate as methods that use maximum-likelihood SPRs, most of the splits that disagree are poorly supported, and for large alignments, FastTree 2 is 100-1,000 times faster. FastTree 2 inferred a topology and likelihood-based local support values for 237,882 distinct 16S ribosomal RNAs on a desktop computer in 22 hours and 5.8 gigabytes of memory. Conclusions/Significance: FastTree 2 allows the inference of maximum-likelihood phylogenies for huge alignments. FastTree 2 is freely available at http://www.microbesonline.org/fasttree. © 2010 Price et al.","author":[{"dropping-particle":"","family":"Price","given":"Morgan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ONE","id":"ITEM-1","issue":"3","issued":{"date-parts":[["2010"]]},"title":"FastTree 2 - Approximately maximum-likelihood trees for large alignments","type":"article-journal","volume":"5"},"uris":["http://www.mendeley.com/documents/?uuid=2462290f-91a5-4ac9-89f6-966098c02597"]}],"mendeley":{"formattedCitation":"(Price et al., 2010)","plainTextFormattedCitation":"(Price et al., 2010)","previouslyFormattedCitation":"(Price et al., 2010)"},"properties":{"noteIndex":0},"schema":"https://github.com/citation-style-language/schema/raw/master/csl-citation.json"}</w:instrText>
      </w:r>
      <w:r w:rsidRPr="004B0512">
        <w:rPr>
          <w:color w:val="000000" w:themeColor="text1"/>
          <w:shd w:val="clear" w:color="auto" w:fill="FFFFFF"/>
        </w:rPr>
        <w:fldChar w:fldCharType="separate"/>
      </w:r>
      <w:r w:rsidR="00CE6085" w:rsidRPr="00CE6085">
        <w:rPr>
          <w:noProof/>
          <w:color w:val="000000" w:themeColor="text1"/>
          <w:shd w:val="clear" w:color="auto" w:fill="FFFFFF"/>
        </w:rPr>
        <w:t>(Price et al., 2010)</w:t>
      </w:r>
      <w:r w:rsidRPr="004B0512">
        <w:rPr>
          <w:color w:val="000000" w:themeColor="text1"/>
          <w:shd w:val="clear" w:color="auto" w:fill="FFFFFF"/>
        </w:rPr>
        <w:fldChar w:fldCharType="end"/>
      </w:r>
      <w:r w:rsidRPr="004B0512">
        <w:rPr>
          <w:color w:val="000000" w:themeColor="text1"/>
          <w:shd w:val="clear" w:color="auto" w:fill="FFFFFF"/>
        </w:rPr>
        <w:t xml:space="preserve">. FastTree-2 utilized a generalized time-reversible CAT model of rate heterogeneity to estimate 16S rRNA gene phylogeny. Lastly, </w:t>
      </w:r>
      <w:proofErr w:type="spellStart"/>
      <w:r w:rsidRPr="004B0512">
        <w:rPr>
          <w:color w:val="000000" w:themeColor="text1"/>
          <w:shd w:val="clear" w:color="auto" w:fill="FFFFFF"/>
        </w:rPr>
        <w:t>treePL</w:t>
      </w:r>
      <w:proofErr w:type="spellEnd"/>
      <w:r w:rsidRPr="004B0512">
        <w:rPr>
          <w:color w:val="000000" w:themeColor="text1"/>
          <w:shd w:val="clear" w:color="auto" w:fill="FFFFFF"/>
        </w:rPr>
        <w:t xml:space="preserve">, a phylogenetic penalized likelihood software, was used to create an </w:t>
      </w:r>
      <w:proofErr w:type="spellStart"/>
      <w:r w:rsidRPr="004B0512">
        <w:rPr>
          <w:color w:val="000000" w:themeColor="text1"/>
          <w:shd w:val="clear" w:color="auto" w:fill="FFFFFF"/>
        </w:rPr>
        <w:t>ultrametric</w:t>
      </w:r>
      <w:proofErr w:type="spellEnd"/>
      <w:r w:rsidRPr="004B0512">
        <w:rPr>
          <w:color w:val="000000" w:themeColor="text1"/>
          <w:shd w:val="clear" w:color="auto" w:fill="FFFFFF"/>
        </w:rPr>
        <w:t xml:space="preserve"> tree by transforming each branch length to be consistent with divergence time </w:t>
      </w:r>
      <w:r w:rsidRPr="004B0512">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{"citationItems":[{"id":"ITEM-1","itemData":{"DOI":"10.1093/bioinformatics/bts492","ISSN":"13674803","abstract":"Ever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 © The Author 2012. Published by Oxford University Press. All rights reserved.","author":[{"dropping-particle":"","family":"Smith","given":"Stephen A.","non-dropping-particle":"","parse-names":false,"suffix":""},{"dropping-particle":"","family":"O'Meara","given":"Brian C.","non-dropping-particle":"","parse-names":false,"suffix":""}],"container-title":"Bioinformatics","id":"ITEM-1","issue":"20","issued":{"date-parts":[["2012"]]},"page":"2689-2690","title":"TreePL: Divergence time estimation using penalized likelihood for large phylogenies","type":"article-journal","volume":"28"},"uris":["http://www.mendeley.com/documents/?uuid=5017ab19-a16e-40ce-b0a4-8729e6147091"]}],"mendeley":{"formattedCitation":"(Smith and O’Meara, 2012)","plainTextFormattedCitation":"(Smith and O’Meara, 2012)","previouslyFormattedCitation":"(Smith and O’Meara, 2012)"},"properties":{"noteIndex":0},"schema":"https://github.com/citation-style-language/schema/raw/master/csl-citation.json"}</w:instrText>
      </w:r>
      <w:r w:rsidRPr="004B0512">
        <w:rPr>
          <w:color w:val="000000" w:themeColor="text1"/>
          <w:shd w:val="clear" w:color="auto" w:fill="FFFFFF"/>
        </w:rPr>
        <w:fldChar w:fldCharType="separate"/>
      </w:r>
      <w:r w:rsidR="00CE6085" w:rsidRPr="00CE6085">
        <w:rPr>
          <w:noProof/>
          <w:color w:val="000000" w:themeColor="text1"/>
          <w:shd w:val="clear" w:color="auto" w:fill="FFFFFF"/>
        </w:rPr>
        <w:t>(Smith and O’Meara, 2012)</w:t>
      </w:r>
      <w:r w:rsidRPr="004B0512">
        <w:rPr>
          <w:color w:val="000000" w:themeColor="text1"/>
          <w:shd w:val="clear" w:color="auto" w:fill="FFFFFF"/>
        </w:rPr>
        <w:fldChar w:fldCharType="end"/>
      </w:r>
      <w:r w:rsidRPr="004B0512">
        <w:rPr>
          <w:color w:val="000000" w:themeColor="text1"/>
          <w:shd w:val="clear" w:color="auto" w:fill="FFFFFF"/>
        </w:rPr>
        <w:t xml:space="preserve">. The 16S gene tree was then merged into a single </w:t>
      </w:r>
      <w:proofErr w:type="spellStart"/>
      <w:r w:rsidRPr="004B0512">
        <w:rPr>
          <w:color w:val="000000" w:themeColor="text1"/>
          <w:shd w:val="clear" w:color="auto" w:fill="FFFFFF"/>
        </w:rPr>
        <w:t>phyloseq</w:t>
      </w:r>
      <w:proofErr w:type="spellEnd"/>
      <w:r w:rsidRPr="004B0512">
        <w:rPr>
          <w:color w:val="000000" w:themeColor="text1"/>
          <w:shd w:val="clear" w:color="auto" w:fill="FFFFFF"/>
        </w:rPr>
        <w:t xml:space="preserve"> object with the corresponding rarefied and standardized ASV table. To assess differences in the phylogenetic structure of microbial communities a weighted </w:t>
      </w:r>
      <w:proofErr w:type="spellStart"/>
      <w:r w:rsidRPr="004B0512">
        <w:rPr>
          <w:color w:val="000000" w:themeColor="text1"/>
          <w:shd w:val="clear" w:color="auto" w:fill="FFFFFF"/>
        </w:rPr>
        <w:t>UniFrac</w:t>
      </w:r>
      <w:proofErr w:type="spellEnd"/>
      <w:r w:rsidRPr="004B0512">
        <w:rPr>
          <w:color w:val="000000" w:themeColor="text1"/>
          <w:shd w:val="clear" w:color="auto" w:fill="FFFFFF"/>
        </w:rPr>
        <w:t xml:space="preserve"> distance matrix was created </w:t>
      </w:r>
      <w:r w:rsidRPr="004B0512">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{"citationItems":[{"id":"ITEM-1","itemData":{"DOI":"10.1128/AEM.71.12.8228","ISBN":"0099-2240 (Print)\\n0099-2240 (Linking)","ISSN":"0099-2240","PMID":"16332807","abstract":"We introduce here a new method for computing differences between microbial communities based on phylogenetic information. This method, UniFrac, measures the phylogenetic distance between sets of taxa in a phylogenetic tree as the fraction of the branch length of the tree that leads to descendants from either one environment or the other, but not both. UniFrac can be used to determine whether communities are signifi-cantly different, to compare many communities simultaneously using clustering and ordination techniques, and to measure the relative contributions of different factors, such as chemistry and geography, to similarities between samples. We demonstrate the utility of UniFrac by applying it to published 16S rRNA gene libraries from cultured isolates and environmental clones of bacteria in marine sediment, water, and ice. Our results reveal that (i) cultured isolates from ice, water, and sediment resemble each other and environmental clone sequences from sea ice, but not environmental clone sequences from sediment and water; (ii) the geographical location does not correlate strongly with bacterial community differences in ice and sediment from the Arctic and Antarctic; and (iii) bacterial communities differ between terrestrially impacted seawater (whether polar or temperate) and warm oligotrophic seawater, whereas those in individual seawater samples are not more similar to each other than to those in sediment or ice samples. These results illustrate that UniFrac provides a new way of characterizing microbial communities, using the wealth of environmental rRNA sequences, and allows quantitative insight into the factors that underlie the distribution of lineages among environments.","author":[{"dropping-particle":"","family":"Lozupone","given":"Catherine A.","non-dropping-particle":"","parse-names":false,"suffix":""},{"dropping-particle":"","family":"Knight","given":"Rob","non-dropping-particle":"","parse-names":false,"suffix":""}],"container-title":"Applied and Environmental Microbiology","id":"ITEM-1","issue":"12","issued":{"date-parts":[["2005"]]},"page":"8228-8235","title":"UniFrac : a New Phylogenetic Method for Comparing Microbial Communities UniFrac : a New Phylogenetic Method for Comparing Microbial Communities [see notes, compare to Bray-Curtis]","type":"article-journal","volume":"71"},"uris":["http://www.mendeley.com/documents/?uuid=1992d468-d8d6-45bd-bcf4-7e2a5173526b"]}],"mendeley":{"formattedCitation":"(Lozupone and Knight, 2005)","plainTextFormattedCitation":"(Lozupone and Knight, 2005)","previouslyFormattedCitation":"(Lozupone and Knight, 2005)"},"properties":{"noteIndex":0},"schema":"https://github.com/citation-style-language/schema/raw/master/csl-citation.json"}</w:instrText>
      </w:r>
      <w:r w:rsidRPr="004B0512">
        <w:rPr>
          <w:color w:val="000000" w:themeColor="text1"/>
          <w:shd w:val="clear" w:color="auto" w:fill="FFFFFF"/>
        </w:rPr>
        <w:fldChar w:fldCharType="separate"/>
      </w:r>
      <w:r w:rsidR="00CE6085" w:rsidRPr="00CE6085">
        <w:rPr>
          <w:noProof/>
          <w:color w:val="000000" w:themeColor="text1"/>
          <w:shd w:val="clear" w:color="auto" w:fill="FFFFFF"/>
        </w:rPr>
        <w:t>(Lozupone and Knight, 2005)</w:t>
      </w:r>
      <w:r w:rsidRPr="004B0512">
        <w:rPr>
          <w:color w:val="000000" w:themeColor="text1"/>
          <w:shd w:val="clear" w:color="auto" w:fill="FFFFFF"/>
        </w:rPr>
        <w:fldChar w:fldCharType="end"/>
      </w:r>
      <w:r w:rsidRPr="004B0512">
        <w:rPr>
          <w:color w:val="000000" w:themeColor="text1"/>
          <w:shd w:val="clear" w:color="auto" w:fill="FFFFFF"/>
        </w:rPr>
        <w:t xml:space="preserve">. </w:t>
      </w:r>
    </w:p>
    <w:p w14:paraId="0F3A86B7" w14:textId="7FE979D2" w:rsidR="00B863BB" w:rsidRPr="004B0512" w:rsidRDefault="00B863BB" w:rsidP="004B0512">
      <w:pPr>
        <w:pStyle w:val="Heading3"/>
      </w:pPr>
      <w:bookmarkStart w:id="51" w:name="_Toc102048015"/>
      <w:r w:rsidRPr="004B0512">
        <w:t>Hypothesis testing and statistical methods</w:t>
      </w:r>
      <w:bookmarkEnd w:id="51"/>
    </w:p>
    <w:p w14:paraId="2AB9DD60" w14:textId="5144ECFD" w:rsidR="004B0512" w:rsidRPr="004B0512" w:rsidRDefault="00461549" w:rsidP="004B0512">
      <w:pPr>
        <w:spacing w:line="360" w:lineRule="auto"/>
        <w:rPr>
          <w:color w:val="000000" w:themeColor="text1"/>
        </w:rPr>
      </w:pPr>
      <w:r w:rsidRPr="004B0512">
        <w:tab/>
      </w:r>
      <w:r w:rsidR="004B0512" w:rsidRPr="004B0512">
        <w:t>Two distance-based redundancy analysis (</w:t>
      </w:r>
      <w:proofErr w:type="spellStart"/>
      <w:r w:rsidR="004B0512" w:rsidRPr="004B0512">
        <w:t>dbRDA</w:t>
      </w:r>
      <w:proofErr w:type="spellEnd"/>
      <w:r w:rsidR="004B0512" w:rsidRPr="004B0512">
        <w:t xml:space="preserve">) were utilized to assess bacterial community dissimilarity (R package vegan, </w:t>
      </w:r>
      <w:r w:rsidR="004B0512" w:rsidRPr="004B0512">
        <w:fldChar w:fldCharType="begin" w:fldLock="1"/>
      </w:r>
      <w:r w:rsidR="006E1F09">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2019)","manualFormatting":"Oksanen et al. 2019)","plainTextFormattedCitation":"(Oksanen et al., 2019)","previouslyFormattedCitation":"(Oksanen et al., 2019)"},"properties":{"noteIndex":0},"schema":"https://github.com/citation-style-language/schema/raw/master/csl-citation.json"}</w:instrText>
      </w:r>
      <w:r w:rsidR="004B0512" w:rsidRPr="004B0512">
        <w:fldChar w:fldCharType="separate"/>
      </w:r>
      <w:r w:rsidR="004B0512" w:rsidRPr="004B0512">
        <w:rPr>
          <w:noProof/>
        </w:rPr>
        <w:t xml:space="preserve">Oksanen </w:t>
      </w:r>
      <w:r w:rsidR="004B0512" w:rsidRPr="004B0512">
        <w:rPr>
          <w:i/>
          <w:noProof/>
        </w:rPr>
        <w:t>et al.</w:t>
      </w:r>
      <w:r w:rsidR="004B0512" w:rsidRPr="004B0512">
        <w:rPr>
          <w:noProof/>
        </w:rPr>
        <w:t xml:space="preserve"> 2019)</w:t>
      </w:r>
      <w:r w:rsidR="004B0512" w:rsidRPr="004B0512">
        <w:fldChar w:fldCharType="end"/>
      </w:r>
      <w:r w:rsidR="004B0512" w:rsidRPr="004B0512">
        <w:t xml:space="preserve">. The first used the quantitative Jaccard distance (bacterial community structure) and the second the weighted </w:t>
      </w:r>
      <w:proofErr w:type="spellStart"/>
      <w:r w:rsidR="004B0512" w:rsidRPr="004B0512">
        <w:t>UniFrac</w:t>
      </w:r>
      <w:proofErr w:type="spellEnd"/>
      <w:r w:rsidR="004B0512" w:rsidRPr="004B0512">
        <w:t xml:space="preserve"> distance (bacterial phylogenetic membership) built from rarefied, standardized 16S rRNA data. Model selection was conducted with the ordiR2step function in vegan (permutations=1000). The full scope of the model included the following covariates: sampling date, rainfall exclusion </w:t>
      </w:r>
      <w:r w:rsidR="004B0512" w:rsidRPr="004B0512">
        <w:lastRenderedPageBreak/>
        <w:t xml:space="preserve">treatment, log of phosphorous, log of ammonium, square root of nitrate, the interactions terms between date and all soil abiotic factors, and the interaction terms between rainfall exclusion treatments and all soil abiotic factors. The final </w:t>
      </w:r>
      <w:proofErr w:type="spellStart"/>
      <w:r w:rsidR="004B0512" w:rsidRPr="004B0512">
        <w:t>dbRDA</w:t>
      </w:r>
      <w:proofErr w:type="spellEnd"/>
      <w:r w:rsidR="004B0512" w:rsidRPr="004B0512">
        <w:t xml:space="preserve"> model used to examine differences in bacterial community structure was the quantitative Jaccard distance matrix predicted by rainfall exclusion treatment and the log of </w:t>
      </w:r>
      <w:r w:rsidR="004B0512" w:rsidRPr="004B0512">
        <w:rPr>
          <w:color w:val="000000" w:themeColor="text1"/>
        </w:rPr>
        <w:t xml:space="preserve">phosphorous. The same model scope during model selection was used for the weighted </w:t>
      </w:r>
      <w:proofErr w:type="spellStart"/>
      <w:r w:rsidR="004B0512" w:rsidRPr="004B0512">
        <w:rPr>
          <w:color w:val="000000" w:themeColor="text1"/>
        </w:rPr>
        <w:t>UniFrac</w:t>
      </w:r>
      <w:proofErr w:type="spellEnd"/>
      <w:r w:rsidR="004B0512" w:rsidRPr="004B0512">
        <w:rPr>
          <w:color w:val="000000" w:themeColor="text1"/>
        </w:rPr>
        <w:t xml:space="preserve"> </w:t>
      </w:r>
      <w:proofErr w:type="spellStart"/>
      <w:r w:rsidR="004B0512" w:rsidRPr="004B0512">
        <w:rPr>
          <w:color w:val="000000" w:themeColor="text1"/>
        </w:rPr>
        <w:t>dbRDA</w:t>
      </w:r>
      <w:proofErr w:type="spellEnd"/>
      <w:r w:rsidR="004B0512" w:rsidRPr="004B0512">
        <w:rPr>
          <w:color w:val="000000" w:themeColor="text1"/>
        </w:rPr>
        <w:t xml:space="preserve">. This final </w:t>
      </w:r>
      <w:proofErr w:type="spellStart"/>
      <w:r w:rsidR="004B0512" w:rsidRPr="004B0512">
        <w:rPr>
          <w:color w:val="000000" w:themeColor="text1"/>
        </w:rPr>
        <w:t>dbRDA</w:t>
      </w:r>
      <w:proofErr w:type="spellEnd"/>
      <w:r w:rsidR="004B0512" w:rsidRPr="004B0512">
        <w:rPr>
          <w:color w:val="000000" w:themeColor="text1"/>
        </w:rPr>
        <w:t xml:space="preserve"> model was the weighted </w:t>
      </w:r>
      <w:proofErr w:type="spellStart"/>
      <w:r w:rsidR="004B0512" w:rsidRPr="004B0512">
        <w:rPr>
          <w:color w:val="000000" w:themeColor="text1"/>
        </w:rPr>
        <w:t>UniFrac</w:t>
      </w:r>
      <w:proofErr w:type="spellEnd"/>
      <w:r w:rsidR="004B0512" w:rsidRPr="004B0512">
        <w:rPr>
          <w:color w:val="000000" w:themeColor="text1"/>
        </w:rPr>
        <w:t xml:space="preserve"> distance matrix predicted by rainfall exclusion. For each </w:t>
      </w:r>
      <w:proofErr w:type="spellStart"/>
      <w:r w:rsidR="004B0512" w:rsidRPr="004B0512">
        <w:rPr>
          <w:color w:val="000000" w:themeColor="text1"/>
        </w:rPr>
        <w:t>dbRDA</w:t>
      </w:r>
      <w:proofErr w:type="spellEnd"/>
      <w:r w:rsidR="004B0512" w:rsidRPr="004B0512">
        <w:rPr>
          <w:color w:val="000000" w:themeColor="text1"/>
        </w:rPr>
        <w:t>, we then conducted a permutational analysis on variance (5,000X).</w:t>
      </w:r>
    </w:p>
    <w:p w14:paraId="376E7156" w14:textId="54E4237F" w:rsidR="004B0512" w:rsidRPr="004B0512" w:rsidRDefault="004B0512" w:rsidP="004B0512">
      <w:pPr>
        <w:spacing w:line="360" w:lineRule="auto"/>
      </w:pPr>
      <w:r w:rsidRPr="004B0512">
        <w:rPr>
          <w:color w:val="000000" w:themeColor="text1"/>
        </w:rPr>
        <w:tab/>
        <w:t xml:space="preserve">A Hill number approach to estimate alpha and beta diversity was used to understand the effects of rainfall exclusion treatments, sampling date, and soil abiotic factors on bacterial communities. The effective number of species, from here on referred to as the effective number of ASVs, was calculated for alpha diversity using the d() function in the R package vegetarian (version 1.2; </w:t>
      </w:r>
      <w:r w:rsidRPr="004B0512">
        <w:rPr>
          <w:color w:val="000000" w:themeColor="text1"/>
        </w:rPr>
        <w:fldChar w:fldCharType="begin" w:fldLock="1"/>
      </w:r>
      <w:r w:rsidR="006E1F09">
        <w:rPr>
          <w:color w:val="000000" w:themeColor="text1"/>
        </w:rPr>
        <w:instrText>ADDIN CSL_CITATION {"citationItems":[{"id":"ITEM-1","itemData":{"DOI":"10.2307/1934352","abstract":"Three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 See full-text article at JSTOR","author":[{"dropping-particle":"","family":"Hill","given":"M. O.","non-dropping-particle":"","parse-names":false,"suffix":""}],"container-title":"Ecology","id":"ITEM-1","issue":"2","issued":{"date-parts":[["1973"]]},"page":"427-432","title":"Diversity and Evenness: A Unifying Notation and Its Consequences","type":"article-journal","volume":"54"},"uris":["http://www.mendeley.com/documents/?uuid=f399ee3f-7768-48a0-83a7-c4019a27eec2"]},{"id":"ITEM-2","itemData":{"DOI":"10.1002/ecy.2446","author":[{"dropping-particle":"","family":"Jost","given":"Lou","non-dropping-particle":"","parse-names":false,"suffix":""}],"container-title":"Ecology","id":"ITEM-2","issue":"10","issued":{"date-parts":[["2007"]]},"page":"2427-2439","title":"Partitioning diversity into independent alpha and beta components","type":"article-journal","volume":"88"},"uris":["http://www.mendeley.com/documents/?uuid=1baa75db-c139-4f65-9bad-63066437a161"]},{"id":"ITEM-3","itemData":{"abstract":"Description This package computes diversity for community data sets using the methods outlined by Jost (2006, 2007). While there are differing opinions on the ideal way to calculate diversity (e.g. Magurran 2004), this method offers the advantage of providing diversity numbers equivalents, independent alpha and beta diversities, and the ability to incorporate 'order' (q) as a continuous measure of the importance of rare species in the metrics. The functions provided in this package largely correspond with the equations offered by Jost in the cited papers. The package computes alpha diversities, beta diversities, gamma diversities, and similarity indices. Confidence intervals for diversity measures are calculated using a bootstrap method described by Chao et al. (2008). For datasets with many samples (sites, plots), sim.table creates tables of all pairwise comparisons possible, and for grouped samples sim.groups calculates pairwise combinations of within-and between-group comparisons.","author":[{"dropping-particle":"","family":"Charney","given":"Noah","non-dropping-particle":"","parse-names":false,"suffix":""},{"dropping-particle":"","family":"Record","given":"Sydne","non-dropping-particle":"","parse-names":false,"suffix":""}],"id":"ITEM-3","issued":{"date-parts":[["2012"]]},"title":"vegetarian: Jost Diversity Measures for Community Data, version 1.2","type":"article-journal"},"uris":["http://www.mendeley.com/documents/?uuid=adbc8b35-0de4-40ff-b36c-f1aeed11a995"]}],"mendeley":{"formattedCitation":"(Hill, 1973; Jost, 2007; Charney and Record, 2012)","manualFormatting":"Hill 1973; Jost 2007; Charney &amp; Record 2012)","plainTextFormattedCitation":"(Hill, 1973; Jost, 2007; Charney and Record, 2012)","previouslyFormattedCitation":"(Hill, 1973; Jost, 2007; Charney and Record, 2012)"},"properties":{"noteIndex":0},"schema":"https://github.com/citation-style-language/schema/raw/master/csl-citation.json"}</w:instrText>
      </w:r>
      <w:r w:rsidRPr="004B0512">
        <w:rPr>
          <w:color w:val="000000" w:themeColor="text1"/>
        </w:rPr>
        <w:fldChar w:fldCharType="separate"/>
      </w:r>
      <w:r w:rsidRPr="004B0512">
        <w:rPr>
          <w:noProof/>
          <w:color w:val="000000" w:themeColor="text1"/>
        </w:rPr>
        <w:t>Hill 1973; Jost 2007; Charney &amp; Record 2012)</w:t>
      </w:r>
      <w:r w:rsidRPr="004B0512">
        <w:rPr>
          <w:color w:val="000000" w:themeColor="text1"/>
        </w:rPr>
        <w:fldChar w:fldCharType="end"/>
      </w:r>
      <w:r w:rsidRPr="004B0512">
        <w:rPr>
          <w:color w:val="000000" w:themeColor="text1"/>
        </w:rPr>
        <w:t xml:space="preserve">. </w:t>
      </w:r>
      <w:r w:rsidRPr="004B0512">
        <w:t xml:space="preserve">Here, the balance between rare and common ASVs in the calculation of </w:t>
      </w:r>
      <w:proofErr w:type="spellStart"/>
      <w:r w:rsidRPr="004B0512">
        <w:rPr>
          <w:i/>
          <w:iCs/>
          <w:vertAlign w:val="superscript"/>
        </w:rPr>
        <w:t>q</w:t>
      </w:r>
      <w:r w:rsidRPr="004B0512">
        <w:rPr>
          <w:i/>
          <w:iCs/>
        </w:rPr>
        <w:t>D</w:t>
      </w:r>
      <w:proofErr w:type="spellEnd"/>
      <w:r w:rsidRPr="004B0512">
        <w:rPr>
          <w:i/>
          <w:iCs/>
        </w:rPr>
        <w:t xml:space="preserve"> </w:t>
      </w:r>
      <w:r w:rsidRPr="004B0512">
        <w:t>is represented by the order of diversity (</w:t>
      </w:r>
      <w:r w:rsidRPr="004B0512">
        <w:rPr>
          <w:i/>
          <w:iCs/>
        </w:rPr>
        <w:t>q</w:t>
      </w:r>
      <w:r w:rsidRPr="004B0512">
        <w:t xml:space="preserve">). Alpha and beta diversity were each examined at </w:t>
      </w:r>
      <w:r w:rsidRPr="004B0512">
        <w:rPr>
          <w:i/>
          <w:iCs/>
        </w:rPr>
        <w:t>q</w:t>
      </w:r>
      <w:r w:rsidRPr="004B0512">
        <w:t xml:space="preserve">=0, 1, and 2. Each value of </w:t>
      </w:r>
      <w:r w:rsidRPr="004B0512">
        <w:rPr>
          <w:i/>
          <w:iCs/>
        </w:rPr>
        <w:t>q</w:t>
      </w:r>
      <w:r w:rsidRPr="004B0512">
        <w:t xml:space="preserve"> is represented by a commonly used diversity index used to calculate </w:t>
      </w:r>
      <w:proofErr w:type="spellStart"/>
      <w:r w:rsidRPr="004B0512">
        <w:rPr>
          <w:i/>
          <w:iCs/>
          <w:vertAlign w:val="superscript"/>
        </w:rPr>
        <w:t>q</w:t>
      </w:r>
      <w:r w:rsidRPr="004B0512">
        <w:rPr>
          <w:i/>
          <w:iCs/>
        </w:rPr>
        <w:t>D</w:t>
      </w:r>
      <w:proofErr w:type="spellEnd"/>
      <w:r w:rsidRPr="004B0512">
        <w:rPr>
          <w:i/>
          <w:iCs/>
        </w:rPr>
        <w:t xml:space="preserve">. </w:t>
      </w:r>
      <w:r w:rsidRPr="004B0512">
        <w:t xml:space="preserve">For example, at </w:t>
      </w:r>
      <w:r w:rsidRPr="004B0512">
        <w:rPr>
          <w:i/>
          <w:iCs/>
        </w:rPr>
        <w:t>q</w:t>
      </w:r>
      <w:r w:rsidRPr="004B0512">
        <w:t xml:space="preserve">=0, where rare and common ASVs are weighted equally, therefore ASV richness at this order is calculated in an incidence-based manner. At </w:t>
      </w:r>
      <w:r w:rsidRPr="004B0512">
        <w:rPr>
          <w:i/>
          <w:iCs/>
        </w:rPr>
        <w:t>q</w:t>
      </w:r>
      <w:r w:rsidRPr="004B0512">
        <w:t xml:space="preserve">=1, rare and common ASVs are weighted in proportional abundance, which is the exponential of Shannon’s entropy index. Further, at </w:t>
      </w:r>
      <w:r w:rsidRPr="004B0512">
        <w:rPr>
          <w:i/>
          <w:iCs/>
        </w:rPr>
        <w:t>q</w:t>
      </w:r>
      <w:r w:rsidRPr="004B0512">
        <w:t xml:space="preserve">=2 rare ASVs have been down weighted even further from </w:t>
      </w:r>
      <w:proofErr w:type="spellStart"/>
      <w:r w:rsidRPr="004B0512">
        <w:rPr>
          <w:i/>
          <w:iCs/>
          <w:vertAlign w:val="superscript"/>
        </w:rPr>
        <w:t>q</w:t>
      </w:r>
      <w:r w:rsidRPr="004B0512">
        <w:rPr>
          <w:i/>
          <w:iCs/>
        </w:rPr>
        <w:t>D</w:t>
      </w:r>
      <w:proofErr w:type="spellEnd"/>
      <w:r w:rsidRPr="004B0512">
        <w:rPr>
          <w:i/>
          <w:iCs/>
        </w:rPr>
        <w:t xml:space="preserve">, </w:t>
      </w:r>
      <w:r w:rsidRPr="004B0512">
        <w:t xml:space="preserve">which corresponds to the inverse of the Simpson’s index. </w:t>
      </w:r>
    </w:p>
    <w:p w14:paraId="22FEB255" w14:textId="77777777" w:rsidR="004B0512" w:rsidRPr="004B0512" w:rsidRDefault="004B0512" w:rsidP="004B0512">
      <w:pPr>
        <w:spacing w:line="360" w:lineRule="auto"/>
      </w:pPr>
      <w:r w:rsidRPr="004B0512">
        <w:tab/>
        <w:t xml:space="preserve">Alpha diversity was examined in three ways, first at “Date A” prior to the onset of monsoon rainfall, second at “Date B” after rainfall treatments had been installed for the season, and third the difference in bacterial alpha diversity across the monsoon </w:t>
      </w:r>
      <w:r w:rsidRPr="004B0512">
        <w:rPr>
          <w:color w:val="000000" w:themeColor="text1"/>
        </w:rPr>
        <w:t>season (</w:t>
      </w:r>
      <w:r w:rsidRPr="004B0512">
        <w:rPr>
          <w:color w:val="000000" w:themeColor="text1"/>
          <w:shd w:val="clear" w:color="auto" w:fill="FFFFFF"/>
        </w:rPr>
        <w:t>Δ Richness)</w:t>
      </w:r>
      <w:r w:rsidRPr="004B0512">
        <w:rPr>
          <w:color w:val="000000" w:themeColor="text1"/>
        </w:rPr>
        <w:t xml:space="preserve">. </w:t>
      </w:r>
      <w:r w:rsidRPr="004B0512">
        <w:t xml:space="preserve">Backward model selection was carried out at </w:t>
      </w:r>
      <w:r w:rsidRPr="004B0512">
        <w:rPr>
          <w:i/>
          <w:iCs/>
        </w:rPr>
        <w:t>q</w:t>
      </w:r>
      <w:r w:rsidRPr="004B0512">
        <w:t xml:space="preserve">=0 using the </w:t>
      </w:r>
      <w:proofErr w:type="gramStart"/>
      <w:r w:rsidRPr="004B0512">
        <w:t>step(</w:t>
      </w:r>
      <w:proofErr w:type="gramEnd"/>
      <w:r w:rsidRPr="004B0512">
        <w:t xml:space="preserve">) function in the stats package. The full scope for model selection on alpha diversity at Date A includes phosphorous, ammonium, nitrate, rainfall exclusion treatment and all continuous interactions with rainfall exclusion treatment. Rainfall exclusion treatment was included in model selection to investigate if treatment influenced alpha diversity at Date A by random chance. All continuous variables in this model selection correspond to those taken at Date A. The final model for alpha diversity at Date A was bacterial alpha diversity predicted by ammonium and nitrate. Model selection for </w:t>
      </w:r>
      <w:r w:rsidRPr="004B0512">
        <w:lastRenderedPageBreak/>
        <w:t xml:space="preserve">Date B had the same full scope as Date, except all continuous variables included were measured at Date B. The final model was alpha diversity at Date B predicted by rainfall exclusion treatment, phosphorous, ammonium, </w:t>
      </w:r>
      <w:r w:rsidRPr="004B0512">
        <w:rPr>
          <w:color w:val="000000" w:themeColor="text1"/>
        </w:rPr>
        <w:t xml:space="preserve">and the interaction between rainfall exclusion treatment and phosphorous. Lastly, model selection for </w:t>
      </w:r>
      <w:r w:rsidRPr="004B0512">
        <w:rPr>
          <w:color w:val="000000" w:themeColor="text1"/>
          <w:shd w:val="clear" w:color="auto" w:fill="FFFFFF"/>
        </w:rPr>
        <w:t>Δ Richness included the following covariates</w:t>
      </w:r>
      <w:r w:rsidRPr="004B0512">
        <w:rPr>
          <w:color w:val="000000" w:themeColor="text1"/>
        </w:rPr>
        <w:t xml:space="preserve">: the difference in ammonium, the difference in nitrate, the difference in phosphorous, rainfall exclusion treatment, and all continuous interaction terms between the measured soil abiotic factors and treatment. The final model selected at </w:t>
      </w:r>
      <w:r w:rsidRPr="004B0512">
        <w:rPr>
          <w:i/>
          <w:iCs/>
          <w:color w:val="000000" w:themeColor="text1"/>
        </w:rPr>
        <w:t>q</w:t>
      </w:r>
      <w:r w:rsidRPr="004B0512">
        <w:rPr>
          <w:color w:val="000000" w:themeColor="text1"/>
        </w:rPr>
        <w:t xml:space="preserve">=0 was </w:t>
      </w:r>
      <w:r w:rsidRPr="004B0512">
        <w:rPr>
          <w:color w:val="000000" w:themeColor="text1"/>
          <w:shd w:val="clear" w:color="auto" w:fill="FFFFFF"/>
        </w:rPr>
        <w:t>Δ Richness</w:t>
      </w:r>
      <w:r w:rsidRPr="004B0512">
        <w:rPr>
          <w:color w:val="000000" w:themeColor="text1"/>
        </w:rPr>
        <w:t xml:space="preserve"> predicted </w:t>
      </w:r>
      <w:r w:rsidRPr="004B0512">
        <w:t xml:space="preserve">by the intercept. </w:t>
      </w:r>
    </w:p>
    <w:p w14:paraId="200C224D" w14:textId="43DE8069" w:rsidR="004B0512" w:rsidRPr="004B0512" w:rsidRDefault="004B0512" w:rsidP="004B0512">
      <w:pPr>
        <w:spacing w:line="360" w:lineRule="auto"/>
      </w:pPr>
      <w:r w:rsidRPr="004B0512">
        <w:tab/>
      </w:r>
      <w:r w:rsidRPr="004B0512">
        <w:rPr>
          <w:color w:val="000000" w:themeColor="text1"/>
        </w:rPr>
        <w:t xml:space="preserve">Beta diversity was analyzed in two approaches for each value of </w:t>
      </w:r>
      <w:r w:rsidRPr="004B0512">
        <w:rPr>
          <w:i/>
          <w:iCs/>
          <w:color w:val="000000" w:themeColor="text1"/>
        </w:rPr>
        <w:t>q</w:t>
      </w:r>
      <w:r w:rsidRPr="004B0512">
        <w:rPr>
          <w:color w:val="000000" w:themeColor="text1"/>
        </w:rPr>
        <w:t xml:space="preserve">. The </w:t>
      </w:r>
      <w:r w:rsidRPr="004B0512">
        <w:t xml:space="preserve">first approach used </w:t>
      </w:r>
      <w:proofErr w:type="spellStart"/>
      <w:r w:rsidRPr="004B0512">
        <w:t>betadisper</w:t>
      </w:r>
      <w:proofErr w:type="spellEnd"/>
      <w:r w:rsidRPr="004B0512">
        <w:t xml:space="preserve">, which is a multivariate approach to a </w:t>
      </w:r>
      <w:proofErr w:type="spellStart"/>
      <w:r w:rsidRPr="004B0512">
        <w:t>Levene’s</w:t>
      </w:r>
      <w:proofErr w:type="spellEnd"/>
      <w:r w:rsidRPr="004B0512">
        <w:t xml:space="preserve"> Test. </w:t>
      </w:r>
      <w:proofErr w:type="spellStart"/>
      <w:r w:rsidRPr="004B0512">
        <w:t>Betadisper</w:t>
      </w:r>
      <w:proofErr w:type="spellEnd"/>
      <w:r w:rsidRPr="004B0512">
        <w:t xml:space="preserve"> analyzed the variation in sample dispersion from the group centroid (the median) among groups. This method has been described as a proxy for beta diversity </w:t>
      </w:r>
      <w:r w:rsidRPr="004B0512">
        <w:fldChar w:fldCharType="begin" w:fldLock="1"/>
      </w:r>
      <w:r w:rsidR="006E1F09">
        <w:instrText>ADDIN CSL_CITATION {"citationItems":[{"id":"ITEM-1","itemData":{"DOI":"10.1111/j.1461-0248.2006.00926.x","ISSN":"1461023X","abstract":"Beta diversity can be defined as the variability in species composition among sampling units for a given area. We propose that it can be measured as the average dissimilarity from individual observation units to their group centroid in multivariate space, using an appropriate dissimilarity measure. Differences in beta diversity among different areas or groups of samples can be tested using this approach. The choice of transformation and dissimilarity measure has important consequences for interpreting results. For kelp holdfast assemblages from New Zealand, variation in species composition was greater in smaller holdfasts, while variation in relative abundances was greater in larger holdasts. Variation in community structure of Norwegian continental shelf macrobenthic fauna increased with increases in environmental heterogeneity, regardless of the measure used. We propose a new dissimilarity measure which allows the relative weight placed on changes in composition vs. abundance to be specified explicitly.","author":[{"dropping-particle":"","family":"Anderson","given":"Marti J.","non-dropping-particle":"","parse-names":false,"suffix":""},{"dropping-particle":"","family":"Ellingsen","given":"Kari E.","non-dropping-particle":"","parse-names":false,"suffix":""},{"dropping-particle":"","family":"McArdle","given":"Brian H.","non-dropping-particle":"","parse-names":false,"suffix":""}],"container-title":"Ecology Letters","id":"ITEM-1","issue":"6","issued":{"date-parts":[["2006"]]},"page":"683-693","title":"Multivariate dispersion as a measure of beta diversity","type":"article-journal","volume":"9"},"uris":["http://www.mendeley.com/documents/?uuid=183df7a4-9a0a-466e-a6a6-e7819f813850"]}],"mendeley":{"formattedCitation":"(Anderson et al., 2006)","plainTextFormattedCitation":"(Anderson et al., 2006)","previouslyFormattedCitation":"(Anderson et al., 2006)"},"properties":{"noteIndex":0},"schema":"https://github.com/citation-style-language/schema/raw/master/csl-citation.json"}</w:instrText>
      </w:r>
      <w:r w:rsidRPr="004B0512">
        <w:fldChar w:fldCharType="separate"/>
      </w:r>
      <w:r w:rsidR="00CE6085" w:rsidRPr="00CE6085">
        <w:rPr>
          <w:noProof/>
        </w:rPr>
        <w:t>(Anderson et al., 2006)</w:t>
      </w:r>
      <w:r w:rsidRPr="004B0512">
        <w:fldChar w:fldCharType="end"/>
      </w:r>
      <w:r w:rsidRPr="004B0512">
        <w:t xml:space="preserve">. The homogeneity of group dispersion was analyzed for rainfall exclusion treatments and seasonality independently. Distances to the group centroid were created using </w:t>
      </w:r>
      <w:proofErr w:type="spellStart"/>
      <w:r w:rsidRPr="004B0512">
        <w:t>betadisper</w:t>
      </w:r>
      <w:proofErr w:type="spellEnd"/>
      <w:r w:rsidRPr="004B0512">
        <w:t xml:space="preserve"> and then fed into a linear model where they were predicted by either rainfall exclusion treatment or sampling date. An analysis of variance was conducted on the distances to the centroid to determine if there were any significant differences in variance among treatments or dates. </w:t>
      </w:r>
      <w:r w:rsidRPr="004B0512">
        <w:rPr>
          <w:color w:val="000000" w:themeColor="text1"/>
        </w:rPr>
        <w:t xml:space="preserve">The second method </w:t>
      </w:r>
      <w:r w:rsidRPr="004B0512">
        <w:t xml:space="preserve">used </w:t>
      </w:r>
      <w:proofErr w:type="spellStart"/>
      <w:r w:rsidRPr="004B0512">
        <w:t>dbRDAs</w:t>
      </w:r>
      <w:proofErr w:type="spellEnd"/>
      <w:r w:rsidRPr="004B0512">
        <w:t xml:space="preserve"> to test the effects of rainfall exclusion treatments and soil abiotic factors on pairwise community turnover.</w:t>
      </w:r>
      <w:r w:rsidRPr="004B0512">
        <w:rPr>
          <w:color w:val="000000" w:themeColor="text1"/>
        </w:rPr>
        <w:t xml:space="preserve"> Proportional change in community turnover was calculated as 1 – pairwise (Between Date A and Date B) beta diversity for each rhizosphere sample. These were then represented as pairwise distance matrices pre order of diversity.</w:t>
      </w:r>
      <w:r w:rsidRPr="004B0512">
        <w:t xml:space="preserve"> </w:t>
      </w:r>
      <w:r w:rsidRPr="004B0512">
        <w:rPr>
          <w:color w:val="000000" w:themeColor="text1"/>
        </w:rPr>
        <w:t xml:space="preserve">Model selection was conducted at </w:t>
      </w:r>
      <w:r w:rsidRPr="004B0512">
        <w:rPr>
          <w:i/>
          <w:iCs/>
          <w:color w:val="000000" w:themeColor="text1"/>
        </w:rPr>
        <w:t>q</w:t>
      </w:r>
      <w:r w:rsidRPr="004B0512">
        <w:rPr>
          <w:color w:val="000000" w:themeColor="text1"/>
        </w:rPr>
        <w:t xml:space="preserve">=0 with ordiR2step (permutations=1000), and the full scope of the model was the same as that of the </w:t>
      </w:r>
      <w:proofErr w:type="spellStart"/>
      <w:r w:rsidRPr="004B0512">
        <w:rPr>
          <w:color w:val="000000" w:themeColor="text1"/>
        </w:rPr>
        <w:t>dbRDAs</w:t>
      </w:r>
      <w:proofErr w:type="spellEnd"/>
      <w:r w:rsidRPr="004B0512">
        <w:rPr>
          <w:color w:val="000000" w:themeColor="text1"/>
        </w:rPr>
        <w:t xml:space="preserve"> conducted on the quantitative Jaccard and weighted </w:t>
      </w:r>
      <w:proofErr w:type="spellStart"/>
      <w:r w:rsidRPr="004B0512">
        <w:rPr>
          <w:color w:val="000000" w:themeColor="text1"/>
        </w:rPr>
        <w:t>UniFrac</w:t>
      </w:r>
      <w:proofErr w:type="spellEnd"/>
      <w:r w:rsidRPr="004B0512">
        <w:rPr>
          <w:color w:val="000000" w:themeColor="text1"/>
        </w:rPr>
        <w:t xml:space="preserve"> distances. The final model was pairwise community turnover predicted by rainfall exclusion treatments, the log of phosphorous, and sampling date. A permutational analysis of variance (5000X) was conducted on each </w:t>
      </w:r>
      <w:proofErr w:type="spellStart"/>
      <w:r w:rsidRPr="004B0512">
        <w:rPr>
          <w:color w:val="000000" w:themeColor="text1"/>
        </w:rPr>
        <w:t>dbRDA</w:t>
      </w:r>
      <w:proofErr w:type="spellEnd"/>
      <w:r w:rsidRPr="004B0512">
        <w:rPr>
          <w:color w:val="000000" w:themeColor="text1"/>
        </w:rPr>
        <w:t xml:space="preserve"> per value of </w:t>
      </w:r>
      <w:r w:rsidRPr="004B0512">
        <w:rPr>
          <w:i/>
          <w:iCs/>
          <w:color w:val="000000" w:themeColor="text1"/>
        </w:rPr>
        <w:t>q</w:t>
      </w:r>
      <w:r w:rsidRPr="004B0512">
        <w:rPr>
          <w:color w:val="000000" w:themeColor="text1"/>
        </w:rPr>
        <w:t xml:space="preserve">. </w:t>
      </w:r>
    </w:p>
    <w:p w14:paraId="6FBE9138" w14:textId="07B269F4" w:rsidR="00B863BB" w:rsidRPr="004B0512" w:rsidRDefault="004B0512" w:rsidP="004B0512">
      <w:pPr>
        <w:spacing w:line="360" w:lineRule="auto"/>
      </w:pPr>
      <w:r w:rsidRPr="004B0512">
        <w:tab/>
        <w:t xml:space="preserve">An indicator species analysis was conducted using a group equalized point biserial correlation index. This was permuted 50,000 times with the function </w:t>
      </w:r>
      <w:proofErr w:type="spellStart"/>
      <w:r w:rsidRPr="004B0512">
        <w:t>multipatt</w:t>
      </w:r>
      <w:proofErr w:type="spellEnd"/>
      <w:r w:rsidRPr="004B0512">
        <w:t xml:space="preserve"> in the </w:t>
      </w:r>
      <w:proofErr w:type="spellStart"/>
      <w:r w:rsidRPr="004B0512">
        <w:t>indicspecies</w:t>
      </w:r>
      <w:proofErr w:type="spellEnd"/>
      <w:r w:rsidRPr="004B0512">
        <w:t xml:space="preserve"> R package </w:t>
      </w:r>
      <w:r w:rsidRPr="004B0512">
        <w:fldChar w:fldCharType="begin" w:fldLock="1"/>
      </w:r>
      <w:r w:rsidR="006E1F09">
        <w:instrText>ADDIN CSL_CITATION {"citationItems":[{"id":"ITEM-1","itemData":{"author":[{"dropping-particle":"","family":"Caceres","given":"M","non-dropping-particle":"De","parse-names":false,"suffix":""},{"dropping-particle":"","family":"Legendre","given":"Pierre","non-dropping-particle":"","parse-names":false,"suffix":""}],"container-title":"Ecology","id":"ITEM-1","issue":"12","issued":{"date-parts":[["2009"]]},"page":"3566-3574","title":"Associations between species and groups of sites: indices and statistical inference. Ecology, URL http://sites.google.com/site/miqueldecaceres/","type":"article-journal","volume":"90"},"uris":["http://www.mendeley.com/documents/?uuid=155611f4-89a7-4f62-a10b-5153e40175a6"]}],"mendeley":{"formattedCitation":"(De Caceres and Legendre, 2009)","plainTextFormattedCitation":"(De Caceres and Legendre, 2009)","previouslyFormattedCitation":"(De Caceres and Legendre, 2009)"},"properties":{"noteIndex":0},"schema":"https://github.com/citation-style-language/schema/raw/master/csl-citation.json"}</w:instrText>
      </w:r>
      <w:r w:rsidRPr="004B0512">
        <w:fldChar w:fldCharType="separate"/>
      </w:r>
      <w:r w:rsidR="00CE6085" w:rsidRPr="00CE6085">
        <w:rPr>
          <w:noProof/>
        </w:rPr>
        <w:t>(De Caceres and Legendre, 2009)</w:t>
      </w:r>
      <w:r w:rsidRPr="004B0512">
        <w:fldChar w:fldCharType="end"/>
      </w:r>
      <w:r w:rsidRPr="004B0512">
        <w:t xml:space="preserve">. An indicator species analysis will show which groups of bacteria are more strongly associated with the different rainfall exclusion treatments represented in </w:t>
      </w:r>
      <w:r w:rsidR="005355D9">
        <w:rPr>
          <w:b/>
          <w:bCs/>
        </w:rPr>
        <w:t>Figure</w:t>
      </w:r>
      <w:r w:rsidRPr="004B0512">
        <w:rPr>
          <w:b/>
          <w:bCs/>
        </w:rPr>
        <w:t xml:space="preserve"> </w:t>
      </w:r>
      <w:r w:rsidR="00CE6085">
        <w:rPr>
          <w:b/>
          <w:bCs/>
        </w:rPr>
        <w:t>8</w:t>
      </w:r>
      <w:r w:rsidRPr="004B0512">
        <w:t xml:space="preserve">. The rainfall exclusion treatment indicator analysis was performed on </w:t>
      </w:r>
      <w:r w:rsidRPr="004B0512">
        <w:lastRenderedPageBreak/>
        <w:t>data only associated with Date B, since Date A was used as a baseline estimate for communities and rhizosphere properties.</w:t>
      </w:r>
    </w:p>
    <w:p w14:paraId="5BC05FAE" w14:textId="00B3203D" w:rsidR="00B863BB" w:rsidRDefault="00B863BB" w:rsidP="0094464E">
      <w:pPr>
        <w:pStyle w:val="Heading2"/>
        <w:spacing w:line="360" w:lineRule="auto"/>
      </w:pPr>
      <w:bookmarkStart w:id="52" w:name="_Toc102048016"/>
      <w:r>
        <w:t>R</w:t>
      </w:r>
      <w:r w:rsidR="0057074B">
        <w:t>esults</w:t>
      </w:r>
      <w:bookmarkEnd w:id="52"/>
    </w:p>
    <w:p w14:paraId="64C807AD" w14:textId="3905E0B6" w:rsidR="00B863BB" w:rsidRDefault="00461549" w:rsidP="0094464E">
      <w:pPr>
        <w:spacing w:line="360" w:lineRule="auto"/>
      </w:pPr>
      <w:r>
        <w:tab/>
      </w:r>
      <w:r w:rsidR="00D66F25">
        <w:t xml:space="preserve">After running the DADA2 customized pipeline as described above, a total of 48,166 ASVs were generated for the bacterial community dataset. The most frequently detected bacterial phyla </w:t>
      </w:r>
      <w:r w:rsidR="00D66F25" w:rsidRPr="003C4291">
        <w:t xml:space="preserve">were </w:t>
      </w:r>
      <w:r w:rsidR="00D66F25" w:rsidRPr="00B66230">
        <w:t>Proteobacteria</w:t>
      </w:r>
      <w:r w:rsidR="00D66F25" w:rsidRPr="003C4291">
        <w:t xml:space="preserve"> (40%), </w:t>
      </w:r>
      <w:r w:rsidR="00D66F25" w:rsidRPr="00B66230">
        <w:t>Actinobacteria</w:t>
      </w:r>
      <w:r w:rsidR="00D66F25" w:rsidRPr="003C4291">
        <w:t xml:space="preserve"> (25%), </w:t>
      </w:r>
      <w:proofErr w:type="spellStart"/>
      <w:r w:rsidR="00D66F25" w:rsidRPr="00B66230">
        <w:t>Acidobacteria</w:t>
      </w:r>
      <w:proofErr w:type="spellEnd"/>
      <w:r w:rsidR="00D66F25" w:rsidRPr="003C4291">
        <w:t xml:space="preserve"> (11%), </w:t>
      </w:r>
      <w:r w:rsidR="00D66F25" w:rsidRPr="00B66230">
        <w:t>Bacteroidetes</w:t>
      </w:r>
      <w:r w:rsidR="00D66F25" w:rsidRPr="003C4291">
        <w:t xml:space="preserve"> (6%), and </w:t>
      </w:r>
      <w:proofErr w:type="spellStart"/>
      <w:r w:rsidR="00D66F25" w:rsidRPr="00B66230">
        <w:t>Verrucomicrobiae</w:t>
      </w:r>
      <w:proofErr w:type="spellEnd"/>
      <w:r w:rsidR="00D66F25">
        <w:t xml:space="preserve"> (5%) prior to the implementation of rainfall exclusion treatments. </w:t>
      </w:r>
      <w:r w:rsidR="00D66F25" w:rsidRPr="00B66230">
        <w:t>Planctomycetes</w:t>
      </w:r>
      <w:r w:rsidR="00D66F25" w:rsidRPr="003C4291">
        <w:t xml:space="preserve"> and </w:t>
      </w:r>
      <w:r w:rsidR="00D66F25" w:rsidRPr="00B66230">
        <w:t>Firmicutes</w:t>
      </w:r>
      <w:r w:rsidR="00D66F25" w:rsidRPr="003C4291">
        <w:t xml:space="preserve"> represented 7% and 1% of phyla recovered via the </w:t>
      </w:r>
      <w:proofErr w:type="spellStart"/>
      <w:r w:rsidR="00D66F25" w:rsidRPr="003C4291">
        <w:t>MiSeq</w:t>
      </w:r>
      <w:proofErr w:type="spellEnd"/>
      <w:r w:rsidR="00D66F25" w:rsidRPr="003C4291">
        <w:t xml:space="preserve"> run. The most highly abundant bacterial family recovered is, </w:t>
      </w:r>
      <w:proofErr w:type="spellStart"/>
      <w:r w:rsidR="00D66F25" w:rsidRPr="00B66230">
        <w:t>Xanthobacteraceae</w:t>
      </w:r>
      <w:proofErr w:type="spellEnd"/>
      <w:r w:rsidR="00D66F25">
        <w:t xml:space="preserve">, an </w:t>
      </w:r>
      <w:proofErr w:type="spellStart"/>
      <w:r w:rsidR="00D66F25" w:rsidRPr="00B66230">
        <w:t>Alphaproteobacteria</w:t>
      </w:r>
      <w:proofErr w:type="spellEnd"/>
      <w:r w:rsidR="00D66F25" w:rsidRPr="003C4291">
        <w:t xml:space="preserve">, making up 15% of all 16S rRNA sequencing reads. The next most abundant bacterial families are </w:t>
      </w:r>
      <w:proofErr w:type="spellStart"/>
      <w:r w:rsidR="00D66F25" w:rsidRPr="00B66230">
        <w:t>Burkholdieraceae</w:t>
      </w:r>
      <w:proofErr w:type="spellEnd"/>
      <w:r w:rsidR="00D66F25" w:rsidRPr="003C4291">
        <w:t xml:space="preserve"> (4%), </w:t>
      </w:r>
      <w:proofErr w:type="spellStart"/>
      <w:r w:rsidR="00D66F25" w:rsidRPr="00B66230">
        <w:t>Beijerincklaceae</w:t>
      </w:r>
      <w:proofErr w:type="spellEnd"/>
      <w:r w:rsidR="00D66F25" w:rsidRPr="003C4291">
        <w:t xml:space="preserve"> (3%), and </w:t>
      </w:r>
      <w:proofErr w:type="spellStart"/>
      <w:r w:rsidR="00D66F25" w:rsidRPr="00B66230">
        <w:t>Micromonosporaceae</w:t>
      </w:r>
      <w:proofErr w:type="spellEnd"/>
      <w:r w:rsidR="00D66F25">
        <w:t xml:space="preserve"> (3%). Lastly, at a finer taxonomic level, the most enriched genus is </w:t>
      </w:r>
      <w:r w:rsidR="00D66F25" w:rsidRPr="006C3768">
        <w:rPr>
          <w:i/>
          <w:iCs/>
        </w:rPr>
        <w:t>Nitrobacter</w:t>
      </w:r>
      <w:r w:rsidR="00D66F25">
        <w:t xml:space="preserve"> comprising of 10% of total reads. </w:t>
      </w:r>
    </w:p>
    <w:p w14:paraId="78D3C62A" w14:textId="4B51E5F6" w:rsidR="00B863BB" w:rsidRPr="006C3768" w:rsidRDefault="001802B6" w:rsidP="0094464E">
      <w:pPr>
        <w:pStyle w:val="Heading3"/>
      </w:pPr>
      <w:bookmarkStart w:id="53" w:name="_Toc102048017"/>
      <w:r>
        <w:t>Community structure and phylogenetic membership were influenced by rainfall exclusion</w:t>
      </w:r>
      <w:bookmarkEnd w:id="53"/>
      <w:r w:rsidR="00B863BB">
        <w:t xml:space="preserve"> </w:t>
      </w:r>
    </w:p>
    <w:p w14:paraId="50D09E48" w14:textId="66C0D296" w:rsidR="00DB6615" w:rsidRDefault="00461549" w:rsidP="00DB6615">
      <w:pPr>
        <w:spacing w:line="360" w:lineRule="auto"/>
      </w:pPr>
      <w:r>
        <w:tab/>
      </w:r>
      <w:r w:rsidR="00CB0A6C">
        <w:t xml:space="preserve">To address how bacterial community structure and phylogenetical membership differed among rainfall exclusion treatments, sampling date, and soil abiotic factors two </w:t>
      </w:r>
      <w:proofErr w:type="spellStart"/>
      <w:r w:rsidR="00CB0A6C">
        <w:t>dbRDAs</w:t>
      </w:r>
      <w:proofErr w:type="spellEnd"/>
      <w:r w:rsidR="00CB0A6C">
        <w:t xml:space="preserve"> were conducted. The final model was the quantitative Jaccard predicted by rainfall exclusion treatment and the log of phosphorous. </w:t>
      </w:r>
      <w:r w:rsidR="00CB0A6C">
        <w:rPr>
          <w:color w:val="000000" w:themeColor="text1"/>
        </w:rPr>
        <w:t xml:space="preserve">The constrained axes explained 3.14% of </w:t>
      </w:r>
      <w:r w:rsidR="00CB0A6C" w:rsidRPr="00B110F2">
        <w:rPr>
          <w:color w:val="000000" w:themeColor="text1"/>
        </w:rPr>
        <w:t xml:space="preserve">total variation in bacterial community structure. The two most explanatory constrained axes </w:t>
      </w:r>
      <w:r w:rsidR="00CB0A6C">
        <w:rPr>
          <w:color w:val="000000" w:themeColor="text1"/>
        </w:rPr>
        <w:t>accounted for</w:t>
      </w:r>
      <w:r w:rsidR="00CB0A6C" w:rsidRPr="00B110F2">
        <w:rPr>
          <w:color w:val="000000" w:themeColor="text1"/>
        </w:rPr>
        <w:t xml:space="preserve"> </w:t>
      </w:r>
      <w:r w:rsidR="00CB0A6C">
        <w:rPr>
          <w:color w:val="000000" w:themeColor="text1"/>
        </w:rPr>
        <w:t>42.42</w:t>
      </w:r>
      <w:r w:rsidR="00CB0A6C" w:rsidRPr="00B110F2">
        <w:rPr>
          <w:color w:val="000000" w:themeColor="text1"/>
        </w:rPr>
        <w:t xml:space="preserve">% and </w:t>
      </w:r>
      <w:r w:rsidR="00CB0A6C">
        <w:rPr>
          <w:color w:val="000000" w:themeColor="text1"/>
        </w:rPr>
        <w:t>30.68</w:t>
      </w:r>
      <w:r w:rsidR="00CB0A6C" w:rsidRPr="00B110F2">
        <w:rPr>
          <w:color w:val="000000" w:themeColor="text1"/>
        </w:rPr>
        <w:t xml:space="preserve">% of the </w:t>
      </w:r>
      <w:r w:rsidR="00CB0A6C">
        <w:rPr>
          <w:color w:val="000000" w:themeColor="text1"/>
        </w:rPr>
        <w:t>3.14</w:t>
      </w:r>
      <w:r w:rsidR="00CB0A6C" w:rsidRPr="00B110F2">
        <w:rPr>
          <w:color w:val="000000" w:themeColor="text1"/>
        </w:rPr>
        <w:t>% in total variation explained</w:t>
      </w:r>
      <w:r w:rsidR="00CB0A6C">
        <w:rPr>
          <w:color w:val="000000" w:themeColor="text1"/>
        </w:rPr>
        <w:t xml:space="preserve"> by the model</w:t>
      </w:r>
      <w:r w:rsidR="00CB0A6C" w:rsidRPr="00B110F2">
        <w:rPr>
          <w:color w:val="000000" w:themeColor="text1"/>
        </w:rPr>
        <w:t xml:space="preserve">. </w:t>
      </w:r>
      <w:r w:rsidR="00CB0A6C">
        <w:rPr>
          <w:color w:val="000000" w:themeColor="text1"/>
        </w:rPr>
        <w:t>The permutational ANOVA ran on this model showed that bacterial community structure significantly varied</w:t>
      </w:r>
      <w:r w:rsidR="00CB0A6C" w:rsidRPr="004E63FD">
        <w:rPr>
          <w:color w:val="000000" w:themeColor="text1"/>
        </w:rPr>
        <w:t xml:space="preserve"> among rainfall exclusion treatments (p&lt;0.001) and the log of phosphorous (p&lt;0.01). A principal coordinate analysis show</w:t>
      </w:r>
      <w:r w:rsidR="00CB0A6C">
        <w:rPr>
          <w:color w:val="000000" w:themeColor="text1"/>
        </w:rPr>
        <w:t>ed</w:t>
      </w:r>
      <w:r w:rsidR="00CB0A6C" w:rsidRPr="004E63FD">
        <w:rPr>
          <w:color w:val="000000" w:themeColor="text1"/>
        </w:rPr>
        <w:t xml:space="preserve"> distinctive clustering among rainfall exclusion treatments on axes 1 and 2 (</w:t>
      </w:r>
      <w:r w:rsidR="005355D9">
        <w:rPr>
          <w:b/>
          <w:bCs/>
          <w:color w:val="000000" w:themeColor="text1"/>
        </w:rPr>
        <w:t>Figure</w:t>
      </w:r>
      <w:r w:rsidR="00CB0A6C">
        <w:rPr>
          <w:b/>
          <w:bCs/>
          <w:color w:val="000000" w:themeColor="text1"/>
        </w:rPr>
        <w:t xml:space="preserve"> </w:t>
      </w:r>
      <w:r w:rsidR="0094464E">
        <w:rPr>
          <w:b/>
          <w:bCs/>
          <w:color w:val="000000" w:themeColor="text1"/>
        </w:rPr>
        <w:t>9</w:t>
      </w:r>
      <w:r w:rsidR="00CB0A6C" w:rsidRPr="004E63FD">
        <w:rPr>
          <w:color w:val="000000" w:themeColor="text1"/>
        </w:rPr>
        <w:t xml:space="preserve">). </w:t>
      </w:r>
      <w:r w:rsidR="00CB0A6C">
        <w:rPr>
          <w:color w:val="000000" w:themeColor="text1"/>
        </w:rPr>
        <w:t xml:space="preserve">Per treatment, bacterial communities by the end of the monsoon season differ relative to initial community estimates. </w:t>
      </w:r>
      <w:r w:rsidR="00CB0A6C" w:rsidRPr="00B110F2">
        <w:rPr>
          <w:color w:val="000000" w:themeColor="text1"/>
        </w:rPr>
        <w:t xml:space="preserve">To test the differences in phylogenetic membership </w:t>
      </w:r>
      <w:r w:rsidR="00CB0A6C">
        <w:rPr>
          <w:color w:val="000000" w:themeColor="text1"/>
        </w:rPr>
        <w:t>among</w:t>
      </w:r>
      <w:r w:rsidR="00CB0A6C" w:rsidRPr="00B110F2">
        <w:rPr>
          <w:color w:val="000000" w:themeColor="text1"/>
        </w:rPr>
        <w:t xml:space="preserve"> rainfall exclusion treatment</w:t>
      </w:r>
      <w:r w:rsidR="00CB0A6C">
        <w:rPr>
          <w:color w:val="000000" w:themeColor="text1"/>
        </w:rPr>
        <w:t>s</w:t>
      </w:r>
      <w:r w:rsidR="00CB0A6C" w:rsidRPr="00B110F2">
        <w:rPr>
          <w:color w:val="000000" w:themeColor="text1"/>
        </w:rPr>
        <w:t xml:space="preserve">, we ran a </w:t>
      </w:r>
      <w:proofErr w:type="spellStart"/>
      <w:r w:rsidR="00CB0A6C">
        <w:rPr>
          <w:color w:val="000000" w:themeColor="text1"/>
        </w:rPr>
        <w:t>dbRDA</w:t>
      </w:r>
      <w:proofErr w:type="spellEnd"/>
      <w:r w:rsidR="00CB0A6C" w:rsidRPr="00B110F2">
        <w:rPr>
          <w:color w:val="000000" w:themeColor="text1"/>
        </w:rPr>
        <w:t xml:space="preserve"> with a weighted </w:t>
      </w:r>
      <w:proofErr w:type="spellStart"/>
      <w:r w:rsidR="00CB0A6C" w:rsidRPr="00B110F2">
        <w:rPr>
          <w:color w:val="000000" w:themeColor="text1"/>
        </w:rPr>
        <w:t>UniFrac</w:t>
      </w:r>
      <w:proofErr w:type="spellEnd"/>
      <w:r w:rsidR="00CB0A6C" w:rsidRPr="00B110F2">
        <w:rPr>
          <w:color w:val="000000" w:themeColor="text1"/>
        </w:rPr>
        <w:t xml:space="preserve"> distance matrix as the response variable. </w:t>
      </w:r>
      <w:r w:rsidR="00CB0A6C" w:rsidRPr="00B110F2">
        <w:t xml:space="preserve">Constrained axes explained </w:t>
      </w:r>
      <w:r w:rsidR="00CB0A6C">
        <w:t>4.24</w:t>
      </w:r>
      <w:r w:rsidR="00CB0A6C" w:rsidRPr="00B110F2">
        <w:t xml:space="preserve">% of total variation in bacterial </w:t>
      </w:r>
      <w:r w:rsidR="00CB0A6C">
        <w:t>phylogenetic membership</w:t>
      </w:r>
      <w:r w:rsidR="00CB0A6C" w:rsidRPr="00B110F2">
        <w:t>. Axes 1 and axes 2 explained 8</w:t>
      </w:r>
      <w:r w:rsidR="00CB0A6C">
        <w:t>3</w:t>
      </w:r>
      <w:r w:rsidR="00CB0A6C" w:rsidRPr="00B110F2">
        <w:t>.</w:t>
      </w:r>
      <w:r w:rsidR="00CB0A6C">
        <w:t>26</w:t>
      </w:r>
      <w:r w:rsidR="00CB0A6C" w:rsidRPr="00B110F2">
        <w:t>% and 1</w:t>
      </w:r>
      <w:r w:rsidR="00CB0A6C">
        <w:t>6.74</w:t>
      </w:r>
      <w:r w:rsidR="00CB0A6C" w:rsidRPr="00B110F2">
        <w:t xml:space="preserve">% of the </w:t>
      </w:r>
      <w:r w:rsidR="00CB0A6C">
        <w:t>4.24</w:t>
      </w:r>
      <w:r w:rsidR="00CB0A6C" w:rsidRPr="00B110F2">
        <w:t xml:space="preserve">% in total variation </w:t>
      </w:r>
      <w:r w:rsidR="00CB0A6C">
        <w:t>of bacterial phylogenetic membership</w:t>
      </w:r>
      <w:r w:rsidR="00CB0A6C" w:rsidRPr="00B110F2">
        <w:t xml:space="preserve">. </w:t>
      </w:r>
      <w:r w:rsidR="00CB0A6C">
        <w:t xml:space="preserve">There was an observed difference in bacterial phylogenetic membership among rainfall treatments (p&lt;0.05) with </w:t>
      </w:r>
      <w:r w:rsidR="00CB0A6C" w:rsidRPr="00437660">
        <w:t xml:space="preserve">moderate and high rainfall exclusions </w:t>
      </w:r>
      <w:r w:rsidR="00DB6615">
        <w:br w:type="page"/>
      </w:r>
      <w:r w:rsidR="00DB6615">
        <w:rPr>
          <w:noProof/>
        </w:rPr>
        <w:lastRenderedPageBreak/>
        <w:drawing>
          <wp:inline distT="0" distB="0" distL="0" distR="0" wp14:anchorId="0217BC60" wp14:editId="63A25C6E">
            <wp:extent cx="5134354" cy="5075339"/>
            <wp:effectExtent l="0" t="0" r="0" b="5080"/>
            <wp:docPr id="4"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21">
                      <a:extLst>
                        <a:ext uri="{28A0092B-C50C-407E-A947-70E740481C1C}">
                          <a14:useLocalDpi xmlns:a14="http://schemas.microsoft.com/office/drawing/2010/main" val="0"/>
                        </a:ext>
                      </a:extLst>
                    </a:blip>
                    <a:srcRect b="980"/>
                    <a:stretch/>
                  </pic:blipFill>
                  <pic:spPr bwMode="auto">
                    <a:xfrm>
                      <a:off x="0" y="0"/>
                      <a:ext cx="5141667" cy="5082568"/>
                    </a:xfrm>
                    <a:prstGeom prst="rect">
                      <a:avLst/>
                    </a:prstGeom>
                    <a:ln>
                      <a:noFill/>
                    </a:ln>
                    <a:extLst>
                      <a:ext uri="{53640926-AAD7-44D8-BBD7-CCE9431645EC}">
                        <a14:shadowObscured xmlns:a14="http://schemas.microsoft.com/office/drawing/2010/main"/>
                      </a:ext>
                    </a:extLst>
                  </pic:spPr>
                </pic:pic>
              </a:graphicData>
            </a:graphic>
          </wp:inline>
        </w:drawing>
      </w:r>
    </w:p>
    <w:p w14:paraId="6E5519BA" w14:textId="77777777" w:rsidR="00DB6615" w:rsidRDefault="00DB6615" w:rsidP="00DB6615">
      <w:pPr>
        <w:pStyle w:val="Caption"/>
      </w:pPr>
      <w:bookmarkStart w:id="54" w:name="_Toc102046879"/>
      <w:r w:rsidRPr="00E04EB8">
        <w:t>Figure 9. A</w:t>
      </w:r>
      <w:r>
        <w:t xml:space="preserve"> principal coordinate analysis from the </w:t>
      </w:r>
      <w:proofErr w:type="spellStart"/>
      <w:r>
        <w:t>dbRDA</w:t>
      </w:r>
      <w:proofErr w:type="spellEnd"/>
      <w:r>
        <w:t xml:space="preserve"> describing dissimilarity of bacterial community structure as a function of rainfall exclusion treatment and the log of phosphorous.</w:t>
      </w:r>
      <w:bookmarkEnd w:id="54"/>
      <w:r>
        <w:t xml:space="preserve"> </w:t>
      </w:r>
    </w:p>
    <w:p w14:paraId="51C8F226" w14:textId="77777777" w:rsidR="00DB6615" w:rsidRPr="00F62254" w:rsidRDefault="00DB6615" w:rsidP="00DB6615">
      <w:pPr>
        <w:rPr>
          <w:sz w:val="20"/>
          <w:szCs w:val="20"/>
        </w:rPr>
      </w:pPr>
      <w:r w:rsidRPr="00F62254">
        <w:rPr>
          <w:sz w:val="20"/>
          <w:szCs w:val="20"/>
        </w:rPr>
        <w:t>Figure 9 footnote. Colors here represent the median centroid of each treatment in multivariate space whereby black, teal, and pink correspond to the control, moderate rainfall exclusion, and high rainfall exclusion respectively. Shapes represent sampling date, where triangles are Date A and circles Date B. Bars are ± one standard error.</w:t>
      </w:r>
    </w:p>
    <w:p w14:paraId="24FE8621" w14:textId="77777777" w:rsidR="00DB6615" w:rsidRPr="00F62254" w:rsidRDefault="00DB6615" w:rsidP="00DB6615">
      <w:pPr>
        <w:rPr>
          <w:sz w:val="20"/>
          <w:szCs w:val="20"/>
        </w:rPr>
      </w:pPr>
      <w:r w:rsidRPr="00F62254">
        <w:rPr>
          <w:sz w:val="20"/>
          <w:szCs w:val="20"/>
        </w:rPr>
        <w:br w:type="page"/>
      </w:r>
    </w:p>
    <w:p w14:paraId="5890800F" w14:textId="4B4D3E46" w:rsidR="0016121B" w:rsidRPr="00DB6615" w:rsidRDefault="00CB0A6C" w:rsidP="00C930A3">
      <w:pPr>
        <w:spacing w:line="360" w:lineRule="auto"/>
        <w:rPr>
          <w:color w:val="000000" w:themeColor="text1"/>
        </w:rPr>
      </w:pPr>
      <w:r w:rsidRPr="00437660">
        <w:lastRenderedPageBreak/>
        <w:t>diverging away from one another and the control (</w:t>
      </w:r>
      <w:r w:rsidR="00437660" w:rsidRPr="00437660">
        <w:rPr>
          <w:b/>
          <w:bCs/>
        </w:rPr>
        <w:t>Appendix Figure 2</w:t>
      </w:r>
      <w:r w:rsidRPr="00437660">
        <w:t>). However</w:t>
      </w:r>
      <w:r w:rsidRPr="004E63FD">
        <w:t xml:space="preserve">, a principal coordinate analysis on the </w:t>
      </w:r>
      <w:r>
        <w:t>constrained axes from this model</w:t>
      </w:r>
      <w:r w:rsidRPr="004E63FD">
        <w:t xml:space="preserve"> showed no distinguishing clustering </w:t>
      </w:r>
      <w:r>
        <w:t>among treatments or sampling date</w:t>
      </w:r>
      <w:r w:rsidRPr="004E63FD">
        <w:t>.</w:t>
      </w:r>
      <w:r>
        <w:t xml:space="preserve"> </w:t>
      </w:r>
    </w:p>
    <w:p w14:paraId="6896F7D6" w14:textId="5D4DB327" w:rsidR="00B863BB" w:rsidRPr="00711ADC" w:rsidRDefault="00B863BB" w:rsidP="00C930A3">
      <w:pPr>
        <w:pStyle w:val="Heading3"/>
      </w:pPr>
      <w:bookmarkStart w:id="55" w:name="_Toc102048018"/>
      <w:r>
        <w:t>A</w:t>
      </w:r>
      <w:r w:rsidR="00AC5965">
        <w:t>lpha diversity</w:t>
      </w:r>
      <w:r w:rsidR="0032391B">
        <w:t xml:space="preserve">, </w:t>
      </w:r>
      <w:r w:rsidR="001802B6">
        <w:t>rainfall exclusion treatments</w:t>
      </w:r>
      <w:r w:rsidR="0032391B">
        <w:t>,</w:t>
      </w:r>
      <w:r w:rsidR="001802B6">
        <w:t xml:space="preserve"> and soil abiotic factors</w:t>
      </w:r>
      <w:bookmarkEnd w:id="55"/>
    </w:p>
    <w:p w14:paraId="60EA1305" w14:textId="77777777" w:rsidR="00CB0A6C" w:rsidRPr="00C930A3" w:rsidRDefault="00AC5965" w:rsidP="00C930A3">
      <w:pPr>
        <w:spacing w:line="360" w:lineRule="auto"/>
      </w:pPr>
      <w:r>
        <w:tab/>
      </w:r>
      <w:r w:rsidR="00CB0A6C">
        <w:t xml:space="preserve">Prior to rainfall exclusion, each rhizosphere microhabitat was sampled for bacterial communities to examine the importance soil abiotic factors have on alpha diversity from </w:t>
      </w:r>
      <w:r w:rsidR="00CB0A6C" w:rsidRPr="00531381">
        <w:rPr>
          <w:i/>
          <w:iCs/>
        </w:rPr>
        <w:t>q</w:t>
      </w:r>
      <w:r w:rsidR="00CB0A6C">
        <w:t xml:space="preserve">=0 to </w:t>
      </w:r>
      <w:r w:rsidR="00CB0A6C" w:rsidRPr="000348B9">
        <w:rPr>
          <w:i/>
          <w:iCs/>
        </w:rPr>
        <w:t>q</w:t>
      </w:r>
      <w:r w:rsidR="00CB0A6C">
        <w:t xml:space="preserve">=2. </w:t>
      </w:r>
      <w:r w:rsidR="00CB0A6C" w:rsidRPr="006471C8">
        <w:t xml:space="preserve">An analysis of variance </w:t>
      </w:r>
      <w:r w:rsidR="00CB0A6C">
        <w:t xml:space="preserve">from </w:t>
      </w:r>
      <w:r w:rsidR="00CB0A6C" w:rsidRPr="001C69B2">
        <w:rPr>
          <w:i/>
          <w:iCs/>
        </w:rPr>
        <w:t>q</w:t>
      </w:r>
      <w:r w:rsidR="00CB0A6C">
        <w:t xml:space="preserve">=0 to </w:t>
      </w:r>
      <w:r w:rsidR="00CB0A6C" w:rsidRPr="007B2DA6">
        <w:rPr>
          <w:i/>
          <w:iCs/>
        </w:rPr>
        <w:t>q</w:t>
      </w:r>
      <w:r w:rsidR="00CB0A6C">
        <w:t>=2 shows that nitrate is an important predictor for bacterial alpha diversity at Date A (</w:t>
      </w:r>
      <w:r w:rsidR="00CB0A6C" w:rsidRPr="00C51487">
        <w:rPr>
          <w:i/>
          <w:iCs/>
        </w:rPr>
        <w:t>q</w:t>
      </w:r>
      <w:r w:rsidR="00CB0A6C">
        <w:t>=0: F</w:t>
      </w:r>
      <w:r w:rsidR="00CB0A6C" w:rsidRPr="00C51487">
        <w:rPr>
          <w:vertAlign w:val="subscript"/>
        </w:rPr>
        <w:t>1,63</w:t>
      </w:r>
      <w:r w:rsidR="00CB0A6C">
        <w:t xml:space="preserve">=4.98, p=0.029; </w:t>
      </w:r>
      <w:r w:rsidR="00CB0A6C" w:rsidRPr="001C69B2">
        <w:rPr>
          <w:i/>
          <w:iCs/>
        </w:rPr>
        <w:t>q</w:t>
      </w:r>
      <w:r w:rsidR="00CB0A6C">
        <w:t>=1: F</w:t>
      </w:r>
      <w:r w:rsidR="00CB0A6C">
        <w:rPr>
          <w:vertAlign w:val="subscript"/>
        </w:rPr>
        <w:t>1,63</w:t>
      </w:r>
      <w:r w:rsidR="00CB0A6C">
        <w:t xml:space="preserve">=7.67 p=0.007; </w:t>
      </w:r>
      <w:r w:rsidR="00CB0A6C" w:rsidRPr="001C69B2">
        <w:rPr>
          <w:i/>
          <w:iCs/>
        </w:rPr>
        <w:t>q</w:t>
      </w:r>
      <w:r w:rsidR="00CB0A6C">
        <w:t>=2: F</w:t>
      </w:r>
      <w:r w:rsidR="00CB0A6C">
        <w:rPr>
          <w:vertAlign w:val="subscript"/>
        </w:rPr>
        <w:t>1,63</w:t>
      </w:r>
      <w:r w:rsidR="00CB0A6C">
        <w:t>=8.49, p=0.005) From q=1 to q=2, ammonium was shown as an important predictor in bacterial alpha diversity at Date A (</w:t>
      </w:r>
      <w:r w:rsidR="00CB0A6C" w:rsidRPr="00C51487">
        <w:rPr>
          <w:i/>
          <w:iCs/>
        </w:rPr>
        <w:t>q</w:t>
      </w:r>
      <w:r w:rsidR="00CB0A6C">
        <w:t>=1: F</w:t>
      </w:r>
      <w:r w:rsidR="00CB0A6C" w:rsidRPr="00C51487">
        <w:rPr>
          <w:vertAlign w:val="subscript"/>
        </w:rPr>
        <w:t>1,63</w:t>
      </w:r>
      <w:r w:rsidR="00CB0A6C">
        <w:t xml:space="preserve">=4.47, p=0.039; </w:t>
      </w:r>
      <w:r w:rsidR="00CB0A6C" w:rsidRPr="00C51487">
        <w:rPr>
          <w:i/>
          <w:iCs/>
        </w:rPr>
        <w:t>q</w:t>
      </w:r>
      <w:r w:rsidR="00CB0A6C">
        <w:t>=2: F</w:t>
      </w:r>
      <w:r w:rsidR="00CB0A6C" w:rsidRPr="00C51487">
        <w:rPr>
          <w:vertAlign w:val="subscript"/>
        </w:rPr>
        <w:t>1,63</w:t>
      </w:r>
      <w:r w:rsidR="00CB0A6C">
        <w:t>=5.46, p=0.023</w:t>
      </w:r>
      <w:r w:rsidR="00CB0A6C" w:rsidRPr="00572985">
        <w:t xml:space="preserve">). These results suggest that more </w:t>
      </w:r>
      <w:r w:rsidR="00CB0A6C" w:rsidRPr="00C51487">
        <w:t xml:space="preserve">abundant, in comparison to rare, </w:t>
      </w:r>
      <w:r w:rsidR="00CB0A6C" w:rsidRPr="00572985">
        <w:t>bacterial taxa respond to nitrate prior to the onset of rainfall exclusion treatments. Whereas rare taxa are influenced by both</w:t>
      </w:r>
      <w:r w:rsidR="00CB0A6C">
        <w:t xml:space="preserve"> nitrate and </w:t>
      </w:r>
      <w:r w:rsidR="00CB0A6C" w:rsidRPr="00C930A3">
        <w:t xml:space="preserve">ammonium prior to the onset of rainfall exclusion. Our results here further confirm that bacterial alpha diversity in the rhizosphere microhabitat is dependent on multiple soil abiotic factors. </w:t>
      </w:r>
    </w:p>
    <w:p w14:paraId="254E6922" w14:textId="77777777" w:rsidR="00C930A3" w:rsidRDefault="00CB0A6C" w:rsidP="00C930A3">
      <w:pPr>
        <w:spacing w:line="360" w:lineRule="auto"/>
        <w:rPr>
          <w:color w:val="000000" w:themeColor="text1"/>
          <w:shd w:val="clear" w:color="auto" w:fill="FFFFFF"/>
        </w:rPr>
      </w:pPr>
      <w:r w:rsidRPr="00C930A3">
        <w:tab/>
        <w:t xml:space="preserve">Alpha diversity was also analyzed at Date B from </w:t>
      </w:r>
      <w:r w:rsidRPr="00C930A3">
        <w:rPr>
          <w:i/>
          <w:iCs/>
        </w:rPr>
        <w:t>q</w:t>
      </w:r>
      <w:r w:rsidRPr="00C930A3">
        <w:t xml:space="preserve">=0 to </w:t>
      </w:r>
      <w:r w:rsidRPr="00C930A3">
        <w:rPr>
          <w:i/>
          <w:iCs/>
        </w:rPr>
        <w:t>q</w:t>
      </w:r>
      <w:r w:rsidRPr="00C930A3">
        <w:t xml:space="preserve">=2 to test for the effects of rainfall exclusion treatments and soil abiotic factors. An analysis of variance illustrated that rainfall exclusion treatments influenced bacterial communities from </w:t>
      </w:r>
      <w:r w:rsidRPr="00C930A3">
        <w:rPr>
          <w:i/>
          <w:iCs/>
        </w:rPr>
        <w:t>q</w:t>
      </w:r>
      <w:r w:rsidRPr="00C930A3">
        <w:t>=0 (F</w:t>
      </w:r>
      <w:r w:rsidRPr="00C930A3">
        <w:rPr>
          <w:vertAlign w:val="subscript"/>
        </w:rPr>
        <w:t>2,59</w:t>
      </w:r>
      <w:r w:rsidRPr="00C930A3">
        <w:t xml:space="preserve">=5.58, p=0.006) to </w:t>
      </w:r>
      <w:r w:rsidRPr="00C930A3">
        <w:rPr>
          <w:i/>
          <w:iCs/>
        </w:rPr>
        <w:t>q</w:t>
      </w:r>
      <w:r w:rsidRPr="00C930A3">
        <w:t>=1 (F</w:t>
      </w:r>
      <w:r w:rsidRPr="00C930A3">
        <w:rPr>
          <w:vertAlign w:val="subscript"/>
        </w:rPr>
        <w:t>2,59</w:t>
      </w:r>
      <w:r w:rsidRPr="00C930A3">
        <w:t xml:space="preserve">=4.23, p=0.019), which illustrates that rainfall exclusion effects more common bacterial taxa than rare ones. Ammonium content in the rhizosphere was also shown to be a main effect for bacterial alpha diversity at the end of the monsoon season from </w:t>
      </w:r>
      <w:r w:rsidRPr="00C930A3">
        <w:rPr>
          <w:i/>
          <w:iCs/>
        </w:rPr>
        <w:t>q</w:t>
      </w:r>
      <w:r w:rsidRPr="00C930A3">
        <w:t xml:space="preserve">=0 to </w:t>
      </w:r>
      <w:r w:rsidRPr="00C930A3">
        <w:rPr>
          <w:i/>
          <w:iCs/>
        </w:rPr>
        <w:t>q</w:t>
      </w:r>
      <w:r w:rsidRPr="00C930A3">
        <w:t>=2 (</w:t>
      </w:r>
      <w:r w:rsidRPr="00C930A3">
        <w:rPr>
          <w:b/>
          <w:bCs/>
        </w:rPr>
        <w:t xml:space="preserve">Table </w:t>
      </w:r>
      <w:r w:rsidR="00606400" w:rsidRPr="00C930A3">
        <w:rPr>
          <w:b/>
          <w:bCs/>
        </w:rPr>
        <w:t>3</w:t>
      </w:r>
      <w:r w:rsidRPr="00C930A3">
        <w:t xml:space="preserve">). Additionally, </w:t>
      </w:r>
      <w:r w:rsidRPr="00C930A3">
        <w:rPr>
          <w:b/>
          <w:bCs/>
        </w:rPr>
        <w:t xml:space="preserve">Table </w:t>
      </w:r>
      <w:r w:rsidR="00606400" w:rsidRPr="00C930A3">
        <w:rPr>
          <w:b/>
          <w:bCs/>
        </w:rPr>
        <w:t>3</w:t>
      </w:r>
      <w:r w:rsidRPr="00C930A3">
        <w:t xml:space="preserve"> depicts a full summary of the analysis of variance for all covariates included in our model for bacterial alpha diversity at Date B. While bacterial alpha diversity at Date B was governed by different variables as rare species were down weighted, the same hump shaped pattern in alpha diversity among rainfall exclusion treatments was observed for each order of diversity (</w:t>
      </w:r>
      <w:r w:rsidR="005355D9" w:rsidRPr="00C930A3">
        <w:rPr>
          <w:b/>
          <w:bCs/>
        </w:rPr>
        <w:t>Figure</w:t>
      </w:r>
      <w:r w:rsidRPr="00C930A3">
        <w:rPr>
          <w:b/>
          <w:bCs/>
        </w:rPr>
        <w:t xml:space="preserve"> </w:t>
      </w:r>
      <w:r w:rsidR="00606400" w:rsidRPr="00C930A3">
        <w:rPr>
          <w:b/>
          <w:bCs/>
        </w:rPr>
        <w:t>10</w:t>
      </w:r>
      <w:r w:rsidRPr="00C930A3">
        <w:t xml:space="preserve">). These results illustrate that rainfall exclusion and ammonium affects estimates in bacterial alpha diversity. Δ Richness was measured as the difference in the effective number of bacterial ASVs between the two sampling dates. The final model was Δ Richness, for each value of </w:t>
      </w:r>
      <w:r w:rsidRPr="00C930A3">
        <w:rPr>
          <w:i/>
          <w:iCs/>
        </w:rPr>
        <w:t>q</w:t>
      </w:r>
      <w:r w:rsidRPr="00C930A3">
        <w:t>, predicted by the intercept. Therefore, rainfall exclusion treatments, sampling date, and soil abiotic factors did not influence our estimates of Δ Richness for bacterial communities.</w:t>
      </w:r>
      <w:r w:rsidR="00A87BF0">
        <w:rPr>
          <w:color w:val="000000" w:themeColor="text1"/>
          <w:shd w:val="clear" w:color="auto" w:fill="FFFFFF"/>
        </w:rPr>
        <w:br w:type="page"/>
      </w:r>
    </w:p>
    <w:p w14:paraId="12570106" w14:textId="7A18D272" w:rsidR="00A87BF0" w:rsidRPr="00C930A3" w:rsidRDefault="00A87BF0" w:rsidP="00C930A3">
      <w:pPr>
        <w:pStyle w:val="Subtitle"/>
      </w:pPr>
      <w:bookmarkStart w:id="56" w:name="_Toc102118706"/>
      <w:r w:rsidRPr="00606400">
        <w:lastRenderedPageBreak/>
        <w:t xml:space="preserve">Table </w:t>
      </w:r>
      <w:r>
        <w:t>3</w:t>
      </w:r>
      <w:r w:rsidRPr="00606400">
        <w:t>. An analysis of variance summary table showing the main effects on bacterial communities at the end of the monsoon season (Date B).</w:t>
      </w:r>
      <w:bookmarkEnd w:id="56"/>
      <w:r w:rsidRPr="00606400">
        <w:t xml:space="preserve"> </w:t>
      </w:r>
    </w:p>
    <w:tbl>
      <w:tblPr>
        <w:tblW w:w="8413" w:type="dxa"/>
        <w:tblLook w:val="04A0" w:firstRow="1" w:lastRow="0" w:firstColumn="1" w:lastColumn="0" w:noHBand="0" w:noVBand="1"/>
      </w:tblPr>
      <w:tblGrid>
        <w:gridCol w:w="2699"/>
        <w:gridCol w:w="1985"/>
        <w:gridCol w:w="1864"/>
        <w:gridCol w:w="1865"/>
      </w:tblGrid>
      <w:tr w:rsidR="00A87BF0" w:rsidRPr="000D205B" w14:paraId="296FFFE3" w14:textId="77777777" w:rsidTr="00D20AC1">
        <w:trPr>
          <w:trHeight w:val="294"/>
        </w:trPr>
        <w:tc>
          <w:tcPr>
            <w:tcW w:w="2699" w:type="dxa"/>
            <w:tcBorders>
              <w:top w:val="nil"/>
              <w:left w:val="nil"/>
              <w:bottom w:val="nil"/>
              <w:right w:val="nil"/>
            </w:tcBorders>
            <w:shd w:val="clear" w:color="auto" w:fill="auto"/>
            <w:noWrap/>
            <w:vAlign w:val="center"/>
            <w:hideMark/>
          </w:tcPr>
          <w:p w14:paraId="2ECF0917" w14:textId="77777777" w:rsidR="00A87BF0" w:rsidRPr="00C51487" w:rsidRDefault="00A87BF0" w:rsidP="00D20AC1">
            <w:pPr>
              <w:jc w:val="center"/>
            </w:pPr>
          </w:p>
        </w:tc>
        <w:tc>
          <w:tcPr>
            <w:tcW w:w="5714" w:type="dxa"/>
            <w:gridSpan w:val="3"/>
            <w:tcBorders>
              <w:top w:val="nil"/>
              <w:left w:val="nil"/>
              <w:bottom w:val="single" w:sz="4" w:space="0" w:color="auto"/>
              <w:right w:val="nil"/>
            </w:tcBorders>
            <w:shd w:val="clear" w:color="auto" w:fill="auto"/>
            <w:noWrap/>
            <w:vAlign w:val="center"/>
            <w:hideMark/>
          </w:tcPr>
          <w:p w14:paraId="579C7CE3" w14:textId="77777777" w:rsidR="00A87BF0" w:rsidRPr="00C51487" w:rsidRDefault="00A87BF0" w:rsidP="00D20AC1">
            <w:pPr>
              <w:jc w:val="center"/>
              <w:rPr>
                <w:b/>
                <w:bCs/>
                <w:color w:val="000000"/>
              </w:rPr>
            </w:pPr>
            <w:r w:rsidRPr="00C51487">
              <w:rPr>
                <w:b/>
                <w:bCs/>
                <w:color w:val="000000"/>
              </w:rPr>
              <w:t>Order of Diversity (</w:t>
            </w:r>
            <w:r w:rsidRPr="00C51487">
              <w:rPr>
                <w:b/>
                <w:bCs/>
                <w:i/>
                <w:iCs/>
                <w:color w:val="000000"/>
              </w:rPr>
              <w:t>q</w:t>
            </w:r>
            <w:r w:rsidRPr="00C51487">
              <w:rPr>
                <w:b/>
                <w:bCs/>
                <w:color w:val="000000"/>
              </w:rPr>
              <w:t>)</w:t>
            </w:r>
          </w:p>
        </w:tc>
      </w:tr>
      <w:tr w:rsidR="00A87BF0" w:rsidRPr="000D205B" w14:paraId="6C186C45" w14:textId="77777777" w:rsidTr="00D20AC1">
        <w:trPr>
          <w:trHeight w:val="294"/>
        </w:trPr>
        <w:tc>
          <w:tcPr>
            <w:tcW w:w="2699" w:type="dxa"/>
            <w:tcBorders>
              <w:top w:val="nil"/>
              <w:left w:val="nil"/>
              <w:bottom w:val="nil"/>
              <w:right w:val="nil"/>
            </w:tcBorders>
            <w:shd w:val="clear" w:color="auto" w:fill="auto"/>
            <w:noWrap/>
            <w:vAlign w:val="center"/>
            <w:hideMark/>
          </w:tcPr>
          <w:p w14:paraId="48B85EC3" w14:textId="77777777" w:rsidR="00A87BF0" w:rsidRPr="00C51487" w:rsidRDefault="00A87BF0" w:rsidP="00D20AC1">
            <w:pPr>
              <w:jc w:val="center"/>
              <w:rPr>
                <w:b/>
                <w:bCs/>
                <w:color w:val="000000"/>
              </w:rPr>
            </w:pPr>
          </w:p>
        </w:tc>
        <w:tc>
          <w:tcPr>
            <w:tcW w:w="1985" w:type="dxa"/>
            <w:tcBorders>
              <w:top w:val="nil"/>
              <w:left w:val="nil"/>
              <w:bottom w:val="single" w:sz="4" w:space="0" w:color="auto"/>
              <w:right w:val="nil"/>
            </w:tcBorders>
            <w:shd w:val="clear" w:color="auto" w:fill="auto"/>
            <w:noWrap/>
            <w:vAlign w:val="center"/>
            <w:hideMark/>
          </w:tcPr>
          <w:p w14:paraId="64183AA0" w14:textId="77777777" w:rsidR="00A87BF0" w:rsidRPr="00C51487" w:rsidRDefault="00A87BF0" w:rsidP="00D20AC1">
            <w:pPr>
              <w:jc w:val="center"/>
              <w:rPr>
                <w:color w:val="000000"/>
              </w:rPr>
            </w:pPr>
            <w:r w:rsidRPr="00C51487">
              <w:rPr>
                <w:color w:val="000000"/>
              </w:rPr>
              <w:t>0</w:t>
            </w:r>
          </w:p>
        </w:tc>
        <w:tc>
          <w:tcPr>
            <w:tcW w:w="1864" w:type="dxa"/>
            <w:tcBorders>
              <w:top w:val="nil"/>
              <w:left w:val="nil"/>
              <w:bottom w:val="single" w:sz="4" w:space="0" w:color="auto"/>
              <w:right w:val="nil"/>
            </w:tcBorders>
            <w:shd w:val="clear" w:color="auto" w:fill="auto"/>
            <w:noWrap/>
            <w:vAlign w:val="center"/>
            <w:hideMark/>
          </w:tcPr>
          <w:p w14:paraId="108DF986" w14:textId="77777777" w:rsidR="00A87BF0" w:rsidRPr="00C51487" w:rsidRDefault="00A87BF0" w:rsidP="00D20AC1">
            <w:pPr>
              <w:jc w:val="center"/>
              <w:rPr>
                <w:color w:val="000000"/>
              </w:rPr>
            </w:pPr>
            <w:r w:rsidRPr="00C51487">
              <w:rPr>
                <w:color w:val="000000"/>
              </w:rPr>
              <w:t>1</w:t>
            </w:r>
          </w:p>
        </w:tc>
        <w:tc>
          <w:tcPr>
            <w:tcW w:w="1864" w:type="dxa"/>
            <w:tcBorders>
              <w:top w:val="nil"/>
              <w:left w:val="nil"/>
              <w:bottom w:val="single" w:sz="4" w:space="0" w:color="auto"/>
              <w:right w:val="nil"/>
            </w:tcBorders>
            <w:shd w:val="clear" w:color="auto" w:fill="auto"/>
            <w:noWrap/>
            <w:vAlign w:val="center"/>
            <w:hideMark/>
          </w:tcPr>
          <w:p w14:paraId="31AA44A6" w14:textId="77777777" w:rsidR="00A87BF0" w:rsidRPr="00C51487" w:rsidRDefault="00A87BF0" w:rsidP="00D20AC1">
            <w:pPr>
              <w:jc w:val="center"/>
              <w:rPr>
                <w:color w:val="000000"/>
              </w:rPr>
            </w:pPr>
            <w:r w:rsidRPr="00C51487">
              <w:rPr>
                <w:color w:val="000000"/>
              </w:rPr>
              <w:t>2</w:t>
            </w:r>
          </w:p>
        </w:tc>
      </w:tr>
      <w:tr w:rsidR="00A87BF0" w:rsidRPr="000D205B" w14:paraId="02994AB2" w14:textId="77777777" w:rsidTr="00D20AC1">
        <w:trPr>
          <w:trHeight w:val="294"/>
        </w:trPr>
        <w:tc>
          <w:tcPr>
            <w:tcW w:w="2699" w:type="dxa"/>
            <w:tcBorders>
              <w:top w:val="nil"/>
              <w:left w:val="nil"/>
              <w:bottom w:val="nil"/>
              <w:right w:val="nil"/>
            </w:tcBorders>
            <w:shd w:val="clear" w:color="auto" w:fill="auto"/>
            <w:noWrap/>
            <w:vAlign w:val="center"/>
            <w:hideMark/>
          </w:tcPr>
          <w:p w14:paraId="7FFE7658" w14:textId="77777777" w:rsidR="00A87BF0" w:rsidRPr="00C51487" w:rsidRDefault="00A87BF0" w:rsidP="00D20AC1">
            <w:pPr>
              <w:jc w:val="center"/>
              <w:rPr>
                <w:color w:val="000000"/>
              </w:rPr>
            </w:pPr>
            <w:r w:rsidRPr="00C51487">
              <w:rPr>
                <w:color w:val="000000"/>
              </w:rPr>
              <w:t>Rainfall exclusion treatment</w:t>
            </w:r>
          </w:p>
        </w:tc>
        <w:tc>
          <w:tcPr>
            <w:tcW w:w="1985" w:type="dxa"/>
            <w:tcBorders>
              <w:top w:val="nil"/>
              <w:left w:val="nil"/>
              <w:bottom w:val="nil"/>
              <w:right w:val="nil"/>
            </w:tcBorders>
            <w:shd w:val="clear" w:color="auto" w:fill="auto"/>
            <w:noWrap/>
            <w:vAlign w:val="center"/>
            <w:hideMark/>
          </w:tcPr>
          <w:p w14:paraId="600F01BB"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=5.58, p=0.006</w:t>
            </w:r>
          </w:p>
        </w:tc>
        <w:tc>
          <w:tcPr>
            <w:tcW w:w="1864" w:type="dxa"/>
            <w:tcBorders>
              <w:top w:val="nil"/>
              <w:left w:val="nil"/>
              <w:bottom w:val="nil"/>
              <w:right w:val="nil"/>
            </w:tcBorders>
            <w:shd w:val="clear" w:color="auto" w:fill="auto"/>
            <w:noWrap/>
            <w:vAlign w:val="center"/>
            <w:hideMark/>
          </w:tcPr>
          <w:p w14:paraId="3AC25533"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=4.23, p=0.019</w:t>
            </w:r>
          </w:p>
        </w:tc>
        <w:tc>
          <w:tcPr>
            <w:tcW w:w="1864" w:type="dxa"/>
            <w:tcBorders>
              <w:top w:val="nil"/>
              <w:left w:val="nil"/>
              <w:bottom w:val="nil"/>
              <w:right w:val="nil"/>
            </w:tcBorders>
            <w:shd w:val="clear" w:color="auto" w:fill="auto"/>
            <w:noWrap/>
            <w:vAlign w:val="center"/>
            <w:hideMark/>
          </w:tcPr>
          <w:p w14:paraId="4C4B5F71"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=2.77, p=0.070</w:t>
            </w:r>
          </w:p>
        </w:tc>
      </w:tr>
      <w:tr w:rsidR="00A87BF0" w:rsidRPr="000D205B" w14:paraId="0A077504" w14:textId="77777777" w:rsidTr="00D20AC1">
        <w:trPr>
          <w:trHeight w:val="294"/>
        </w:trPr>
        <w:tc>
          <w:tcPr>
            <w:tcW w:w="2699" w:type="dxa"/>
            <w:tcBorders>
              <w:top w:val="nil"/>
              <w:left w:val="nil"/>
              <w:bottom w:val="nil"/>
              <w:right w:val="nil"/>
            </w:tcBorders>
            <w:shd w:val="clear" w:color="auto" w:fill="auto"/>
            <w:noWrap/>
            <w:vAlign w:val="center"/>
            <w:hideMark/>
          </w:tcPr>
          <w:p w14:paraId="4DD33D92" w14:textId="77777777" w:rsidR="00A87BF0" w:rsidRPr="00C51487" w:rsidRDefault="00A87BF0" w:rsidP="00D20AC1">
            <w:pPr>
              <w:jc w:val="center"/>
              <w:rPr>
                <w:color w:val="000000"/>
              </w:rPr>
            </w:pPr>
            <w:r w:rsidRPr="00C51487">
              <w:rPr>
                <w:color w:val="000000"/>
              </w:rPr>
              <w:t>Phosphorous</w:t>
            </w:r>
          </w:p>
        </w:tc>
        <w:tc>
          <w:tcPr>
            <w:tcW w:w="1985" w:type="dxa"/>
            <w:tcBorders>
              <w:top w:val="nil"/>
              <w:left w:val="nil"/>
              <w:bottom w:val="nil"/>
              <w:right w:val="nil"/>
            </w:tcBorders>
            <w:shd w:val="clear" w:color="auto" w:fill="auto"/>
            <w:noWrap/>
            <w:vAlign w:val="center"/>
            <w:hideMark/>
          </w:tcPr>
          <w:p w14:paraId="3BEDD8A4"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=0.72, p=0.400</w:t>
            </w:r>
          </w:p>
        </w:tc>
        <w:tc>
          <w:tcPr>
            <w:tcW w:w="1864" w:type="dxa"/>
            <w:tcBorders>
              <w:top w:val="nil"/>
              <w:left w:val="nil"/>
              <w:bottom w:val="nil"/>
              <w:right w:val="nil"/>
            </w:tcBorders>
            <w:shd w:val="clear" w:color="auto" w:fill="auto"/>
            <w:noWrap/>
            <w:vAlign w:val="center"/>
            <w:hideMark/>
          </w:tcPr>
          <w:p w14:paraId="2E9CEAD0"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=0.78, p=0.380</w:t>
            </w:r>
          </w:p>
        </w:tc>
        <w:tc>
          <w:tcPr>
            <w:tcW w:w="1864" w:type="dxa"/>
            <w:tcBorders>
              <w:top w:val="nil"/>
              <w:left w:val="nil"/>
              <w:bottom w:val="nil"/>
              <w:right w:val="nil"/>
            </w:tcBorders>
            <w:shd w:val="clear" w:color="auto" w:fill="auto"/>
            <w:noWrap/>
            <w:vAlign w:val="center"/>
            <w:hideMark/>
          </w:tcPr>
          <w:p w14:paraId="54E9023B"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=0.92, p=0.340</w:t>
            </w:r>
          </w:p>
        </w:tc>
      </w:tr>
      <w:tr w:rsidR="00A87BF0" w:rsidRPr="000D205B" w14:paraId="0C83A6A6" w14:textId="77777777" w:rsidTr="00D20AC1">
        <w:trPr>
          <w:trHeight w:val="294"/>
        </w:trPr>
        <w:tc>
          <w:tcPr>
            <w:tcW w:w="2699" w:type="dxa"/>
            <w:tcBorders>
              <w:top w:val="nil"/>
              <w:left w:val="nil"/>
              <w:bottom w:val="nil"/>
              <w:right w:val="nil"/>
            </w:tcBorders>
            <w:shd w:val="clear" w:color="auto" w:fill="auto"/>
            <w:noWrap/>
            <w:vAlign w:val="center"/>
            <w:hideMark/>
          </w:tcPr>
          <w:p w14:paraId="5B20DD4A" w14:textId="77777777" w:rsidR="00A87BF0" w:rsidRPr="00C51487" w:rsidRDefault="00A87BF0" w:rsidP="00D20AC1">
            <w:pPr>
              <w:jc w:val="center"/>
              <w:rPr>
                <w:color w:val="000000"/>
              </w:rPr>
            </w:pPr>
            <w:r w:rsidRPr="00C51487">
              <w:rPr>
                <w:color w:val="000000"/>
              </w:rPr>
              <w:t>Ammonium</w:t>
            </w:r>
          </w:p>
        </w:tc>
        <w:tc>
          <w:tcPr>
            <w:tcW w:w="1985" w:type="dxa"/>
            <w:tcBorders>
              <w:top w:val="nil"/>
              <w:left w:val="nil"/>
              <w:bottom w:val="nil"/>
              <w:right w:val="nil"/>
            </w:tcBorders>
            <w:shd w:val="clear" w:color="auto" w:fill="auto"/>
            <w:noWrap/>
            <w:vAlign w:val="center"/>
            <w:hideMark/>
          </w:tcPr>
          <w:p w14:paraId="16D63AA0"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=8.53, p=0.049</w:t>
            </w:r>
          </w:p>
        </w:tc>
        <w:tc>
          <w:tcPr>
            <w:tcW w:w="1864" w:type="dxa"/>
            <w:tcBorders>
              <w:top w:val="nil"/>
              <w:left w:val="nil"/>
              <w:bottom w:val="nil"/>
              <w:right w:val="nil"/>
            </w:tcBorders>
            <w:shd w:val="clear" w:color="auto" w:fill="auto"/>
            <w:noWrap/>
            <w:vAlign w:val="center"/>
            <w:hideMark/>
          </w:tcPr>
          <w:p w14:paraId="3393BE54"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=7.84, p=0.007</w:t>
            </w:r>
          </w:p>
        </w:tc>
        <w:tc>
          <w:tcPr>
            <w:tcW w:w="1864" w:type="dxa"/>
            <w:tcBorders>
              <w:top w:val="nil"/>
              <w:left w:val="nil"/>
              <w:bottom w:val="nil"/>
              <w:right w:val="nil"/>
            </w:tcBorders>
            <w:shd w:val="clear" w:color="auto" w:fill="auto"/>
            <w:noWrap/>
            <w:vAlign w:val="center"/>
            <w:hideMark/>
          </w:tcPr>
          <w:p w14:paraId="45F96AD1"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1, 59</w:t>
            </w:r>
            <w:r w:rsidRPr="00B83BC0">
              <w:rPr>
                <w:color w:val="000000" w:themeColor="text1"/>
              </w:rPr>
              <w:t>=5.18, p=0.026</w:t>
            </w:r>
          </w:p>
        </w:tc>
      </w:tr>
      <w:tr w:rsidR="00A87BF0" w:rsidRPr="000D205B" w14:paraId="2827CF38" w14:textId="77777777" w:rsidTr="00D20AC1">
        <w:trPr>
          <w:trHeight w:val="294"/>
        </w:trPr>
        <w:tc>
          <w:tcPr>
            <w:tcW w:w="2699" w:type="dxa"/>
            <w:tcBorders>
              <w:top w:val="nil"/>
              <w:left w:val="nil"/>
              <w:bottom w:val="nil"/>
              <w:right w:val="nil"/>
            </w:tcBorders>
            <w:shd w:val="clear" w:color="auto" w:fill="auto"/>
            <w:noWrap/>
            <w:vAlign w:val="center"/>
            <w:hideMark/>
          </w:tcPr>
          <w:p w14:paraId="319CF62A" w14:textId="77777777" w:rsidR="00A87BF0" w:rsidRPr="00C51487" w:rsidRDefault="00A87BF0" w:rsidP="00D20AC1">
            <w:pPr>
              <w:jc w:val="center"/>
              <w:rPr>
                <w:color w:val="000000"/>
              </w:rPr>
            </w:pPr>
            <w:r w:rsidRPr="00C51487">
              <w:rPr>
                <w:color w:val="000000"/>
              </w:rPr>
              <w:t>Rainfall exclusion treatment*phosphorous</w:t>
            </w:r>
          </w:p>
        </w:tc>
        <w:tc>
          <w:tcPr>
            <w:tcW w:w="1985" w:type="dxa"/>
            <w:tcBorders>
              <w:top w:val="nil"/>
              <w:left w:val="nil"/>
              <w:bottom w:val="nil"/>
              <w:right w:val="nil"/>
            </w:tcBorders>
            <w:shd w:val="clear" w:color="auto" w:fill="auto"/>
            <w:noWrap/>
            <w:vAlign w:val="center"/>
            <w:hideMark/>
          </w:tcPr>
          <w:p w14:paraId="6D9C6426"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=1.86, p=0.165</w:t>
            </w:r>
          </w:p>
        </w:tc>
        <w:tc>
          <w:tcPr>
            <w:tcW w:w="1864" w:type="dxa"/>
            <w:tcBorders>
              <w:top w:val="nil"/>
              <w:left w:val="nil"/>
              <w:bottom w:val="nil"/>
              <w:right w:val="nil"/>
            </w:tcBorders>
            <w:shd w:val="clear" w:color="auto" w:fill="auto"/>
            <w:noWrap/>
            <w:vAlign w:val="center"/>
            <w:hideMark/>
          </w:tcPr>
          <w:p w14:paraId="23BAFD2B"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=2.34, p=0.105</w:t>
            </w:r>
          </w:p>
        </w:tc>
        <w:tc>
          <w:tcPr>
            <w:tcW w:w="1864" w:type="dxa"/>
            <w:tcBorders>
              <w:top w:val="nil"/>
              <w:left w:val="nil"/>
              <w:bottom w:val="nil"/>
              <w:right w:val="nil"/>
            </w:tcBorders>
            <w:shd w:val="clear" w:color="auto" w:fill="auto"/>
            <w:noWrap/>
            <w:vAlign w:val="center"/>
            <w:hideMark/>
          </w:tcPr>
          <w:p w14:paraId="578F1BBC" w14:textId="77777777" w:rsidR="00A87BF0" w:rsidRPr="00B83BC0" w:rsidRDefault="00A87BF0" w:rsidP="00D20AC1">
            <w:pPr>
              <w:jc w:val="center"/>
              <w:rPr>
                <w:color w:val="000000" w:themeColor="text1"/>
              </w:rPr>
            </w:pPr>
            <w:r w:rsidRPr="00B83BC0">
              <w:rPr>
                <w:color w:val="000000" w:themeColor="text1"/>
              </w:rPr>
              <w:t>F</w:t>
            </w:r>
            <w:r w:rsidRPr="00B83BC0">
              <w:rPr>
                <w:color w:val="000000" w:themeColor="text1"/>
                <w:vertAlign w:val="subscript"/>
              </w:rPr>
              <w:t>2, 59</w:t>
            </w:r>
            <w:r w:rsidRPr="00B83BC0">
              <w:rPr>
                <w:color w:val="000000" w:themeColor="text1"/>
              </w:rPr>
              <w:t>=2.96, p=0.059</w:t>
            </w:r>
          </w:p>
        </w:tc>
      </w:tr>
    </w:tbl>
    <w:p w14:paraId="1A455B9B" w14:textId="77777777" w:rsidR="00A87BF0" w:rsidRDefault="00A87BF0" w:rsidP="00A87BF0">
      <w:pPr>
        <w:widowControl w:val="0"/>
        <w:autoSpaceDE w:val="0"/>
        <w:autoSpaceDN w:val="0"/>
        <w:adjustRightInd w:val="0"/>
        <w:spacing w:line="480" w:lineRule="auto"/>
      </w:pPr>
      <w:r>
        <w:rPr>
          <w:color w:val="000000" w:themeColor="text1"/>
        </w:rPr>
        <w:br w:type="page"/>
      </w:r>
      <w:r>
        <w:rPr>
          <w:noProof/>
        </w:rPr>
        <w:lastRenderedPageBreak/>
        <w:drawing>
          <wp:inline distT="0" distB="0" distL="0" distR="0" wp14:anchorId="340034AB" wp14:editId="06F1665B">
            <wp:extent cx="5157386" cy="4437776"/>
            <wp:effectExtent l="0" t="0" r="0" b="0"/>
            <wp:docPr id="6" name="Picture 6"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166387" cy="4445521"/>
                    </a:xfrm>
                    <a:prstGeom prst="rect">
                      <a:avLst/>
                    </a:prstGeom>
                  </pic:spPr>
                </pic:pic>
              </a:graphicData>
            </a:graphic>
          </wp:inline>
        </w:drawing>
      </w:r>
    </w:p>
    <w:p w14:paraId="71D80EFD" w14:textId="77777777" w:rsidR="00A87BF0" w:rsidRPr="00CA3D35" w:rsidRDefault="00A87BF0" w:rsidP="00A87BF0">
      <w:pPr>
        <w:pStyle w:val="Caption"/>
      </w:pPr>
      <w:bookmarkStart w:id="57" w:name="_Toc102046880"/>
      <w:r w:rsidRPr="00606400">
        <w:t>Figure 10.</w:t>
      </w:r>
      <w:r>
        <w:t xml:space="preserve"> Bacterial alpha diversity from </w:t>
      </w:r>
      <w:r w:rsidRPr="006876AD">
        <w:rPr>
          <w:i/>
        </w:rPr>
        <w:t>q</w:t>
      </w:r>
      <w:r>
        <w:t xml:space="preserve">=0 to </w:t>
      </w:r>
      <w:r w:rsidRPr="007B2DA6">
        <w:rPr>
          <w:i/>
        </w:rPr>
        <w:t>q</w:t>
      </w:r>
      <w:r>
        <w:t>=2, where the control, moderate rainfall exclusion treatment, and the high rainfall exclusion treatment are represented from left to right as black, teal, and pink.</w:t>
      </w:r>
      <w:bookmarkEnd w:id="57"/>
      <w:r>
        <w:t xml:space="preserve"> </w:t>
      </w:r>
    </w:p>
    <w:p w14:paraId="6AB26A48" w14:textId="230E44C7" w:rsidR="00B863BB" w:rsidRPr="00A87BF0" w:rsidRDefault="00A87BF0" w:rsidP="00A87BF0">
      <w:pPr>
        <w:rPr>
          <w:color w:val="000000" w:themeColor="text1"/>
        </w:rPr>
      </w:pPr>
      <w:r>
        <w:rPr>
          <w:color w:val="000000" w:themeColor="text1"/>
        </w:rPr>
        <w:br w:type="page"/>
      </w:r>
    </w:p>
    <w:p w14:paraId="62E3131F" w14:textId="684B56B6" w:rsidR="00B863BB" w:rsidRPr="00CE70B3" w:rsidRDefault="00B863BB" w:rsidP="0094464E">
      <w:pPr>
        <w:pStyle w:val="Heading3"/>
      </w:pPr>
      <w:bookmarkStart w:id="58" w:name="_Toc102048019"/>
      <w:r>
        <w:lastRenderedPageBreak/>
        <w:t>B</w:t>
      </w:r>
      <w:r w:rsidR="00AC5965">
        <w:t xml:space="preserve">acterial community </w:t>
      </w:r>
      <w:r w:rsidR="001802B6">
        <w:t>dispersion and pairwise turnover from q=0 to q=2</w:t>
      </w:r>
      <w:bookmarkEnd w:id="58"/>
    </w:p>
    <w:p w14:paraId="31FD3C6D" w14:textId="6ADA4D61" w:rsidR="00A87BF0" w:rsidRPr="00A87BF0" w:rsidRDefault="00AC5965" w:rsidP="00A87BF0">
      <w:pPr>
        <w:spacing w:line="360" w:lineRule="auto"/>
        <w:rPr>
          <w:color w:val="000000" w:themeColor="text1"/>
        </w:rPr>
      </w:pPr>
      <w:r>
        <w:rPr>
          <w:color w:val="000000" w:themeColor="text1"/>
        </w:rPr>
        <w:tab/>
      </w:r>
      <w:r w:rsidR="0094464E">
        <w:rPr>
          <w:color w:val="000000" w:themeColor="text1"/>
        </w:rPr>
        <w:t xml:space="preserve">The first approach to test beta diversity between rainfall exclusion treatments was an analysis of multivariate homogeneity between groups and their respective centroids. This method allowed us to examine the variation in abundance data among treatments in multivariate space. From </w:t>
      </w:r>
      <w:r w:rsidR="0094464E" w:rsidRPr="00DF1E70">
        <w:rPr>
          <w:i/>
          <w:iCs/>
          <w:color w:val="000000" w:themeColor="text1"/>
        </w:rPr>
        <w:t>q</w:t>
      </w:r>
      <w:r w:rsidR="0094464E">
        <w:rPr>
          <w:color w:val="000000" w:themeColor="text1"/>
        </w:rPr>
        <w:t xml:space="preserve">=0 to </w:t>
      </w:r>
      <w:r w:rsidR="0094464E" w:rsidRPr="00A30A8C">
        <w:rPr>
          <w:i/>
          <w:iCs/>
          <w:color w:val="000000" w:themeColor="text1"/>
        </w:rPr>
        <w:t>q</w:t>
      </w:r>
      <w:r w:rsidR="0094464E">
        <w:rPr>
          <w:color w:val="000000" w:themeColor="text1"/>
        </w:rPr>
        <w:t>=2, there was a significant difference in multivariate group dispersion in bacterial communities between sampling dates (</w:t>
      </w:r>
      <w:r w:rsidR="0094464E" w:rsidRPr="00DA49C1">
        <w:rPr>
          <w:i/>
          <w:iCs/>
          <w:color w:val="000000" w:themeColor="text1"/>
        </w:rPr>
        <w:t>q</w:t>
      </w:r>
      <w:r w:rsidR="0094464E">
        <w:rPr>
          <w:color w:val="000000" w:themeColor="text1"/>
        </w:rPr>
        <w:t>=0: F</w:t>
      </w:r>
      <w:r w:rsidR="0094464E">
        <w:rPr>
          <w:color w:val="000000" w:themeColor="text1"/>
          <w:vertAlign w:val="subscript"/>
        </w:rPr>
        <w:t>1,130</w:t>
      </w:r>
      <w:r w:rsidR="0094464E">
        <w:rPr>
          <w:color w:val="000000" w:themeColor="text1"/>
        </w:rPr>
        <w:t xml:space="preserve">=5.38, p&lt;0.05; </w:t>
      </w:r>
      <w:r w:rsidR="0094464E" w:rsidRPr="00DF1E70">
        <w:rPr>
          <w:i/>
          <w:iCs/>
          <w:color w:val="000000" w:themeColor="text1"/>
        </w:rPr>
        <w:t>q</w:t>
      </w:r>
      <w:r w:rsidR="0094464E">
        <w:rPr>
          <w:color w:val="000000" w:themeColor="text1"/>
        </w:rPr>
        <w:t>=1: F</w:t>
      </w:r>
      <w:r w:rsidR="0094464E" w:rsidRPr="00DF1E70">
        <w:rPr>
          <w:color w:val="000000" w:themeColor="text1"/>
          <w:vertAlign w:val="subscript"/>
        </w:rPr>
        <w:t>1,130</w:t>
      </w:r>
      <w:r w:rsidR="0094464E">
        <w:rPr>
          <w:color w:val="000000" w:themeColor="text1"/>
        </w:rPr>
        <w:t>=5.23, p&lt;0.05; q=2: F</w:t>
      </w:r>
      <w:r w:rsidR="0094464E" w:rsidRPr="00DF1E70">
        <w:rPr>
          <w:color w:val="000000" w:themeColor="text1"/>
          <w:vertAlign w:val="subscript"/>
        </w:rPr>
        <w:t>1,130</w:t>
      </w:r>
      <w:r w:rsidR="0094464E">
        <w:rPr>
          <w:color w:val="000000" w:themeColor="text1"/>
        </w:rPr>
        <w:t xml:space="preserve">=4.25, p&lt;0.05). This indicated variability in community abundance data between the two sampling dates. </w:t>
      </w:r>
      <w:r w:rsidR="0094464E" w:rsidRPr="008C03D6">
        <w:rPr>
          <w:color w:val="000000" w:themeColor="text1"/>
        </w:rPr>
        <w:t>Bacterial communities collected at the end of the monsoon season</w:t>
      </w:r>
      <w:r w:rsidR="0094464E" w:rsidRPr="00DF1E70">
        <w:rPr>
          <w:color w:val="000000" w:themeColor="text1"/>
        </w:rPr>
        <w:t>, on average,</w:t>
      </w:r>
      <w:r w:rsidR="0094464E" w:rsidRPr="008C03D6">
        <w:rPr>
          <w:color w:val="000000" w:themeColor="text1"/>
        </w:rPr>
        <w:t xml:space="preserve"> had a larger spread in community abundance data than samples collected at the beginning (</w:t>
      </w:r>
      <w:r w:rsidR="005355D9">
        <w:rPr>
          <w:b/>
          <w:bCs/>
          <w:color w:val="000000" w:themeColor="text1"/>
        </w:rPr>
        <w:t>Figure</w:t>
      </w:r>
      <w:r w:rsidR="0094464E" w:rsidRPr="008C03D6">
        <w:rPr>
          <w:b/>
          <w:bCs/>
          <w:color w:val="000000" w:themeColor="text1"/>
        </w:rPr>
        <w:t xml:space="preserve"> </w:t>
      </w:r>
      <w:r w:rsidR="00606400">
        <w:rPr>
          <w:b/>
          <w:bCs/>
          <w:color w:val="000000" w:themeColor="text1"/>
        </w:rPr>
        <w:t>11</w:t>
      </w:r>
      <w:r w:rsidR="0094464E" w:rsidRPr="008C03D6">
        <w:rPr>
          <w:b/>
          <w:bCs/>
          <w:color w:val="000000" w:themeColor="text1"/>
        </w:rPr>
        <w:t>)</w:t>
      </w:r>
      <w:r w:rsidR="0094464E" w:rsidRPr="008C03D6">
        <w:rPr>
          <w:color w:val="000000" w:themeColor="text1"/>
        </w:rPr>
        <w:t>.</w:t>
      </w:r>
      <w:r w:rsidR="0094464E">
        <w:rPr>
          <w:color w:val="000000" w:themeColor="text1"/>
        </w:rPr>
        <w:t xml:space="preserve"> In addition, t</w:t>
      </w:r>
      <w:r w:rsidR="0094464E" w:rsidRPr="00CE70B3">
        <w:rPr>
          <w:color w:val="000000" w:themeColor="text1"/>
        </w:rPr>
        <w:t xml:space="preserve">he dispersion around the median centroid from each </w:t>
      </w:r>
      <w:r w:rsidR="0094464E">
        <w:rPr>
          <w:color w:val="000000" w:themeColor="text1"/>
        </w:rPr>
        <w:t>rainfall exclusion treatment</w:t>
      </w:r>
      <w:r w:rsidR="0094464E" w:rsidRPr="00CE70B3">
        <w:rPr>
          <w:color w:val="000000" w:themeColor="text1"/>
        </w:rPr>
        <w:t xml:space="preserve"> differed </w:t>
      </w:r>
      <w:r w:rsidR="0094464E">
        <w:rPr>
          <w:color w:val="000000" w:themeColor="text1"/>
        </w:rPr>
        <w:t xml:space="preserve">only at </w:t>
      </w:r>
      <w:r w:rsidR="0094464E" w:rsidRPr="00571277">
        <w:rPr>
          <w:i/>
          <w:iCs/>
          <w:color w:val="000000" w:themeColor="text1"/>
        </w:rPr>
        <w:t>q</w:t>
      </w:r>
      <w:r w:rsidR="0094464E">
        <w:rPr>
          <w:color w:val="000000" w:themeColor="text1"/>
        </w:rPr>
        <w:t>=2</w:t>
      </w:r>
      <w:r w:rsidR="0094464E" w:rsidRPr="00CE70B3">
        <w:rPr>
          <w:color w:val="000000" w:themeColor="text1"/>
        </w:rPr>
        <w:t xml:space="preserve"> (</w:t>
      </w:r>
      <w:r w:rsidR="0094464E" w:rsidRPr="00CE70B3">
        <w:rPr>
          <w:i/>
          <w:iCs/>
          <w:color w:val="000000" w:themeColor="text1"/>
        </w:rPr>
        <w:t>q</w:t>
      </w:r>
      <w:r w:rsidR="0094464E" w:rsidRPr="00CE70B3">
        <w:rPr>
          <w:color w:val="000000" w:themeColor="text1"/>
        </w:rPr>
        <w:t>=2: F</w:t>
      </w:r>
      <w:r w:rsidR="0094464E">
        <w:rPr>
          <w:color w:val="000000" w:themeColor="text1"/>
          <w:vertAlign w:val="subscript"/>
        </w:rPr>
        <w:t>2,129</w:t>
      </w:r>
      <w:r w:rsidR="0094464E" w:rsidRPr="00DA49C1">
        <w:rPr>
          <w:color w:val="000000" w:themeColor="text1"/>
        </w:rPr>
        <w:t>=</w:t>
      </w:r>
      <w:r w:rsidR="0094464E">
        <w:rPr>
          <w:color w:val="000000"/>
        </w:rPr>
        <w:t>5.75</w:t>
      </w:r>
      <w:r w:rsidR="0094464E" w:rsidRPr="00CE70B3">
        <w:rPr>
          <w:color w:val="000000" w:themeColor="text1"/>
        </w:rPr>
        <w:t>, p&lt;0.0</w:t>
      </w:r>
      <w:r w:rsidR="0094464E">
        <w:rPr>
          <w:color w:val="000000" w:themeColor="text1"/>
        </w:rPr>
        <w:t xml:space="preserve">1), when rare ASVs are down weighted from the estimation of bacterial dispersion. </w:t>
      </w:r>
      <w:r w:rsidR="0094464E" w:rsidRPr="008C03D6">
        <w:rPr>
          <w:color w:val="000000" w:themeColor="text1"/>
        </w:rPr>
        <w:t>Thus, rare taxa contributed less to the variability in community data among rainfall exclusion treatment than more abundant</w:t>
      </w:r>
      <w:r w:rsidR="0094464E">
        <w:rPr>
          <w:color w:val="000000" w:themeColor="text1"/>
        </w:rPr>
        <w:t xml:space="preserve"> bacterial</w:t>
      </w:r>
      <w:r w:rsidR="0094464E" w:rsidRPr="008C03D6">
        <w:rPr>
          <w:color w:val="000000" w:themeColor="text1"/>
        </w:rPr>
        <w:t xml:space="preserve"> ASVs</w:t>
      </w:r>
      <w:r w:rsidR="0094464E" w:rsidRPr="00DF1E70">
        <w:rPr>
          <w:color w:val="000000" w:themeColor="text1"/>
        </w:rPr>
        <w:t xml:space="preserve"> had</w:t>
      </w:r>
      <w:r w:rsidR="0094464E" w:rsidRPr="008C03D6">
        <w:rPr>
          <w:color w:val="000000" w:themeColor="text1"/>
        </w:rPr>
        <w:t>.</w:t>
      </w:r>
      <w:r w:rsidR="0094464E">
        <w:rPr>
          <w:color w:val="000000" w:themeColor="text1"/>
        </w:rPr>
        <w:t xml:space="preserve"> </w:t>
      </w:r>
      <w:r w:rsidR="0094464E">
        <w:rPr>
          <w:color w:val="000000" w:themeColor="text1"/>
        </w:rPr>
        <w:tab/>
        <w:t xml:space="preserve">The second method examined the effects of soil abiotic factors and rainfall exclusion treatments had on pairwise community turnover. We utilized a </w:t>
      </w:r>
      <w:proofErr w:type="spellStart"/>
      <w:r w:rsidR="0094464E">
        <w:rPr>
          <w:color w:val="000000" w:themeColor="text1"/>
        </w:rPr>
        <w:t>dbRDA</w:t>
      </w:r>
      <w:proofErr w:type="spellEnd"/>
      <w:r w:rsidR="0094464E">
        <w:rPr>
          <w:color w:val="000000" w:themeColor="text1"/>
        </w:rPr>
        <w:t xml:space="preserve"> for each order of diversity with a pairwise distance matrix as the response variable. At </w:t>
      </w:r>
      <w:r w:rsidR="0094464E" w:rsidRPr="00531381">
        <w:rPr>
          <w:i/>
          <w:iCs/>
          <w:color w:val="000000" w:themeColor="text1"/>
        </w:rPr>
        <w:t>q</w:t>
      </w:r>
      <w:r w:rsidR="0094464E">
        <w:rPr>
          <w:color w:val="000000" w:themeColor="text1"/>
        </w:rPr>
        <w:t xml:space="preserve">=0, 1, and 2, constrained axes from the models built explained 4.46%, 5.26%, and 4.84%, respectively. At </w:t>
      </w:r>
      <w:r w:rsidR="0094464E" w:rsidRPr="00531381">
        <w:rPr>
          <w:i/>
          <w:iCs/>
          <w:color w:val="000000" w:themeColor="text1"/>
        </w:rPr>
        <w:t>q</w:t>
      </w:r>
      <w:r w:rsidR="0094464E">
        <w:rPr>
          <w:color w:val="000000" w:themeColor="text1"/>
        </w:rPr>
        <w:t xml:space="preserve">=0, constrained axes 1 and 2 explain 36.89% and 24.23% of the 4.46% total variation of pairwise community turnover explained. </w:t>
      </w:r>
      <w:r w:rsidR="0094464E" w:rsidRPr="00DF1E70">
        <w:rPr>
          <w:b/>
          <w:bCs/>
          <w:color w:val="000000" w:themeColor="text1"/>
        </w:rPr>
        <w:t xml:space="preserve">Figure </w:t>
      </w:r>
      <w:r w:rsidR="00735ED6">
        <w:rPr>
          <w:b/>
          <w:bCs/>
          <w:color w:val="000000" w:themeColor="text1"/>
        </w:rPr>
        <w:t>12</w:t>
      </w:r>
      <w:r w:rsidR="0094464E">
        <w:rPr>
          <w:color w:val="000000" w:themeColor="text1"/>
        </w:rPr>
        <w:t xml:space="preserve"> illustrates that, on average, pairwise turnover at </w:t>
      </w:r>
      <w:r w:rsidR="0094464E" w:rsidRPr="000E6598">
        <w:rPr>
          <w:i/>
          <w:iCs/>
          <w:color w:val="000000" w:themeColor="text1"/>
        </w:rPr>
        <w:t>q</w:t>
      </w:r>
      <w:r w:rsidR="0094464E">
        <w:rPr>
          <w:color w:val="000000" w:themeColor="text1"/>
        </w:rPr>
        <w:t xml:space="preserve">=0 changes within treatment and in the same direction across treatments by the end of the monsoon season. Principal coordinate plots for </w:t>
      </w:r>
      <w:r w:rsidR="0094464E" w:rsidRPr="00531381">
        <w:rPr>
          <w:i/>
          <w:iCs/>
          <w:color w:val="000000" w:themeColor="text1"/>
        </w:rPr>
        <w:t>q</w:t>
      </w:r>
      <w:r w:rsidR="0094464E">
        <w:rPr>
          <w:color w:val="000000" w:themeColor="text1"/>
        </w:rPr>
        <w:t xml:space="preserve">=1 to </w:t>
      </w:r>
      <w:r w:rsidR="0094464E" w:rsidRPr="007B2DA6">
        <w:rPr>
          <w:i/>
          <w:iCs/>
          <w:color w:val="000000" w:themeColor="text1"/>
        </w:rPr>
        <w:t>q</w:t>
      </w:r>
      <w:r w:rsidR="0094464E">
        <w:rPr>
          <w:color w:val="000000" w:themeColor="text1"/>
        </w:rPr>
        <w:t xml:space="preserve">=2 regarding pairwise community turnover can be found </w:t>
      </w:r>
      <w:r w:rsidR="0094464E" w:rsidRPr="006E1F09">
        <w:rPr>
          <w:color w:val="000000" w:themeColor="text1"/>
        </w:rPr>
        <w:t xml:space="preserve">in </w:t>
      </w:r>
      <w:r w:rsidR="006E1F09" w:rsidRPr="006E1F09">
        <w:rPr>
          <w:b/>
          <w:bCs/>
          <w:color w:val="000000" w:themeColor="text1"/>
        </w:rPr>
        <w:t>Appendix Figure 4 and Appendix Figure 5</w:t>
      </w:r>
      <w:r w:rsidR="0094464E" w:rsidRPr="006E1F09">
        <w:rPr>
          <w:color w:val="000000" w:themeColor="text1"/>
        </w:rPr>
        <w:t>. According</w:t>
      </w:r>
      <w:r w:rsidR="0094464E">
        <w:rPr>
          <w:color w:val="000000" w:themeColor="text1"/>
        </w:rPr>
        <w:t xml:space="preserve"> to a permutational analysis of variance, rainfall exclusion treatments were an important predictor of pairwise community turnover from</w:t>
      </w:r>
      <w:r w:rsidR="0094464E" w:rsidRPr="00751FBD">
        <w:rPr>
          <w:color w:val="000000" w:themeColor="text1"/>
        </w:rPr>
        <w:t xml:space="preserve"> </w:t>
      </w:r>
      <w:r w:rsidR="0094464E" w:rsidRPr="00531381">
        <w:rPr>
          <w:i/>
          <w:iCs/>
          <w:color w:val="000000" w:themeColor="text1"/>
        </w:rPr>
        <w:t>q</w:t>
      </w:r>
      <w:r w:rsidR="0094464E" w:rsidRPr="00D13B00">
        <w:rPr>
          <w:color w:val="000000" w:themeColor="text1"/>
        </w:rPr>
        <w:t>=0</w:t>
      </w:r>
      <w:r w:rsidR="0094464E">
        <w:rPr>
          <w:color w:val="000000" w:themeColor="text1"/>
        </w:rPr>
        <w:t xml:space="preserve"> to </w:t>
      </w:r>
      <w:r w:rsidR="0094464E" w:rsidRPr="007B2DA6">
        <w:rPr>
          <w:i/>
          <w:iCs/>
          <w:color w:val="000000" w:themeColor="text1"/>
        </w:rPr>
        <w:t>q</w:t>
      </w:r>
      <w:r w:rsidR="0094464E">
        <w:rPr>
          <w:color w:val="000000" w:themeColor="text1"/>
        </w:rPr>
        <w:t>=</w:t>
      </w:r>
      <w:r w:rsidR="0094464E" w:rsidRPr="00D13B00">
        <w:rPr>
          <w:color w:val="000000" w:themeColor="text1"/>
        </w:rPr>
        <w:t>2</w:t>
      </w:r>
      <w:r w:rsidR="0094464E" w:rsidRPr="00642605">
        <w:rPr>
          <w:color w:val="000000" w:themeColor="text1"/>
        </w:rPr>
        <w:t xml:space="preserve"> </w:t>
      </w:r>
      <w:r w:rsidR="0094464E" w:rsidRPr="000E42D4">
        <w:rPr>
          <w:color w:val="000000" w:themeColor="text1"/>
        </w:rPr>
        <w:t>(</w:t>
      </w:r>
      <w:r w:rsidR="0094464E" w:rsidRPr="00531381">
        <w:rPr>
          <w:i/>
          <w:iCs/>
          <w:color w:val="000000" w:themeColor="text1"/>
        </w:rPr>
        <w:t>q</w:t>
      </w:r>
      <w:r w:rsidR="0094464E" w:rsidRPr="00D13B00">
        <w:rPr>
          <w:color w:val="000000" w:themeColor="text1"/>
        </w:rPr>
        <w:t>=0:</w:t>
      </w:r>
      <w:r w:rsidR="0094464E" w:rsidRPr="00531381">
        <w:rPr>
          <w:color w:val="000000" w:themeColor="text1"/>
        </w:rPr>
        <w:t xml:space="preserve"> p&lt;0.001</w:t>
      </w:r>
      <w:r w:rsidR="0094464E" w:rsidRPr="00D13B00">
        <w:rPr>
          <w:color w:val="000000" w:themeColor="text1"/>
        </w:rPr>
        <w:t xml:space="preserve">; </w:t>
      </w:r>
      <w:r w:rsidR="0094464E" w:rsidRPr="00531381">
        <w:rPr>
          <w:i/>
          <w:iCs/>
          <w:color w:val="000000" w:themeColor="text1"/>
        </w:rPr>
        <w:t>q</w:t>
      </w:r>
      <w:r w:rsidR="0094464E" w:rsidRPr="00D13B00">
        <w:rPr>
          <w:color w:val="000000" w:themeColor="text1"/>
        </w:rPr>
        <w:t>=1:</w:t>
      </w:r>
      <w:r w:rsidR="0094464E" w:rsidRPr="00531381">
        <w:rPr>
          <w:color w:val="000000" w:themeColor="text1"/>
        </w:rPr>
        <w:t xml:space="preserve"> p&lt;0.</w:t>
      </w:r>
      <w:r w:rsidR="0094464E">
        <w:rPr>
          <w:color w:val="000000" w:themeColor="text1"/>
        </w:rPr>
        <w:t>0</w:t>
      </w:r>
      <w:r w:rsidR="0094464E" w:rsidRPr="00531381">
        <w:rPr>
          <w:color w:val="000000" w:themeColor="text1"/>
        </w:rPr>
        <w:t>01</w:t>
      </w:r>
      <w:r w:rsidR="0094464E" w:rsidRPr="00D13B00">
        <w:rPr>
          <w:color w:val="000000" w:themeColor="text1"/>
        </w:rPr>
        <w:t xml:space="preserve">; </w:t>
      </w:r>
      <w:r w:rsidR="0094464E" w:rsidRPr="00531381">
        <w:rPr>
          <w:i/>
          <w:iCs/>
          <w:color w:val="000000" w:themeColor="text1"/>
        </w:rPr>
        <w:t>q</w:t>
      </w:r>
      <w:r w:rsidR="0094464E" w:rsidRPr="00D13B00">
        <w:rPr>
          <w:color w:val="000000" w:themeColor="text1"/>
        </w:rPr>
        <w:t xml:space="preserve">=2: </w:t>
      </w:r>
      <w:r w:rsidR="0094464E" w:rsidRPr="00531381">
        <w:rPr>
          <w:color w:val="000000" w:themeColor="text1"/>
        </w:rPr>
        <w:t>p&lt;0.0</w:t>
      </w:r>
      <w:r w:rsidR="0094464E">
        <w:rPr>
          <w:color w:val="000000" w:themeColor="text1"/>
        </w:rPr>
        <w:t>1</w:t>
      </w:r>
      <w:r w:rsidR="0094464E" w:rsidRPr="00D13B00">
        <w:rPr>
          <w:color w:val="000000" w:themeColor="text1"/>
        </w:rPr>
        <w:t xml:space="preserve">). </w:t>
      </w:r>
      <w:r w:rsidR="0094464E">
        <w:rPr>
          <w:color w:val="000000" w:themeColor="text1"/>
        </w:rPr>
        <w:t>Additionally, our permutational analysis of variance showed that the log of phosphorous was an important predictor in pairwise community turnover (</w:t>
      </w:r>
      <w:r w:rsidR="0094464E" w:rsidRPr="00FD02AB">
        <w:rPr>
          <w:i/>
          <w:iCs/>
          <w:color w:val="000000" w:themeColor="text1"/>
        </w:rPr>
        <w:t>q</w:t>
      </w:r>
      <w:r w:rsidR="0094464E">
        <w:rPr>
          <w:color w:val="000000" w:themeColor="text1"/>
        </w:rPr>
        <w:t xml:space="preserve">=0: p&lt;0.01; </w:t>
      </w:r>
      <w:r w:rsidR="0094464E" w:rsidRPr="00FD02AB">
        <w:rPr>
          <w:i/>
          <w:iCs/>
          <w:color w:val="000000" w:themeColor="text1"/>
        </w:rPr>
        <w:t>q</w:t>
      </w:r>
      <w:r w:rsidR="0094464E">
        <w:rPr>
          <w:color w:val="000000" w:themeColor="text1"/>
        </w:rPr>
        <w:t xml:space="preserve">=1: p&lt;0.01; </w:t>
      </w:r>
      <w:r w:rsidR="0094464E" w:rsidRPr="00FD02AB">
        <w:rPr>
          <w:i/>
          <w:iCs/>
          <w:color w:val="000000" w:themeColor="text1"/>
        </w:rPr>
        <w:t>q</w:t>
      </w:r>
      <w:r w:rsidR="0094464E">
        <w:rPr>
          <w:color w:val="000000" w:themeColor="text1"/>
        </w:rPr>
        <w:t xml:space="preserve">=2: p&lt;0.05), influencing changes in more common and rare bacterial taxa alike. Sampling date influenced pairwise community turnover at </w:t>
      </w:r>
      <w:r w:rsidR="0094464E" w:rsidRPr="00DF1E70">
        <w:rPr>
          <w:i/>
          <w:iCs/>
          <w:color w:val="000000" w:themeColor="text1"/>
        </w:rPr>
        <w:t>q</w:t>
      </w:r>
      <w:r w:rsidR="0094464E">
        <w:rPr>
          <w:color w:val="000000" w:themeColor="text1"/>
        </w:rPr>
        <w:t xml:space="preserve">=0 (p&lt;0.05). This suggests that across the monsoon season phenological shifts in bacterial community composition can occur due to variation in rainfall intensity and phosphorous. </w:t>
      </w:r>
      <w:r w:rsidR="00A87BF0">
        <w:rPr>
          <w:color w:val="000000" w:themeColor="text1"/>
        </w:rPr>
        <w:br w:type="page"/>
      </w:r>
      <w:r w:rsidR="00A87BF0">
        <w:rPr>
          <w:noProof/>
        </w:rPr>
        <w:lastRenderedPageBreak/>
        <w:drawing>
          <wp:inline distT="0" distB="0" distL="0" distR="0" wp14:anchorId="711DD89E" wp14:editId="210C2AFF">
            <wp:extent cx="5252981" cy="5150840"/>
            <wp:effectExtent l="0" t="0" r="5080" b="5715"/>
            <wp:docPr id="31" name="Picture 3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Chart, box and whisk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64886" cy="5162514"/>
                    </a:xfrm>
                    <a:prstGeom prst="rect">
                      <a:avLst/>
                    </a:prstGeom>
                  </pic:spPr>
                </pic:pic>
              </a:graphicData>
            </a:graphic>
          </wp:inline>
        </w:drawing>
      </w:r>
    </w:p>
    <w:p w14:paraId="5B03F6F1" w14:textId="77777777" w:rsidR="00A87BF0" w:rsidRDefault="00A87BF0" w:rsidP="00A87BF0">
      <w:pPr>
        <w:pStyle w:val="Caption"/>
      </w:pPr>
      <w:bookmarkStart w:id="59" w:name="_Toc102046881"/>
      <w:r w:rsidRPr="00735ED6">
        <w:t>Figure 11. Beta</w:t>
      </w:r>
      <w:r>
        <w:t xml:space="preserve"> diversity, or distance to the centroid in multivariate space at </w:t>
      </w:r>
      <w:r w:rsidRPr="0053368E">
        <w:rPr>
          <w:i/>
        </w:rPr>
        <w:t>q</w:t>
      </w:r>
      <w:r>
        <w:t>=0, where significant differences in beta diversity were detected across the monsoon season.</w:t>
      </w:r>
      <w:bookmarkEnd w:id="59"/>
      <w:r>
        <w:t xml:space="preserve"> </w:t>
      </w:r>
    </w:p>
    <w:p w14:paraId="1B9E53EF" w14:textId="6E8C5676" w:rsidR="00A87BF0" w:rsidRDefault="00A87BF0" w:rsidP="00A87BF0">
      <w:pPr>
        <w:spacing w:line="480" w:lineRule="auto"/>
      </w:pPr>
      <w:r>
        <w:rPr>
          <w:color w:val="000000" w:themeColor="text1"/>
        </w:rPr>
        <w:br w:type="page"/>
      </w:r>
      <w:r>
        <w:rPr>
          <w:noProof/>
        </w:rPr>
        <w:lastRenderedPageBreak/>
        <w:drawing>
          <wp:inline distT="0" distB="0" distL="0" distR="0" wp14:anchorId="40BDB2E1" wp14:editId="48844518">
            <wp:extent cx="4957980" cy="4949505"/>
            <wp:effectExtent l="0" t="0" r="0" b="3810"/>
            <wp:docPr id="32" name="Picture 3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4967641" cy="4959150"/>
                    </a:xfrm>
                    <a:prstGeom prst="rect">
                      <a:avLst/>
                    </a:prstGeom>
                  </pic:spPr>
                </pic:pic>
              </a:graphicData>
            </a:graphic>
          </wp:inline>
        </w:drawing>
      </w:r>
    </w:p>
    <w:p w14:paraId="2406C048" w14:textId="77777777" w:rsidR="00A87BF0" w:rsidRDefault="00A87BF0" w:rsidP="00A87BF0">
      <w:pPr>
        <w:pStyle w:val="Caption"/>
      </w:pPr>
      <w:bookmarkStart w:id="60" w:name="_Toc102046882"/>
      <w:r w:rsidRPr="00735ED6">
        <w:t xml:space="preserve">Figure </w:t>
      </w:r>
      <w:r>
        <w:t>12</w:t>
      </w:r>
      <w:r w:rsidRPr="00735ED6">
        <w:t>. Principal</w:t>
      </w:r>
      <w:r>
        <w:t xml:space="preserve"> coordinate analysis at q=0 for pairwise community turnover.</w:t>
      </w:r>
      <w:bookmarkEnd w:id="60"/>
      <w:r>
        <w:t xml:space="preserve"> </w:t>
      </w:r>
    </w:p>
    <w:p w14:paraId="320B566F" w14:textId="77777777" w:rsidR="00A87BF0" w:rsidRPr="00F62254" w:rsidRDefault="00A87BF0" w:rsidP="00A87BF0">
      <w:pPr>
        <w:rPr>
          <w:sz w:val="20"/>
          <w:szCs w:val="20"/>
        </w:rPr>
      </w:pPr>
      <w:r>
        <w:rPr>
          <w:sz w:val="20"/>
          <w:szCs w:val="20"/>
        </w:rPr>
        <w:t xml:space="preserve">Figure 12 footnote. </w:t>
      </w:r>
      <w:r w:rsidRPr="00F62254">
        <w:rPr>
          <w:sz w:val="20"/>
          <w:szCs w:val="20"/>
        </w:rPr>
        <w:t xml:space="preserve">Where triangles represent communities at the beginning of the monsoon (Date A) and circles are communities at the end of the monsoon season after rainfall exclusion (Date B). From left to right, teal corresponds to moderate rainfall exclusion (60%), pink to high rainfall exclusion (80%), and black the control treatment (0%). Bars are ± one standard error around the median. </w:t>
      </w:r>
    </w:p>
    <w:p w14:paraId="71FE2030" w14:textId="3D25CF3E" w:rsidR="002439B0" w:rsidRPr="00A87BF0" w:rsidRDefault="00A87BF0" w:rsidP="00A87BF0">
      <w:r>
        <w:br w:type="page"/>
      </w:r>
    </w:p>
    <w:p w14:paraId="56DCE7B1" w14:textId="12966F2D" w:rsidR="00AC5965" w:rsidRDefault="001802B6" w:rsidP="0094464E">
      <w:pPr>
        <w:pStyle w:val="Heading3"/>
      </w:pPr>
      <w:bookmarkStart w:id="61" w:name="_Toc102048020"/>
      <w:r>
        <w:lastRenderedPageBreak/>
        <w:t>Rainfall exclusion treatments harbor unique indicator ASVs</w:t>
      </w:r>
      <w:bookmarkEnd w:id="61"/>
    </w:p>
    <w:p w14:paraId="70FF0364" w14:textId="7DF8B01D" w:rsidR="00A87BF0" w:rsidRPr="00A87BF0" w:rsidRDefault="0094464E" w:rsidP="00A87BF0">
      <w:pPr>
        <w:spacing w:line="360" w:lineRule="auto"/>
        <w:rPr>
          <w:color w:val="000000" w:themeColor="text1"/>
        </w:rPr>
      </w:pPr>
      <w:r>
        <w:rPr>
          <w:color w:val="000000" w:themeColor="text1"/>
        </w:rPr>
        <w:tab/>
        <w:t xml:space="preserve">An indicator species analysis was completed on community data from Date B to determine which ASVs are unique to each rainfall exclusion treatment as depicted in </w:t>
      </w:r>
      <w:r w:rsidRPr="00F97135">
        <w:rPr>
          <w:b/>
          <w:bCs/>
          <w:color w:val="000000" w:themeColor="text1"/>
        </w:rPr>
        <w:t xml:space="preserve">Figure </w:t>
      </w:r>
      <w:r w:rsidR="00735ED6">
        <w:rPr>
          <w:b/>
          <w:bCs/>
          <w:color w:val="000000" w:themeColor="text1"/>
        </w:rPr>
        <w:t>8</w:t>
      </w:r>
      <w:r>
        <w:rPr>
          <w:color w:val="000000" w:themeColor="text1"/>
        </w:rPr>
        <w:t>. The control treatment had 61 unique indicator ASVs representing 7 bacterial phyla (</w:t>
      </w:r>
      <w:proofErr w:type="spellStart"/>
      <w:r w:rsidRPr="00512E97">
        <w:rPr>
          <w:color w:val="000000" w:themeColor="text1"/>
        </w:rPr>
        <w:t>Acidobacteria</w:t>
      </w:r>
      <w:proofErr w:type="spellEnd"/>
      <w:r w:rsidRPr="00DD2F2C">
        <w:rPr>
          <w:color w:val="000000" w:themeColor="text1"/>
        </w:rPr>
        <w:t xml:space="preserve">, </w:t>
      </w:r>
      <w:r w:rsidRPr="00512E97">
        <w:rPr>
          <w:color w:val="000000" w:themeColor="text1"/>
        </w:rPr>
        <w:t>Actinobacteria</w:t>
      </w:r>
      <w:r w:rsidRPr="00DD2F2C">
        <w:rPr>
          <w:color w:val="000000" w:themeColor="text1"/>
        </w:rPr>
        <w:t xml:space="preserve">, </w:t>
      </w:r>
      <w:r w:rsidRPr="00512E97">
        <w:rPr>
          <w:color w:val="000000" w:themeColor="text1"/>
        </w:rPr>
        <w:t>Bacteroidetes</w:t>
      </w:r>
      <w:r w:rsidRPr="00DD2F2C">
        <w:rPr>
          <w:color w:val="000000" w:themeColor="text1"/>
        </w:rPr>
        <w:t xml:space="preserve">, </w:t>
      </w:r>
      <w:proofErr w:type="spellStart"/>
      <w:r w:rsidRPr="00512E97">
        <w:rPr>
          <w:color w:val="000000" w:themeColor="text1"/>
        </w:rPr>
        <w:t>Chloroflexi</w:t>
      </w:r>
      <w:proofErr w:type="spellEnd"/>
      <w:r w:rsidRPr="00DD2F2C">
        <w:rPr>
          <w:color w:val="000000" w:themeColor="text1"/>
        </w:rPr>
        <w:t xml:space="preserve">, </w:t>
      </w:r>
      <w:r w:rsidRPr="00512E97">
        <w:rPr>
          <w:color w:val="000000" w:themeColor="text1"/>
        </w:rPr>
        <w:t>Plan</w:t>
      </w:r>
      <w:r>
        <w:rPr>
          <w:color w:val="000000" w:themeColor="text1"/>
        </w:rPr>
        <w:t>c</w:t>
      </w:r>
      <w:r w:rsidRPr="00512E97">
        <w:rPr>
          <w:color w:val="000000" w:themeColor="text1"/>
        </w:rPr>
        <w:t>tomycetes</w:t>
      </w:r>
      <w:r w:rsidRPr="00DD2F2C">
        <w:rPr>
          <w:color w:val="000000" w:themeColor="text1"/>
        </w:rPr>
        <w:t xml:space="preserve">, </w:t>
      </w:r>
      <w:r w:rsidRPr="00512E97">
        <w:rPr>
          <w:color w:val="000000" w:themeColor="text1"/>
        </w:rPr>
        <w:t>Proteobacteria</w:t>
      </w:r>
      <w:r w:rsidRPr="00DD2F2C">
        <w:rPr>
          <w:color w:val="000000" w:themeColor="text1"/>
        </w:rPr>
        <w:t xml:space="preserve">, and </w:t>
      </w:r>
      <w:proofErr w:type="spellStart"/>
      <w:r w:rsidRPr="00512E97">
        <w:rPr>
          <w:color w:val="000000" w:themeColor="text1"/>
        </w:rPr>
        <w:t>Verrucomicrobia</w:t>
      </w:r>
      <w:proofErr w:type="spellEnd"/>
      <w:r>
        <w:rPr>
          <w:color w:val="000000" w:themeColor="text1"/>
        </w:rPr>
        <w:t xml:space="preserve">), with </w:t>
      </w:r>
      <w:r w:rsidRPr="00512E97">
        <w:rPr>
          <w:color w:val="000000" w:themeColor="text1"/>
        </w:rPr>
        <w:t>Actinobacteria</w:t>
      </w:r>
      <w:r>
        <w:rPr>
          <w:i/>
          <w:iCs/>
          <w:color w:val="000000" w:themeColor="text1"/>
        </w:rPr>
        <w:t xml:space="preserve"> </w:t>
      </w:r>
      <w:r>
        <w:rPr>
          <w:color w:val="000000" w:themeColor="text1"/>
        </w:rPr>
        <w:t xml:space="preserve">being the most common indicator phylum. There were 14 ASVs that were assigned to unknown (NA) bacterial families in the control treatment. </w:t>
      </w:r>
      <w:r w:rsidRPr="00DA49C1">
        <w:rPr>
          <w:b/>
          <w:bCs/>
          <w:color w:val="000000" w:themeColor="text1"/>
        </w:rPr>
        <w:t xml:space="preserve">Figure </w:t>
      </w:r>
      <w:r w:rsidR="00735ED6">
        <w:rPr>
          <w:b/>
          <w:bCs/>
          <w:color w:val="000000" w:themeColor="text1"/>
        </w:rPr>
        <w:t>13</w:t>
      </w:r>
      <w:r>
        <w:rPr>
          <w:color w:val="000000" w:themeColor="text1"/>
        </w:rPr>
        <w:t xml:space="preserve"> highlights the six most abundant bacterial classes (</w:t>
      </w:r>
      <w:r w:rsidRPr="00512E97">
        <w:rPr>
          <w:color w:val="000000" w:themeColor="text1"/>
        </w:rPr>
        <w:t>Actinobacteria</w:t>
      </w:r>
      <w:r w:rsidRPr="00DD2F2C">
        <w:rPr>
          <w:color w:val="000000" w:themeColor="text1"/>
        </w:rPr>
        <w:t xml:space="preserve">, </w:t>
      </w:r>
      <w:proofErr w:type="spellStart"/>
      <w:r w:rsidRPr="00512E97">
        <w:rPr>
          <w:color w:val="000000" w:themeColor="text1"/>
        </w:rPr>
        <w:t>Alphaproteobacteria</w:t>
      </w:r>
      <w:proofErr w:type="spellEnd"/>
      <w:r w:rsidRPr="00DD2F2C">
        <w:rPr>
          <w:color w:val="000000" w:themeColor="text1"/>
        </w:rPr>
        <w:t xml:space="preserve">, </w:t>
      </w:r>
      <w:proofErr w:type="spellStart"/>
      <w:r w:rsidRPr="00512E97">
        <w:rPr>
          <w:color w:val="000000" w:themeColor="text1"/>
        </w:rPr>
        <w:t>Bacteroidia</w:t>
      </w:r>
      <w:proofErr w:type="spellEnd"/>
      <w:r w:rsidRPr="00DD2F2C">
        <w:rPr>
          <w:color w:val="000000" w:themeColor="text1"/>
        </w:rPr>
        <w:t xml:space="preserve">, </w:t>
      </w:r>
      <w:r w:rsidRPr="00512E97">
        <w:rPr>
          <w:color w:val="000000" w:themeColor="text1"/>
        </w:rPr>
        <w:t>Deltaproteobacteria</w:t>
      </w:r>
      <w:r w:rsidRPr="00DD2F2C">
        <w:rPr>
          <w:color w:val="000000" w:themeColor="text1"/>
        </w:rPr>
        <w:t xml:space="preserve">, </w:t>
      </w:r>
      <w:proofErr w:type="spellStart"/>
      <w:r w:rsidR="00437660" w:rsidRPr="00512E97">
        <w:rPr>
          <w:color w:val="000000" w:themeColor="text1"/>
        </w:rPr>
        <w:t>Gammaproteobacteria</w:t>
      </w:r>
      <w:proofErr w:type="spellEnd"/>
      <w:r w:rsidR="00437660" w:rsidRPr="00DD2F2C">
        <w:rPr>
          <w:color w:val="000000" w:themeColor="text1"/>
        </w:rPr>
        <w:t xml:space="preserve">, and </w:t>
      </w:r>
      <w:proofErr w:type="spellStart"/>
      <w:r w:rsidR="00437660" w:rsidRPr="00512E97">
        <w:rPr>
          <w:color w:val="000000" w:themeColor="text1"/>
        </w:rPr>
        <w:t>Verrucomicrobiae</w:t>
      </w:r>
      <w:proofErr w:type="spellEnd"/>
      <w:r w:rsidR="00437660">
        <w:rPr>
          <w:color w:val="000000" w:themeColor="text1"/>
        </w:rPr>
        <w:t xml:space="preserve">) that have been assigned as indicators across all rainfall exclusion treatments. Here, bacterial families are represented by color </w:t>
      </w:r>
      <w:r>
        <w:rPr>
          <w:color w:val="000000" w:themeColor="text1"/>
        </w:rPr>
        <w:t xml:space="preserve">and the most relatively abundant bacterial family for the control treatment is </w:t>
      </w:r>
      <w:proofErr w:type="spellStart"/>
      <w:r w:rsidRPr="00512E97">
        <w:rPr>
          <w:color w:val="000000" w:themeColor="text1"/>
        </w:rPr>
        <w:t>Micrococcaceae</w:t>
      </w:r>
      <w:proofErr w:type="spellEnd"/>
      <w:r>
        <w:rPr>
          <w:color w:val="000000" w:themeColor="text1"/>
        </w:rPr>
        <w:t xml:space="preserve"> (</w:t>
      </w:r>
      <w:r w:rsidR="005355D9">
        <w:rPr>
          <w:b/>
          <w:bCs/>
          <w:color w:val="000000" w:themeColor="text1"/>
        </w:rPr>
        <w:t>Figure</w:t>
      </w:r>
      <w:r w:rsidRPr="00DA49C1">
        <w:rPr>
          <w:b/>
          <w:bCs/>
          <w:color w:val="000000" w:themeColor="text1"/>
        </w:rPr>
        <w:t xml:space="preserve"> </w:t>
      </w:r>
      <w:r w:rsidR="00977352">
        <w:rPr>
          <w:b/>
          <w:bCs/>
          <w:color w:val="000000" w:themeColor="text1"/>
        </w:rPr>
        <w:t>13</w:t>
      </w:r>
      <w:r>
        <w:rPr>
          <w:color w:val="000000" w:themeColor="text1"/>
        </w:rPr>
        <w:t xml:space="preserve">). There were numerous bacterial ASVs that had significant indicator values with the control treatment. The largest indicator value for the control treatment is r=0.48 (p&lt;0.001) and corresponds to the bacterium </w:t>
      </w:r>
      <w:proofErr w:type="spellStart"/>
      <w:r w:rsidRPr="00F97135">
        <w:rPr>
          <w:i/>
          <w:iCs/>
          <w:color w:val="000000" w:themeColor="text1"/>
        </w:rPr>
        <w:t>Williamsia</w:t>
      </w:r>
      <w:proofErr w:type="spellEnd"/>
      <w:r w:rsidRPr="00F97135">
        <w:rPr>
          <w:i/>
          <w:iCs/>
          <w:color w:val="000000" w:themeColor="text1"/>
        </w:rPr>
        <w:t xml:space="preserve"> sp.</w:t>
      </w:r>
      <w:r>
        <w:rPr>
          <w:color w:val="000000" w:themeColor="text1"/>
        </w:rPr>
        <w:t xml:space="preserve"> (phylum </w:t>
      </w:r>
      <w:r w:rsidRPr="00512E97">
        <w:rPr>
          <w:color w:val="000000" w:themeColor="text1"/>
        </w:rPr>
        <w:t>Actinobacteria</w:t>
      </w:r>
      <w:r>
        <w:rPr>
          <w:color w:val="000000" w:themeColor="text1"/>
        </w:rPr>
        <w:t xml:space="preserve">). The second most correlated bacterial ASV for the control treatment is </w:t>
      </w:r>
      <w:proofErr w:type="spellStart"/>
      <w:r w:rsidRPr="00F97135">
        <w:rPr>
          <w:i/>
          <w:iCs/>
          <w:color w:val="000000" w:themeColor="text1"/>
        </w:rPr>
        <w:t>Segetibacter</w:t>
      </w:r>
      <w:proofErr w:type="spellEnd"/>
      <w:r w:rsidRPr="00F97135">
        <w:rPr>
          <w:i/>
          <w:iCs/>
          <w:color w:val="000000" w:themeColor="text1"/>
        </w:rPr>
        <w:t xml:space="preserve"> sp</w:t>
      </w:r>
      <w:r>
        <w:rPr>
          <w:i/>
          <w:iCs/>
          <w:color w:val="000000" w:themeColor="text1"/>
        </w:rPr>
        <w:t>p</w:t>
      </w:r>
      <w:r w:rsidRPr="00F97135">
        <w:rPr>
          <w:i/>
          <w:iCs/>
          <w:color w:val="000000" w:themeColor="text1"/>
        </w:rPr>
        <w:t>.</w:t>
      </w:r>
      <w:r>
        <w:rPr>
          <w:color w:val="000000" w:themeColor="text1"/>
        </w:rPr>
        <w:t xml:space="preserve">, which belongs to the phylum </w:t>
      </w:r>
      <w:r w:rsidRPr="00512E97">
        <w:rPr>
          <w:color w:val="000000" w:themeColor="text1"/>
        </w:rPr>
        <w:t>Bacteroidetes</w:t>
      </w:r>
      <w:r w:rsidRPr="00DD2F2C">
        <w:rPr>
          <w:color w:val="000000" w:themeColor="text1"/>
        </w:rPr>
        <w:t xml:space="preserve"> </w:t>
      </w:r>
      <w:r>
        <w:rPr>
          <w:color w:val="000000" w:themeColor="text1"/>
        </w:rPr>
        <w:t xml:space="preserve">and the family </w:t>
      </w:r>
      <w:proofErr w:type="spellStart"/>
      <w:r w:rsidRPr="00512E97">
        <w:rPr>
          <w:color w:val="000000" w:themeColor="text1"/>
        </w:rPr>
        <w:t>Chitinophagaceae</w:t>
      </w:r>
      <w:proofErr w:type="spellEnd"/>
      <w:r>
        <w:rPr>
          <w:i/>
          <w:iCs/>
          <w:color w:val="000000" w:themeColor="text1"/>
        </w:rPr>
        <w:t xml:space="preserve">. </w:t>
      </w:r>
      <w:r>
        <w:rPr>
          <w:color w:val="000000" w:themeColor="text1"/>
        </w:rPr>
        <w:t xml:space="preserve">(r=0.43, p&lt;0.001). In comparison, the moderate rainfall exclusion treatment had the most abundant and diverse set of bacterial indicators, which spans 12 bacterial phyla and 51 bacterial families. </w:t>
      </w:r>
      <w:r w:rsidRPr="00DD2F2C">
        <w:rPr>
          <w:color w:val="000000" w:themeColor="text1"/>
        </w:rPr>
        <w:t xml:space="preserve">The </w:t>
      </w:r>
      <w:r w:rsidRPr="00DB4463">
        <w:rPr>
          <w:color w:val="000000" w:themeColor="text1"/>
        </w:rPr>
        <w:t>most uncovered</w:t>
      </w:r>
      <w:r w:rsidRPr="008B582B">
        <w:rPr>
          <w:color w:val="000000" w:themeColor="text1"/>
        </w:rPr>
        <w:t xml:space="preserve"> bacterial </w:t>
      </w:r>
      <w:r w:rsidRPr="00D03362">
        <w:rPr>
          <w:color w:val="000000" w:themeColor="text1"/>
        </w:rPr>
        <w:t>p</w:t>
      </w:r>
      <w:r w:rsidRPr="00512E97">
        <w:rPr>
          <w:color w:val="000000" w:themeColor="text1"/>
        </w:rPr>
        <w:t>hyla as indicators for this treatment were Proteobacteria</w:t>
      </w:r>
      <w:r w:rsidRPr="00DD2F2C">
        <w:rPr>
          <w:color w:val="000000" w:themeColor="text1"/>
        </w:rPr>
        <w:t xml:space="preserve"> (28 ASVs), </w:t>
      </w:r>
      <w:r w:rsidRPr="00512E97">
        <w:rPr>
          <w:color w:val="000000" w:themeColor="text1"/>
        </w:rPr>
        <w:t>Actinobacteria</w:t>
      </w:r>
      <w:r w:rsidRPr="00DD2F2C">
        <w:rPr>
          <w:color w:val="000000" w:themeColor="text1"/>
        </w:rPr>
        <w:t xml:space="preserve"> (21 ASVs), </w:t>
      </w:r>
      <w:r w:rsidRPr="00512E97">
        <w:rPr>
          <w:color w:val="000000" w:themeColor="text1"/>
        </w:rPr>
        <w:t>Bacteroidetes</w:t>
      </w:r>
      <w:r w:rsidRPr="00DD2F2C">
        <w:rPr>
          <w:color w:val="000000" w:themeColor="text1"/>
        </w:rPr>
        <w:t xml:space="preserve"> (18), </w:t>
      </w:r>
      <w:proofErr w:type="spellStart"/>
      <w:r w:rsidRPr="00512E97">
        <w:rPr>
          <w:color w:val="000000" w:themeColor="text1"/>
        </w:rPr>
        <w:t>Acidobacteria</w:t>
      </w:r>
      <w:proofErr w:type="spellEnd"/>
      <w:r w:rsidRPr="00DD2F2C">
        <w:rPr>
          <w:color w:val="000000" w:themeColor="text1"/>
        </w:rPr>
        <w:t xml:space="preserve"> (11), and </w:t>
      </w:r>
      <w:proofErr w:type="spellStart"/>
      <w:r w:rsidRPr="00512E97">
        <w:rPr>
          <w:color w:val="000000" w:themeColor="text1"/>
        </w:rPr>
        <w:t>Verrucomicrobia</w:t>
      </w:r>
      <w:proofErr w:type="spellEnd"/>
      <w:r w:rsidRPr="00DD2F2C">
        <w:rPr>
          <w:color w:val="000000" w:themeColor="text1"/>
        </w:rPr>
        <w:t xml:space="preserve"> (11)</w:t>
      </w:r>
      <w:r w:rsidRPr="00DB4463">
        <w:rPr>
          <w:color w:val="000000" w:themeColor="text1"/>
        </w:rPr>
        <w:t>.</w:t>
      </w:r>
      <w:r>
        <w:rPr>
          <w:color w:val="000000" w:themeColor="text1"/>
        </w:rPr>
        <w:t xml:space="preserve"> </w:t>
      </w:r>
      <w:r w:rsidRPr="00DA49C1">
        <w:rPr>
          <w:b/>
          <w:bCs/>
          <w:color w:val="000000" w:themeColor="text1"/>
        </w:rPr>
        <w:t xml:space="preserve">Figure </w:t>
      </w:r>
      <w:r w:rsidR="00977352">
        <w:rPr>
          <w:b/>
          <w:bCs/>
          <w:color w:val="000000" w:themeColor="text1"/>
        </w:rPr>
        <w:t>13</w:t>
      </w:r>
      <w:r>
        <w:rPr>
          <w:color w:val="000000" w:themeColor="text1"/>
        </w:rPr>
        <w:t xml:space="preserve"> shows the two most relatively abundant bacterial families for the moderate rainfall exclusion treatment were </w:t>
      </w:r>
      <w:proofErr w:type="spellStart"/>
      <w:r w:rsidRPr="00512E97">
        <w:rPr>
          <w:color w:val="000000" w:themeColor="text1"/>
        </w:rPr>
        <w:t>Chitinophagaceae</w:t>
      </w:r>
      <w:proofErr w:type="spellEnd"/>
      <w:r w:rsidRPr="00DD2F2C">
        <w:rPr>
          <w:color w:val="000000" w:themeColor="text1"/>
        </w:rPr>
        <w:t xml:space="preserve"> and </w:t>
      </w:r>
      <w:proofErr w:type="spellStart"/>
      <w:r w:rsidRPr="00512E97">
        <w:rPr>
          <w:color w:val="000000" w:themeColor="text1"/>
        </w:rPr>
        <w:t>Nitrosomonadaceae</w:t>
      </w:r>
      <w:proofErr w:type="spellEnd"/>
      <w:r>
        <w:rPr>
          <w:color w:val="000000" w:themeColor="text1"/>
        </w:rPr>
        <w:t xml:space="preserve">. For the moderate rainfall exclusion treatment, the bacterial ASV corresponding to the genus </w:t>
      </w:r>
      <w:proofErr w:type="spellStart"/>
      <w:r w:rsidRPr="00F97135">
        <w:rPr>
          <w:i/>
          <w:iCs/>
          <w:color w:val="000000" w:themeColor="text1"/>
        </w:rPr>
        <w:t>Acidibacter</w:t>
      </w:r>
      <w:proofErr w:type="spellEnd"/>
      <w:r>
        <w:rPr>
          <w:color w:val="000000" w:themeColor="text1"/>
        </w:rPr>
        <w:t xml:space="preserve">, a </w:t>
      </w:r>
      <w:r w:rsidRPr="00512E97">
        <w:rPr>
          <w:color w:val="000000" w:themeColor="text1"/>
        </w:rPr>
        <w:t>Proteobacteria</w:t>
      </w:r>
      <w:r>
        <w:rPr>
          <w:color w:val="000000" w:themeColor="text1"/>
        </w:rPr>
        <w:t xml:space="preserve">, had the largest significant correlation (r=0.41, p&lt;0.001). Based on taxonomic assignment to the SILVA (v. 138) database, this ASV did not have a previously assigned family or species. Additionally, the second most correlated (r=0.36, p&lt;0.01) bacterium for the moderate rainfall exclusion treatment corresponds to an ASV in the order </w:t>
      </w:r>
      <w:proofErr w:type="spellStart"/>
      <w:r w:rsidRPr="00512E97">
        <w:rPr>
          <w:color w:val="000000" w:themeColor="text1"/>
        </w:rPr>
        <w:t>Frankiales</w:t>
      </w:r>
      <w:proofErr w:type="spellEnd"/>
      <w:r w:rsidRPr="00DD2F2C">
        <w:rPr>
          <w:color w:val="000000" w:themeColor="text1"/>
        </w:rPr>
        <w:t xml:space="preserve"> (phylum </w:t>
      </w:r>
      <w:r w:rsidRPr="00512E97">
        <w:rPr>
          <w:color w:val="000000" w:themeColor="text1"/>
        </w:rPr>
        <w:t>Actinobacteria</w:t>
      </w:r>
      <w:r>
        <w:rPr>
          <w:color w:val="000000" w:themeColor="text1"/>
        </w:rPr>
        <w:t xml:space="preserve">). In the high rainfall exclusion treatment, the same 7 bacterial phyla were recovered as indicators as in the control treatment, however the most common indicator phyla were </w:t>
      </w:r>
      <w:r w:rsidRPr="00512E97">
        <w:rPr>
          <w:color w:val="000000" w:themeColor="text1"/>
        </w:rPr>
        <w:t>Proteobacteria</w:t>
      </w:r>
      <w:r w:rsidRPr="00285599">
        <w:rPr>
          <w:color w:val="000000" w:themeColor="text1"/>
        </w:rPr>
        <w:t xml:space="preserve"> </w:t>
      </w:r>
      <w:r>
        <w:rPr>
          <w:color w:val="000000" w:themeColor="text1"/>
        </w:rPr>
        <w:t xml:space="preserve">with 13 ASVs. There were 21 bacterial indicators families in the high rainfall exclusion treatment, with </w:t>
      </w:r>
      <w:proofErr w:type="spellStart"/>
      <w:r w:rsidRPr="00512E97">
        <w:rPr>
          <w:color w:val="000000" w:themeColor="text1"/>
        </w:rPr>
        <w:t>Micromonosporaceae</w:t>
      </w:r>
      <w:proofErr w:type="spellEnd"/>
      <w:r w:rsidRPr="00285599">
        <w:rPr>
          <w:color w:val="000000" w:themeColor="text1"/>
        </w:rPr>
        <w:t xml:space="preserve"> </w:t>
      </w:r>
      <w:r w:rsidRPr="008B582B">
        <w:rPr>
          <w:color w:val="000000" w:themeColor="text1"/>
        </w:rPr>
        <w:t xml:space="preserve">and </w:t>
      </w:r>
      <w:proofErr w:type="spellStart"/>
      <w:r w:rsidRPr="008B582B">
        <w:rPr>
          <w:color w:val="000000" w:themeColor="text1"/>
        </w:rPr>
        <w:t>Devosiaceae</w:t>
      </w:r>
      <w:proofErr w:type="spellEnd"/>
      <w:r w:rsidRPr="008B582B">
        <w:rPr>
          <w:color w:val="000000" w:themeColor="text1"/>
        </w:rPr>
        <w:t xml:space="preserve"> as the most common in</w:t>
      </w:r>
      <w:r w:rsidRPr="00D03362">
        <w:rPr>
          <w:color w:val="000000" w:themeColor="text1"/>
        </w:rPr>
        <w:t>dicators</w:t>
      </w:r>
      <w:r>
        <w:rPr>
          <w:color w:val="000000" w:themeColor="text1"/>
        </w:rPr>
        <w:t xml:space="preserve">. Lastly, bacteria </w:t>
      </w:r>
      <w:r w:rsidR="00A87BF0">
        <w:rPr>
          <w:color w:val="000000" w:themeColor="text1"/>
        </w:rPr>
        <w:br w:type="page"/>
      </w:r>
      <w:r w:rsidR="00A87BF0">
        <w:rPr>
          <w:noProof/>
        </w:rPr>
        <w:lastRenderedPageBreak/>
        <w:drawing>
          <wp:inline distT="0" distB="0" distL="0" distR="0" wp14:anchorId="335E36F4" wp14:editId="406F03FC">
            <wp:extent cx="5568852" cy="3488267"/>
            <wp:effectExtent l="0" t="0" r="0" b="4445"/>
            <wp:docPr id="33" name="Picture 33"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abl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83911" cy="3497700"/>
                    </a:xfrm>
                    <a:prstGeom prst="rect">
                      <a:avLst/>
                    </a:prstGeom>
                  </pic:spPr>
                </pic:pic>
              </a:graphicData>
            </a:graphic>
          </wp:inline>
        </w:drawing>
      </w:r>
    </w:p>
    <w:p w14:paraId="0231FB7C" w14:textId="77777777" w:rsidR="00A87BF0" w:rsidRDefault="00A87BF0" w:rsidP="00A87BF0">
      <w:pPr>
        <w:pStyle w:val="Caption"/>
      </w:pPr>
      <w:bookmarkStart w:id="62" w:name="_Toc102046883"/>
      <w:r w:rsidRPr="00977352">
        <w:t xml:space="preserve">Figure </w:t>
      </w:r>
      <w:r>
        <w:t>13</w:t>
      </w:r>
      <w:r w:rsidRPr="00977352">
        <w:t>. An</w:t>
      </w:r>
      <w:r>
        <w:t xml:space="preserve"> indicator species analysis based on rainfall exclusion treatments. Colors represent different bacterial families grouped at the class level </w:t>
      </w:r>
      <w:r w:rsidRPr="0006339C">
        <w:t xml:space="preserve">for Actinobacteria, </w:t>
      </w:r>
      <w:proofErr w:type="spellStart"/>
      <w:r w:rsidRPr="0006339C">
        <w:t>Alphaproteobacteria</w:t>
      </w:r>
      <w:proofErr w:type="spellEnd"/>
      <w:r w:rsidRPr="0006339C">
        <w:t xml:space="preserve">, </w:t>
      </w:r>
      <w:proofErr w:type="spellStart"/>
      <w:r w:rsidRPr="0006339C">
        <w:t>Bacteroidia</w:t>
      </w:r>
      <w:proofErr w:type="spellEnd"/>
      <w:r w:rsidRPr="0006339C">
        <w:t xml:space="preserve">, Deltaproteobacteria, </w:t>
      </w:r>
      <w:proofErr w:type="spellStart"/>
      <w:r w:rsidRPr="0006339C">
        <w:t>Gammaproteobacteria</w:t>
      </w:r>
      <w:proofErr w:type="spellEnd"/>
      <w:r w:rsidRPr="0006339C">
        <w:t xml:space="preserve">, and </w:t>
      </w:r>
      <w:proofErr w:type="spellStart"/>
      <w:r w:rsidRPr="0006339C">
        <w:t>Verrucomicrobiae</w:t>
      </w:r>
      <w:proofErr w:type="spellEnd"/>
      <w:r w:rsidRPr="0006339C">
        <w:t>.</w:t>
      </w:r>
      <w:bookmarkEnd w:id="62"/>
    </w:p>
    <w:p w14:paraId="528963BE" w14:textId="77777777" w:rsidR="00A87BF0" w:rsidRPr="00735ED6" w:rsidRDefault="00A87BF0" w:rsidP="00A87BF0">
      <w:pPr>
        <w:rPr>
          <w:rFonts w:cs="Arial"/>
          <w:bCs/>
          <w:iCs/>
          <w:color w:val="000000" w:themeColor="text1"/>
          <w:szCs w:val="20"/>
        </w:rPr>
      </w:pPr>
      <w:r>
        <w:rPr>
          <w:color w:val="000000" w:themeColor="text1"/>
        </w:rPr>
        <w:br w:type="page"/>
      </w:r>
    </w:p>
    <w:p w14:paraId="1BE96AD6" w14:textId="1848E632" w:rsidR="00A17A93" w:rsidRDefault="0094464E" w:rsidP="00977352">
      <w:pPr>
        <w:spacing w:line="360" w:lineRule="auto"/>
        <w:rPr>
          <w:color w:val="000000" w:themeColor="text1"/>
        </w:rPr>
      </w:pPr>
      <w:r>
        <w:rPr>
          <w:color w:val="000000" w:themeColor="text1"/>
        </w:rPr>
        <w:lastRenderedPageBreak/>
        <w:t xml:space="preserve">belonging to the order </w:t>
      </w:r>
      <w:r w:rsidRPr="00512E97">
        <w:rPr>
          <w:color w:val="000000" w:themeColor="text1"/>
        </w:rPr>
        <w:t>RBG-13-54-9</w:t>
      </w:r>
      <w:r w:rsidRPr="00285599">
        <w:rPr>
          <w:color w:val="000000" w:themeColor="text1"/>
        </w:rPr>
        <w:t xml:space="preserve"> (</w:t>
      </w:r>
      <w:r w:rsidRPr="008B582B">
        <w:rPr>
          <w:color w:val="000000" w:themeColor="text1"/>
        </w:rPr>
        <w:t>p</w:t>
      </w:r>
      <w:r w:rsidRPr="00D03362">
        <w:rPr>
          <w:color w:val="000000" w:themeColor="text1"/>
        </w:rPr>
        <w:t xml:space="preserve">hylum </w:t>
      </w:r>
      <w:r w:rsidRPr="00512E97">
        <w:rPr>
          <w:color w:val="000000" w:themeColor="text1"/>
        </w:rPr>
        <w:t>Actinobacteria</w:t>
      </w:r>
      <w:r w:rsidRPr="00285599">
        <w:rPr>
          <w:color w:val="000000" w:themeColor="text1"/>
        </w:rPr>
        <w:t>)</w:t>
      </w:r>
      <w:r>
        <w:rPr>
          <w:color w:val="000000" w:themeColor="text1"/>
        </w:rPr>
        <w:t xml:space="preserve"> and the genus </w:t>
      </w:r>
      <w:proofErr w:type="spellStart"/>
      <w:r w:rsidRPr="00F97135">
        <w:rPr>
          <w:i/>
          <w:iCs/>
          <w:color w:val="000000" w:themeColor="text1"/>
        </w:rPr>
        <w:t>Actinoplanes</w:t>
      </w:r>
      <w:proofErr w:type="spellEnd"/>
      <w:r>
        <w:rPr>
          <w:color w:val="000000" w:themeColor="text1"/>
        </w:rPr>
        <w:t xml:space="preserve"> (phylum </w:t>
      </w:r>
      <w:r w:rsidRPr="00512E97">
        <w:rPr>
          <w:color w:val="000000" w:themeColor="text1"/>
        </w:rPr>
        <w:t>Actinobacteria</w:t>
      </w:r>
      <w:r>
        <w:rPr>
          <w:color w:val="000000" w:themeColor="text1"/>
        </w:rPr>
        <w:t xml:space="preserve">) were significant indicators for the high rainfall exclusion treatment and had correlation values of 0.38 (p&lt;0.01) and 0.35 (p&lt;0.01) respectively. Full sequences, correlation values, and associated p-values can be found in </w:t>
      </w:r>
      <w:r w:rsidR="00FC22CE" w:rsidRPr="0021311E">
        <w:rPr>
          <w:b/>
          <w:bCs/>
          <w:color w:val="000000" w:themeColor="text1"/>
        </w:rPr>
        <w:t>Resource</w:t>
      </w:r>
      <w:r w:rsidR="0021311E" w:rsidRPr="0021311E">
        <w:rPr>
          <w:b/>
          <w:bCs/>
          <w:color w:val="000000" w:themeColor="text1"/>
        </w:rPr>
        <w:t>5.csv</w:t>
      </w:r>
      <w:r w:rsidRPr="0021311E">
        <w:rPr>
          <w:b/>
          <w:bCs/>
          <w:color w:val="000000" w:themeColor="text1"/>
        </w:rPr>
        <w:t>.</w:t>
      </w:r>
      <w:r>
        <w:rPr>
          <w:color w:val="000000" w:themeColor="text1"/>
        </w:rPr>
        <w:t xml:space="preserve"> </w:t>
      </w:r>
    </w:p>
    <w:p w14:paraId="31016F39" w14:textId="5F1FD1FB" w:rsidR="00B863BB" w:rsidRDefault="00B863BB" w:rsidP="00977352">
      <w:pPr>
        <w:pStyle w:val="Heading2"/>
        <w:spacing w:line="360" w:lineRule="auto"/>
      </w:pPr>
      <w:bookmarkStart w:id="63" w:name="_Toc102048021"/>
      <w:r>
        <w:t>D</w:t>
      </w:r>
      <w:r w:rsidR="00895011">
        <w:t>iscussion</w:t>
      </w:r>
      <w:bookmarkEnd w:id="63"/>
    </w:p>
    <w:p w14:paraId="0C58D9DB" w14:textId="656A1AF5" w:rsidR="00B863BB" w:rsidRDefault="00977352" w:rsidP="00977352">
      <w:pPr>
        <w:pStyle w:val="Heading3"/>
      </w:pPr>
      <w:bookmarkStart w:id="64" w:name="_Toc102048022"/>
      <w:r>
        <w:t>Summary</w:t>
      </w:r>
      <w:bookmarkEnd w:id="64"/>
    </w:p>
    <w:p w14:paraId="1EAD24BD" w14:textId="77777777" w:rsidR="00977352" w:rsidRDefault="007B33AD" w:rsidP="00977352">
      <w:pPr>
        <w:spacing w:line="360" w:lineRule="auto"/>
      </w:pPr>
      <w:r>
        <w:tab/>
      </w:r>
      <w:r w:rsidR="00977352">
        <w:t>We have demonstrated that bacterial community composition responds to the manipulation of seasonal rainfall in the Sonoran Desert. Each rainfall exclusion treatment hosted phylogenetically distinct bacterial communities. Results from this study support our third predictive hypothesis, that moderate rainfall exclusion favored greater coexistence in bacterial taxa than other treatments. For example, rhizosphere microhabitats that underwent moderate rainfall exclusion (60%) had on average the highest estimates of bacterial alpha diversity, while rhizosphere microhabitats that experienced high rainfall exclusion (80%) had the least.</w:t>
      </w:r>
      <w:r w:rsidR="00977352" w:rsidRPr="00C646EE">
        <w:t xml:space="preserve"> </w:t>
      </w:r>
      <w:r w:rsidR="00977352">
        <w:t>This pattern was observed across all orders of diversity.</w:t>
      </w:r>
      <w:r w:rsidR="00977352" w:rsidRPr="00C646EE">
        <w:t xml:space="preserve"> </w:t>
      </w:r>
      <w:r w:rsidR="00977352">
        <w:t>Before rainfall exclusion, c</w:t>
      </w:r>
      <w:r w:rsidR="00977352" w:rsidRPr="00DF1E70">
        <w:t>ommon bacterial taxa were influenced by nitrate</w:t>
      </w:r>
      <w:r w:rsidR="00977352">
        <w:t xml:space="preserve"> in comparison to</w:t>
      </w:r>
      <w:r w:rsidR="00977352" w:rsidRPr="00DF1E70">
        <w:t xml:space="preserve"> rare taxa</w:t>
      </w:r>
      <w:r w:rsidR="00977352">
        <w:t xml:space="preserve"> which were</w:t>
      </w:r>
      <w:r w:rsidR="00977352" w:rsidRPr="00DF1E70">
        <w:t xml:space="preserve"> influenced by ammonium and nitrate. After rainfall exclusion</w:t>
      </w:r>
      <w:r w:rsidR="00977352">
        <w:t xml:space="preserve">, ammonium and rainfall exclusion treatment were important predictors of bacterial alpha diversity. This indicates a shift in the relative importance abiotic factors have in a seasonal time scale. Pairwise community turnover in bacterial community composition was shown to be dependent on rainfall exclusion and phosphorous across all values of diversity. Thus, more common bacterial ASVs might become at risk in short term temporal scales as future climates in arid ecosystems become more extreme. </w:t>
      </w:r>
    </w:p>
    <w:p w14:paraId="73671EA1" w14:textId="19DFE4D1" w:rsidR="00977352" w:rsidRDefault="00977352" w:rsidP="00977352">
      <w:pPr>
        <w:spacing w:line="360" w:lineRule="auto"/>
      </w:pPr>
      <w:r>
        <w:tab/>
        <w:t xml:space="preserve">Free-living bacterial communities are ephemeral, particularly outside of symbiosis, and are thus susceptible to environmental change, such as wet/dry seasonality </w:t>
      </w:r>
      <w:r>
        <w:fldChar w:fldCharType="begin" w:fldLock="1"/>
      </w:r>
      <w:r w:rsidR="006E1F09">
        <w:instrText>ADDIN CSL_CITATION {"citationItems":[{"id":"ITEM-1","itemData":{"DOI":"10.1007/s00248-014-0436-z","ISSN":"00953628","abstract":"Many wet tropical forests, which contain a quarter of global terrestrial biomass carbon stocks, will experience changes in precipitation regime over the next century. Soil microbial responses to altered rainfall are likely to be an important feedback on ecosystem carbon cycling, but the ecological mechanisms underpinning these responses are poorly understood. We examined how reduced rainfall affected soil microbial abundance, activity, and community composition using a 6-month precipitation exclusion experiment at La Selva Biological Station, Costa Rica. Thereafter, we addressed the persistent effects of field moisture treatments by exposing soils to a controlled soil moisture gradient in the lab for 4 weeks. In the field, compositional and functional responses to reduced rainfall were dependent on initial conditions, consistent with a large degree of spatial heterogeneity in tropical forests. However, the precipitation manipulation significantly altered microbial functional responses to soil moisture. Communities with prior drought exposure exhibited higher respiration rates per unit microbial biomass under all conditions and respired significantly more CO2 than control soils at low soil moisture. These functional patterns suggest that changes in microbial physiology may drive positive feedbacks to rising atmospheric CO2 concentrations if wet tropical forests experience longer or more intense dry seasons in the future.","author":[{"dropping-particle":"","family":"Waring","given":"Bonnie G.","non-dropping-particle":"","parse-names":false,"suffix":""},{"dropping-particle":"V.","family":"Hawkes","given":"Christine","non-dropping-particle":"","parse-names":false,"suffix":""}],"container-title":"Microbial Ecology","id":"ITEM-1","issue":"4","issued":{"date-parts":[["2015"]]},"page":"843-854","title":"Short-Term Precipitation Exclusion Alters Microbial Responses to Soil Moisture in a Wet Tropical Forest","type":"article-journal","volume":"69"},"uris":["http://www.mendeley.com/documents/?uuid=d949d78c-b431-4366-8e55-192d2fea17e6"]}],"mendeley":{"formattedCitation":"(Waring and Hawkes, 2015)","plainTextFormattedCitation":"(Waring and Hawkes, 2015)","previouslyFormattedCitation":"(Waring and Hawkes, 2015)"},"properties":{"noteIndex":0},"schema":"https://github.com/citation-style-language/schema/raw/master/csl-citation.json"}</w:instrText>
      </w:r>
      <w:r>
        <w:fldChar w:fldCharType="separate"/>
      </w:r>
      <w:r w:rsidR="00CE6085" w:rsidRPr="00CE6085">
        <w:rPr>
          <w:noProof/>
        </w:rPr>
        <w:t>(Waring and Hawkes, 2015)</w:t>
      </w:r>
      <w:r>
        <w:fldChar w:fldCharType="end"/>
      </w:r>
      <w:r>
        <w:t xml:space="preserve">, temperature </w:t>
      </w:r>
      <w:r>
        <w:fldChar w:fldCharType="begin" w:fldLock="1"/>
      </w:r>
      <w:r w:rsidR="006E1F09">
        <w:instrText>ADDIN CSL_CITATION {"citationItems":[{"id":"ITEM-1","itemData":{"ISSN":"0027-8424","author":[{"dropping-particle":"","family":"Martiny","given":"Jennifer B H","non-dropping-particle":"","parse-names":false,"suffix":""},{"dropping-particle":"","family":"Eisen","given":"Jonathan A","non-dropping-particle":"","parse-names":false,"suffix":""},{"dropping-particle":"","family":"Penn","given":"Kevin","non-dropping-particle":"","parse-names":false,"suffix":""},{"dropping-particle":"","family":"Allison","given":"Steven D","non-dropping-particle":"","parse-names":false,"suffix":""},{"dropping-particle":"","family":"Horner-Devine","given":"M Claire","non-dropping-particle":"","parse-names":false,"suffix":""}],"container-title":"Proceedings of the National Academy of Sciences","id":"ITEM-1","issue":"19","issued":{"date-parts":[["2011"]]},"page":"7850-7854","publisher":"National Acad Sciences","title":"Drivers of bacterial β-diversity depend on spatial scale","type":"article-journal","volume":"108"},"uris":["http://www.mendeley.com/documents/?uuid=c117fda0-4d98-4616-b6bd-36710510b0af"]}],"mendeley":{"formattedCitation":"(Martiny et al., 2011)","plainTextFormattedCitation":"(Martiny et al., 2011)","previouslyFormattedCitation":"(Martiny et al., 2011)"},"properties":{"noteIndex":0},"schema":"https://github.com/citation-style-language/schema/raw/master/csl-citation.json"}</w:instrText>
      </w:r>
      <w:r>
        <w:fldChar w:fldCharType="separate"/>
      </w:r>
      <w:r w:rsidR="00CE6085" w:rsidRPr="00CE6085">
        <w:rPr>
          <w:noProof/>
        </w:rPr>
        <w:t>(Martiny et al., 2011)</w:t>
      </w:r>
      <w:r>
        <w:fldChar w:fldCharType="end"/>
      </w:r>
      <w:r>
        <w:t xml:space="preserve">, and changes in labile macronutrients </w:t>
      </w:r>
      <w:r>
        <w:fldChar w:fldCharType="begin" w:fldLock="1"/>
      </w:r>
      <w:r w:rsidR="006E1F09">
        <w:instrText>ADDIN CSL_CITATION {"citationItems":[{"id":"ITEM-1","itemData":{"DOI":"10.1038/nature03073","ISSN":"00280836","abstract":"A positive power-law relationship between the number of species in an area and the size of that area has been observed repeatedly in plant and animal communities. This species-area relationship, thought to be one of the few laws in ecology, is fundamental to our understanding of the distribution of global biodiversity. However, such a relationship has not been reported for bacteria, and little is known regarding the spatial distribution of bacteria, relative to what is known of plants and animals. Here we describe a taxa-area relationship for bacteria over a scale of centimetres to hundreds of metres in salt marsh sediments. We found that bacterial communities located close together were more similar in composition than communities located farther apart, and we used the decay of community similarity with distance to show that bacteria can exhibit a taxa-area relationship. This relationship was driven primarily by environmental heterogeneity rather than geographic distance or plant composition.","author":[{"dropping-particle":"","family":"Horner-Devine","given":"M. Claire","non-dropping-particle":"","parse-names":false,"suffix":""},{"dropping-particle":"","family":"Lage","given":"Melissa","non-dropping-particle":"","parse-names":false,"suffix":""},{"dropping-particle":"","family":"Hughes","given":"Jennifer B.","non-dropping-particle":"","parse-names":false,"suffix":""},{"dropping-particle":"","family":"Bohannan","given":"Brendan J.M.","non-dropping-particle":"","parse-names":false,"suffix":""}],"container-title":"Nature","id":"ITEM-1","issue":"7018","issued":{"date-parts":[["2004"]]},"page":"750-753","title":"A taxa-area relationship for bacteria","type":"article-journal","volume":"432"},"uris":["http://www.mendeley.com/documents/?uuid=1e5ee26f-bd81-4383-b506-18be3f6e7f74"]},{"id":"ITEM-2","itemData":{"DOI":"10.1073/pnas.0507535103","ISBN":"0507535103","ISSN":"00278424","PMID":"16407148","abstract":"For centuries, biologists have studied patterns of plant and animal diversity at continental scales. Until recently, similar studies were impossible for microorganisms, arguably the most diverse and abundant group of organisms on Earth. Here, we present a continental-scale description of soil bacterial communities and the environmental factors influencing their biodiversity. We collected 98 soil samples from across North and South America and used a ribosomal DNA-fingerprinting method to compare bacterial community composition and diversity quantitatively across sites. Bacterial diversity was unrelated to site temperature, latitude, and other variables that typically predict plant and animal diversity, and community composition was largely independent of geographic distance. The diversity and richness of soil bacterial communities differed by ecosystem type, and these differences could largely be explained by soil pH (r2 = 0.70 and r2 = 0.58, respectively; P &lt; 0.0001 in both cases). Bacterial diversity was highest in neutral soils and lower in acidic soils, with soils from the Peruvian Amazon the most acidic and least diverse in our study. Our results suggest that microbial biogeography is controlled primarily by edaphic variables and differs fundamentally from the biogeography of \"macro\" organisms. © 2006 by The National Academy of Sciences of the USA.","author":[{"dropping-particle":"","family":"Fierer","given":"Noah","non-dropping-particle":"","parse-names":false,"suffix":""},{"dropping-particle":"","family":"Jackson","given":"Robert B.","non-dropping-particle":"","parse-names":false,"suffix":""}],"container-title":"Proceedings of the National Academy of Sciences of the United States of America","id":"ITEM-2","issue":"3","issued":{"date-parts":[["2006"]]},"page":"626-631","title":"The diversity and biogeography of soil bacterial communities","type":"article-journal","volume":"103"},"uris":["http://www.mendeley.com/documents/?uuid=9fa0626f-a197-40d6-acd9-2889abd2e7c6"]}],"mendeley":{"formattedCitation":"(Horner-Devine et al., 2004; Fierer and Jackson, 2006a)","plainTextFormattedCitation":"(Horner-Devine et al., 2004; Fierer and Jackson, 2006a)","previouslyFormattedCitation":"(Horner-Devine et al., 2004; Fierer and Jackson, 2006a)"},"properties":{"noteIndex":0},"schema":"https://github.com/citation-style-language/schema/raw/master/csl-citation.json"}</w:instrText>
      </w:r>
      <w:r>
        <w:fldChar w:fldCharType="separate"/>
      </w:r>
      <w:r w:rsidR="00CE6085" w:rsidRPr="00CE6085">
        <w:rPr>
          <w:noProof/>
        </w:rPr>
        <w:t>(Horner-Devine et al., 2004; Fierer and Jackson, 2006a)</w:t>
      </w:r>
      <w:r>
        <w:fldChar w:fldCharType="end"/>
      </w:r>
      <w:r>
        <w:t xml:space="preserve">. Plant host-associated bacterial communities also experience deterministic and stochastic processes, yet the direction and magnitude in response to changes in seasonal rainfall is variable and can be taxa specific. In this study, bacterial community composition in the rhizosphere of </w:t>
      </w:r>
      <w:r w:rsidRPr="0053368E">
        <w:rPr>
          <w:i/>
          <w:iCs/>
        </w:rPr>
        <w:t xml:space="preserve">L. </w:t>
      </w:r>
      <w:proofErr w:type="spellStart"/>
      <w:r w:rsidRPr="0053368E">
        <w:rPr>
          <w:i/>
          <w:iCs/>
        </w:rPr>
        <w:t>neomexicanus</w:t>
      </w:r>
      <w:proofErr w:type="spellEnd"/>
      <w:r>
        <w:t xml:space="preserve"> have been shown to be sensitive to variation in monsoon rainfall intensity throughout the season. This result is in congruence with </w:t>
      </w:r>
      <w:r>
        <w:fldChar w:fldCharType="begin" w:fldLock="1"/>
      </w:r>
      <w:r w:rsidR="006E1F09">
        <w:instrText>ADDIN CSL_CITATION {"citationItems":[{"id":"ITEM-1","itemData":{"DOI":"10.1371/journal.pone.0073606","ISSN":"19326203","PMID":"24069212","abstract":"We used the T-RFLP technique combined with Ion Torrent (PGM) sequencing of 16S rRNA and multivariate analysis to study the structure of bulk soil and rhizosphere bacterial communities of a cactus, Cereus jamacaru, from the Brazilian Caatinga biome, which is unique to Brazil. The availability of water shapes the rhizosphere communities, resulting in different patterns during the rainy and dry seasons. Taxonomic approaches and statistical analysis revealed that the phylum Actinobacteria strongly correlated with the dry season, while samples from the rainy season exhibited a strong correlation with the phylum Proteobacteria for rhizosphere samples and with the phyla Bacteroidetes, Firmicutes, Lentisphaerae, and Tenericutes for bulk soil samples. The STAMP software also indicated that the phylum Bacteroidetes, as well as two classes in the Proteobacteria phylum (γ and δ), were the most significant ones during the rainy season. The average abundance of the phylum Actinobacteria and the genus Bacillus was significantly greater during the dry season. Some significant genera found during the dry season might reflect their tolerance to the extreme conditions found in the Caatinga biome. They may also indicate the ecological function that microorganisms play in providing plants with some degree of tolerance to water stress or in assisting in their development through mechanisms of growth promotion. Alterations in microbial communities can be due to the different abilities of native microorganisms to resist and adapt to environmental changes. © 2013 Nessner Kavamura et al.","author":[{"dropping-particle":"","family":"Nessner Kavamura","given":"Vanessa","non-dropping-particle":"","parse-names":false,"suffix":""},{"dropping-particle":"","family":"Taketani","given":"Rodrigo Gouvêa","non-dropping-particle":"","parse-names":false,"suffix":""},{"dropping-particle":"","family":"Lançoni","given":"Milena Duarte","non-dropping-particle":"","parse-names":false,"suffix":""},{"dropping-particle":"","family":"Andreote","given":"Fernando Dini","non-dropping-particle":"","parse-names":false,"suffix":""},{"dropping-particle":"","family":"Mendes","given":"Rodrigo","non-dropping-particle":"","parse-names":false,"suffix":""},{"dropping-particle":"","family":"Soares de Melo","given":"Itamar","non-dropping-particle":"","parse-names":false,"suffix":""}],"container-title":"PLoS ONE","id":"ITEM-1","issue":"9","issued":{"date-parts":[["2013"]]},"title":"Water Regime Influences Bulk Soil and Rhizosphere of Cereus jamacaru Bacterial Communities in the Brazilian Caatinga Biome","type":"article-journal","volume":"8"},"uris":["http://www.mendeley.com/documents/?uuid=093f1c67-6196-4081-92a6-d929b1efe525"]}],"mendeley":{"formattedCitation":"(Nessner Kavamura et al., 2013)","manualFormatting":"Nessner Kavamura et al. (2013)","plainTextFormattedCitation":"(Nessner Kavamura et al., 2013)","previouslyFormattedCitation":"(Nessner Kavamura et al., 2013)"},"properties":{"noteIndex":0},"schema":"https://github.com/citation-style-language/schema/raw/master/csl-citation.json"}</w:instrText>
      </w:r>
      <w:r>
        <w:fldChar w:fldCharType="separate"/>
      </w:r>
      <w:r w:rsidRPr="00681D2B">
        <w:rPr>
          <w:noProof/>
        </w:rPr>
        <w:t xml:space="preserve">Nessner Kavamura </w:t>
      </w:r>
      <w:r w:rsidRPr="00681D2B">
        <w:rPr>
          <w:i/>
          <w:noProof/>
        </w:rPr>
        <w:t>et al.</w:t>
      </w:r>
      <w:r w:rsidRPr="00681D2B">
        <w:rPr>
          <w:noProof/>
        </w:rPr>
        <w:t xml:space="preserve"> </w:t>
      </w:r>
      <w:r>
        <w:rPr>
          <w:noProof/>
        </w:rPr>
        <w:t>(</w:t>
      </w:r>
      <w:r w:rsidRPr="00681D2B">
        <w:rPr>
          <w:noProof/>
        </w:rPr>
        <w:t>2013)</w:t>
      </w:r>
      <w:r>
        <w:fldChar w:fldCharType="end"/>
      </w:r>
      <w:r>
        <w:t xml:space="preserve">, as they similarly observed a response in rhizosphere bacterial </w:t>
      </w:r>
      <w:r>
        <w:lastRenderedPageBreak/>
        <w:t>communities to seasonal variation in soil water content. Additionally, rhizosphere bacterial microbial communities have been shown to contain phylogenetically distinct groups between rainy and dry seasons, however there lacks a clear consensus on if other abiotic factors affect this response (</w:t>
      </w:r>
      <w:proofErr w:type="spellStart"/>
      <w:r>
        <w:fldChar w:fldCharType="begin" w:fldLock="1"/>
      </w:r>
      <w:r w:rsidR="006E1F09">
        <w:instrText>ADDIN CSL_CITATION {"citationItems":[{"id":"ITEM-1","itemData":{"DOI":"10.1007/s00248-016-0835-4","ISSN":"00953628","PMID":"27558787","abstract":"The rhizosphere is viewed as a deterministic environment led by the interaction between plants and microorganisms. In the case of semi-arid plants, this interaction is strengthened by the harshness of the environment. We tested the hypothesis that dry season represents a constraint on the bacterial diversity of the rhizosphere from semi-arid plants. To accomplish this, we sampled two leguminous species at five locations during the dry and rainy seasons in the Caatinga biome and characterised bacterial community structures using qPCR and 16S rRNA sequencing. We found that the main differences between seasons were due to reduced phylogenetic diversity caused by dryness. Variation partitioning indicated that environmental characteristics significant impacts in β-diversity. Additionally, distance decay relationship and taxa area relationship indicate a higher spatial turnover at the rainy season. During the dry season, decreased bacterial abundance is likely due to the selection of resistant or resilient microorganisms; with the return of the rain, the sensitive populations start to colonise the rhizosphere by a process that is strongly influenced by environmental characteristics. Thus, we propose that the reduction of PD and strong influence of environmental parameters on the assemblage of these communities make them prone to functional losses caused by climatic disturbances.","author":[{"dropping-particle":"","family":"Taketani","given":"Rodrigo Gouvêa","non-dropping-particle":"","parse-names":false,"suffix":""},{"dropping-particle":"","family":"Lançoni","given":"Milena Duarte","non-dropping-particle":"","parse-names":false,"suffix":""},{"dropping-particle":"","family":"Kavamura","given":"Vanessa Nessner","non-dropping-particle":"","parse-names":false,"suffix":""},{"dropping-particle":"","family":"Durrer","given":"Ademir","non-dropping-particle":"","parse-names":false,"suffix":""},{"dropping-particle":"","family":"Andreote","given":"Fernando Dini","non-dropping-particle":"","parse-names":false,"suffix":""},{"dropping-particle":"","family":"Melo","given":"Itamar Soares","non-dropping-particle":"","parse-names":false,"suffix":""}],"container-title":"Microbial Ecology","id":"ITEM-1","issue":"1","issued":{"date-parts":[["2017"]]},"page":"153-161","publisher":"Microbial Ecology","title":"Dry Season Constrains Bacterial Phylogenetic Diversity in a Semi-Arid Rhizosphere System","type":"article-journal","volume":"73"},"uris":["http://www.mendeley.com/documents/?uuid=f6e39742-04b4-4e71-b9ec-0b558f32bd1e"]}],"mendeley":{"formattedCitation":"(Taketani et al., 2017)","manualFormatting":"Taketani et al. 2017)","plainTextFormattedCitation":"(Taketani et al., 2017)","previouslyFormattedCitation":"(Taketani et al., 2017)"},"properties":{"noteIndex":0},"schema":"https://github.com/citation-style-language/schema/raw/master/csl-citation.json"}</w:instrText>
      </w:r>
      <w:r>
        <w:fldChar w:fldCharType="separate"/>
      </w:r>
      <w:r w:rsidRPr="00975652">
        <w:rPr>
          <w:noProof/>
        </w:rPr>
        <w:t>Taketani</w:t>
      </w:r>
      <w:proofErr w:type="spellEnd"/>
      <w:r w:rsidRPr="00975652">
        <w:rPr>
          <w:noProof/>
        </w:rPr>
        <w:t xml:space="preserve"> </w:t>
      </w:r>
      <w:r w:rsidRPr="00975652">
        <w:rPr>
          <w:i/>
          <w:noProof/>
        </w:rPr>
        <w:t>et al.</w:t>
      </w:r>
      <w:r w:rsidRPr="00975652">
        <w:rPr>
          <w:noProof/>
        </w:rPr>
        <w:t xml:space="preserve"> 2017)</w:t>
      </w:r>
      <w:r>
        <w:fldChar w:fldCharType="end"/>
      </w:r>
      <w:r>
        <w:t xml:space="preserve">. Our results are similar in that we show variation in bacterial community structure and unique phylogenetic membership among rainfall exclusion treatments. </w:t>
      </w:r>
      <w:r w:rsidRPr="00901372">
        <w:t>We</w:t>
      </w:r>
      <w:r w:rsidRPr="004C0527">
        <w:t xml:space="preserve"> also </w:t>
      </w:r>
      <w:r>
        <w:t>have illustrated</w:t>
      </w:r>
      <w:r w:rsidRPr="004C0527">
        <w:t xml:space="preserve"> that </w:t>
      </w:r>
      <w:r w:rsidRPr="00901372">
        <w:t xml:space="preserve">phosphorous influences the bacterial community structure of </w:t>
      </w:r>
      <w:r w:rsidRPr="004C0527">
        <w:rPr>
          <w:i/>
          <w:iCs/>
        </w:rPr>
        <w:t xml:space="preserve">L. </w:t>
      </w:r>
      <w:proofErr w:type="spellStart"/>
      <w:r w:rsidRPr="004C0527">
        <w:rPr>
          <w:i/>
          <w:iCs/>
        </w:rPr>
        <w:t>neomexicanus</w:t>
      </w:r>
      <w:proofErr w:type="spellEnd"/>
      <w:r w:rsidRPr="004C0527">
        <w:t xml:space="preserve"> rhizospheres.</w:t>
      </w:r>
      <w:r>
        <w:t xml:space="preserve"> Our models demonstrate that bacterial alpha diversity during the monsoon season is contingent on multiple soil abiotic factors, such as rainfall and ammonium. Persistence of common and rare bacterial taxa are governed by available ammonium and rainfall exclusion alike, while more rare taxa may be more sensitive to variation in ammonium. While these soil abiotic factors have been shown to be primary drivers of bacterial community structure and membership, they are context dependent in that they are unique to </w:t>
      </w:r>
      <w:r w:rsidRPr="00A7067E">
        <w:rPr>
          <w:i/>
          <w:iCs/>
        </w:rPr>
        <w:t xml:space="preserve">L. </w:t>
      </w:r>
      <w:proofErr w:type="spellStart"/>
      <w:r w:rsidRPr="00A7067E">
        <w:rPr>
          <w:i/>
          <w:iCs/>
        </w:rPr>
        <w:t>neomexicanus</w:t>
      </w:r>
      <w:proofErr w:type="spellEnd"/>
      <w:r>
        <w:t xml:space="preserve"> and the Sonoran Desert. </w:t>
      </w:r>
    </w:p>
    <w:p w14:paraId="560EFAA0" w14:textId="5283A820" w:rsidR="00977352" w:rsidRPr="0053368E" w:rsidRDefault="00977352" w:rsidP="00977352">
      <w:pPr>
        <w:spacing w:line="360" w:lineRule="auto"/>
      </w:pPr>
      <w:r>
        <w:tab/>
        <w:t xml:space="preserve">We observed that under moderate rainfall exclusion during the monsoon season, bacterial alpha diversity estimates are the greatest in comparison to the control and high rainfall exclusion treatments. This pattern is in congruence with our third predictive hypothesis that coexistence among rhizospheric bacterial taxa is moderated in a spatial structured microhabitat when resources are utilized such that competition for them is low </w:t>
      </w:r>
      <w:r>
        <w:fldChar w:fldCharType="begin" w:fldLock="1"/>
      </w:r>
      <w:r w:rsidR="006E1F09">
        <w:instrText>ADDIN CSL_CITATION {"citationItems":[{"id":"ITEM-1","itemData":{"author":[{"dropping-particle":"","family":"Tilman","given":"David","non-dropping-particle":"","parse-names":false,"suffix":""}],"container-title":"Ecology","id":"ITEM-1","issue":"2","issued":{"date-parts":[["1977"]]},"page":"338-348","title":"Resource Competition between Plankton Algae : An Experimental and Theoretical Approach","type":"article-journal","volume":"58"},"uris":["http://www.mendeley.com/documents/?uuid=149b2479-c733-4a95-b051-1380a88ca4ec"]},{"id":"ITEM-2","itemData":{"ISSN":"1939-9170","author":[{"dropping-particle":"","family":"Tilman","given":"David","non-dropping-particle":"","parse-names":false,"suffix":""}],"container-title":"Ecology","id":"ITEM-2","issue":"1","issued":{"date-parts":[["1994"]]},"page":"2-16","publisher":"Wiley Online Library","title":"Competition and biodiversity in spatially structured habitats","type":"article-journal","volume":"75"},"uris":["http://www.mendeley.com/documents/?uuid=a7e67947-9bd5-48dc-a628-5772455f3e98"]}],"mendeley":{"formattedCitation":"(Tilman, 1977, 1994)","plainTextFormattedCitation":"(Tilman, 1977, 1994)","previouslyFormattedCitation":"(Tilman, 1977, 1994)"},"properties":{"noteIndex":0},"schema":"https://github.com/citation-style-language/schema/raw/master/csl-citation.json"}</w:instrText>
      </w:r>
      <w:r>
        <w:fldChar w:fldCharType="separate"/>
      </w:r>
      <w:r w:rsidR="00CE6085" w:rsidRPr="00CE6085">
        <w:rPr>
          <w:noProof/>
        </w:rPr>
        <w:t>(Tilman, 1977, 1994)</w:t>
      </w:r>
      <w:r>
        <w:fldChar w:fldCharType="end"/>
      </w:r>
      <w:r>
        <w:t>. In the context of soil microbial ecology, competitive exclusion can occur among multiple populations that are limited by the same resource (e.g., soil moisture), where one taxon is a stronger competitor. Competitive exclusion could be one possible interpretation of observing lower estimates of richness during dry conditions as desiccation tolerance can act as a more favorable strategy for some populations than others (</w:t>
      </w:r>
      <w:proofErr w:type="spellStart"/>
      <w:r>
        <w:fldChar w:fldCharType="begin" w:fldLock="1"/>
      </w:r>
      <w:r w:rsidR="006E1F09">
        <w:instrText>ADDIN CSL_CITATION {"citationItems":[{"id":"ITEM-1","itemData":{"DOI":"10.1007/s11104-018-3570-4","ISSN":"15735036","abstract":"Background and aims: Cereus jamacaru is a native cactus in the semiarid biome caatinga able to withstand long periods of drought. Here, we studied the rhizosphere microbiome of this cactus to understand how precipitation affects the assembly of bacterial communities from the taxonomical and functional perspectives. Methods: We selected three C. jamacaru plants in the caatinga biome, sampled the rhizosphere soil from the same plants during rainy and dry seasons and performed shotgun sequencing from total DNA isolated from rhizosphere using Ion Torrent technology. Results: Acidobacteria, Actinobacteria and Proteobacteria showed increase in relative abundance during the rainy season when compared to dry season. Five major functional groups were significantly different, including differences in amino acids and derivatives, carbohydrates, protein metabolism, respiration, and RNA metabolism. Taxonomically, the assembly of bacterial communities follows a neutral model. Conclusions: The assembly of bacterial communities in the rhizosphere of C. jamacaru is affected by precipitation resulting in different taxonomical and functional community patterns during dry and rainy seasons. We attribute these differences on rhizosphere communities composition to dispersal limitation of microorganisms caused by low pore connectivity due to low water content in the soil, which leads to spatially isolate communities during the dry season.","author":[{"dropping-particle":"","family":"Kavamura","given":"Vanessa Nessner","non-dropping-particle":"","parse-names":false,"suffix":""},{"dropping-particle":"","family":"Taketani","given":"Rodrigo Gouvêa","non-dropping-particle":"","parse-names":false,"suffix":""},{"dropping-particle":"","family":"Ferreira","given":"Clederson","non-dropping-particle":"","parse-names":false,"suffix":""},{"dropping-particle":"","family":"Melo","given":"Itamar Soares","non-dropping-particle":"de","parse-names":false,"suffix":""},{"dropping-particle":"","family":"Mendes","given":"Rodrigo","non-dropping-particle":"","parse-names":false,"suffix":""}],"container-title":"Plant and Soil","id":"ITEM-1","issue":"1-2","issued":{"date-parts":[["2018"]]},"page":"101-112","title":"The role of species turnover in structuring bacterial communities in a local scale in the cactus rhizosphere","type":"article-journal","volume":"425"},"uris":["http://www.mendeley.com/documents/?uuid=2575a431-428e-40cd-a3af-ca3b3141176b"]}],"mendeley":{"formattedCitation":"(Kavamura et al., 2018)","manualFormatting":"Kavamura et al. 2018)","plainTextFormattedCitation":"(Kavamura et al., 2018)","previouslyFormattedCitation":"(Kavamura et al., 2018)"},"properties":{"noteIndex":0},"schema":"https://github.com/citation-style-language/schema/raw/master/csl-citation.json"}</w:instrText>
      </w:r>
      <w:r>
        <w:fldChar w:fldCharType="separate"/>
      </w:r>
      <w:r w:rsidRPr="00523F00">
        <w:rPr>
          <w:noProof/>
        </w:rPr>
        <w:t>Kavamura</w:t>
      </w:r>
      <w:proofErr w:type="spellEnd"/>
      <w:r w:rsidRPr="00523F00">
        <w:rPr>
          <w:noProof/>
        </w:rPr>
        <w:t xml:space="preserve"> </w:t>
      </w:r>
      <w:r w:rsidRPr="00523F00">
        <w:rPr>
          <w:i/>
          <w:noProof/>
        </w:rPr>
        <w:t>et al.</w:t>
      </w:r>
      <w:r w:rsidRPr="00523F00">
        <w:rPr>
          <w:noProof/>
        </w:rPr>
        <w:t xml:space="preserve"> 2018)</w:t>
      </w:r>
      <w:r>
        <w:fldChar w:fldCharType="end"/>
      </w:r>
      <w:r>
        <w:t xml:space="preserve">. Our results illustrate that plant-host associated bacterial communities maintained increased estimates of richness under moderate rainfall exclusion, whereby a threshold in soil moisture exclusion could contribute to the loss of many taxa in the high exclusion treatment. This hump shaped pattern in bacterial richness could suggest that a stable tradeoff exists between dispersal (ruderal persistence) and competition among bacterial taxa in stressful environment. To the best of our knowledge, this pattern in host-associated microbial richness as a result of rainfall exclusion has only been previously shown by </w:t>
      </w:r>
      <w:r>
        <w:fldChar w:fldCharType="begin" w:fldLock="1"/>
      </w:r>
      <w:r w:rsidR="006E1F09">
        <w:instrText>ADDIN CSL_CITATION {"citationItems":[{"id":"ITEM-1","itemData":{"DOI":"10.1111/1365-2745.13267","ISSN":"13652745","abstract":"Climate models project overall a reduction in rainfall amounts and shifts in the timing of rainfall events in mid-latitudes and sub-tropical dry regions, which threatens the productivity and diversity of grasslands. Arbuscular mycorrhizal (AM) fungi may help plants to cope with expected changes but may also be impacted by changing rainfall, either via the direct effects of low soil moisture on survival and function or indirectly via changes in the plant community. In an Australian mesic grassland (former pasture) system, we characterized plant and AM fungal communities every 6 months for nearly 4 years to two altered rainfall regimes: (a) ambient, (b) rainfall reduced by 50% relative to ambient over the entire year and (c) total summer rainfall exclusion. Using Illumina sequencing, we assessed the response of AM fungal communities sampled from contrasting rainfall treatments and evaluated whether variation in AM fungal communities was associated with variation in plant community richness and composition. We found that rainfall reduction influenced the fungal communities, with the nature of the response depending on the type of manipulation, but that consistent results were only observed after more than 2 years of rainfall manipulation. We observed significant co-associations between plant and AM fungal communities on multiple dates. Predictive co-correspondence analyses indicated more support for the hypothesis that fungal community composition influenced plant community composition than vice versa. However, we found no evidence that altered rainfall regimes were leading to distinct co-associations between plants and AM fungi. Overall, our results provide evidence that grassland plant communities are intricately tied to variation in AM fungal communities. However, in this system, plant responses to climate change may not be directly related to impacts of altered rainfall regimes on AM fungal communities. Synthesis. Our study shows that arbuscular mycorrhizal (AM) fungal communities respond to changes in rainfall but that this effect was not immediate. The AM fungal community may influence the composition of the plant community. However, our results suggest that plant responses to altered rainfall regimes at our site may not be resulting via changes in the AM fungal communities.","author":[{"dropping-particle":"","family":"Deveautour","given":"Coline","non-dropping-particle":"","parse-names":false,"suffix":""},{"dropping-particle":"","family":"Power","given":"Sally A.","non-dropping-particle":"","parse-names":false,"suffix":""},{"dropping-particle":"","family":"Barnett","given":"Kirk L.","non-dropping-particle":"","parse-names":false,"suffix":""},{"dropping-particle":"","family":"Ochoa-Hueso","given":"Raul","non-dropping-particle":"","parse-names":false,"suffix":""},{"dropping-particle":"","family":"Donn","given":"Suzanne","non-dropping-particle":"","parse-names":false,"suffix":""},{"dropping-particle":"","family":"Bennett","given":"Alison E.","non-dropping-particle":"","parse-names":false,"suffix":""},{"dropping-particle":"","family":"Powell","given":"Jeff R.","non-dropping-particle":"","parse-names":false,"suffix":""}],"container-title":"Journal of Ecology","id":"ITEM-1","issue":"2","issued":{"date-parts":[["2020"]]},"page":"515-527","title":"Temporal dynamics of mycorrhizal fungal communities and co-associations with grassland plant communities following experimental manipulation of rainfall","type":"article-journal","volume":"108"},"uris":["http://www.mendeley.com/documents/?uuid=84626156-b562-446d-abc2-e85bd7ce9a08"]}],"mendeley":{"formattedCitation":"(Deveautour et al., 2020)","manualFormatting":"Deveautour et al. (2020)","plainTextFormattedCitation":"(Deveautour et al., 2020)","previouslyFormattedCitation":"(Deveautour et al., 2020)"},"properties":{"noteIndex":0},"schema":"https://github.com/citation-style-language/schema/raw/master/csl-citation.json"}</w:instrText>
      </w:r>
      <w:r>
        <w:fldChar w:fldCharType="separate"/>
      </w:r>
      <w:r w:rsidRPr="007C7B0F">
        <w:rPr>
          <w:noProof/>
        </w:rPr>
        <w:t xml:space="preserve">Deveautour </w:t>
      </w:r>
      <w:r w:rsidRPr="007C7B0F">
        <w:rPr>
          <w:i/>
          <w:noProof/>
        </w:rPr>
        <w:t>et al.</w:t>
      </w:r>
      <w:r w:rsidRPr="007C7B0F">
        <w:rPr>
          <w:noProof/>
        </w:rPr>
        <w:t xml:space="preserve"> </w:t>
      </w:r>
      <w:r>
        <w:rPr>
          <w:noProof/>
        </w:rPr>
        <w:t>(</w:t>
      </w:r>
      <w:r w:rsidRPr="007C7B0F">
        <w:rPr>
          <w:noProof/>
        </w:rPr>
        <w:t>2020)</w:t>
      </w:r>
      <w:r>
        <w:fldChar w:fldCharType="end"/>
      </w:r>
      <w:r>
        <w:t xml:space="preserve">. This study illustrated that communities of arbuscular mycorrhizal fungi have greater estimates of alpha diversity in reduced rainfall treatments in comparison to the </w:t>
      </w:r>
      <w:r>
        <w:lastRenderedPageBreak/>
        <w:t xml:space="preserve">control or severe drought in semiarid grasslands. If we turn to Zhang et al. (2018), free-living soil bacterial and fungal communities similarly show higher estimates of community richness under moderate stress when there are sufficient soil resources available. Our results, in corroboration with studies on free-living microbes, might further suggest that free-living and host-associated microbial communities respond to increased environmental stress in a similar direction and magnitude. </w:t>
      </w:r>
    </w:p>
    <w:p w14:paraId="17B1BAF2" w14:textId="76E6C40A" w:rsidR="00977352" w:rsidRPr="00FC33B4" w:rsidRDefault="00977352" w:rsidP="00977352">
      <w:pPr>
        <w:spacing w:line="360" w:lineRule="auto"/>
      </w:pPr>
      <w:r w:rsidRPr="00FC33B4">
        <w:tab/>
      </w:r>
      <w:r>
        <w:t>Wet and dry seasons in semiarid ecosystems have been shown to contribute to variation in plant host-associated bacterial beta diversity (</w:t>
      </w:r>
      <w:proofErr w:type="spellStart"/>
      <w:r>
        <w:fldChar w:fldCharType="begin" w:fldLock="1"/>
      </w:r>
      <w:r w:rsidR="006E1F09">
        <w:instrText>ADDIN CSL_CITATION {"citationItems":[{"id":"ITEM-1","itemData":{"DOI":"10.1007/s00248-016-0835-4","ISSN":"00953628","PMID":"27558787","abstract":"The rhizosphere is viewed as a deterministic environment led by the interaction between plants and microorganisms. In the case of semi-arid plants, this interaction is strengthened by the harshness of the environment. We tested the hypothesis that dry season represents a constraint on the bacterial diversity of the rhizosphere from semi-arid plants. To accomplish this, we sampled two leguminous species at five locations during the dry and rainy seasons in the Caatinga biome and characterised bacterial community structures using qPCR and 16S rRNA sequencing. We found that the main differences between seasons were due to reduced phylogenetic diversity caused by dryness. Variation partitioning indicated that environmental characteristics significant impacts in β-diversity. Additionally, distance decay relationship and taxa area relationship indicate a higher spatial turnover at the rainy season. During the dry season, decreased bacterial abundance is likely due to the selection of resistant or resilient microorganisms; with the return of the rain, the sensitive populations start to colonise the rhizosphere by a process that is strongly influenced by environmental characteristics. Thus, we propose that the reduction of PD and strong influence of environmental parameters on the assemblage of these communities make them prone to functional losses caused by climatic disturbances.","author":[{"dropping-particle":"","family":"Taketani","given":"Rodrigo Gouvêa","non-dropping-particle":"","parse-names":false,"suffix":""},{"dropping-particle":"","family":"Lançoni","given":"Milena Duarte","non-dropping-particle":"","parse-names":false,"suffix":""},{"dropping-particle":"","family":"Kavamura","given":"Vanessa Nessner","non-dropping-particle":"","parse-names":false,"suffix":""},{"dropping-particle":"","family":"Durrer","given":"Ademir","non-dropping-particle":"","parse-names":false,"suffix":""},{"dropping-particle":"","family":"Andreote","given":"Fernando Dini","non-dropping-particle":"","parse-names":false,"suffix":""},{"dropping-particle":"","family":"Melo","given":"Itamar Soares","non-dropping-particle":"","parse-names":false,"suffix":""}],"container-title":"Microbial Ecology","id":"ITEM-1","issue":"1","issued":{"date-parts":[["2017"]]},"page":"153-161","publisher":"Microbial Ecology","title":"Dry Season Constrains Bacterial Phylogenetic Diversity in a Semi-Arid Rhizosphere System","type":"article-journal","volume":"73"},"uris":["http://www.mendeley.com/documents/?uuid=f6e39742-04b4-4e71-b9ec-0b558f32bd1e"]}],"mendeley":{"formattedCitation":"(Taketani et al., 2017)","manualFormatting":"Taketani et al. 2017)","plainTextFormattedCitation":"(Taketani et al., 2017)","previouslyFormattedCitation":"(Taketani et al., 2017)"},"properties":{"noteIndex":0},"schema":"https://github.com/citation-style-language/schema/raw/master/csl-citation.json"}</w:instrText>
      </w:r>
      <w:r>
        <w:fldChar w:fldCharType="separate"/>
      </w:r>
      <w:r w:rsidRPr="005C0EB8">
        <w:rPr>
          <w:noProof/>
        </w:rPr>
        <w:t>Taketani</w:t>
      </w:r>
      <w:proofErr w:type="spellEnd"/>
      <w:r w:rsidRPr="005C0EB8">
        <w:rPr>
          <w:noProof/>
        </w:rPr>
        <w:t xml:space="preserve"> </w:t>
      </w:r>
      <w:r w:rsidRPr="005C0EB8">
        <w:rPr>
          <w:i/>
          <w:noProof/>
        </w:rPr>
        <w:t>et al.</w:t>
      </w:r>
      <w:r w:rsidRPr="005C0EB8">
        <w:rPr>
          <w:noProof/>
        </w:rPr>
        <w:t xml:space="preserve"> 2017)</w:t>
      </w:r>
      <w:r>
        <w:fldChar w:fldCharType="end"/>
      </w:r>
      <w:r>
        <w:rPr>
          <w:color w:val="000000" w:themeColor="text1"/>
        </w:rPr>
        <w:t xml:space="preserve">. The data presented within our study further indicates the sensitivity to turnover in bacterial community composition due to variability in soil moisture conditions. </w:t>
      </w:r>
      <w:r w:rsidRPr="00AD64E7">
        <w:rPr>
          <w:color w:val="000000" w:themeColor="text1"/>
        </w:rPr>
        <w:t xml:space="preserve">For instance, the homogeneity </w:t>
      </w:r>
      <w:r>
        <w:rPr>
          <w:color w:val="000000" w:themeColor="text1"/>
        </w:rPr>
        <w:t>of</w:t>
      </w:r>
      <w:r w:rsidRPr="00AD64E7">
        <w:rPr>
          <w:color w:val="000000" w:themeColor="text1"/>
        </w:rPr>
        <w:t xml:space="preserve"> group variance differed by sampling date at </w:t>
      </w:r>
      <w:r w:rsidRPr="00AD64E7">
        <w:rPr>
          <w:i/>
          <w:iCs/>
          <w:color w:val="000000" w:themeColor="text1"/>
        </w:rPr>
        <w:t>q</w:t>
      </w:r>
      <w:r w:rsidRPr="00AD64E7">
        <w:rPr>
          <w:color w:val="000000" w:themeColor="text1"/>
        </w:rPr>
        <w:t>=0</w:t>
      </w:r>
      <w:r w:rsidRPr="00901372">
        <w:rPr>
          <w:color w:val="000000" w:themeColor="text1"/>
        </w:rPr>
        <w:t xml:space="preserve"> to </w:t>
      </w:r>
      <w:r w:rsidRPr="00901372">
        <w:rPr>
          <w:i/>
          <w:iCs/>
          <w:color w:val="000000" w:themeColor="text1"/>
        </w:rPr>
        <w:t>q</w:t>
      </w:r>
      <w:r w:rsidRPr="00901372">
        <w:rPr>
          <w:color w:val="000000" w:themeColor="text1"/>
        </w:rPr>
        <w:t>=2</w:t>
      </w:r>
      <w:r w:rsidRPr="00AD64E7">
        <w:rPr>
          <w:color w:val="000000" w:themeColor="text1"/>
        </w:rPr>
        <w:t xml:space="preserve">, while rainfall exclusion had an effect at </w:t>
      </w:r>
      <w:r w:rsidRPr="00AD64E7">
        <w:rPr>
          <w:i/>
          <w:iCs/>
          <w:color w:val="000000" w:themeColor="text1"/>
        </w:rPr>
        <w:t>q</w:t>
      </w:r>
      <w:r w:rsidRPr="00AD64E7">
        <w:rPr>
          <w:color w:val="000000" w:themeColor="text1"/>
        </w:rPr>
        <w:t>=2.</w:t>
      </w:r>
      <w:r>
        <w:rPr>
          <w:color w:val="000000" w:themeColor="text1"/>
        </w:rPr>
        <w:t xml:space="preserve"> This could suggest that the change in bacterial taxa among rainfall exclusion treatments occur with more common bacteria. Changes in pairwise community turnover could be explained by the treatment itself, whereby it favors specific bacterial taxa that are resistant to desiccation under drier conditions </w:t>
      </w:r>
      <w:r>
        <w:rPr>
          <w:color w:val="000000" w:themeColor="text1"/>
        </w:rPr>
        <w:fldChar w:fldCharType="begin" w:fldLock="1"/>
      </w:r>
      <w:r w:rsidR="006E1F09">
        <w:rPr>
          <w:color w:val="000000" w:themeColor="text1"/>
        </w:rPr>
        <w:instrText>ADDIN CSL_CITATION {"citationItems":[{"id":"ITEM-1","itemData":{"DOI":"10.1007/s00248-016-0835-4","ISSN":"00953628","PMID":"27558787","abstract":"The rhizosphere is viewed as a deterministic environment led by the interaction between plants and microorganisms. In the case of semi-arid plants, this interaction is strengthened by the harshness of the environment. We tested the hypothesis that dry season represents a constraint on the bacterial diversity of the rhizosphere from semi-arid plants. To accomplish this, we sampled two leguminous species at five locations during the dry and rainy seasons in the Caatinga biome and characterised bacterial community structures using qPCR and 16S rRNA sequencing. We found that the main differences between seasons were due to reduced phylogenetic diversity caused by dryness. Variation partitioning indicated that environmental characteristics significant impacts in β-diversity. Additionally, distance decay relationship and taxa area relationship indicate a higher spatial turnover at the rainy season. During the dry season, decreased bacterial abundance is likely due to the selection of resistant or resilient microorganisms; with the return of the rain, the sensitive populations start to colonise the rhizosphere by a process that is strongly influenced by environmental characteristics. Thus, we propose that the reduction of PD and strong influence of environmental parameters on the assemblage of these communities make them prone to functional losses caused by climatic disturbances.","author":[{"dropping-particle":"","family":"Taketani","given":"Rodrigo Gouvêa","non-dropping-particle":"","parse-names":false,"suffix":""},{"dropping-particle":"","family":"Lançoni","given":"Milena Duarte","non-dropping-particle":"","parse-names":false,"suffix":""},{"dropping-particle":"","family":"Kavamura","given":"Vanessa Nessner","non-dropping-particle":"","parse-names":false,"suffix":""},{"dropping-particle":"","family":"Durrer","given":"Ademir","non-dropping-particle":"","parse-names":false,"suffix":""},{"dropping-particle":"","family":"Andreote","given":"Fernando Dini","non-dropping-particle":"","parse-names":false,"suffix":""},{"dropping-particle":"","family":"Melo","given":"Itamar Soares","non-dropping-particle":"","parse-names":false,"suffix":""}],"container-title":"Microbial Ecology","id":"ITEM-1","issue":"1","issued":{"date-parts":[["2017"]]},"page":"153-161","publisher":"Microbial Ecology","title":"Dry Season Constrains Bacterial Phylogenetic Diversity in a Semi-Arid Rhizosphere System","type":"article-journal","volume":"73"},"uris":["http://www.mendeley.com/documents/?uuid=f6e39742-04b4-4e71-b9ec-0b558f32bd1e"]}],"mendeley":{"formattedCitation":"(Taketani et al., 2017)","plainTextFormattedCitation":"(Taketani et al., 2017)","previouslyFormattedCitation":"(Taketani et al., 2017)"},"properties":{"noteIndex":0},"schema":"https://github.com/citation-style-language/schema/raw/master/csl-citation.json"}</w:instrText>
      </w:r>
      <w:r>
        <w:rPr>
          <w:color w:val="000000" w:themeColor="text1"/>
        </w:rPr>
        <w:fldChar w:fldCharType="separate"/>
      </w:r>
      <w:r w:rsidR="00CE6085" w:rsidRPr="00CE6085">
        <w:rPr>
          <w:noProof/>
          <w:color w:val="000000" w:themeColor="text1"/>
        </w:rPr>
        <w:t>(Taketani et al., 2017)</w:t>
      </w:r>
      <w:r>
        <w:rPr>
          <w:color w:val="000000" w:themeColor="text1"/>
        </w:rPr>
        <w:fldChar w:fldCharType="end"/>
      </w:r>
      <w:r>
        <w:rPr>
          <w:color w:val="000000" w:themeColor="text1"/>
        </w:rPr>
        <w:t xml:space="preserve">. </w:t>
      </w:r>
      <w:r w:rsidRPr="000024C2">
        <w:rPr>
          <w:color w:val="000000" w:themeColor="text1"/>
        </w:rPr>
        <w:t xml:space="preserve">The </w:t>
      </w:r>
      <w:r>
        <w:rPr>
          <w:color w:val="000000" w:themeColor="text1"/>
        </w:rPr>
        <w:t>dissimilarity</w:t>
      </w:r>
      <w:r w:rsidRPr="000024C2">
        <w:rPr>
          <w:color w:val="000000" w:themeColor="text1"/>
        </w:rPr>
        <w:t xml:space="preserve"> in</w:t>
      </w:r>
      <w:r>
        <w:rPr>
          <w:color w:val="000000" w:themeColor="text1"/>
        </w:rPr>
        <w:t xml:space="preserve"> pairwise</w:t>
      </w:r>
      <w:r w:rsidRPr="000024C2">
        <w:rPr>
          <w:color w:val="000000" w:themeColor="text1"/>
        </w:rPr>
        <w:t xml:space="preserve"> </w:t>
      </w:r>
      <w:r>
        <w:rPr>
          <w:color w:val="000000" w:themeColor="text1"/>
        </w:rPr>
        <w:t>community</w:t>
      </w:r>
      <w:r w:rsidRPr="000024C2">
        <w:rPr>
          <w:color w:val="000000" w:themeColor="text1"/>
        </w:rPr>
        <w:t xml:space="preserve"> </w:t>
      </w:r>
      <w:r>
        <w:rPr>
          <w:color w:val="000000" w:themeColor="text1"/>
        </w:rPr>
        <w:t>turnover</w:t>
      </w:r>
      <w:r w:rsidRPr="000024C2">
        <w:rPr>
          <w:color w:val="000000" w:themeColor="text1"/>
        </w:rPr>
        <w:t xml:space="preserve"> </w:t>
      </w:r>
      <w:r>
        <w:rPr>
          <w:color w:val="000000" w:themeColor="text1"/>
        </w:rPr>
        <w:t xml:space="preserve">detected </w:t>
      </w:r>
      <w:r w:rsidRPr="000024C2">
        <w:rPr>
          <w:color w:val="000000" w:themeColor="text1"/>
        </w:rPr>
        <w:t xml:space="preserve">among </w:t>
      </w:r>
      <w:r>
        <w:rPr>
          <w:color w:val="000000" w:themeColor="text1"/>
        </w:rPr>
        <w:t>rainfall exclusion treatments</w:t>
      </w:r>
      <w:r w:rsidRPr="000024C2">
        <w:rPr>
          <w:color w:val="000000" w:themeColor="text1"/>
        </w:rPr>
        <w:t xml:space="preserve"> can </w:t>
      </w:r>
      <w:r>
        <w:rPr>
          <w:color w:val="000000" w:themeColor="text1"/>
        </w:rPr>
        <w:t xml:space="preserve">also </w:t>
      </w:r>
      <w:r w:rsidRPr="000024C2">
        <w:rPr>
          <w:color w:val="000000" w:themeColor="text1"/>
        </w:rPr>
        <w:t xml:space="preserve">be credited to </w:t>
      </w:r>
      <w:r>
        <w:rPr>
          <w:color w:val="000000" w:themeColor="text1"/>
        </w:rPr>
        <w:t xml:space="preserve">the </w:t>
      </w:r>
      <w:r w:rsidRPr="000024C2">
        <w:rPr>
          <w:color w:val="000000" w:themeColor="text1"/>
        </w:rPr>
        <w:t xml:space="preserve">changes in rhizosphere </w:t>
      </w:r>
      <w:r>
        <w:rPr>
          <w:color w:val="000000" w:themeColor="text1"/>
        </w:rPr>
        <w:t>soil abiotic</w:t>
      </w:r>
      <w:r w:rsidRPr="000024C2">
        <w:rPr>
          <w:color w:val="000000" w:themeColor="text1"/>
        </w:rPr>
        <w:t xml:space="preserve"> factors that covary with soil moisture</w:t>
      </w:r>
      <w:r>
        <w:rPr>
          <w:color w:val="000000" w:themeColor="text1"/>
        </w:rPr>
        <w:t xml:space="preserve"> contradictory to </w:t>
      </w:r>
      <w:r>
        <w:rPr>
          <w:color w:val="000000" w:themeColor="text1"/>
        </w:rPr>
        <w:fldChar w:fldCharType="begin" w:fldLock="1"/>
      </w:r>
      <w:r w:rsidR="006E1F09">
        <w:rPr>
          <w:color w:val="000000" w:themeColor="text1"/>
        </w:rPr>
        <w:instrText>ADDIN CSL_CITATION {"citationItems":[{"id":"ITEM-1","itemData":{"DOI":"10.1038/srep34434","ISSN":"20452322","abstract":"The temporal dynamics of desert soil microbial communities are poorly understood. Given the implications for ecosystem functioning under a global change scenario, a better understanding of desert microbial community stability is crucial. Here, we sampled soils in the central Namib Desert on sixteen different occasions over a one-year period. Using Illumina-based amplicon sequencing of the 16S rRNA gene, we found that α-diversity (richness) was more variable at a given sampling date (spatial variability) than over the course of one year (temporal variability). Community composition remained essentially unchanged across the first 10 months, indicating that spatial sampling might be more important than temporal sampling when assessing β-diversity patterns in desert soils. However, a major shift in microbial community composition was found following a single precipitation event. This shift in composition was associated with a rapid increase in CO2 respiration and productivity, supporting the view that desert soil microbial communities respond rapidly to re-wetting and that this response may be the result of both taxon-specific selection and changes in the availability or accessibility of organic substrates. Recovery to quasi pre-disturbance community composition was achieved within one month after rainfall.","author":[{"dropping-particle":"","family":"Armstrong","given":"Alacia","non-dropping-particle":"","parse-names":false,"suffix":""},{"dropping-particle":"","family":"Valverde","given":"Angel","non-dropping-particle":"","parse-names":false,"suffix":""},{"dropping-particle":"","family":"Ramond","given":"Jean Baptiste","non-dropping-particle":"","parse-names":false,"suffix":""},{"dropping-particle":"","family":"Makhalanyane","given":"Thulani P.","non-dropping-particle":"","parse-names":false,"suffix":""},{"dropping-particle":"","family":"Jansson","given":"Janet K.","non-dropping-particle":"","parse-names":false,"suffix":""},{"dropping-particle":"","family":"Hopkins","given":"David W.","non-dropping-particle":"","parse-names":false,"suffix":""},{"dropping-particle":"","family":"Aspray","given":"Thomas J.","non-dropping-particle":"","parse-names":false,"suffix":""},{"dropping-particle":"","family":"Seely","given":"Mary","non-dropping-particle":"","parse-names":false,"suffix":""},{"dropping-particle":"","family":"Trindade","given":"Marla I.","non-dropping-particle":"","parse-names":false,"suffix":""},{"dropping-particle":"","family":"Cowan","given":"Don A.","non-dropping-particle":"","parse-names":false,"suffix":""}],"container-title":"Scientific Reports","id":"ITEM-1","issue":"September","issued":{"date-parts":[["2016"]]},"page":"1-8","publisher":"Nature Publishing Group","title":"Temporal dynamics of hot desert microbial communities reveal structural and functional responses to water input","type":"article-journal","volume":"6"},"uris":["http://www.mendeley.com/documents/?uuid=0778c584-4cc7-4242-a732-068105e971bb"]}],"mendeley":{"formattedCitation":"(Armstrong et al., 2016)","manualFormatting":"Armstrong et al. (2016)","plainTextFormattedCitation":"(Armstrong et al., 2016)","previouslyFormattedCitation":"(Armstrong et al., 2016)"},"properties":{"noteIndex":0},"schema":"https://github.com/citation-style-language/schema/raw/master/csl-citation.json"}</w:instrText>
      </w:r>
      <w:r>
        <w:rPr>
          <w:color w:val="000000" w:themeColor="text1"/>
        </w:rPr>
        <w:fldChar w:fldCharType="separate"/>
      </w:r>
      <w:r w:rsidRPr="00EB08D5">
        <w:rPr>
          <w:noProof/>
          <w:color w:val="000000" w:themeColor="text1"/>
        </w:rPr>
        <w:t xml:space="preserve">Armstrong </w:t>
      </w:r>
      <w:r w:rsidRPr="00EB08D5">
        <w:rPr>
          <w:i/>
          <w:noProof/>
          <w:color w:val="000000" w:themeColor="text1"/>
        </w:rPr>
        <w:t>et al.</w:t>
      </w:r>
      <w:r w:rsidRPr="00EB08D5">
        <w:rPr>
          <w:noProof/>
          <w:color w:val="000000" w:themeColor="text1"/>
        </w:rPr>
        <w:t xml:space="preserve"> </w:t>
      </w:r>
      <w:r>
        <w:rPr>
          <w:noProof/>
          <w:color w:val="000000" w:themeColor="text1"/>
        </w:rPr>
        <w:t>(</w:t>
      </w:r>
      <w:r w:rsidRPr="00EB08D5">
        <w:rPr>
          <w:noProof/>
          <w:color w:val="000000" w:themeColor="text1"/>
        </w:rPr>
        <w:t>2016)</w:t>
      </w:r>
      <w:r>
        <w:rPr>
          <w:color w:val="000000" w:themeColor="text1"/>
        </w:rPr>
        <w:fldChar w:fldCharType="end"/>
      </w:r>
      <w:r>
        <w:rPr>
          <w:color w:val="000000" w:themeColor="text1"/>
        </w:rPr>
        <w:t xml:space="preserve">. This is confirmed by our evidence that shows rainfall exclusion treatments host distinct bacterial groups, which covary with soil moisture and phosphorous. </w:t>
      </w:r>
    </w:p>
    <w:p w14:paraId="185DA232" w14:textId="61D7EC29" w:rsidR="00977352" w:rsidRDefault="00977352" w:rsidP="00977352">
      <w:pPr>
        <w:spacing w:line="360" w:lineRule="auto"/>
      </w:pPr>
      <w:r>
        <w:tab/>
        <w:t xml:space="preserve">Indicator species analyses provide correlative evidence for which taxa are strongly associated with each rainfall exclusion treatment, in order to predict which taxa may be present in similar ecological niches in future studies </w:t>
      </w:r>
      <w:r>
        <w:fldChar w:fldCharType="begin" w:fldLock="1"/>
      </w:r>
      <w:r w:rsidR="006E1F09">
        <w:instrText>ADDIN CSL_CITATION {"citationItems":[{"id":"ITEM-1","itemData":{"author":[{"dropping-particle":"","family":"Caceres","given":"M","non-dropping-particle":"De","parse-names":false,"suffix":""},{"dropping-particle":"","family":"Legendre","given":"Pierre","non-dropping-particle":"","parse-names":false,"suffix":""}],"container-title":"Ecology","id":"ITEM-1","issue":"12","issued":{"date-parts":[["2009"]]},"page":"3566-3574","title":"Associations between species and groups of sites: indices and statistical inference. Ecology, URL http://sites.google.com/site/miqueldecaceres/","type":"article-journal","volume":"90"},"uris":["http://www.mendeley.com/documents/?uuid=155611f4-89a7-4f62-a10b-5153e40175a6"]}],"mendeley":{"formattedCitation":"(De Caceres and Legendre, 2009)","plainTextFormattedCitation":"(De Caceres and Legendre, 2009)","previouslyFormattedCitation":"(De Caceres and Legendre, 2009)"},"properties":{"noteIndex":0},"schema":"https://github.com/citation-style-language/schema/raw/master/csl-citation.json"}</w:instrText>
      </w:r>
      <w:r>
        <w:fldChar w:fldCharType="separate"/>
      </w:r>
      <w:r w:rsidR="00CE6085" w:rsidRPr="00CE6085">
        <w:rPr>
          <w:noProof/>
        </w:rPr>
        <w:t>(De Caceres and Legendre, 2009)</w:t>
      </w:r>
      <w:r>
        <w:fldChar w:fldCharType="end"/>
      </w:r>
      <w:r>
        <w:t xml:space="preserve">. Since the rhizosphere microhabitat hosts a highly diverse bacterial community, investigating each correlated ASV at higher taxonomic levels may be more useful, particularly when information about specific ASVs is unavailable or limited. The control treatment which had no rainfall exclusion treatment throughout the duration of the monsoon season, served as a baseline estimate for bacterial communities. The rhizosphere microhabitats in the control treatment were highly enriched with </w:t>
      </w:r>
      <w:r w:rsidRPr="0057127E">
        <w:t>Actinobacteria</w:t>
      </w:r>
      <w:r>
        <w:t xml:space="preserve">, which interact with plant hosts as either pathogenic, commensal, or beneficial as plant growth promoting bacteria </w:t>
      </w:r>
      <w:r>
        <w:fldChar w:fldCharType="begin" w:fldLock="1"/>
      </w:r>
      <w:r w:rsidR="006E1F09">
        <w:instrText>ADDIN CSL_CITATION {"citationItems":[{"id":"ITEM-1","itemData":{"DOI":"10.1146/annurev-arplant-050312-120106","ISSN":"15435008","PMID":"23373698","abstract":"Plants host distinct bacterial communities on and inside various plant organs, of which those associated with roots and the leaf surface are best characterized. The phylogenetic composition of these communities is defined by relatively few bacterial phyla, including Actinobacteria, Bacteroidetes, Firmicutes, and Proteobacteria. A synthesis of available data suggests a two-step selection process by which the bacterial microbiota of roots is differentiated from the surrounding soil biome. Rhizodeposition appears to fuel an initial substrate-driven community shift in the rhizosphere, which converges with host genotype-dependent fine-tuning of microbiota profiles in the selection of root endophyte assemblages. Substrate-driven selection also underlies the establishment of phyllosphere communities but takes place solely at the immediate leaf surface. Both the leaf and root microbiota contain bacteria that provide indirect pathogen protection, but root microbiota members appear to serve additional host functions through the acquisition of nutrients from soil for plant growth. Thus, the plant microbiota emerges as a fundamental trait that includes mutualism enabled through diverse biochemical mechanisms, as revealed by studies on plant growth-promoting and plant health-promoting bacteria. © Copyright ©2013 by Annual Reviews. All rights reserved.","author":[{"dropping-particle":"","family":"Bulgarelli","given":"Davide","non-dropping-particle":"","parse-names":false,"suffix":""},{"dropping-particle":"","family":"Schlaeppi","given":"Klaus","non-dropping-particle":"","parse-names":false,"suffix":""},{"dropping-particle":"","family":"Spaepen","given":"Stijn","non-dropping-particle":"","parse-names":false,"suffix":""},{"dropping-particle":"","family":"Themaat","given":"Emiel Ver Loren","non-dropping-particle":"Van","parse-names":false,"suffix":""},{"dropping-particle":"","family":"Schulze-Lefert","given":"Paul","non-dropping-particle":"","parse-names":false,"suffix":""}],"container-title":"Annual Review of Plant Biology","id":"ITEM-1","issued":{"date-parts":[["2013"]]},"page":"807-838","title":"Structure and functions of the bacterial microbiota of plants","type":"article-journal","volume":"64"},"uris":["http://www.mendeley.com/documents/?uuid=54ac7c3e-ca56-43f6-aa5d-03dd229ba8a2"]},{"id":"ITEM-2","itemData":{"DOI":"10.1146/annurev.phyto.44.032905.091147","ISBN":"0824313445","ISSN":"00664286","PMID":"16719719","abstract":"Among the multitude of soil-inhabiting, saprophytic Streptomyces species are a growing number of plant pathogens that cause economically important diseases, including potato scab. Streptomyces scabies is the dominant pathogenic species worldwide, but is only one of many that cause very similar disease symptoms on plants. Molecular genetic analysis is beginning to identify the mechanisms used by plant pathogenic species to manipulate their hosts. The nitrated dipeptide phytotoxin, thaxtomin, inhibits cellulose biosynthesis in expanding plant tissues, stimulates Ca2+ spiking, and causes cell death. A secreted necrogenic protein, Nec1, contributes to virulence on diverse plant species. The thaxtomin biosynthetic genes and nec1 lie on a large mobilizable PAI, along with other putative virulence genes including a cytokinin biosynthetic pathway and a saponinase homolog. The PAI is mobilized during conjugation and site-specifically inserts in the linear chromosome of recipient species, accounting for the emergence of new pathogens in agricultural systems. The recently available genome sequence of S. scabies will accelerate research on host-pathogen interactions. Copyright © 2006 by Annual Reviews. All rights reserved.","author":[{"dropping-particle":"","family":"Loria","given":"Rosemary","non-dropping-particle":"","parse-names":false,"suffix":""},{"dropping-particle":"","family":"Kers","given":"Johan","non-dropping-particle":"","parse-names":false,"suffix":""},{"dropping-particle":"","family":"Joshi","given":"Madhumita","non-dropping-particle":"","parse-names":false,"suffix":""}],"container-title":"Annual Review of Phytopathology","id":"ITEM-2","issued":{"date-parts":[["2006"]]},"page":"469-487","title":"Evolution of plant pathogenicity in Streptomyces","type":"article-journal","volume":"44"},"uris":["http://www.mendeley.com/documents/?uuid=fa91b587-5d56-4db0-b204-0587d32354e1"]}],"mendeley":{"formattedCitation":"(Loria et al., 2006; Bulgarelli et al., 2013)","plainTextFormattedCitation":"(Loria et al., 2006; Bulgarelli et al., 2013)","previouslyFormattedCitation":"(Loria et al., 2006; Bulgarelli et al., 2013)"},"properties":{"noteIndex":0},"schema":"https://github.com/citation-style-language/schema/raw/master/csl-citation.json"}</w:instrText>
      </w:r>
      <w:r>
        <w:fldChar w:fldCharType="separate"/>
      </w:r>
      <w:r w:rsidR="00CE6085" w:rsidRPr="00CE6085">
        <w:rPr>
          <w:noProof/>
        </w:rPr>
        <w:t>(Loria et al., 2006; Bulgarelli et al., 2013)</w:t>
      </w:r>
      <w:r>
        <w:fldChar w:fldCharType="end"/>
      </w:r>
      <w:r>
        <w:t xml:space="preserve">. This could be an important association in nutrient poor, desert ecosystems for pioneer plant species like </w:t>
      </w:r>
      <w:r w:rsidRPr="00734A00">
        <w:rPr>
          <w:i/>
          <w:iCs/>
        </w:rPr>
        <w:t xml:space="preserve">L. </w:t>
      </w:r>
      <w:proofErr w:type="spellStart"/>
      <w:r w:rsidRPr="00734A00">
        <w:rPr>
          <w:i/>
          <w:iCs/>
        </w:rPr>
        <w:t>neomexicanus</w:t>
      </w:r>
      <w:proofErr w:type="spellEnd"/>
      <w:r>
        <w:rPr>
          <w:i/>
          <w:iCs/>
        </w:rPr>
        <w:t xml:space="preserve"> </w:t>
      </w:r>
      <w:r>
        <w:rPr>
          <w:i/>
          <w:iCs/>
        </w:rPr>
        <w:fldChar w:fldCharType="begin" w:fldLock="1"/>
      </w:r>
      <w:r w:rsidR="006E1F09">
        <w:rPr>
          <w:i/>
          <w:iCs/>
        </w:rPr>
        <w:instrText>ADDIN CSL_CITATION {"citationItems":[{"id":"ITEM-1","itemData":{"DOI":"10.1111/1574-6968.12116","ISBN":"0046907866","ISSN":"03781097","PMID":"23461635","abstract":"Studies of nitrogen-fixing properties among the Gram-positive Actinobacteria revealed that some species of Arthrobacter, Agromyces, Corynebacterium, Mycobacterium, Micromonospora, Propionibacteria and Streptomyces have nitrogen-fixing capacity. This is also valid for Frankia that fix nitrogen both in free-living and in symbiotic conditions. Frankia symbiosis results from interaction between the Frankia bacteria and dicotyledonous plants, that is, actinorhiza. These plants, which are important in forestry and agroforestry, form, together with the legumes (Fabales), a single nitrogen-fixing clade. It has been shown that a receptor-like kinase gene, SymRK, is necessary for nodulation in actinorhizal plants as well as in legumes and arbuscular mycorrhizal fungi. Recently, the involvement of isoflavonoids as signal molecules during nodulation of an actinorhizal plant was shown. The genome sizes of three Frankia species, Frankia EANpec, ACN14a and CcI3, are different, revealing a relationship between genome size and geographical distribution. Recent genomic sequencing data of Frankia represent genomes from cluster I to IV, indicating that the genome of DgI is one of the smallest genomes in Frankia. In addition, nonsymbiotic Frankiales such as Acidothermus cellulolyticus, Blastococcus saxoobsidens, Geodermatophilus obscurus and Modestobacter marinus have a variety of genome sizes ranging from 2.4 to 5.57 Mb. © 2013 Federation of European Microbiological Societies.","author":[{"dropping-particle":"","family":"Sellstedt","given":"Anita","non-dropping-particle":"","parse-names":false,"suffix":""},{"dropping-particle":"","family":"Richau","given":"Kerstin H.","non-dropping-particle":"","parse-names":false,"suffix":""}],"container-title":"FEMS Microbiology Letters","id":"ITEM-1","issue":"2","issued":{"date-parts":[["2013"]]},"page":"179-186","title":"Aspects of nitrogen-fixing actinobacteria, in particular free-living and symbiotic frankia","type":"article-journal","volume":"342"},"uris":["http://www.mendeley.com/documents/?uuid=8445ffcd-f452-40a7-9eb4-e750ccde974f"]}],"mendeley":{"formattedCitation":"(Sellstedt and Richau, 2013)","plainTextFormattedCitation":"(Sellstedt and Richau, 2013)","previouslyFormattedCitation":"(Sellstedt and Richau, 2013)"},"properties":{"noteIndex":0},"schema":"https://github.com/citation-style-language/schema/raw/master/csl-citation.json"}</w:instrText>
      </w:r>
      <w:r>
        <w:rPr>
          <w:i/>
          <w:iCs/>
        </w:rPr>
        <w:fldChar w:fldCharType="separate"/>
      </w:r>
      <w:r w:rsidR="00CE6085" w:rsidRPr="00CE6085">
        <w:rPr>
          <w:iCs/>
          <w:noProof/>
        </w:rPr>
        <w:t>(Sellstedt and Richau, 2013)</w:t>
      </w:r>
      <w:r>
        <w:rPr>
          <w:i/>
          <w:iCs/>
        </w:rPr>
        <w:fldChar w:fldCharType="end"/>
      </w:r>
      <w:r>
        <w:t xml:space="preserve">. The most strongly associated bacterial ASV </w:t>
      </w:r>
      <w:r>
        <w:lastRenderedPageBreak/>
        <w:t xml:space="preserve">with the control treatment belonged to the novel genus </w:t>
      </w:r>
      <w:proofErr w:type="spellStart"/>
      <w:r w:rsidRPr="00734A00">
        <w:rPr>
          <w:i/>
          <w:iCs/>
        </w:rPr>
        <w:t>Williamsia</w:t>
      </w:r>
      <w:proofErr w:type="spellEnd"/>
      <w:r>
        <w:t xml:space="preserve">. When associated with higher concentrations of nitrogen, </w:t>
      </w:r>
      <w:proofErr w:type="spellStart"/>
      <w:r w:rsidRPr="0054251B">
        <w:rPr>
          <w:i/>
          <w:iCs/>
        </w:rPr>
        <w:t>Williamsia</w:t>
      </w:r>
      <w:proofErr w:type="spellEnd"/>
      <w:r w:rsidRPr="0054251B">
        <w:rPr>
          <w:i/>
          <w:iCs/>
        </w:rPr>
        <w:t xml:space="preserve"> spp.</w:t>
      </w:r>
      <w:r>
        <w:t xml:space="preserve"> can colonize and become a dominant, more abundant, member in the rhizosphere community </w:t>
      </w:r>
      <w:r>
        <w:fldChar w:fldCharType="begin" w:fldLock="1"/>
      </w:r>
      <w:r w:rsidR="006E1F09">
        <w:instrText>ADDIN CSL_CITATION {"citationItems":[{"id":"ITEM-1","itemData":{"DOI":"10.1111/1758-2229.12815","ISSN":"17582229","PMID":"31775178","abstract":"To understand factors that influence the assembly of microbial communities, we inoculated Medicago sativa with a series of nested bacterial synthetic communities and grew plants in distinct nitrogen concentrations. Two isolates in our eight-member synthetic community, Williamsia sp. R60 and Pantoea sp. R4, consistently dominate community structure across nitrogen regimes. While Pantoea sp. R4 consistently colonizes plants to a higher degree compared to the other six organisms across each community and each nutrient level, Williamsia sp. R60 exhibits nutrient specific colonization differences. Williamsia sp. R60 is more abundant in plants grown at higher nitrogen concentrations, but exhibits the opposite trend when no plant is present, indicating plant-driven influence over colonization. Our research discovered unique, repeatable colonization phenotypes for individual microbes during plant microbiome assembly, and identified alterations caused by the host plant, microbes, and available nutrients.","author":[{"dropping-particle":"","family":"Moccia","given":"Katherine","non-dropping-particle":"","parse-names":false,"suffix":""},{"dropping-particle":"","family":"Willems","given":"Andrew","non-dropping-particle":"","parse-names":false,"suffix":""},{"dropping-particle":"","family":"Papoulis","given":"Spiridon","non-dropping-particle":"","parse-names":false,"suffix":""},{"dropping-particle":"","family":"Flores","given":"Alicia","non-dropping-particle":"","parse-names":false,"suffix":""},{"dropping-particle":"","family":"Forister","given":"Matthew L.","non-dropping-particle":"","parse-names":false,"suffix":""},{"dropping-particle":"","family":"Fordyce","given":"James A.","non-dropping-particle":"","parse-names":false,"suffix":""},{"dropping-particle":"","family":"Lebeis","given":"Sarah L.","non-dropping-particle":"","parse-names":false,"suffix":""}],"container-title":"Environmental Microbiology Reports","id":"ITEM-1","issue":"1","issued":{"date-parts":[["2020"]]},"page":"70-77","title":"Distinguishing nutrient-dependent plant driven bacterial colonization patterns in alfalfa","type":"article-journal","volume":"12"},"uris":["http://www.mendeley.com/documents/?uuid=b6830841-bbe7-4a92-bcf0-496bd4b10ef8"]}],"mendeley":{"formattedCitation":"(Moccia et al., 2020)","plainTextFormattedCitation":"(Moccia et al., 2020)","previouslyFormattedCitation":"(Moccia et al., 2020)"},"properties":{"noteIndex":0},"schema":"https://github.com/citation-style-language/schema/raw/master/csl-citation.json"}</w:instrText>
      </w:r>
      <w:r>
        <w:fldChar w:fldCharType="separate"/>
      </w:r>
      <w:r w:rsidR="00CE6085" w:rsidRPr="00CE6085">
        <w:rPr>
          <w:noProof/>
        </w:rPr>
        <w:t>(Moccia et al., 2020)</w:t>
      </w:r>
      <w:r>
        <w:fldChar w:fldCharType="end"/>
      </w:r>
      <w:r>
        <w:t xml:space="preserve">. </w:t>
      </w:r>
    </w:p>
    <w:p w14:paraId="5B240831" w14:textId="2F7A10FC" w:rsidR="00977352" w:rsidRDefault="00977352" w:rsidP="00977352">
      <w:pPr>
        <w:spacing w:line="360" w:lineRule="auto"/>
      </w:pPr>
      <w:r>
        <w:tab/>
        <w:t xml:space="preserve">Rhizosphere microhabitats that underwent moderate rainfall exclusion had the most abundant, significant indicator ASVs in the phyla </w:t>
      </w:r>
      <w:r w:rsidRPr="0057127E">
        <w:t>Proteobacteria</w:t>
      </w:r>
      <w:r w:rsidRPr="00695E39">
        <w:t xml:space="preserve"> and </w:t>
      </w:r>
      <w:r w:rsidRPr="0057127E">
        <w:t>Bacteroidetes</w:t>
      </w:r>
      <w:r>
        <w:t xml:space="preserve">. In concordance with </w:t>
      </w:r>
      <w:r>
        <w:fldChar w:fldCharType="begin" w:fldLock="1"/>
      </w:r>
      <w:r w:rsidR="006E1F09">
        <w:instrText>ADDIN CSL_CITATION {"citationItems":[{"id":"ITEM-1","itemData":{"DOI":"10.7717/peerj.7526","ISSN":"2167-8359","abstract":" The seasonal dynamics of microbial diversity within the rhizosphere of Ulmus pumila L. var. sabulosa in the hinterland of the Otindag Sandy Land of China were investigated using high-throughput sequencing of bacterial 16S rRNA genes and fungal ITS region sequences. A significant level of bacterial and fungal diversity was observed overall, with detection of 7,676 bacterial Operational Taxonomic Units (OTUs) belonging to 40 bacteria phyla and 3,582 fungal OTUs belonging to six phyla. Proteobacteria, Actinobacteria, and Firmicutes were the dominant bacterial phyla among communities, while Ascomycota, Basidiomycota, and Zygomycota were the dominant phyla of fungal communities. Seasonal changes influenced the α-diversity and β-diversity of bacterial communities within elm rhizospheres more than for fungal communities. Inferred functional analysis of the bacterial communities identified evidence for 41 level two KEGG (Kyoto Encyclopedia of Genes and Genomes) orthology groups, while guild-based analysis of the fungal communities identified eight ecological guilds. Metabolism was the most prevalent bacterial functional group, while saprotrophs prevailed among the identified fungal ecological guilds. Soil moisture and soil nutrient content were important factors that affected the microbial community structures of elm rhizospheres across seasons. The present pilot study provides an important baseline investigation of elm rhizosphere microbial communities. ","author":[{"dropping-particle":"","family":"Liang","given":"Tianyu","non-dropping-particle":"","parse-names":false,"suffix":""},{"dropping-particle":"","family":"Yang","given":"Guang","non-dropping-particle":"","parse-names":false,"suffix":""},{"dropping-particle":"","family":"Ma","given":"Yunxia","non-dropping-particle":"","parse-names":false,"suffix":""},{"dropping-particle":"","family":"Yao","given":"Qingzhi","non-dropping-particle":"","parse-names":false,"suffix":""},{"dropping-particle":"","family":"Ma","given":"Yuan","non-dropping-particle":"","parse-names":false,"suffix":""},{"dropping-particle":"","family":"Ma","given":"Hui","non-dropping-particle":"","parse-names":false,"suffix":""},{"dropping-particle":"","family":"Hu","given":"Yang","non-dropping-particle":"","parse-names":false,"suffix":""},{"dropping-particle":"","family":"Yang","given":"Ying","non-dropping-particle":"","parse-names":false,"suffix":""},{"dropping-particle":"","family":"Wang","given":"Shaoxiong","non-dropping-particle":"","parse-names":false,"suffix":""},{"dropping-particle":"","family":"Pan","given":"Yiyong","non-dropping-particle":"","parse-names":false,"suffix":""},{"dropping-particle":"","family":"Li","given":"Gangtie","non-dropping-particle":"","parse-names":false,"suffix":""}],"container-title":"PeerJ","id":"ITEM-1","issued":{"date-parts":[["2019"]]},"page":"e7526","title":" Seasonal dynamics of microbial diversity in the rhizosphere of Ulmus pumila L. var. sabulosa in a steppe desert area of Northern China ","type":"article-journal","volume":"7"},"uris":["http://www.mendeley.com/documents/?uuid=4d3fa4f4-e891-4273-971a-5af53cbfd498"]}],"mendeley":{"formattedCitation":"(Liang et al., 2019)","manualFormatting":"Liang et al. (2019)","plainTextFormattedCitation":"(Liang et al., 2019)","previouslyFormattedCitation":"(Liang et al., 2019)"},"properties":{"noteIndex":0},"schema":"https://github.com/citation-style-language/schema/raw/master/csl-citation.json"}</w:instrText>
      </w:r>
      <w:r>
        <w:fldChar w:fldCharType="separate"/>
      </w:r>
      <w:r w:rsidRPr="00631847">
        <w:rPr>
          <w:noProof/>
        </w:rPr>
        <w:t xml:space="preserve">Liang </w:t>
      </w:r>
      <w:r w:rsidRPr="00631847">
        <w:rPr>
          <w:i/>
          <w:noProof/>
        </w:rPr>
        <w:t>et al.</w:t>
      </w:r>
      <w:r w:rsidRPr="00631847">
        <w:rPr>
          <w:noProof/>
        </w:rPr>
        <w:t xml:space="preserve"> </w:t>
      </w:r>
      <w:r>
        <w:rPr>
          <w:noProof/>
        </w:rPr>
        <w:t>(</w:t>
      </w:r>
      <w:r w:rsidRPr="00631847">
        <w:rPr>
          <w:noProof/>
        </w:rPr>
        <w:t>2019)</w:t>
      </w:r>
      <w:r>
        <w:fldChar w:fldCharType="end"/>
      </w:r>
      <w:r>
        <w:t xml:space="preserve"> these phyla can respond to changes in rhizosphere soil moisture and phosphorous from Spring to Summer months, similarly demonstrating that rhizosphere host-associated bacteria are sensitive to variation in seasonal soil abiotic factors. The family </w:t>
      </w:r>
      <w:proofErr w:type="spellStart"/>
      <w:r w:rsidRPr="0057127E">
        <w:t>Chitinophagaceae</w:t>
      </w:r>
      <w:proofErr w:type="spellEnd"/>
      <w:r w:rsidRPr="00695E39">
        <w:t xml:space="preserve"> (p</w:t>
      </w:r>
      <w:r w:rsidRPr="0057127E">
        <w:t>hylum Bacteroidetes</w:t>
      </w:r>
      <w:r>
        <w:t xml:space="preserve">) was strongly correlated with the moderate rainfall exclusion treatment, where </w:t>
      </w:r>
      <w:r>
        <w:fldChar w:fldCharType="begin" w:fldLock="1"/>
      </w:r>
      <w:r w:rsidR="006E1F09">
        <w:instrText>ADDIN CSL_CITATION {"citationItems":[{"id":"ITEM-1","itemData":{"DOI":"10.1007/s00374-018-1328-z","ISSN":"01782762","abstract":"The objective of this study was to determine how soil disturbance and soil water deficit alter colonisation of roots by naturally occurring arbuscular mycorrhizal (AM) fungi and rhizosphere bacteria. Soil cores were collected at the end of summer from a cropped paddock with a 5-year history of no-tillage in south-western Australia which has a Mediterranean climate. Well-watered and water-stressed treatments were maintained at 70 and 35% field capacity, respectively. AM fungal colonisation was determined using microscopy, rhizosphere bacterial community composition was assessed using barcoded PCR-amplified bacterial 16S rRNA genes, and Phylogenetic Investigation of Communities by Reconstruction of Unobserved States (PICRUSt) analysis of functional gene prediction was used to characterise the rhizosphere functionality for some nitrogen (N) cycling and soil carbon (C) degradation. Mycorrhizal colonisation and plant growth were reduced by disturbance under water stress but not for well-watered soil cores. The rhizosphere bacterial community composition shifted with both soil disturbance and soil moisture, and there was an interaction between them. Disturbance decreased the relative abundance of Proteobacteria and Acidobacteria and increased the relative abundance of Actinobacteria and Firmicutes in water-stressed soil. The predicted abundance of some genes involved in N reactions was negatively influenced by both disturbance and soil moisture, but the predicted abundance of C degrading predicted genes was only marginally affected. This study highlighted how soil disturbance prior to seeding can alter soil biological processes that influence plant growth and that this could be most pronounced when water is limiting.","author":[{"dropping-particle":"","family":"Mickan","given":"Bede S.","non-dropping-particle":"","parse-names":false,"suffix":""},{"dropping-particle":"","family":"Abbott","given":"Lynette K.","non-dropping-particle":"","parse-names":false,"suffix":""},{"dropping-particle":"","family":"Solaiman","given":"Zakaria M.","non-dropping-particle":"","parse-names":false,"suffix":""},{"dropping-particle":"","family":"Mathes","given":"Falko","non-dropping-particle":"","parse-names":false,"suffix":""},{"dropping-particle":"","family":"Siddique","given":"Kadambot H.M.","non-dropping-particle":"","parse-names":false,"suffix":""},{"dropping-particle":"","family":"Jenkins","given":"Sasha N.","non-dropping-particle":"","parse-names":false,"suffix":""}],"container-title":"Biology and Fertility of Soils","id":"ITEM-1","issue":"1","issued":{"date-parts":[["2019"]]},"page":"53-66","publisher":"Biology and Fertility of Soils","title":"Soil disturbance and water stress interact to influence arbuscular mycorrhizal fungi, rhizosphere bacteria and potential for N and C cycling in an agricultural soil","type":"article-journal","volume":"55"},"uris":["http://www.mendeley.com/documents/?uuid=22728245-739d-4457-ba5f-8e10ddffc00b"]}],"mendeley":{"formattedCitation":"(Mickan et al., 2019)","manualFormatting":"Mickan et al. (2019)","plainTextFormattedCitation":"(Mickan et al., 2019)","previouslyFormattedCitation":"(Mickan et al., 2019)"},"properties":{"noteIndex":0},"schema":"https://github.com/citation-style-language/schema/raw/master/csl-citation.json"}</w:instrText>
      </w:r>
      <w:r>
        <w:fldChar w:fldCharType="separate"/>
      </w:r>
      <w:r w:rsidRPr="00D33381">
        <w:rPr>
          <w:noProof/>
        </w:rPr>
        <w:t xml:space="preserve">Mickan </w:t>
      </w:r>
      <w:r w:rsidRPr="00D33381">
        <w:rPr>
          <w:i/>
          <w:noProof/>
        </w:rPr>
        <w:t>et al.</w:t>
      </w:r>
      <w:r w:rsidRPr="00D33381">
        <w:rPr>
          <w:noProof/>
        </w:rPr>
        <w:t xml:space="preserve"> </w:t>
      </w:r>
      <w:r>
        <w:rPr>
          <w:noProof/>
        </w:rPr>
        <w:t>(</w:t>
      </w:r>
      <w:r w:rsidRPr="00D33381">
        <w:rPr>
          <w:noProof/>
        </w:rPr>
        <w:t>2019)</w:t>
      </w:r>
      <w:r>
        <w:fldChar w:fldCharType="end"/>
      </w:r>
      <w:r>
        <w:t xml:space="preserve"> reported a decrease in relative abundance under low water conditions. Although, this mismatch in results may be a direct result of assigning taxonomy to Silva v. 106 versus the most current version, Silva v. 138. In similarity with the moderate rainfall exclusion treatment, rhizosphere microhabitats that underwent high rainfall exclusion had Proteobacteria indicator ASVs. At the family taxonomic level, both </w:t>
      </w:r>
      <w:proofErr w:type="spellStart"/>
      <w:r w:rsidRPr="0057127E">
        <w:t>Micromonosporaceae</w:t>
      </w:r>
      <w:proofErr w:type="spellEnd"/>
      <w:r w:rsidRPr="00695E39">
        <w:t xml:space="preserve"> (</w:t>
      </w:r>
      <w:r w:rsidRPr="0057127E">
        <w:t>phylum Actinobacteria</w:t>
      </w:r>
      <w:r w:rsidRPr="00695E39">
        <w:t xml:space="preserve">) and </w:t>
      </w:r>
      <w:proofErr w:type="spellStart"/>
      <w:r w:rsidRPr="0057127E">
        <w:t>Devosiaceae</w:t>
      </w:r>
      <w:proofErr w:type="spellEnd"/>
      <w:r w:rsidRPr="00695E39">
        <w:t xml:space="preserve"> (</w:t>
      </w:r>
      <w:r w:rsidRPr="0057127E">
        <w:t xml:space="preserve">class </w:t>
      </w:r>
      <w:proofErr w:type="spellStart"/>
      <w:r w:rsidRPr="0057127E">
        <w:t>Alphaproteobacteria</w:t>
      </w:r>
      <w:proofErr w:type="spellEnd"/>
      <w:r>
        <w:t xml:space="preserve">) were indicators of high rainfall exclusion during the monsoon season. </w:t>
      </w:r>
      <w:r>
        <w:fldChar w:fldCharType="begin" w:fldLock="1"/>
      </w:r>
      <w:r w:rsidR="006E1F09">
        <w:instrText>ADDIN CSL_CITATION {"citationItems":[{"id":"ITEM-1","itemData":{"DOI":"10.1007/s00248-016-0835-4","ISSN":"00953628","PMID":"27558787","abstract":"The rhizosphere is viewed as a deterministic environment led by the interaction between plants and microorganisms. In the case of semi-arid plants, this interaction is strengthened by the harshness of the environment. We tested the hypothesis that dry season represents a constraint on the bacterial diversity of the rhizosphere from semi-arid plants. To accomplish this, we sampled two leguminous species at five locations during the dry and rainy seasons in the Caatinga biome and characterised bacterial community structures using qPCR and 16S rRNA sequencing. We found that the main differences between seasons were due to reduced phylogenetic diversity caused by dryness. Variation partitioning indicated that environmental characteristics significant impacts in β-diversity. Additionally, distance decay relationship and taxa area relationship indicate a higher spatial turnover at the rainy season. During the dry season, decreased bacterial abundance is likely due to the selection of resistant or resilient microorganisms; with the return of the rain, the sensitive populations start to colonise the rhizosphere by a process that is strongly influenced by environmental characteristics. Thus, we propose that the reduction of PD and strong influence of environmental parameters on the assemblage of these communities make them prone to functional losses caused by climatic disturbances.","author":[{"dropping-particle":"","family":"Taketani","given":"Rodrigo Gouvêa","non-dropping-particle":"","parse-names":false,"suffix":""},{"dropping-particle":"","family":"Lançoni","given":"Milena Duarte","non-dropping-particle":"","parse-names":false,"suffix":""},{"dropping-particle":"","family":"Kavamura","given":"Vanessa Nessner","non-dropping-particle":"","parse-names":false,"suffix":""},{"dropping-particle":"","family":"Durrer","given":"Ademir","non-dropping-particle":"","parse-names":false,"suffix":""},{"dropping-particle":"","family":"Andreote","given":"Fernando Dini","non-dropping-particle":"","parse-names":false,"suffix":""},{"dropping-particle":"","family":"Melo","given":"Itamar Soares","non-dropping-particle":"","parse-names":false,"suffix":""}],"container-title":"Microbial Ecology","id":"ITEM-1","issue":"1","issued":{"date-parts":[["2017"]]},"page":"153-161","publisher":"Microbial Ecology","title":"Dry Season Constrains Bacterial Phylogenetic Diversity in a Semi-Arid Rhizosphere System","type":"article-journal","volume":"73"},"uris":["http://www.mendeley.com/documents/?uuid=f6e39742-04b4-4e71-b9ec-0b558f32bd1e"]}],"mendeley":{"formattedCitation":"(Taketani et al., 2017)","manualFormatting":"Taketani et al. (2017)","plainTextFormattedCitation":"(Taketani et al., 2017)","previouslyFormattedCitation":"(Taketani et al., 2017)"},"properties":{"noteIndex":0},"schema":"https://github.com/citation-style-language/schema/raw/master/csl-citation.json"}</w:instrText>
      </w:r>
      <w:r>
        <w:fldChar w:fldCharType="separate"/>
      </w:r>
      <w:r w:rsidRPr="00E20C08">
        <w:rPr>
          <w:noProof/>
        </w:rPr>
        <w:t xml:space="preserve">Taketani </w:t>
      </w:r>
      <w:r w:rsidRPr="00E20C08">
        <w:rPr>
          <w:i/>
          <w:noProof/>
        </w:rPr>
        <w:t>et al.</w:t>
      </w:r>
      <w:r w:rsidRPr="00E20C08">
        <w:rPr>
          <w:noProof/>
        </w:rPr>
        <w:t xml:space="preserve"> </w:t>
      </w:r>
      <w:r>
        <w:rPr>
          <w:noProof/>
        </w:rPr>
        <w:t>(</w:t>
      </w:r>
      <w:r w:rsidRPr="00E20C08">
        <w:rPr>
          <w:noProof/>
        </w:rPr>
        <w:t>2017)</w:t>
      </w:r>
      <w:r>
        <w:fldChar w:fldCharType="end"/>
      </w:r>
      <w:r>
        <w:t xml:space="preserve"> illustrates that rhizosphere soil throughout dry seasons are enriched with </w:t>
      </w:r>
      <w:r w:rsidRPr="0057127E">
        <w:t>Actinobacteria</w:t>
      </w:r>
      <w:r w:rsidRPr="006B489A">
        <w:t>,</w:t>
      </w:r>
      <w:r>
        <w:t xml:space="preserve"> as these taxa are spore forming and therefore possibly could be more resistant to desiccation than other bacterial groups </w:t>
      </w:r>
      <w:r>
        <w:fldChar w:fldCharType="begin" w:fldLock="1"/>
      </w:r>
      <w:r w:rsidR="006E1F09">
        <w:instrText>ADDIN CSL_CITATION {"citationItems":[{"id":"ITEM-1","itemData":{"DOI":"10.1134/S1064229307050110","ISSN":"10642293","abstract":"It was found that the actinomycetal complex of a cultivated low-moor peat soil is characterized by a high population density and diversity of actinomycetes; representatives of eleven genera were isolated from this soil: Streptomyces, Micromonospora, Actinomadura, Saccharopolyspora, Microbispora, Microtetraspora, Streptosporangium, Nocardioides, Saccharomonospora, Kibdelosporangium, and Thermomonospora. Some genera were isolated from the soil under all the studied levels of soil moisture. The so-called rare (rarely occurring) genera (Saccharomonospora, Kibdelosporangium, and Thermomonospora) were isolated upon the low level of soil moisture, which ensured an absence of competition from the more abundant actinomycetes. Spores of all the studied actinomycetes could germinate under the low moisture level (aw = 0.67). The level of moisture aw = 0.98 was found to be optimal for the development of the actinomycetes. The complete cycle of the development of all the actinomycetes up to spore formation occurring was only observed under the high moisture level (aw = 0.98). © Pleiades Publishing, Ltd. 2007.","author":[{"dropping-particle":"","family":"Zenova","given":"G. M.","non-dropping-particle":"","parse-names":false,"suffix":""},{"dropping-particle":"","family":"Gryadunova","given":"A. A.","non-dropping-particle":"","parse-names":false,"suffix":""},{"dropping-particle":"","family":"Doroshenko","given":"E. A.","non-dropping-particle":"","parse-names":false,"suffix":""},{"dropping-particle":"","family":"Likhacheva","given":"A. A.","non-dropping-particle":"","parse-names":false,"suffix":""},{"dropping-particle":"","family":"Sudnitsyn","given":"I. I.","non-dropping-particle":"","parse-names":false,"suffix":""},{"dropping-particle":"","family":"Pochatkova","given":"T. N.","non-dropping-particle":"","parse-names":false,"suffix":""},{"dropping-particle":"","family":"Zvyagintsev","given":"D. G.","non-dropping-particle":"","parse-names":false,"suffix":""}],"container-title":"Eurasian Soil Science","id":"ITEM-1","issue":"5","issued":{"date-parts":[["2007"]]},"page":"560-564","title":"Influence of moisture on the vital activity of actinomycetes in a cultivated low-moor peat soil","type":"article-journal","volume":"40"},"uris":["http://www.mendeley.com/documents/?uuid=174ee6ca-353a-4e3d-9f0f-b413477c8df3"]}],"mendeley":{"formattedCitation":"(Zenova et al., 2007)","plainTextFormattedCitation":"(Zenova et al., 2007)","previouslyFormattedCitation":"(Zenova et al., 2007)"},"properties":{"noteIndex":0},"schema":"https://github.com/citation-style-language/schema/raw/master/csl-citation.json"}</w:instrText>
      </w:r>
      <w:r>
        <w:fldChar w:fldCharType="separate"/>
      </w:r>
      <w:r w:rsidR="00CE6085" w:rsidRPr="00CE6085">
        <w:rPr>
          <w:noProof/>
        </w:rPr>
        <w:t>(Zenova et al., 2007)</w:t>
      </w:r>
      <w:r>
        <w:fldChar w:fldCharType="end"/>
      </w:r>
      <w:r>
        <w:t xml:space="preserve">. This pattern has been observed by free-living soil bacterial groups as well </w:t>
      </w:r>
      <w:r>
        <w:fldChar w:fldCharType="begin" w:fldLock="1"/>
      </w:r>
      <w:r w:rsidR="006E1F09">
        <w:instrText>ADDIN CSL_CITATION {"citationItems":[{"id":"ITEM-1","itemData":{"DOI":"10.1007/s11104-018-3570-4","ISSN":"15735036","abstract":"Background and aims: Cereus jamacaru is a native cactus in the semiarid biome caatinga able to withstand long periods of drought. Here, we studied the rhizosphere microbiome of this cactus to understand how precipitation affects the assembly of bacterial communities from the taxonomical and functional perspectives. Methods: We selected three C. jamacaru plants in the caatinga biome, sampled the rhizosphere soil from the same plants during rainy and dry seasons and performed shotgun sequencing from total DNA isolated from rhizosphere using Ion Torrent technology. Results: Acidobacteria, Actinobacteria and Proteobacteria showed increase in relative abundance during the rainy season when compared to dry season. Five major functional groups were significantly different, including differences in amino acids and derivatives, carbohydrates, protein metabolism, respiration, and RNA metabolism. Taxonomically, the assembly of bacterial communities follows a neutral model. Conclusions: The assembly of bacterial communities in the rhizosphere of C. jamacaru is affected by precipitation resulting in different taxonomical and functional community patterns during dry and rainy seasons. We attribute these differences on rhizosphere communities composition to dispersal limitation of microorganisms caused by low pore connectivity due to low water content in the soil, which leads to spatially isolate communities during the dry season.","author":[{"dropping-particle":"","family":"Kavamura","given":"Vanessa Nessner","non-dropping-particle":"","parse-names":false,"suffix":""},{"dropping-particle":"","family":"Taketani","given":"Rodrigo Gouvêa","non-dropping-particle":"","parse-names":false,"suffix":""},{"dropping-particle":"","family":"Ferreira","given":"Clederson","non-dropping-particle":"","parse-names":false,"suffix":""},{"dropping-particle":"","family":"Melo","given":"Itamar Soares","non-dropping-particle":"de","parse-names":false,"suffix":""},{"dropping-particle":"","family":"Mendes","given":"Rodrigo","non-dropping-particle":"","parse-names":false,"suffix":""}],"container-title":"Plant and Soil","id":"ITEM-1","issue":"1-2","issued":{"date-parts":[["2018"]]},"page":"101-112","title":"The role of species turnover in structuring bacterial communities in a local scale in the cactus rhizosphere","type":"article-journal","volume":"425"},"uris":["http://www.mendeley.com/documents/?uuid=2575a431-428e-40cd-a3af-ca3b3141176b"]},{"id":"ITEM-2","itemData":{"DOI":"10.1038/ismej.2013.104","ISSN":"17517362","PMID":"23823489","abstract":"The microbial response to summer desiccation reflects adaptation strategies, setting the stage for a large rainfall-induced soil CO 2 pulse upon rewetting, an important component of the ecosystem carbon budget. In three California annual grasslands, the present (DNA-based) and potentially active (RNA-based) soil bacterial and fungal communities were tracked over a summer season and in response to controlled rewetting of intact soil cores. Phylogenetic marker genes for bacterial (16S) and fungal (28S) RNA and DNA were sequenced, and the abundances of these genes and transcripts were measured. Although bacterial community composition differed among sites, all sites shared a similar response pattern of the present and potentially active bacterial community to dry-down and wet-up. In contrast, the fungal community was not detectably different among sites, and was largely unaffected by dry-down, showing marked resistance to dessication. The potentially active bacterial community changed significantly as summer dry-down progressed, then returned to pre-dry-down composition within several hours of rewetting, displaying spectacular resilience. Upon rewetting, transcript copies of bacterial rpoB genes increased consistently, reflecting rapid activity resumption. Acidobacteria and Actinobacteria were the most abundant phyla present and potentially active, and showed the largest changes in relative abundance. The relative increase (Actinobacteria) and decrease (Acidobacteria) with dry-down, and the reverse responses to rewetting reflected a differential response, which was conserved at the phylum level and consistent across sites. These contrasting desiccation-related bacterial life-strategies suggest that predicted changes in precipitation patterns may affect soil nutrient and carbon cycling by differentially impacting activity patterns of microbial communities. © 2013 International Society for Microbial Ecology All rights reserved.","author":[{"dropping-particle":"","family":"Barnard","given":"Romain L.","non-dropping-particle":"","parse-names":false,"suffix":""},{"dropping-particle":"","family":"Osborne","given":"Catherine A.","non-dropping-particle":"","parse-names":false,"suffix":""},{"dropping-particle":"","family":"Firestone","given":"Mary K.","non-dropping-particle":"","parse-names":false,"suffix":""}],"container-title":"ISME Journal","id":"ITEM-2","issue":"11","issued":{"date-parts":[["2013"]]},"page":"2229-2241","publisher":"Nature Publishing Group","title":"Responses of soil bacterial and fungal communities to extreme desiccation and rewetting","type":"article-journal","volume":"7"},"uris":["http://www.mendeley.com/documents/?uuid=1df1939f-dda2-4577-bd40-ebe1e68bfbd7"]}],"mendeley":{"formattedCitation":"(Barnard et al., 2013; Kavamura et al., 2018)","plainTextFormattedCitation":"(Barnard et al., 2013; Kavamura et al., 2018)","previouslyFormattedCitation":"(Barnard et al., 2013; Kavamura et al., 2018)"},"properties":{"noteIndex":0},"schema":"https://github.com/citation-style-language/schema/raw/master/csl-citation.json"}</w:instrText>
      </w:r>
      <w:r>
        <w:fldChar w:fldCharType="separate"/>
      </w:r>
      <w:r w:rsidR="00CE6085" w:rsidRPr="00CE6085">
        <w:rPr>
          <w:noProof/>
        </w:rPr>
        <w:t>(Barnard et al., 2013; Kavamura et al., 2018)</w:t>
      </w:r>
      <w:r>
        <w:fldChar w:fldCharType="end"/>
      </w:r>
      <w:r>
        <w:t xml:space="preserve">. </w:t>
      </w:r>
    </w:p>
    <w:p w14:paraId="0FBA998F" w14:textId="3A9ABA0B" w:rsidR="0097564A" w:rsidRDefault="0097564A" w:rsidP="00977352">
      <w:pPr>
        <w:pStyle w:val="Heading3"/>
      </w:pPr>
      <w:bookmarkStart w:id="65" w:name="_Toc102048023"/>
      <w:r>
        <w:t>Conclusions and future directions</w:t>
      </w:r>
      <w:bookmarkEnd w:id="65"/>
    </w:p>
    <w:p w14:paraId="2EF2939B" w14:textId="77777777" w:rsidR="00977352" w:rsidRDefault="0097564A" w:rsidP="00977352">
      <w:pPr>
        <w:spacing w:line="360" w:lineRule="auto"/>
      </w:pPr>
      <w:r>
        <w:tab/>
      </w:r>
      <w:r w:rsidR="00977352">
        <w:t>In conclusion, rhizosphere bacterial communities in the Sonoran Desert turnover and are susceptible to short term changes in richness due to seasonal rainfall exclusion. Bacterial communities were unique in structure and phylogenetic membership among rainfall exclusion treatments. Alpha diversity was estimated as the greatest in the moderate rainfall exclusion treatment, illustrating a hump-shaped pattern in richness after the rainy season similar in direction and magnitude by free-living bacterial and fungal communities. This study specifically highlights that plant host-associated bacterial communities are dependent upon different ecological conditions prior to and after rainfall exclusion treatment. Further, this study elucidates an enrichment in</w:t>
      </w:r>
      <w:r w:rsidR="00977352" w:rsidRPr="00695E39">
        <w:t xml:space="preserve"> </w:t>
      </w:r>
      <w:r w:rsidR="00977352" w:rsidRPr="0057127E">
        <w:t>Actinobacteria</w:t>
      </w:r>
      <w:r w:rsidR="00977352">
        <w:t xml:space="preserve"> as a response to drying soil conditions, which might be due to </w:t>
      </w:r>
      <w:r w:rsidR="00977352">
        <w:lastRenderedPageBreak/>
        <w:t>their distinctive spore structures that can alleviate cellular dehydration. This information proves beneficial as drier climates during historically wet seasons may breakdown valuable interactions between plants and microbes, which can change rates of nutrient cycling and acquisition by the plant.</w:t>
      </w:r>
    </w:p>
    <w:p w14:paraId="6B046174" w14:textId="1AAECB89" w:rsidR="00EB1D43" w:rsidRPr="0097564A" w:rsidRDefault="00977352" w:rsidP="0097564A">
      <w:pPr>
        <w:spacing w:line="360" w:lineRule="auto"/>
      </w:pPr>
      <w:r>
        <w:tab/>
        <w:t xml:space="preserve">There remains a large need to coalesce and synthesize studies regarding bacterial responses to altered precipitation regimes among a wider array of ecological conditions and spatial and temporal scales. For example, what is the appropriate geographic scale to investigate changes in precipitation and microbial response? Could the captured variation in bacterial richness presented within this study be non-detectable at larger spatial extents? As next generation sequencing technology becomes more widely available and cost effective, studies in the future could benefit from more repeated community measures to investigate short-term fluctuations in community composition over time. This may also help elucidate if short-term changes in community structure and membership have any long-term effect on the development and stability of plant host-associated bacterial communities. Lastly, as more studies begin to focus on the microbial response to changing climate conditions, standardizing bioinformatic and analytical approaches may serve useful when drawing conclusions among ecological contexts to make meaningful interpretations. </w:t>
      </w:r>
      <w:r w:rsidR="00EB1D43" w:rsidRPr="0097564A">
        <w:br w:type="page"/>
      </w:r>
    </w:p>
    <w:p w14:paraId="54A23BEA" w14:textId="0469EFBC" w:rsidR="00EB1D43" w:rsidRPr="006A14D8" w:rsidRDefault="00EB1D43" w:rsidP="00C470B5">
      <w:pPr>
        <w:pStyle w:val="Heading1"/>
      </w:pPr>
      <w:bookmarkStart w:id="66" w:name="_Toc102048024"/>
      <w:r>
        <w:lastRenderedPageBreak/>
        <w:t>C</w:t>
      </w:r>
      <w:r w:rsidR="0062430E">
        <w:t>HAPTER THREE</w:t>
      </w:r>
      <w:r w:rsidR="00CE3112">
        <w:t>:</w:t>
      </w:r>
      <w:r w:rsidR="006A14D8" w:rsidRPr="001E4901">
        <w:br/>
      </w:r>
      <w:r w:rsidR="0062430E">
        <w:rPr>
          <w:sz w:val="24"/>
        </w:rPr>
        <w:t>ARBUSCULAR MYCORRHIZAL FUNGAL COMMUNITIES VARY AS A RESPONSE TO SHORT-TERM RAINFALL EXCLUSION</w:t>
      </w:r>
      <w:bookmarkEnd w:id="66"/>
    </w:p>
    <w:p w14:paraId="0923A431" w14:textId="77777777" w:rsidR="000B6437" w:rsidRDefault="000B6437">
      <w:r>
        <w:rPr>
          <w:b/>
          <w:bCs/>
          <w:iCs/>
        </w:rPr>
        <w:br w:type="page"/>
      </w:r>
    </w:p>
    <w:p w14:paraId="65813560" w14:textId="2AE75E91" w:rsidR="00EB1D43" w:rsidRPr="0096280E" w:rsidRDefault="00EB1D43" w:rsidP="0096280E">
      <w:pPr>
        <w:pStyle w:val="Heading2"/>
        <w:spacing w:line="360" w:lineRule="auto"/>
      </w:pPr>
      <w:bookmarkStart w:id="67" w:name="_Toc102048025"/>
      <w:r w:rsidRPr="0096280E">
        <w:lastRenderedPageBreak/>
        <w:t>A</w:t>
      </w:r>
      <w:r w:rsidR="00B32AAC" w:rsidRPr="0096280E">
        <w:t>bstract</w:t>
      </w:r>
      <w:bookmarkEnd w:id="67"/>
    </w:p>
    <w:p w14:paraId="2B3C01E8" w14:textId="638DB2A0" w:rsidR="00EB1D43" w:rsidRPr="0096280E" w:rsidRDefault="006A3BA7" w:rsidP="0096280E">
      <w:pPr>
        <w:spacing w:line="360" w:lineRule="auto"/>
      </w:pPr>
      <w:r w:rsidRPr="0096280E">
        <w:tab/>
      </w:r>
      <w:r w:rsidR="00E91282" w:rsidRPr="0096280E">
        <w:t>Arid ecosystems around the world are projected to experience reduced and more infrequent precipitation events. The effects of reduced rainfall are well understood for plants and aboveground interactions, however the effect of rainfall on belowground microbial interactions remains understudied. Here, we use Bayesian inference to illustrate the strength and direction of change short term manipulative rainfall exclusion treatments have on the composition and relative abundance of Arbuscular Mycorrhizal (AM) fungal communities throughout the monsoon season in the Sonoran Desert. Additionally, we use these rainfall exclusion treatments to further understand the impact of soil moisture on labile forms of nitrogen and phosphorous in a natural environment. Rainfall exclusion treatments were installed to remove 0% (control), 60% (moderate exclusion), and 80% (high exclusion) of rainfall over a single wet season. AM fungal community composition varied among rainfall treatments and across the monsoon season, where change was dependent on initial conditions within treatments. Phosphorous content was also a strong predictor of AM fungal composition and relative abundance. By the end of the season, the difference in AM fungal richness was influenced by rainfall exclusion, with the greatest positive change in richness in the moderate removal treatments. Lastly, AM fungal community turnover was predicted by rainfall exclusion treatments where rainfall contributed to greater turnover in the control treatment in comparison to other treatments. This study further illustrates the complex association between soil abiotic factors, how they are influenced by environmental stress, and how in turn cause shifts in AM fungal communities.</w:t>
      </w:r>
    </w:p>
    <w:p w14:paraId="07C8E72D" w14:textId="7BFDAF4C" w:rsidR="00EB1D43" w:rsidRPr="0096280E" w:rsidRDefault="00EB1D43" w:rsidP="0096280E">
      <w:pPr>
        <w:pStyle w:val="Heading2"/>
        <w:spacing w:line="360" w:lineRule="auto"/>
      </w:pPr>
      <w:bookmarkStart w:id="68" w:name="_Toc102048026"/>
      <w:r w:rsidRPr="0096280E">
        <w:t>I</w:t>
      </w:r>
      <w:r w:rsidR="00B32AAC" w:rsidRPr="0096280E">
        <w:t>ntroduction</w:t>
      </w:r>
      <w:bookmarkEnd w:id="68"/>
    </w:p>
    <w:p w14:paraId="30F519EE" w14:textId="75613E81" w:rsidR="00E91282" w:rsidRPr="0096280E" w:rsidRDefault="006A3BA7" w:rsidP="0096280E">
      <w:pPr>
        <w:spacing w:line="360" w:lineRule="auto"/>
      </w:pPr>
      <w:r w:rsidRPr="0096280E">
        <w:tab/>
      </w:r>
      <w:r w:rsidR="00E91282" w:rsidRPr="0096280E">
        <w:t xml:space="preserve">As climate change alters seasonal weather patterns, interactions among mutualistic organisms can become decoupled through range shifts or changing phenology </w:t>
      </w:r>
      <w:r w:rsidR="00E91282" w:rsidRPr="0096280E">
        <w:fldChar w:fldCharType="begin" w:fldLock="1"/>
      </w:r>
      <w:r w:rsidR="006E1F09">
        <w:instrText>ADDIN CSL_CITATION {"citationItems":[{"id":"ITEM-1","itemData":{"DOI":"10.1098/rstb.2010.0037","ISSN":"14712970","PMID":"20513711","abstract":"Current predictions on species responses to climate change strongly rely on projecting altered environmental conditions on species distributions. However, it is increasingly acknowledged that climate change also influences species interactions. We review and synthesize literature information on biotic interactions and use it to argue that the abundance of species and the direction of selection during climate change vary depending on how their trophic interactions become disrupted. Plant abundance can be controlled by aboveground and belowground multitrophic level interactions with herbivores, pathogens, symbionts and their enemies. We discuss how these interactions may alter during climate change and the resulting species range shifts. We suggest conceptual analogies between species responses to climate warming and exotic species introduced in new ranges. There are also important differences: the herbivores, pathogens and mutualistic symbionts of rangeexpanding species and their enemies may co-migrate, and the continuous gene flow under climate warming can make adaptation in the expansion zone of range expanders different from that of cross-continental exotic species. We conclude that under climate change, results of altered species interactions may vary, ranging from species becoming rare to disproportionately abundant. Taking these possibilities into account will provide a new perspective on predicting species distribution under climate change. © 2010 The Royal Society.","author":[{"dropping-particle":"","family":"Putten","given":"Wim H.","non-dropping-particle":"Van Der","parse-names":false,"suffix":""},{"dropping-particle":"","family":"Macel","given":"Mirka","non-dropping-particle":"","parse-names":false,"suffix":""},{"dropping-particle":"","family":"Visser","given":"Marcel E.","non-dropping-particle":"","parse-names":false,"suffix":""}],"container-title":"Philosophical Transactions of the Royal Society B: Biological Sciences","id":"ITEM-1","issue":"1549","issued":{"date-parts":[["2010"]]},"page":"2025-2034","title":"Predicting species distribution and abundance responses to climate change: Why it is essential to include biotic interactions across trophic levels","type":"article-journal","volume":"365"},"uris":["http://www.mendeley.com/documents/?uuid=9f13cbff-6df1-45d4-9d03-2b86cbc2182e"]}],"mendeley":{"formattedCitation":"(Van Der Putten et al., 2010)","plainTextFormattedCitation":"(Van Der Putten et al., 2010)","previouslyFormattedCitation":"(Van Der Putten et al., 2010)"},"properties":{"noteIndex":0},"schema":"https://github.com/citation-style-language/schema/raw/master/csl-citation.json"}</w:instrText>
      </w:r>
      <w:r w:rsidR="00E91282" w:rsidRPr="0096280E">
        <w:fldChar w:fldCharType="separate"/>
      </w:r>
      <w:r w:rsidR="00CE6085" w:rsidRPr="00CE6085">
        <w:rPr>
          <w:noProof/>
        </w:rPr>
        <w:t>(Van Der Putten et al., 2010)</w:t>
      </w:r>
      <w:r w:rsidR="00E91282" w:rsidRPr="0096280E">
        <w:fldChar w:fldCharType="end"/>
      </w:r>
      <w:r w:rsidR="00E91282" w:rsidRPr="0096280E">
        <w:t xml:space="preserve">. Arid regions around the world are predicted to experience stark reductions in seasonal precipitation while global temperatures begin to rise </w:t>
      </w:r>
      <w:r w:rsidR="00E91282" w:rsidRPr="0096280E">
        <w:fldChar w:fldCharType="begin" w:fldLock="1"/>
      </w:r>
      <w:r w:rsidR="006E1F09">
        <w:instrText>ADDIN CSL_CITATION {"citationItems":[{"id":"ITEM-1","itemData":{"DOI":"10.1007/s10584-012-0570-x","ISSN":"01650009","abstract":"We use a statistical metric of multi-dimensional climate change to quantify the emergence of global climate change hotspots in the CMIP5 climate model ensemble. Our hotspot metric extends previous work through the inclusion of extreme seasonal temperature and precipitation, which exert critical influence on climate change impacts. The results identify areas of the Amazon, the Sahel and tropical West Africa, Indonesia, and the Tibetan Plateau as persistent regional climate change hotspots throughout the 21st century of the RCP8. 5 and RCP4. 5 forcing pathways. In addition, areas of southern Africa, the Mediterranean, the Arctic, and Central America/western North America also emerge as prominent regional climate change hotspots in response to intermediate and high levels of forcing. Comparisons of different periods of the two forcing pathways suggest that the pattern of aggregate change is fairly robust to the level of global warming below approximately 2 °C of global warming (relative to the late-20th-century baseline), but not at the higher levels of global warming that occur in the late-21st-century period of the RCP8. 5 pathway, with areas of southern Africa, the Mediterranean, and the Arctic exhibiting particular intensification of relative aggregate climate change in response to high levels of forcing. Although specific impacts will clearly be shaped by the interaction of climate change with human and biological vulnerabilities, our identification of climate change hotspots can help to inform mitigation and adaptation decisions by quantifying the rate, magnitude and causes of the aggregate climate response in different parts of the world. © 2012 The Author(s).","author":[{"dropping-particle":"","family":"Diffenbaugh","given":"Noah S.","non-dropping-particle":"","parse-names":false,"suffix":""},{"dropping-particle":"","family":"Giorgi","given":"Filippo","non-dropping-particle":"","parse-names":false,"suffix":""}],"container-title":"Climatic Change","id":"ITEM-1","issue":"3-4","issued":{"date-parts":[["2012"]]},"page":"813-822","title":"Climate change hotspots in the CMIP5 global climate model ensemble","type":"article-journal","volume":"114"},"uris":["http://www.mendeley.com/documents/?uuid=b49a47e7-0f5d-47bd-bf0a-d563ba415a23"]}],"mendeley":{"formattedCitation":"(Diffenbaugh and Giorgi, 2012)","plainTextFormattedCitation":"(Diffenbaugh and Giorgi, 2012)","previouslyFormattedCitation":"(Diffenbaugh and Giorgi, 2012)"},"properties":{"noteIndex":0},"schema":"https://github.com/citation-style-language/schema/raw/master/csl-citation.json"}</w:instrText>
      </w:r>
      <w:r w:rsidR="00E91282" w:rsidRPr="0096280E">
        <w:fldChar w:fldCharType="separate"/>
      </w:r>
      <w:r w:rsidR="00CE6085" w:rsidRPr="00CE6085">
        <w:rPr>
          <w:noProof/>
        </w:rPr>
        <w:t>(Diffenbaugh and Giorgi, 2012)</w:t>
      </w:r>
      <w:r w:rsidR="00E91282" w:rsidRPr="0096280E">
        <w:fldChar w:fldCharType="end"/>
      </w:r>
      <w:r w:rsidR="00E91282" w:rsidRPr="0096280E">
        <w:t>. The North American Monsoon season, present in Southeastern Arizona and Western New Mexico, provides roughly 40% of the regions mean annual precipitation. This seasonal effect has been shifting spatiotemporally and becoming difficult to predict under future climate conditions (</w:t>
      </w:r>
      <w:r w:rsidR="00E91282" w:rsidRPr="0096280E">
        <w:fldChar w:fldCharType="begin" w:fldLock="1"/>
      </w:r>
      <w:r w:rsidR="006E1F09">
        <w:instrText>ADDIN CSL_CITATION {"citationItems":[{"id":"ITEM-1","itemData":{"DOI":"10.1029/2019GL082461","ISSN":"19448007","abstract":"As the atmosphere gets warmer, rainfall intensification is expected across the planet with anticipated impacts on ecological and human systems. In the southwestern United States and northwestern Mexico, the highly variable and localized nature of rainfall during the North American Monsoon makes it difficult to detect temporal changes in rainfall intensities in response to climatic change. This study addresses this challenge by using the dense, subdaily, and daily observations from 59 rain gauges located in southeastern Arizona. We find an intensification of monsoon subdaily rainfall intensities starting in the mid-1970s that has not been observed in previous studies or simulated with high-resolution climate models. Our results highlight the need for long-term, high spatiotemporal observations to detect environmental responses to a changing climate in highly variable environments and show that analyses based on limited observations or gridded data sets fail to capture temporal changes potentially leading to erroneous conclusions.","author":[{"dropping-particle":"","family":"Demaria","given":"Eleonora M.C.","non-dropping-particle":"","parse-names":false,"suffix":""},{"dropping-particle":"","family":"Hazenberg","given":"Pieter","non-dropping-particle":"","parse-names":false,"suffix":""},{"dropping-particle":"","family":"Scott","given":"Russell L.","non-dropping-particle":"","parse-names":false,"suffix":""},{"dropping-particle":"","family":"Meles","given":"Menberu B.","non-dropping-particle":"","parse-names":false,"suffix":""},{"dropping-particle":"","family":"Nichols","given":"Mary","non-dropping-particle":"","parse-names":false,"suffix":""},{"dropping-particle":"","family":"Goodrich","given":"David","non-dropping-particle":"","parse-names":false,"suffix":""}],"container-title":"Geophysical Research Letters","id":"ITEM-1","issued":{"date-parts":[["2019"]]},"title":"Intensification of the North American Monsoon Rainfall as Observed From a Long-Term High-Density Gauge Network","type":"article-journal"},"uris":["http://www.mendeley.com/documents/?uuid=f8fcc12f-27fe-44c9-a1f1-951c21f92986"]},{"id":"ITEM-2","itemData":{"DOI":"10.3354/cr010201","ISSN":"0936577X","abstract":"We determine precipitation regions for the United States-Mexico border region based on seasonality and variability of monthly precipitation at 309 stations for the period 1961 to 1990. Using a correlation matrix of input data to avoid the effect of elevation on precipitation, we apply principal components analysis with oblique rotation to regionalize this large, climatologically complex study area. We examine the applicability of the method, 2 techniques for defining region boundaries, the various defined regions themselves, and the effects of transforming input data and changing obliquity of component rotation. We obtain 9 consistent and largely contiguous regions from each of the analyses, including regions for the North American monsoon, the low deserts, the California Mediterranean regime, and for summer precipitation regimes adjoining the Gulf of Mexico. The derived regions and associated boundaries make physical sense in terms of the driving atmospheric processes, and they are robust to transformed input data and changes in rotation procedures. The central border regions are remarkably consistent across analyses, with small changes to peripheral regions. We also identify 4 monsoon sub-regions, and we illustrate the applicability of the regionalization via an analysis of relationships between monsoon precipitation variability and 500 mb pressure heights. Significantly different 500 mb circulation patterns are associated with wet and dry monsoon seasons in each of the sub-regions, and it appears that shifts in 500 mb circulation relative to the geographic position of each sub-region influence seasonal precipitation variability, directly or indirectly. There are important differences between some sub-regions, but in general wet monsoons are associated with northward meridional bulging of the subtropical anticyclone over the continental monsoon areas, while dry monsoons are associated with zonal stretching of the subtropical anticyclone over adjacent oceans with slightly higher pressure-heights. Overall, the study provides a clear regionalization of the precipitation climatology for the southwest United States and northern Mexico, and shows its utility for studies of climate variability.","author":[{"dropping-particle":"","family":"Comrie","given":"A. C.","non-dropping-particle":"","parse-names":false,"suffix":""},{"dropping-particle":"","family":"Glenn","given":"E. C.","non-dropping-particle":"","parse-names":false,"suffix":""}],"container-title":"Climate Research","id":"ITEM-2","issue":"3","issued":{"date-parts":[["1999"]]},"page":"201-215","title":"Principal components-based regionalization of precipitation regimes across the southwest United States and northern Mexico, with an application to monsoon precipitation variability","type":"article-journal","volume":"10"},"uris":["http://www.mendeley.com/documents/?uuid=0c38e60c-28ad-4b9a-bfc0-000ce0882341"]},{"id":"ITEM-3","itemData":{"DOI":"10.1175/1520-0442(2002)015&lt;2261:GOCSST&gt;2.0.CO;2","ISSN":"08948755","abstract":"Perhaps the most regular and predictable weather pattern in North American is the American (NA) or Mexican monsoon. Occuring in summer, it delivers about 35% and 45% of Arizona's and New Mexico's annual precipitation, respectively, and about 60% of northern Mexico's. While recent studies have linked strong NA monsoons to summer drought in the U.S. Midwest, the sequence of events that produce the NA monsoon remain unclear. This empirical study builds on the findings of many other studies that implicate the Gulf of California [(GOC) or simply the gulf] as the dominant moisture source for the monsoon. It examines six monsoon seasons in detail, and quantitatively relates GOC sea surface temperatures (SST) to the timing, amount, and regional extent of monsoon rainfall. This six season study is based on satellite measurements of rainfall [using the Special Sensor Microwave Imager (SSM/I)] and GOC SST at high spatial and temporal resolution. Key findings include the following. 1) Monsoon rainfall did not occur prior to the onset of GOC SSTs exceeding 26°C, and the incremental advance of SSTs &gt; 26°C up the mainland coast of Mexico appears necessary for the northward advance of the monsoon. 2) For the period June-August, 75% of the rainfall in the Arizona-New Mexico region (AZNM) occured after northern GOC SSTs exceeded 29°C, with relatively heavy rains typically beginning 0-7 days after this exceedance. 3) For a given year, SSTs in the southern and central GOC reached 29.5°C during a similar time frame, but such warming was delayed in the northern GOC. This warming delay coincided with a rainfall delay for AZNM relative to regions farther south. 4) Based on the 17 yr of available SST data, 14 of those years exhibited the following behavior: When northern gulf SSTs were relatively high for some period during the first half of July, rainfall during June-August in Arizona was relatively high. Otherwise, June-August Arizona rainfall was normal or below normal. 5) Anomalously wet July-September periods in Arizona do not correspond to anomalously wet periods in New Mexico, based on data from 1950 to the present. The wettest Arizona seasons, about 1.1 standard deviations wetter than normal, were strongly related to summer drought in the Midwest, being about 0.8 standard deviations drier than normal. This was not true for the wettest New Mexico years (Midwest rainfall was near normal), but these years exhibited dry conditions in the interior Northwest, with standard de…","author":[{"dropping-particle":"","family":"Mitchell","given":"David L.","non-dropping-particle":"","parse-names":false,"suffix":""},{"dropping-particle":"","family":"Ivanova","given":"Dorothea","non-dropping-particle":"","parse-names":false,"suffix":""},{"dropping-particle":"","family":"Rabin","given":"Robert","non-dropping-particle":"","parse-names":false,"suffix":""},{"dropping-particle":"","family":"Brown","given":"Timothy J.","non-dropping-particle":"","parse-names":false,"suffix":""},{"dropping-particle":"","family":"Redmond","given":"Kelly","non-dropping-particle":"","parse-names":false,"suffix":""}],"container-title":"Journal of Climate","id":"ITEM-3","issue":"17","issued":{"date-parts":[["2002"]]},"page":"2261-2281","title":"Gulf of California sea surface temperatures and the North American Monsoon: Mechanistic implications from observations","type":"article-journal","volume":"15"},"uris":["http://www.mendeley.com/documents/?uuid=cd3cb6eb-1a74-4709-a631-4e9a0f61ef3b"]}],"mendeley":{"formattedCitation":"(Comrie and Glenn, 1999; Mitchell et al., 2002; Demaria et al., 2019)","manualFormatting":"Comrie and Glenn 1999; Mitchell et al. 2002; Demaria et al. 2019)","plainTextFormattedCitation":"(Comrie and Glenn, 1999; Mitchell et al., 2002; Demaria et al., 2019)","previouslyFormattedCitation":"(Comrie and Glenn, 1999; Mitchell et al., 2002; Demaria et al., 2019)"},"properties":{"noteIndex":0},"schema":"https://github.com/citation-style-language/schema/raw/master/csl-citation.json"}</w:instrText>
      </w:r>
      <w:r w:rsidR="00E91282" w:rsidRPr="0096280E">
        <w:fldChar w:fldCharType="separate"/>
      </w:r>
      <w:r w:rsidR="00E91282" w:rsidRPr="0096280E">
        <w:rPr>
          <w:noProof/>
        </w:rPr>
        <w:t xml:space="preserve">Comrie and Glenn 1999; Mitchell </w:t>
      </w:r>
      <w:r w:rsidR="00E91282" w:rsidRPr="0096280E">
        <w:rPr>
          <w:i/>
          <w:noProof/>
        </w:rPr>
        <w:t>et al.</w:t>
      </w:r>
      <w:r w:rsidR="00E91282" w:rsidRPr="0096280E">
        <w:rPr>
          <w:noProof/>
        </w:rPr>
        <w:t xml:space="preserve"> 2002; Demaria </w:t>
      </w:r>
      <w:r w:rsidR="00E91282" w:rsidRPr="0096280E">
        <w:rPr>
          <w:i/>
          <w:noProof/>
        </w:rPr>
        <w:t>et al.</w:t>
      </w:r>
      <w:r w:rsidR="00E91282" w:rsidRPr="0096280E">
        <w:rPr>
          <w:noProof/>
        </w:rPr>
        <w:t xml:space="preserve"> 2019)</w:t>
      </w:r>
      <w:r w:rsidR="00E91282" w:rsidRPr="0096280E">
        <w:fldChar w:fldCharType="end"/>
      </w:r>
      <w:r w:rsidR="00E91282" w:rsidRPr="0096280E">
        <w:t xml:space="preserve">. Climate models have illustrated the importance seasonal precipitation and temperature have on plants, animals, and, thus, the </w:t>
      </w:r>
      <w:r w:rsidR="00E91282" w:rsidRPr="0096280E">
        <w:lastRenderedPageBreak/>
        <w:t xml:space="preserve">interactions among them </w:t>
      </w:r>
      <w:r w:rsidR="00E91282" w:rsidRPr="0096280E">
        <w:fldChar w:fldCharType="begin" w:fldLock="1"/>
      </w:r>
      <w:r w:rsidR="006E1F09">
        <w:instrText>ADDIN CSL_CITATION {"citationItems":[{"id":"ITEM-1","itemData":{"DOI":"10.1111/jbi.12894","ISSN":"13652699","abstract":"Aim: To synthesize the species distribution modelling (SDM) literature to inform which variables have been used in MaxEnt models for different taxa and to quantify how frequently they have been important for species’ distributions. Location: Global. Methods: We conducted a quantitative synthesis analysing the contribution of over 400 distinct environmental variables to 2040 MaxEnt SDMs for nearly 1900 species representing over 300 families. Environmental variables were grouped into 24 related factors and results were analysed by examining the frequency with which variables were found to be most important, the mean contribution of each variable (at various taxonomic levels), and using TrueSkill™, a Bayesian skill rating system. Results: Precipitation, temperature, bathymetry, distance to water and habitat patch characteristics were the most important variables overall. Precipitation and temperature were analysed most frequently and one of these variables was often the most important predictor in the model (nearly 80% of models, when tested). Notably, distance to water was the most important variable in the highest proportion of models in which it was tested (42% of 225 models). For terrestrial species, precipitation, temperature and distance to water had the highest overall contributions, whereas for aquatic species, bathymetry, precipitation and temperature were most important. Main conclusions: Over all MaxEnt models published, the ability to discriminate occurrence from reference sites was high (average AUC = 0.92). Much of this discriminatory ability was due to temperature and precipitation variables. Further, variability (temperature) and extremes (minimum precipitation) were the most predictive. More generally, the most commonly tested variables were not always the most predictive, with, for instance, ‘distance to water’ infrequently tested, but found to be very important when it was. Thus, the results from this study summarize the MaxEnt SDM literature, and can aid in variable selection by identifying underutilized, but potentially important variables, which could be incorporated in future modelling efforts.","author":[{"dropping-particle":"","family":"Bradie","given":"Johanna","non-dropping-particle":"","parse-names":false,"suffix":""},{"dropping-particle":"","family":"Leung","given":"Brian","non-dropping-particle":"","parse-names":false,"suffix":""}],"container-title":"Journal of Biogeography","id":"ITEM-1","issue":"6","issued":{"date-parts":[["2017"]]},"page":"1344-1361","title":"A quantitative synthesis of the importance of variables used in MaxEnt species distribution models","type":"article-journal","volume":"44"},"uris":["http://www.mendeley.com/documents/?uuid=dc7b9b05-77b9-409a-adeb-dfc1062c8e57"]}],"mendeley":{"formattedCitation":"(Bradie and Leung, 2017)","plainTextFormattedCitation":"(Bradie and Leung, 2017)","previouslyFormattedCitation":"(Bradie and Leung, 2017)"},"properties":{"noteIndex":0},"schema":"https://github.com/citation-style-language/schema/raw/master/csl-citation.json"}</w:instrText>
      </w:r>
      <w:r w:rsidR="00E91282" w:rsidRPr="0096280E">
        <w:fldChar w:fldCharType="separate"/>
      </w:r>
      <w:r w:rsidR="00CE6085" w:rsidRPr="00CE6085">
        <w:rPr>
          <w:noProof/>
        </w:rPr>
        <w:t>(Bradie and Leung, 2017)</w:t>
      </w:r>
      <w:r w:rsidR="00E91282" w:rsidRPr="0096280E">
        <w:fldChar w:fldCharType="end"/>
      </w:r>
      <w:r w:rsidR="00E91282" w:rsidRPr="0096280E">
        <w:t xml:space="preserve">. Plants also have numerous belowground interactions with microorganisms, such as bacteria and fungi, whereby mutualistic associations provide vital access to nutrients, water, as well as resistance to pathogens </w:t>
      </w:r>
      <w:r w:rsidR="00E91282" w:rsidRPr="0096280E">
        <w:fldChar w:fldCharType="begin" w:fldLock="1"/>
      </w:r>
      <w:r w:rsidR="006E1F09">
        <w:instrText>ADDIN CSL_CITATION {"citationItems":[{"id":"ITEM-1","itemData":{"DOI":"10.1016/S0169-5347(00)89157-0","ISSN":"01695347","PMID":"21237085","abstract":"Plant roots in natural ecosystems are typically colonized by a wide range of fungi. Some of these are pathogenic, others appear to be opportunistic and have no apparent impact, while mycorrhizal fungi are generally regarded as mutualistic. Of the various types of mycorrhizal fungi, the arbuscular mycorrhizal (AM) association is by far the most abundant and widespread. While the most widely accepted model of AM function depends upon plants benefiting from the facilitation of phosphorus uptake, recent data from field-based studies in temperate ecosystems indicate that only plant species with poorly branched root systems benefit from AM fungi in this way: species with highly branched root systems may benefit in other ways, such as by being protected against root pathogenic fungi. These two responses apparently represent extremes along a continuum of AM benefit determined by root system architecture. © 1995.","author":[{"dropping-particle":"","family":"Newsham","given":"K. K.","non-dropping-particle":"","parse-names":false,"suffix":""},{"dropping-particle":"","family":"Fitter","given":"A. H.","non-dropping-particle":"","parse-names":false,"suffix":""},{"dropping-particle":"","family":"Watkinson","given":"A. R.","non-dropping-particle":"","parse-names":false,"suffix":""}],"container-title":"Trends in Ecology &amp; Evolution","id":"ITEM-1","issue":"10","issued":{"date-parts":[["1995"]]},"page":"407-411","title":"Multi-functionality and biodiversity in arbuscular mycorrhizas","type":"article-journal","volume":"10"},"uris":["http://www.mendeley.com/documents/?uuid=5f05e74c-815f-4251-819a-b01dccffa057"]}],"mendeley":{"formattedCitation":"(Newsham et al., 1995)","plainTextFormattedCitation":"(Newsham et al., 1995)","previouslyFormattedCitation":"(Newsham et al., 1995)"},"properties":{"noteIndex":0},"schema":"https://github.com/citation-style-language/schema/raw/master/csl-citation.json"}</w:instrText>
      </w:r>
      <w:r w:rsidR="00E91282" w:rsidRPr="0096280E">
        <w:fldChar w:fldCharType="separate"/>
      </w:r>
      <w:r w:rsidR="00CE6085" w:rsidRPr="00CE6085">
        <w:rPr>
          <w:noProof/>
        </w:rPr>
        <w:t>(Newsham et al., 1995)</w:t>
      </w:r>
      <w:r w:rsidR="00E91282" w:rsidRPr="0096280E">
        <w:fldChar w:fldCharType="end"/>
      </w:r>
      <w:r w:rsidR="00E91282" w:rsidRPr="0096280E">
        <w:t xml:space="preserve">. For example, these associations promote plant productivity, affect plant defense strategies, and influence overall health </w:t>
      </w:r>
      <w:r w:rsidR="00E91282" w:rsidRPr="0096280E">
        <w:fldChar w:fldCharType="begin" w:fldLock="1"/>
      </w:r>
      <w:r w:rsidR="006E1F09">
        <w:instrText>ADDIN CSL_CITATION {"citationItems":[{"id":"ITEM-1","itemData":{"DOI":"10.1111/j.1461-0248.2007.01139.x","ISBN":"1461-023X","ISSN":"1461023X","PMID":"18047587","abstract":"Microbes are the unseen majority in soil and comprise a large portion of life's genetic diversity. Despite their abundance, the impact of soil microbes on ecosystem processes is still poorly understood. Here we explore the various roles that soil microbes play in terrestrial ecosystems with special emphasis on their contribution to plant productivity and diversity. Soil microbes are important regulators of plant productivity, especially in nutrient poor ecosystems where plant symbionts are responsible for the acquisition of limiting nutrients. Mycorrhizal fungi and nitrogen-fixing bacteria are responsible for c. 5-20% (grassland and savannah) to 80% (temperate and boreal forests) of all nitrogen, and up to 75% of phosphorus, that is acquired by plants annually. Free-living microbes also strongly regulate plant productivity, through the mineralization of, and competition for, nutrients that sustain plant productivity. Soil microbes, including microbial pathogens, are also important regulators of plant community dynamics and plant diversity, determining plant abundance and, in some cases, facilitating invasion by exotic plants. Conservative estimates suggest that c. 20 000 plant species are completely dependent on microbial symbionts for growth and survival pointing to the importance of soil microbes as regulators of plant species richness on Earth. Overall, this review shows that soil microbes must be considered as important drivers of plant diversity and productivity in terrestrial ecosystems.","author":[{"dropping-particle":"","family":"Heijden","given":"Marcel G.A.","non-dropping-particle":"Van Der","parse-names":false,"suffix":""},{"dropping-particle":"","family":"Bardgett","given":"Richard D.","non-dropping-particle":"","parse-names":false,"suffix":""},{"dropping-particle":"","family":"Straalen","given":"Nico M.","non-dropping-particle":"Van","parse-names":false,"suffix":""}],"container-title":"Ecology Letters","id":"ITEM-1","issue":"3","issued":{"date-parts":[["2008"]]},"page":"296-310","title":"The unseen majority: Soil microbes as drivers of plant diversity and productivity in terrestrial ecosystems","type":"article-journal","volume":"11"},"uris":["http://www.mendeley.com/documents/?uuid=ff0c5cd2-7c94-41db-872e-ed1d8c97c4bf"]},{"id":"ITEM-2","itemData":{"DOI":"10.1111/j.1469-8137.2011.03790.x","ISSN":"0028-646X","abstract":"&amp;#x2022; Below-ground microbial communities influence plant diversity, plant productivity, and plant community composition. Given these strong ecological effects, are interactions with below-ground microbes also important for understanding natural selection on plant traits? &amp;#x2022; Here, we manipulated below-ground microbial communities and the soil moisture environment on replicated populations of Brassica rapa to examine how microbial community structure influences selection on plant traits and mediates plant responses to abiotic environmental stress. &amp;#x2022; In soils with experimentally simplified microbial communities, plants were smaller, had reduced chlorophyll content, produced fewer flowers, and were less fecund when compared with plant populations grown in association with more complex soil microbial communities. Selection on plant growth and phenological traits also was stronger when plants were grown in simplified, less diverse soil microbial communities, and these effects typically were consistent across soil moisture treatments. &amp;#x2022; Our results suggest that microbial community structure affects patterns of natural selection on plant traits. Thus, the below-ground microbial community can influence evolutionary processes, just as recent studies have demonstrated that microbial diversity can influence plant community and ecosystem processes.","author":[{"dropping-particle":"","family":"Lau","given":"Jennifer A.","non-dropping-particle":"","parse-names":false,"suffix":""},{"dropping-particle":"","family":"Lennon","given":"Jay T.","non-dropping-particle":"","parse-names":false,"suffix":""}],"container-title":"New Phytologist","id":"ITEM-2","issued":{"date-parts":[["2011"]]},"page":"215-224","title":"Evolutionary ecology of plant-microbe interactions: soil microbial structure alters selection on plant traits.","type":"article-journal","volume":"192"},"uris":["http://www.mendeley.com/documents/?uuid=8f257621-4263-41c3-8490-8c1a4eaa6363"]}],"mendeley":{"formattedCitation":"(Van Der Heijden et al., 2008; Lau and Lennon, 2011)","plainTextFormattedCitation":"(Van Der Heijden et al., 2008; Lau and Lennon, 2011)","previouslyFormattedCitation":"(Van Der Heijden et al., 2008; Lau and Lennon, 2011)"},"properties":{"noteIndex":0},"schema":"https://github.com/citation-style-language/schema/raw/master/csl-citation.json"}</w:instrText>
      </w:r>
      <w:r w:rsidR="00E91282" w:rsidRPr="0096280E">
        <w:fldChar w:fldCharType="separate"/>
      </w:r>
      <w:r w:rsidR="00CE6085" w:rsidRPr="00CE6085">
        <w:rPr>
          <w:noProof/>
        </w:rPr>
        <w:t>(Van Der Heijden et al., 2008; Lau and Lennon, 2011)</w:t>
      </w:r>
      <w:r w:rsidR="00E91282" w:rsidRPr="0096280E">
        <w:fldChar w:fldCharType="end"/>
      </w:r>
      <w:r w:rsidR="00E91282" w:rsidRPr="0096280E">
        <w:t>. Yet, there remains a need to understand how changing seasonal precipitation regimes in dry, arid climates might affect plant-fungal interactions.</w:t>
      </w:r>
    </w:p>
    <w:p w14:paraId="45F09E05" w14:textId="5C80B47B" w:rsidR="00E91282" w:rsidRPr="0096280E" w:rsidRDefault="00E91282" w:rsidP="0096280E">
      <w:pPr>
        <w:spacing w:line="360" w:lineRule="auto"/>
      </w:pPr>
      <w:r w:rsidRPr="0096280E">
        <w:tab/>
        <w:t>Arbuscular Mycorrhizal (AM) fungi are a clade of plant host-associated microorganisms (</w:t>
      </w:r>
      <w:proofErr w:type="spellStart"/>
      <w:r w:rsidRPr="0096280E">
        <w:rPr>
          <w:i/>
          <w:iCs/>
        </w:rPr>
        <w:t>Glomeromycotina</w:t>
      </w:r>
      <w:proofErr w:type="spellEnd"/>
      <w:r w:rsidRPr="0096280E">
        <w:t xml:space="preserve">) that form associations with over 70% of terrestrial plant species </w:t>
      </w:r>
      <w:r w:rsidRPr="0096280E">
        <w:fldChar w:fldCharType="begin" w:fldLock="1"/>
      </w:r>
      <w:r w:rsidR="006E1F09">
        <w:instrText>ADDIN CSL_CITATION {"citationItems":[{"id":"ITEM-1","itemData":{"DOI":"10.1111/nph.16569","ISSN":"14698137","PMID":"32239516","abstract":"Testing of ecological, biogeographical and phylogenetic hypotheses of mycorrhizal traits requires a comprehensive reference dataset about plant mycorrhizal associations. Here we present a database, FungalRoot, which summarizes publicly available data about vascular plant mycorrhizal type and intensity of root colonization by mycorrhizal fungi, accompanied with rich metadata. We compiled and digitized data about plant mycorrhizal colonization in nine widespread languages. The present version of the FungalRoot database contains 36 303 species-by-site observations for 14 870 plant species, tripling the previously available compiled information about plant mycorrhizal associations. Based on these data, we provide a recommended list of genus-level plant mycorrhizal associations, based on the majority of data for species and careful analysis of conflicting data. The majority of ectomycorrhizal and ericoid mycorrhizal plants are trees (92%) and shrubs (85%), respectively. The majority of arbuscular and nonmycorrhizal plant species are herbaceous (50% and 70%, respectively). Our publicly available database is a powerful resource for mycorrhizal scientists and ecologists. It features possibilities for dynamic updating and addition of data about plant mycorrhizal associations. The new database will promote research on plant and fungal biogeography and evolution, and on links between above- and belowground biodiversity and ecosystem functioning.","author":[{"dropping-particle":"","family":"Soudzilovskaia","given":"Nadejda A.","non-dropping-particle":"","parse-names":false,"suffix":""},{"dropping-particle":"","family":"Vaessen","given":"Stijn","non-dropping-particle":"","parse-names":false,"suffix":""},{"dropping-particle":"","family":"Barcelo","given":"Milagros","non-dropping-particle":"","parse-names":false,"suffix":""},{"dropping-particle":"","family":"He","given":"Jinhong","non-dropping-particle":"","parse-names":false,"suffix":""},{"dropping-particle":"","family":"Rahimlou","given":"Saleh","non-dropping-particle":"","parse-names":false,"suffix":""},{"dropping-particle":"","family":"Abarenkov","given":"Kessy","non-dropping-particle":"","parse-names":false,"suffix":""},{"dropping-particle":"","family":"Brundrett","given":"Mark C.","non-dropping-particle":"","parse-names":false,"suffix":""},{"dropping-particle":"","family":"Gomes","given":"Sofia I.F.","non-dropping-particle":"","parse-names":false,"suffix":""},{"dropping-particle":"","family":"Merckx","given":"Vincent","non-dropping-particle":"","parse-names":false,"suffix":""},{"dropping-particle":"","family":"Tedersoo","given":"Leho","non-dropping-particle":"","parse-names":false,"suffix":""}],"container-title":"New Phytologist","id":"ITEM-1","issue":"3","issued":{"date-parts":[["2020"]]},"page":"955-966","title":"FungalRoot: global online database of plant mycorrhizal associations","type":"article-journal","volume":"227"},"uris":["http://www.mendeley.com/documents/?uuid=8851d586-e236-42a2-9710-87bfeb1c100d"]}],"mendeley":{"formattedCitation":"(Soudzilovskaia et al., 2020)","plainTextFormattedCitation":"(Soudzilovskaia et al., 2020)","previouslyFormattedCitation":"(Soudzilovskaia et al., 2020)"},"properties":{"noteIndex":0},"schema":"https://github.com/citation-style-language/schema/raw/master/csl-citation.json"}</w:instrText>
      </w:r>
      <w:r w:rsidRPr="0096280E">
        <w:fldChar w:fldCharType="separate"/>
      </w:r>
      <w:r w:rsidR="00CE6085" w:rsidRPr="00CE6085">
        <w:rPr>
          <w:noProof/>
        </w:rPr>
        <w:t>(Soudzilovskaia et al., 2020)</w:t>
      </w:r>
      <w:r w:rsidRPr="0096280E">
        <w:fldChar w:fldCharType="end"/>
      </w:r>
      <w:r w:rsidRPr="0096280E">
        <w:t xml:space="preserve">. AM fungi are highly abundant in soils and have a wide distribution globally, extending from tropical forests to grasslands </w:t>
      </w:r>
      <w:r w:rsidRPr="0096280E">
        <w:fldChar w:fldCharType="begin" w:fldLock="1"/>
      </w:r>
      <w:r w:rsidR="006E1F09">
        <w:instrText>ADDIN CSL_CITATION {"citationItems":[{"id":"ITEM-1","itemData":{"author":[{"dropping-particle":"","family":"Hayman","given":"D. S.","non-dropping-particle":"","parse-names":false,"suffix":""}],"container-title":"Phytopathology","id":"ITEM-1","issue":"72","issued":{"date-parts":[["1982"]]},"page":"1119-1125","title":"Influence of soils and fertility on activity and survival of vesicular-arbuscular mycorrhizal fungi","type":"article-journal"},"uris":["http://www.mendeley.com/documents/?uuid=ba6a253e-9390-4f26-852a-82c2e5eb8f08"]}],"mendeley":{"formattedCitation":"(Hayman, 1982)","plainTextFormattedCitation":"(Hayman, 1982)","previouslyFormattedCitation":"(Hayman, 1982)"},"properties":{"noteIndex":0},"schema":"https://github.com/citation-style-language/schema/raw/master/csl-citation.json"}</w:instrText>
      </w:r>
      <w:r w:rsidRPr="0096280E">
        <w:fldChar w:fldCharType="separate"/>
      </w:r>
      <w:r w:rsidR="00CE6085" w:rsidRPr="00CE6085">
        <w:rPr>
          <w:noProof/>
        </w:rPr>
        <w:t>(Hayman, 1982)</w:t>
      </w:r>
      <w:r w:rsidRPr="0096280E">
        <w:fldChar w:fldCharType="end"/>
      </w:r>
      <w:r w:rsidRPr="0096280E">
        <w:t xml:space="preserve">. Communities of AM fungi are key components of soil nutrient cycles, exchanging phosphorous with plant derived carbon </w:t>
      </w:r>
      <w:r w:rsidRPr="0096280E">
        <w:fldChar w:fldCharType="begin" w:fldLock="1"/>
      </w:r>
      <w:r w:rsidR="006E1F09">
        <w:instrText>ADDIN CSL_CITATION {"citationItems":[{"id":"ITEM-1","itemData":{"ISBN":"0521335531","author":[{"dropping-particle":"","family":"Allen","given":"Michael F","non-dropping-particle":"","parse-names":false,"suffix":""}],"id":"ITEM-1","issued":{"date-parts":[["1991"]]},"publisher":"Cambridge University Press","title":"The ecology of mycorrhizae","type":"book"},"uris":["http://www.mendeley.com/documents/?uuid=8f147d85-1498-4217-9c57-9b62b0a17740"]}],"mendeley":{"formattedCitation":"(Allen, 1991)","plainTextFormattedCitation":"(Allen, 1991)","previouslyFormattedCitation":"(Allen, 1991)"},"properties":{"noteIndex":0},"schema":"https://github.com/citation-style-language/schema/raw/master/csl-citation.json"}</w:instrText>
      </w:r>
      <w:r w:rsidRPr="0096280E">
        <w:fldChar w:fldCharType="separate"/>
      </w:r>
      <w:r w:rsidR="00CE6085" w:rsidRPr="00CE6085">
        <w:rPr>
          <w:noProof/>
        </w:rPr>
        <w:t>(Allen, 1991)</w:t>
      </w:r>
      <w:r w:rsidRPr="0096280E">
        <w:fldChar w:fldCharType="end"/>
      </w:r>
      <w:r w:rsidRPr="0096280E">
        <w:t xml:space="preserve">. At a regional scale, AM fungal communities and the type of symbiosis are often more strongly predicted by environmental factors than plant hosts or dispersal limitation </w:t>
      </w:r>
      <w:r w:rsidRPr="0096280E">
        <w:fldChar w:fldCharType="begin" w:fldLock="1"/>
      </w:r>
      <w:r w:rsidR="006E1F09">
        <w:instrText>ADDIN CSL_CITATION {"citationItems":[{"id":"ITEM-1","itemData":{"DOI":"10.1016/j.funeco.2014.04.004","ISSN":"17545048","abstract":"The relative importance of dispersal limitation versus environmental filtering for community assembly has received much attention for macroorganisms. These processes have only recently been examined in microbial communities. Instead, microbial dispersal has mostly been measured as community composition change over space (i.e., distance decay). Here we directly examined fungal composition in airborne wind currents and soil fungal communities across a 40000km&lt;sup&gt;2&lt;/sup&gt; regional landscape to determine if dispersal limitation or abiotic factors were structuring soil fungal communities. Over this landscape, neither airborne nor soil fungal communities exhibited compositional differences due to geographic distance. Airborne fungal communities shifted temporally while soil fungal communities were correlated with abiotic parameters. These patterns suggest that environmental filtering may have the largest influence on fungal regional community assembly in soils, especially for aerially dispersed fungal taxa. Furthermore, we found evidence that dispersal of fungal spores differs between fungal taxa and can be both a stochastic and deterministic process. The spatial range of soil fungal taxa was correlated with their average regional abundance across all sites, which may imply stochastic dispersal mechanisms. Nevertheless, spore volume was also negatively correlated with spatial range for some species. Smaller volume spores may be adapted to long-range dispersal, or establishment, suggesting that deterministic fungal traits may also influence fungal distributions. Fungal life-history traits may influence their distributions as well. Hypogeous fungal taxa exhibited high local abundance, but small spatial ranges, while epigeous fungal taxa had lower local abundance, but larger spatial ranges. This study is the first, to our knowledge, to directly sample air dispersal and soil fungal communities simultaneously across a regional landscape. We provide some of the first evidence that soil fungal communities are mostly assembled through environmental filtering and experience little dispersal limitation.","author":[{"dropping-particle":"","family":"Kivlin","given":"Stephanie N.","non-dropping-particle":"","parse-names":false,"suffix":""},{"dropping-particle":"","family":"Winston","given":"Greg C.","non-dropping-particle":"","parse-names":false,"suffix":""},{"dropping-particle":"","family":"Goulden","given":"Michael L.","non-dropping-particle":"","parse-names":false,"suffix":""},{"dropping-particle":"","family":"Treseder","given":"Kathleen K.","non-dropping-particle":"","parse-names":false,"suffix":""}],"container-title":"Fungal Ecology","id":"ITEM-1","issue":"C","issued":{"date-parts":[["2014"]]},"page":"14-25","publisher":"Elsevier Ltd","title":"Environmental filtering affects soil fungal community composition more than dispersal limitation at regional scales","type":"article-journal","volume":"12"},"uris":["http://www.mendeley.com/documents/?uuid=2297a173-de01-44ac-a1e1-aac0c72fd47f"]},{"id":"ITEM-2","itemData":{"DOI":"10.1073/pnas.0906710107","ISSN":"00278424","PMID":"20133855","abstract":"Symbioses may be important mechanisms of plant adaptation to their environment. We conducted a reciprocal inoculation experiment to test the hypothesis that soil fertility is a key driver of local adaptation in arbuscular mycorrhizal (AM) symbioses. Ecotypes of Andropogon gerardii from phosphorus-limited and nitrogenlimited grasslands were grown with all possible \"home and away\" combinations of soils and AM fungal communities. Our results indicate that Andropogon ecotypes adapt to their local soil and indigenousAMfungal communities such that mycorrhizal exchange of the most limiting resource is maximized. Grasses grown in home soil and inoculated with home AM fungi produced more arbuscules (symbiotic exchange structures) in their roots than those grown in away combinations. Also, regardless of the host ecotype, AM fungi produced more extraradical hyphae in their home soil, and locally adapted AM fungi were, therefore, able to sequester more carbon compared with nonlocal fungi. Locally adapted mycorrhizal associations were more mutualistic in the two phosphorus-limited sites and less parasitic at the nitrogen-limited site compared with novel combinations of plants, fungi, and soils. To our knowledge, these findings provide the strongest evidence to date that resource availability generates evolved geographic structure in symbioses among plants and soil organisms. Thus, edaphic origin of AM fungi should be considered when managing for their benefits in agriculture, ecosystem restoration, and soil-carbon sequestration.","author":[{"dropping-particle":"","family":"Johnson","given":"Nancy Collins","non-dropping-particle":"","parse-names":false,"suffix":""},{"dropping-particle":"","family":"Wilson","given":"Gail W.T.","non-dropping-particle":"","parse-names":false,"suffix":""},{"dropping-particle":"","family":"Bowker","given":"Matthew A.","non-dropping-particle":"","parse-names":false,"suffix":""},{"dropping-particle":"","family":"Wilson","given":"Jacqueline A.","non-dropping-particle":"","parse-names":false,"suffix":""},{"dropping-particle":"","family":"Miller","given":"R. Michael","non-dropping-particle":"","parse-names":false,"suffix":""}],"container-title":"Proceedings of the National Academy of Sciences of the United States of America","id":"ITEM-2","issue":"5","issued":{"date-parts":[["2010"]]},"page":"2093-2098","title":"Resource limitation is a driver of local adaptation in mycorrhizal symbioses","type":"article-journal","volume":"107"},"uris":["http://www.mendeley.com/documents/?uuid=d14736b5-8b35-4ad6-87e1-9806bccab82b"]}],"mendeley":{"formattedCitation":"(Johnson et al., 2010; Kivlin et al., 2014)","plainTextFormattedCitation":"(Johnson et al., 2010; Kivlin et al., 2014)","previouslyFormattedCitation":"(Johnson et al., 2010; Kivlin et al., 2014)"},"properties":{"noteIndex":0},"schema":"https://github.com/citation-style-language/schema/raw/master/csl-citation.json"}</w:instrText>
      </w:r>
      <w:r w:rsidRPr="0096280E">
        <w:fldChar w:fldCharType="separate"/>
      </w:r>
      <w:r w:rsidR="00CE6085" w:rsidRPr="00CE6085">
        <w:rPr>
          <w:noProof/>
        </w:rPr>
        <w:t>(Johnson et al., 2010; Kivlin et al., 2014)</w:t>
      </w:r>
      <w:r w:rsidRPr="0096280E">
        <w:fldChar w:fldCharType="end"/>
      </w:r>
      <w:r w:rsidRPr="0096280E">
        <w:t xml:space="preserve">. These environmental factors could be one or more of the following: soil fertility (soil organic matter content; </w:t>
      </w:r>
      <w:r w:rsidRPr="0096280E">
        <w:fldChar w:fldCharType="begin" w:fldLock="1"/>
      </w:r>
      <w:r w:rsidR="006E1F09">
        <w:instrText>ADDIN CSL_CITATION {"citationItems":[{"id":"ITEM-1","itemData":{"DOI":"10.1007/BF00377552","ISSN":"00298549","abstract":"Abundance and distribution of vascular plants and vesicular-arbuscular mycorrhizal (VAM) fungi across a soil moisture-nutrient gradient were studied at a single site. Vegetation on the site varied from a dry mesic paririe dominated by little bluestem (Schizachyrium scoparium) to emergent aquatic vegetation dominated by cattail (Typha latifolia) and water smartweed (Polygonum hydropiperoides). Plant cover, VAM spore abundance, plant species richness, and number of VAM fungi represented as spores, had significant positive correlations with each other and with percent organic matter. The plant and VAM spore variables had significant negative correlations with soil pH and available Ca, Mg, P and gravimetric soil moisture. Using stepwise multiple regression, Ca was found to be the best predictor of spore abundance. Test for association between plant species and VAM fungal spores indicated that the spores of Glomus caledonium are associated with plants from dry, nutrient poor sites and spores of gigaspora gigantea are positively associated with plants occurring on the wet, relatively nutrient rich sites. Glomus fasciculatum was the most abundant and widely distributed VAM fungus and it had more positive associations with endophyte hosts than the other VAM fungi. We found no relationship between beta niche breadth of plant species and the presence or absence of mycorrhizal infection. However, our data suggest that some plant species may vary with respect to their infection status depending upon soil moisture conditions that may fluctuate seasonally or annually to favor or hinder VAM associations. © 1984 Springer-Verlag.","author":[{"dropping-particle":"","family":"Anderson","given":"R. C.","non-dropping-particle":"","parse-names":false,"suffix":""},{"dropping-particle":"","family":"Liberta","given":"A. E.","non-dropping-particle":"","parse-names":false,"suffix":""},{"dropping-particle":"","family":"Dickman","given":"L. A.","non-dropping-particle":"","parse-names":false,"suffix":""}],"container-title":"Oecologia","id":"ITEM-1","issue":"1","issued":{"date-parts":[["1984"]]},"page":"111-117","title":"Interaction of vascular plants and vesicular-arbuscular mycorrhizal fungi across a soil moisture-nutrient gradient","type":"article-journal","volume":"64"},"uris":["http://www.mendeley.com/documents/?uuid=7bc8997e-0062-4160-ae73-e249f2b5a64b"]}],"mendeley":{"formattedCitation":"(Anderson et al., 1984)","manualFormatting":"Anderson, Liberta and Dickman 1984)","plainTextFormattedCitation":"(Anderson et al., 1984)","previouslyFormattedCitation":"(Anderson et al., 1984)"},"properties":{"noteIndex":0},"schema":"https://github.com/citation-style-language/schema/raw/master/csl-citation.json"}</w:instrText>
      </w:r>
      <w:r w:rsidRPr="0096280E">
        <w:fldChar w:fldCharType="separate"/>
      </w:r>
      <w:r w:rsidRPr="0096280E">
        <w:rPr>
          <w:noProof/>
        </w:rPr>
        <w:t>Anderson, Liberta and Dickman 1984)</w:t>
      </w:r>
      <w:r w:rsidRPr="0096280E">
        <w:fldChar w:fldCharType="end"/>
      </w:r>
      <w:r w:rsidRPr="0096280E">
        <w:t xml:space="preserve">, soil moisture </w:t>
      </w:r>
      <w:r w:rsidRPr="0096280E">
        <w:fldChar w:fldCharType="begin" w:fldLock="1"/>
      </w:r>
      <w:r w:rsidR="006E1F09">
        <w:instrText>ADDIN CSL_CITATION {"citationItems":[{"id":"ITEM-1","itemData":{"DOI":"10.1046/j.1469-8137.2000.00566.x","ISSN":"0028646X","abstract":"The effect of soil flooding on arbuscular-mycorrhizal (AM) fungal colonization of wetland plants was investigated using Panicum hemitomon and Leersia hexandra, two semi-aquatic grasses (Graminaceae) that grow along a wide hydrologic gradient in Carolina bay wetlands of the southeastern US coastal plain. Three related investigations were conducted along the dry-to-wet gradient in these wetlands; a field survey of AM fungal root colonization in eight wetlands, monthly monitoring of colonization patterns in P. hemitomon over a growing season, and an inoculum potential bioassay of soils collected along the gradient. The field survey showed that AM fungal colonization was strongly negatively correlated with water depth, but colonization was present in most root samples. The monthly assessment indicated that AM fungal colonization was lowest in plots that were consistently wet but rose as some plots underwent seasonal drying. The inoculum potential assay of dry, intermediate, and wet soils performed under both dry and saturated conditions showed that soils that were wet for &gt;1 yr had the same ability to form mycorrhizas in bait plants as those that had remained dry. These findings suggested that the lower degree of colonization in wet areas observed in the field survey was because of the presence of surface water rather than low numbers of mycorrhizal propagules in the soil. Overall, the results of these investigations show that flooding is partially but not totally inhibitory to AM fungal colonization of wetland grasses.","author":[{"dropping-particle":"","family":"Miller","given":"Susan P.","non-dropping-particle":"","parse-names":false,"suffix":""}],"container-title":"New Phytologist","id":"ITEM-1","issue":"1","issued":{"date-parts":[["2000"]]},"page":"145-155","title":"Arbuscular mycorrhizal colonization of semi-aquatic grasses along a wide hydrologic gradient","type":"article-journal","volume":"145"},"uris":["http://www.mendeley.com/documents/?uuid=92de5be7-97ff-4e7e-a365-3734456f8a56"]},{"id":"ITEM-2","itemData":{"DOI":"10.1139/cjb-2015-0210","ISSN":"19162804","abstract":"Knowing the responses of arbuscular mycorrhizal (AM) fungi to warming and increased precipitation are critical for understanding how biodiversity is maintained and how the ecosystem functions under global climate-change scenarios in natural ecosystems. In this study, AM fungal communities were examined in a 6 year experiment with warming and increased precipitation, in a semiarid steppe in northern China. Only the increased precipitation, regardless of warming, significantly increased AM fungal extra-radical hyphal density, compared with the control treatment. AM fungal spore density was significantly increased by the combination of warming and increased precipitation, and increased precipitation-only treatments, but not by warming alone. A total of 36 operational taxonomic units (OTUs) of AM fungi were recovered by 454 pyrosequencing of 18S rDNA. Only increased precipitation, regardless of warming, significantly decreased AM fungal OTU richness and Shannon diversity index, and yet significantly increased AM fungal Bray–Curtis dissimilarity index, compared with the control treatment. AM fungal community composition was significantly affected by increased precipitation via water availability, but not by warming. Our findings demonstrated that the AM fungal community responded more strongly to water availability than to warming in the semiarid steppe ecosystem.","author":[{"dropping-particle":"","family":"Gao","given":"Cheng","non-dropping-particle":"","parse-names":false,"suffix":""},{"dropping-particle":"","family":"Kim","given":"Yong Chan","non-dropping-particle":"","parse-names":false,"suffix":""},{"dropping-particle":"","family":"Zheng","given":"Yong","non-dropping-particle":"","parse-names":false,"suffix":""},{"dropping-particle":"","family":"Yang","given":"Wei","non-dropping-particle":"","parse-names":false,"suffix":""},{"dropping-particle":"","family":"Chen","given":"Liang","non-dropping-particle":"","parse-names":false,"suffix":""},{"dropping-particle":"","family":"Ji","given":"Niu Niu","non-dropping-particle":"","parse-names":false,"suffix":""},{"dropping-particle":"","family":"Wan","given":"Shi Qiang","non-dropping-particle":"","parse-names":false,"suffix":""},{"dropping-particle":"","family":"Guo","given":"Liang Dong","non-dropping-particle":"","parse-names":false,"suffix":""}],"container-title":"Botany","id":"ITEM-2","issue":"6","issued":{"date-parts":[["2016"]]},"page":"459-469","title":"Increased precipitation, rather than warming, exerts a strong influence on arbuscular mycorrhizal fungal community in a semiarid steppe ecosystem","type":"article-journal","volume":"94"},"uris":["http://www.mendeley.com/documents/?uuid=75bb3ffb-fc42-469d-8595-134cce847643"]}],"mendeley":{"formattedCitation":"(Miller, 2000; Gao et al., 2016)","plainTextFormattedCitation":"(Miller, 2000; Gao et al., 2016)","previouslyFormattedCitation":"(Miller, 2000; Gao et al., 2016)"},"properties":{"noteIndex":0},"schema":"https://github.com/citation-style-language/schema/raw/master/csl-citation.json"}</w:instrText>
      </w:r>
      <w:r w:rsidRPr="0096280E">
        <w:fldChar w:fldCharType="separate"/>
      </w:r>
      <w:r w:rsidR="00CE6085" w:rsidRPr="00CE6085">
        <w:rPr>
          <w:noProof/>
        </w:rPr>
        <w:t>(Miller, 2000; Gao et al., 2016)</w:t>
      </w:r>
      <w:r w:rsidRPr="0096280E">
        <w:fldChar w:fldCharType="end"/>
      </w:r>
      <w:r w:rsidRPr="0096280E">
        <w:t xml:space="preserve">, soil pH </w:t>
      </w:r>
      <w:r w:rsidRPr="0096280E">
        <w:fldChar w:fldCharType="begin" w:fldLock="1"/>
      </w:r>
      <w:r w:rsidR="006E1F09">
        <w:instrText>ADDIN CSL_CITATION {"citationItems":[{"id":"ITEM-1","itemData":{"ISSN":"0027-5514","author":[{"dropping-particle":"","family":"Green","given":"N E","non-dropping-particle":"","parse-names":false,"suffix":""},{"dropping-particle":"","family":"Graham","given":"S O","non-dropping-particle":"","parse-names":false,"suffix":""},{"dropping-particle":"","family":"Schenck","given":"N C","non-dropping-particle":"","parse-names":false,"suffix":""}],"container-title":"Mycologia","id":"ITEM-1","issue":"4","issued":{"date-parts":[["1976"]]},"page":"929-934","publisher":"Taylor &amp; Francis","title":"The influence of pH on the germination of vesicular-arbuscular mycorrhizal spores","type":"article-journal","volume":"68"},"uris":["http://www.mendeley.com/documents/?uuid=97b0bf9d-825b-4f75-a642-2d07554da6b1"]}],"mendeley":{"formattedCitation":"(Green et al., 1976)","plainTextFormattedCitation":"(Green et al., 1976)","previouslyFormattedCitation":"(Green et al., 1976)"},"properties":{"noteIndex":0},"schema":"https://github.com/citation-style-language/schema/raw/master/csl-citation.json"}</w:instrText>
      </w:r>
      <w:r w:rsidRPr="0096280E">
        <w:fldChar w:fldCharType="separate"/>
      </w:r>
      <w:r w:rsidR="00CE6085" w:rsidRPr="00CE6085">
        <w:rPr>
          <w:noProof/>
        </w:rPr>
        <w:t>(Green et al., 1976)</w:t>
      </w:r>
      <w:r w:rsidRPr="0096280E">
        <w:fldChar w:fldCharType="end"/>
      </w:r>
      <w:r w:rsidRPr="0096280E">
        <w:t xml:space="preserve">, soil texture (e.g., silt, sand, etc.; </w:t>
      </w:r>
      <w:r w:rsidRPr="0096280E">
        <w:fldChar w:fldCharType="begin" w:fldLock="1"/>
      </w:r>
      <w:r w:rsidR="006E1F09">
        <w:instrText>ADDIN CSL_CITATION {"citationItems":[{"id":"ITEM-1","itemData":{"DOI":"10.2307/1941453","ISSN":"00129658","abstract":"Populations of vesicular-arbuscular mycorrhizal (VAM) fungal spores were studied in 4-yr-old monocultures of five successional grass species grown in a gradient of soil mixtures ranging from pure subsurface sand to pure sandy loam topsoil; 19 species of VAM fungi were found across all treatments. Of the 12 most abundant VAM species, six had a significant dependence on both soil mixture and host species, while two were dependent only on soil and two only on host. These are the first results indicating that even closely related hosts (five grasses) may cause divergence in VAM fungal communities on initially identical soils. The fungal communities in the two late successional grasses were most similar to one another and least similar to the fungal communities in the early successional grass species. Cluster analysis of the similarity of fungal communities by soil mixutre showed the fungal communities in the sandy end of the soil gradient diverged predictably from the fungal communities in the black soil end of the gradient. Soil factors and plant species may be of equal importance in regulating the species composition of VAM fungal communities. -from Authors","author":[{"dropping-particle":"","family":"Johnson","given":"N. C.","non-dropping-particle":"","parse-names":false,"suffix":""},{"dropping-particle":"","family":"Tilman","given":"D.","non-dropping-particle":"","parse-names":false,"suffix":""},{"dropping-particle":"","family":"Wedin","given":"D.","non-dropping-particle":"","parse-names":false,"suffix":""}],"container-title":"Ecology","id":"ITEM-1","issue":"6","issued":{"date-parts":[["1992"]]},"page":"2034-2042","title":"Plant and soil controls on mycorrhizal fungal communities","type":"article-journal","volume":"73"},"uris":["http://www.mendeley.com/documents/?uuid=c40e6d99-f2dd-4274-87e0-ac738e1d43cf"]}],"mendeley":{"formattedCitation":"(Johnson et al., 1992)","manualFormatting":"Johnson, Tilman and Wedin 1992)","plainTextFormattedCitation":"(Johnson et al., 1992)","previouslyFormattedCitation":"(Johnson et al., 1992)"},"properties":{"noteIndex":0},"schema":"https://github.com/citation-style-language/schema/raw/master/csl-citation.json"}</w:instrText>
      </w:r>
      <w:r w:rsidRPr="0096280E">
        <w:fldChar w:fldCharType="separate"/>
      </w:r>
      <w:r w:rsidRPr="0096280E">
        <w:rPr>
          <w:noProof/>
        </w:rPr>
        <w:t>Johnson, Tilman and Wedin 1992)</w:t>
      </w:r>
      <w:r w:rsidRPr="0096280E">
        <w:fldChar w:fldCharType="end"/>
      </w:r>
      <w:r w:rsidRPr="0096280E">
        <w:t xml:space="preserve">, and soil nutrients </w:t>
      </w:r>
      <w:r w:rsidRPr="0096280E">
        <w:fldChar w:fldCharType="begin" w:fldLock="1"/>
      </w:r>
      <w:r w:rsidR="006E1F09">
        <w:instrText>ADDIN CSL_CITATION {"citationItems":[{"id":"ITEM-1","itemData":{"DOI":"10.1073/pnas.0906710107","ISSN":"00278424","PMID":"20133855","abstract":"Symbioses may be important mechanisms of plant adaptation to their environment. We conducted a reciprocal inoculation experiment to test the hypothesis that soil fertility is a key driver of local adaptation in arbuscular mycorrhizal (AM) symbioses. Ecotypes of Andropogon gerardii from phosphorus-limited and nitrogenlimited grasslands were grown with all possible \"home and away\" combinations of soils and AM fungal communities. Our results indicate that Andropogon ecotypes adapt to their local soil and indigenousAMfungal communities such that mycorrhizal exchange of the most limiting resource is maximized. Grasses grown in home soil and inoculated with home AM fungi produced more arbuscules (symbiotic exchange structures) in their roots than those grown in away combinations. Also, regardless of the host ecotype, AM fungi produced more extraradical hyphae in their home soil, and locally adapted AM fungi were, therefore, able to sequester more carbon compared with nonlocal fungi. Locally adapted mycorrhizal associations were more mutualistic in the two phosphorus-limited sites and less parasitic at the nitrogen-limited site compared with novel combinations of plants, fungi, and soils. To our knowledge, these findings provide the strongest evidence to date that resource availability generates evolved geographic structure in symbioses among plants and soil organisms. Thus, edaphic origin of AM fungi should be considered when managing for their benefits in agriculture, ecosystem restoration, and soil-carbon sequestration.","author":[{"dropping-particle":"","family":"Johnson","given":"Nancy Collins","non-dropping-particle":"","parse-names":false,"suffix":""},{"dropping-particle":"","family":"Wilson","given":"Gail W.T.","non-dropping-particle":"","parse-names":false,"suffix":""},{"dropping-particle":"","family":"Bowker","given":"Matthew A.","non-dropping-particle":"","parse-names":false,"suffix":""},{"dropping-particle":"","family":"Wilson","given":"Jacqueline A.","non-dropping-particle":"","parse-names":false,"suffix":""},{"dropping-particle":"","family":"Miller","given":"R. Michael","non-dropping-particle":"","parse-names":false,"suffix":""}],"container-title":"Proceedings of the National Academy of Sciences of the United States of America","id":"ITEM-1","issue":"5","issued":{"date-parts":[["2010"]]},"page":"2093-2098","title":"Resource limitation is a driver of local adaptation in mycorrhizal symbioses","type":"article-journal","volume":"107"},"uris":["http://www.mendeley.com/documents/?uuid=d14736b5-8b35-4ad6-87e1-9806bccab82b"]}],"mendeley":{"formattedCitation":"(Johnson et al., 2010)","plainTextFormattedCitation":"(Johnson et al., 2010)","previouslyFormattedCitation":"(Johnson et al., 2010)"},"properties":{"noteIndex":0},"schema":"https://github.com/citation-style-language/schema/raw/master/csl-citation.json"}</w:instrText>
      </w:r>
      <w:r w:rsidRPr="0096280E">
        <w:fldChar w:fldCharType="separate"/>
      </w:r>
      <w:r w:rsidR="00CE6085" w:rsidRPr="00CE6085">
        <w:rPr>
          <w:noProof/>
        </w:rPr>
        <w:t>(Johnson et al., 2010)</w:t>
      </w:r>
      <w:r w:rsidRPr="0096280E">
        <w:fldChar w:fldCharType="end"/>
      </w:r>
      <w:r w:rsidRPr="0096280E">
        <w:t>. Changes in soil moisture or H</w:t>
      </w:r>
      <w:r w:rsidRPr="0096280E">
        <w:rPr>
          <w:vertAlign w:val="subscript"/>
        </w:rPr>
        <w:t>2</w:t>
      </w:r>
      <w:r w:rsidRPr="0096280E">
        <w:t xml:space="preserve">O saturation can also influence the labile nature of soil abiotic factors of the rhizosphere </w:t>
      </w:r>
      <w:r w:rsidRPr="0096280E">
        <w:fldChar w:fldCharType="begin" w:fldLock="1"/>
      </w:r>
      <w:r w:rsidR="006E1F09">
        <w:instrText>ADDIN CSL_CITATION {"citationItems":[{"id":"ITEM-1","itemData":{"DOI":"10.1016/j.phytochem.2019.01.015","ISSN":"00319422","abstract":"Root exudation is considered to regulate the abundance of the microbial community. It may vary both qualitatively and quantitatively in response to the environment in which the plant is growing. A part of exuded N derives from amino acids (AAs). This, in turn, may help plants to cope with abiotic stresses by favouring positive interactions with the rhizosphere environment, thus playing a potential role in maintaining healthy plants. In this respect, an under-investigated area is the effect of stress due to water deficit (WD). It is proposed that the AA profile in the rhizosphere may be altered by WD, reflecting a modulation of root AA exudation linked to a physiological response of the plant to water stress. To investigate this, Pisum sativum L. plants, grown in unsterilised Rhizobium leguminosarum-enriched soil, were stem-labelled with 15 N-urea for 96 h, and then subjected/not subjected to 72 h of WD. The concentrations and abundance of 15 N-labelling in individual AAs were determined in both roots and the associated rhizosphere at 24, 48 and 72 h after stress application. It was found that both AAs metabolism in the pea root and AAs exudation were strongly modified in WD conditions. After 24 h of WD, the concentrations of all measured AAs increased in the roots, accompanied by a dramatic stress-related increase in the 15 N-labelling of some AAs. Furthermore, after 48–72 h of WD, the concentrations of Pro, Ala and Glu increased significantly within the rhizosphere, notably with a concomitant increase in 15 N-enrichment in Pro, Ser, Asn, Asp, Thr and Ile. These results support the concept that, in response to WD, substantial amounts of recently assimilated N are rapidly translocated from the shoots to the roots, a portion of which is exuded as AAs. This leads to the rhizosphere being relatively augmented by specific AAs (notably HSer, Pro and Ala) in WD conditions, with a potential impact on soil water retention.","author":[{"dropping-particle":"","family":"Bobille","given":"Hélène","non-dropping-particle":"","parse-names":false,"suffix":""},{"dropping-particle":"","family":"Fustec","given":"Joëlle","non-dropping-particle":"","parse-names":false,"suffix":""},{"dropping-particle":"","family":"Robins","given":"Richard J.","non-dropping-particle":"","parse-names":false,"suffix":""},{"dropping-particle":"","family":"Cukier","given":"Caroline","non-dropping-particle":"","parse-names":false,"suffix":""},{"dropping-particle":"","family":"Limami","given":"Anis M.","non-dropping-particle":"","parse-names":false,"suffix":""}],"container-title":"Phytochemistry","id":"ITEM-1","issue":"January","issued":{"date-parts":[["2019"]]},"page":"75-85","publisher":"Elsevier","title":"Effect of water availability on changes in root amino acids and associated rhizosphere on root exudation of amino acids in Pisum sativum L.","type":"article-journal","volume":"161"},"uris":["http://www.mendeley.com/documents/?uuid=564d6c54-b9cc-4a5f-bcd5-0a6ae2fe348a"]},{"id":"ITEM-2","itemData":{"DOI":"10.4236/ajps.2015.618287","ISSN":"2158-2742","abstract":"The effect of mycorrhizal symbiosis on metal accumulation and plant tolerance are not commonly studied in medicinal plants under metal stress. The objective of this study was to assess the impact of mycorrhiza on alfalfa plants with the increase of Zn and Cd toxicity. The experiment was conducted under controlled laboratory conditions. Zinc (Zn) and cadmium (Cd) uptake, some biochemical and physiological parameters were studied in eight-week-old alfalfa plants in response to inoculation or not with arbuscular mycorrhizal fungi (AMF) and with the increase of Zn (0, 100, 300, 900 mg∙kg−1) and Cd concentrations (0, 100, 300, 600 mg∙kg−1) in soil. The results showed that mycorrhizal (M) plants exhibited tolerance to Zn and Cd up to 300 mg∙kg−1 in comparison to non-mycorrhizal (NM) plants which exhibited a significant growth reduction at the same soil Zn and Cd level.","author":[{"dropping-particle":"","family":"Kanwal","given":"Sadia","non-dropping-particle":"","parse-names":false,"suffix":""},{"dropping-particle":"","family":"Bano","given":"Asma","non-dropping-particle":"","parse-names":false,"suffix":""},{"dropping-particle":"","family":"Malik","given":"Riffat Naseem","non-dropping-particle":"","parse-names":false,"suffix":""}],"container-title":"American Journal of Plant Sciences","id":"ITEM-2","issue":"18","issued":{"date-parts":[["2015"]]},"page":"2906-2923","title":"Effects of Arbuscular Mycorrhizal Fungi on Metals Uptake, Physiological and Biochemical Response of Medicago Sativa L. with Increasing Zn and Cd Concentrations in Soil","type":"article-journal","volume":"06"},"uris":["http://www.mendeley.com/documents/?uuid=9af18f4d-67e3-4c29-891e-a96d0ba1a804"]},{"id":"ITEM-3","itemData":{"DOI":"10.1007/s00572-014-0596-1","ISSN":"14321890","PMID":"25085217","abstract":"Multiple species of arbuscular mycorrhizal fungi (AMF) can colonize roots of an individual plant species but factors which determine the selection of a particular AMF species in a plant root are largely unknown. The present work analysed the effects of drought, flooding and optimal soil moisture (15–20 %) on AMF community composition and structure in Sorghum vulgare roots, using PCR-RFLP. Rhizophagus irregularis (isolate BEG 21), and rhizosphere soil (mixed inoculum) of Heteropogon contortus, a perennial C4 grass, collected from the semi-arid Delhi ridge, were used as AMF inocula. Soil moisture functioned as an abiotic filter and affected AMF community assembly inside plant roots by regulating AMF colonization and phylotype diversity. Roots of plants in flooded soils had lowest AMF diversity whilst root AMF diversity was highest under the soil moisture regime of 15–20 %. Although plant biomass was not affected, root P uptake was significantly influenced by soil moisture. Plants colonized with R. irregularis or mixed AMF inoculum showed higher root P uptake than non-mycorrhizal plants in drought and control treatments. No differences in root P levels were found in the flooded treatment between plants colonized with R. irregularis and non-mycorrhizal plants, whilst under the same treatment, root P uptake was lower in plants colonized with mixed AMF inoculum than in non-mycorrhizal plants.","author":[{"dropping-particle":"","family":"Deepika","given":"Sharma","non-dropping-particle":"","parse-names":false,"suffix":""},{"dropping-particle":"","family":"Kothamasi","given":"David","non-dropping-particle":"","parse-names":false,"suffix":""}],"container-title":"Mycorrhiza","id":"ITEM-3","issue":"1","issued":{"date-parts":[["2015"]]},"page":"67-75","title":"Soil moisture—a regulator of arbuscular mycorrhizal fungal community assembly and symbiotic phosphorus uptake","type":"article-journal","volume":"25"},"uris":["http://www.mendeley.com/documents/?uuid=50da22f6-f7cd-48e0-a5ef-d9de2d0c440f"]}],"mendeley":{"formattedCitation":"(Deepika and Kothamasi, 2015; Kanwal et al., 2015; Bobille et al., 2019)","plainTextFormattedCitation":"(Deepika and Kothamasi, 2015; Kanwal et al., 2015; Bobille et al., 2019)","previouslyFormattedCitation":"(Deepika and Kothamasi, 2015; Kanwal et al., 2015; Bobille et al., 2019)"},"properties":{"noteIndex":0},"schema":"https://github.com/citation-style-language/schema/raw/master/csl-citation.json"}</w:instrText>
      </w:r>
      <w:r w:rsidRPr="0096280E">
        <w:fldChar w:fldCharType="separate"/>
      </w:r>
      <w:r w:rsidR="00CE6085" w:rsidRPr="00CE6085">
        <w:rPr>
          <w:noProof/>
        </w:rPr>
        <w:t>(Deepika and Kothamasi, 2015; Kanwal et al., 2015; Bobille et al., 2019)</w:t>
      </w:r>
      <w:r w:rsidRPr="0096280E">
        <w:fldChar w:fldCharType="end"/>
      </w:r>
      <w:r w:rsidRPr="0096280E">
        <w:t xml:space="preserve">. Therefore, it is important to investigate the relative importance environmental perturbations have on AM fungal communities through both direct and indirect pathways. </w:t>
      </w:r>
    </w:p>
    <w:p w14:paraId="3AEB087F" w14:textId="6023E0FF" w:rsidR="00E91282" w:rsidRPr="0096280E" w:rsidRDefault="00E91282" w:rsidP="0096280E">
      <w:pPr>
        <w:spacing w:line="360" w:lineRule="auto"/>
      </w:pPr>
      <w:r w:rsidRPr="0096280E">
        <w:tab/>
        <w:t xml:space="preserve">Environmental stress can also have large direct consequences on AM fungal community composition and relative abundance </w:t>
      </w:r>
      <w:r w:rsidRPr="0096280E">
        <w:fldChar w:fldCharType="begin" w:fldLock="1"/>
      </w:r>
      <w:r w:rsidR="006E1F09">
        <w:instrText>ADDIN CSL_CITATION {"citationItems":[{"id":"ITEM-1","itemData":{"DOI":"10.1038/s41396-020-00882-x","ISSN":"17517370","PMID":"33452480","abstract":"Environmental stress is increasing worldwide, yet we lack a clear picture of how stress disrupts the stability of microbial communities and the ecosystem services they provide. Here, we present the first evidence that naturally-occurring microbiomes display network properties characteristic of unstable communities when under persistent stress. By assessing changes in diversity and structure of soil microbiomes along 40 replicate stress gradients (elevation/water availability gradients) in the Florida scrub ecosystem, we show that: (1) prokaryotic and fungal diversity decline in high stress, and (2) two network properties of stable microbial communities—modularity and negative:positive cohesion—have a clear negative relationship with environmental stress, explaining 51–78% of their variation. Interestingly, pathogenic taxa/functional guilds decreased in relative abundance along the stress gradient, while oligotrophs and mutualists increased, suggesting that the shift in negative:positive cohesion could result from decreasing negative:positive biotic interactions consistent with the predictions of the Stress Gradient Hypothesis. Given the crucial role microbiomes play in ecosystem functions, our results suggest that, by limiting the compartmentalization of microbial associations and creating communities dominated by positive associations, increasing stress in the Anthropocene could destabilize microbiomes and undermine their ecosystem services.","author":[{"dropping-particle":"","family":"Hernandez","given":"Damian J.","non-dropping-particle":"","parse-names":false,"suffix":""},{"dropping-particle":"","family":"David","given":"Aaron S.","non-dropping-particle":"","parse-names":false,"suffix":""},{"dropping-particle":"","family":"Menges","given":"Eric S.","non-dropping-particle":"","parse-names":false,"suffix":""},{"dropping-particle":"","family":"Searcy","given":"Christopher A.","non-dropping-particle":"","parse-names":false,"suffix":""},{"dropping-particle":"","family":"Afkhami","given":"Michelle E.","non-dropping-particle":"","parse-names":false,"suffix":""}],"container-title":"ISME Journal","id":"ITEM-1","issue":"6","issued":{"date-parts":[["2021"]]},"page":"1722-1734","publisher":"Springer US","title":"Environmental stress destabilizes microbial networks","type":"article-journal","volume":"15"},"uris":["http://www.mendeley.com/documents/?uuid=4f1004e2-8c53-459f-867d-1a25979b7c2e"]}],"mendeley":{"formattedCitation":"(Hernandez et al., 2021)","manualFormatting":"Hernandez et al. (2021)","plainTextFormattedCitation":"(Hernandez et al., 2021)","previouslyFormattedCitation":"(Hernandez et al., 2021)"},"properties":{"noteIndex":0},"schema":"https://github.com/citation-style-language/schema/raw/master/csl-citation.json"}</w:instrText>
      </w:r>
      <w:r w:rsidRPr="0096280E">
        <w:fldChar w:fldCharType="separate"/>
      </w:r>
      <w:r w:rsidRPr="0096280E">
        <w:rPr>
          <w:noProof/>
        </w:rPr>
        <w:t xml:space="preserve">Hernandez </w:t>
      </w:r>
      <w:r w:rsidRPr="0096280E">
        <w:rPr>
          <w:i/>
          <w:noProof/>
        </w:rPr>
        <w:t>et al.</w:t>
      </w:r>
      <w:r w:rsidRPr="0096280E">
        <w:rPr>
          <w:noProof/>
        </w:rPr>
        <w:t xml:space="preserve"> (2021)</w:t>
      </w:r>
      <w:r w:rsidRPr="0096280E">
        <w:fldChar w:fldCharType="end"/>
      </w:r>
      <w:r w:rsidRPr="0096280E">
        <w:t xml:space="preserve">. For example, in greenhouse experiments, seasonal drought can be induced through water pulsing where irregular water regimes have a positive effect on AM fungal colonization and persistence in comparison to treatments with a continuous supply of water </w:t>
      </w:r>
      <w:r w:rsidRPr="0096280E">
        <w:fldChar w:fldCharType="begin" w:fldLock="1"/>
      </w:r>
      <w:r w:rsidR="006E1F09">
        <w:instrText>ADDIN CSL_CITATION {"citationItems":[{"id":"ITEM-1","itemData":{"DOI":"10.1007/s00442-012-2258-3","ISBN":"0044201222","ISSN":"00298549","PMID":"22286084","abstract":"Under drought conditions, arbuscular mycorrhizal (AM) fungi alter water relationships of plants and improve their resistance to drought. In a factorial greenhouse experiment, we tested the effects of the AM symbiosis and precipitation regime on the performance (growth, gas exchange, nutrient status and mycorrhizal responsiveness) of Boswellia papyrifera seedlings. A continuous precipitation regime was imitated by continuous watering of plants to field capacity every other day during 4 months, and irregular precipitation by pulsed watering of plants where watering was switched every 15 days during these 4 months, with 15 days of watering followed by 15 days without watering. There were significantly higher levels of AM colonization under irregular precipitation regime than under continuous precipitation. Mycorrhizal seedlings had higher biomass than control seedlings. Stomatal conductance and phosphorus mass fraction in shoot and root were also significantly higher for mycorrhizal seedlings. Mycorrhizal seedlings under irregular watering had the highest biomass. Both a larger leaf area and higher assimilation rates contributed to higher biomass. Under irregular watering, the water use efficiency increased in non-mycorrhizal seedlings through a reduction in transpiration, while in mycorrhizal seedlings irregular watering increased transpiration. Because assimilation rates increased even more, mycorrhizal seedlings achieved an even higher water use efficiency. Boswellia seedlings allocated almost all carbon to the storage root. Boswellia seedlings had higher mass fractions of N, P, and K in roots than in shoots. Irregular precipitation conditions apparently benefit Boswellia seedlings when they are mycorrhizal. © 2012 The Author(s).","author":[{"dropping-particle":"","family":"Birhane","given":"Emiru","non-dropping-particle":"","parse-names":false,"suffix":""},{"dropping-particle":"","family":"Sterck","given":"Frank J.","non-dropping-particle":"","parse-names":false,"suffix":""},{"dropping-particle":"","family":"Fetene","given":"Masresha","non-dropping-particle":"","parse-names":false,"suffix":""},{"dropping-particle":"","family":"Bongers","given":"Frans","non-dropping-particle":"","parse-names":false,"suffix":""},{"dropping-particle":"","family":"Kuyper","given":"Thomas W.","non-dropping-particle":"","parse-names":false,"suffix":""}],"container-title":"Oecologia","id":"ITEM-1","issue":"4","issued":{"date-parts":[["2012"]]},"page":"895-904","title":"Arbuscular mycorrhizal fungi enhance photosynthesis, water use efficiency, and growth of frankincense seedlings under pulsed water availability conditions","type":"article-journal","volume":"169"},"uris":["http://www.mendeley.com/documents/?uuid=8dd23192-bdcc-4114-893d-70c209d58afb"]}],"mendeley":{"formattedCitation":"(Birhane et al., 2012)","plainTextFormattedCitation":"(Birhane et al., 2012)","previouslyFormattedCitation":"(Birhane et al., 2012)"},"properties":{"noteIndex":0},"schema":"https://github.com/citation-style-language/schema/raw/master/csl-citation.json"}</w:instrText>
      </w:r>
      <w:r w:rsidRPr="0096280E">
        <w:fldChar w:fldCharType="separate"/>
      </w:r>
      <w:r w:rsidR="00CE6085" w:rsidRPr="00CE6085">
        <w:rPr>
          <w:noProof/>
        </w:rPr>
        <w:t>(Birhane et al., 2012)</w:t>
      </w:r>
      <w:r w:rsidRPr="0096280E">
        <w:fldChar w:fldCharType="end"/>
      </w:r>
      <w:r w:rsidRPr="0096280E">
        <w:t xml:space="preserve">. However in natural environments, some studies have shown that AM fungal communities may be predisposed to tolerate drought conditions based on prior rainfall history </w:t>
      </w:r>
      <w:r w:rsidRPr="0096280E">
        <w:fldChar w:fldCharType="begin" w:fldLock="1"/>
      </w:r>
      <w:r w:rsidR="006E1F09">
        <w:instrText>ADDIN CSL_CITATION {"citationItems":[{"id":"ITEM-1","itemData":{"ISSN":"0066-1759","author":[{"dropping-particle":"","family":"Kuehn","given":"K-D","non-dropping-particle":"","parse-names":false,"suffix":""},{"dropping-particle":"","family":"Weber","given":"H-C","non-dropping-particle":"","parse-names":false,"suffix":""},{"dropping-particle":"","family":"Dehne","given":"H-W","non-dropping-particle":"","parse-names":false,"suffix":""},{"dropping-particle":"","family":"Gworgwor","given":"N A","non-dropping-particle":"","parse-names":false,"suffix":""}],"container-title":"Angewandte Botanik (Germany)","id":"ITEM-1","issued":{"date-parts":[["1991"]]},"title":"Distribution of vesicular-arbuscular mycorrhizal fungi on a fallow agriculture site, pt. 1: Dry habitat","type":"article-journal"},"uris":["http://www.mendeley.com/documents/?uuid=4cc811e1-8b90-42cc-95f1-f5612fd2808a"]}],"mendeley":{"formattedCitation":"(Kuehn et al., 1991)","plainTextFormattedCitation":"(Kuehn et al., 1991)","previouslyFormattedCitation":"(Kuehn et al., 1991)"},"properties":{"noteIndex":0},"schema":"https://github.com/citation-style-language/schema/raw/master/csl-citation.json"}</w:instrText>
      </w:r>
      <w:r w:rsidRPr="0096280E">
        <w:fldChar w:fldCharType="separate"/>
      </w:r>
      <w:r w:rsidR="00CE6085" w:rsidRPr="00CE6085">
        <w:rPr>
          <w:noProof/>
        </w:rPr>
        <w:t>(Kuehn et al., 1991)</w:t>
      </w:r>
      <w:r w:rsidRPr="0096280E">
        <w:fldChar w:fldCharType="end"/>
      </w:r>
      <w:r w:rsidRPr="0096280E">
        <w:t>. While others have shown that the response of AM fungal community composition to altered precipitation may be gradual, becoming more distinct from season to season (</w:t>
      </w:r>
      <w:proofErr w:type="spellStart"/>
      <w:r w:rsidRPr="0096280E">
        <w:fldChar w:fldCharType="begin" w:fldLock="1"/>
      </w:r>
      <w:r w:rsidR="006E1F09">
        <w:instrText>ADDIN CSL_CITATION {"citationItems":[{"id":"ITEM-1","itemData":{"DOI":"10.1111/1365-2745.13267","ISSN":"13652745","abstract":"Climate models project overall a reduction in rainfall amounts and shifts in the timing of rainfall events in mid-latitudes and sub-tropical dry regions, which threatens the productivity and diversity of grasslands. Arbuscular mycorrhizal (AM) fungi may help plants to cope with expected changes but may also be impacted by changing rainfall, either via the direct effects of low soil moisture on survival and function or indirectly via changes in the plant community. In an Australian mesic grassland (former pasture) system, we characterized plant and AM fungal communities every 6 months for nearly 4 years to two altered rainfall regimes: (a) ambient, (b) rainfall reduced by 50% relative to ambient over the entire year and (c) total summer rainfall exclusion. Using Illumina sequencing, we assessed the response of AM fungal communities sampled from contrasting rainfall treatments and evaluated whether variation in AM fungal communities was associated with variation in plant community richness and composition. We found that rainfall reduction influenced the fungal communities, with the nature of the response depending on the type of manipulation, but that consistent results were only observed after more than 2 years of rainfall manipulation. We observed significant co-associations between plant and AM fungal communities on multiple dates. Predictive co-correspondence analyses indicated more support for the hypothesis that fungal community composition influenced plant community composition than vice versa. However, we found no evidence that altered rainfall regimes were leading to distinct co-associations between plants and AM fungi. Overall, our results provide evidence that grassland plant communities are intricately tied to variation in AM fungal communities. However, in this system, plant responses to climate change may not be directly related to impacts of altered rainfall regimes on AM fungal communities. Synthesis. Our study shows that arbuscular mycorrhizal (AM) fungal communities respond to changes in rainfall but that this effect was not immediate. The AM fungal community may influence the composition of the plant community. However, our results suggest that plant responses to altered rainfall regimes at our site may not be resulting via changes in the AM fungal communities.","author":[{"dropping-particle":"","family":"Deveautour","given":"Coline","non-dropping-particle":"","parse-names":false,"suffix":""},{"dropping-particle":"","family":"Power","given":"Sally A.","non-dropping-particle":"","parse-names":false,"suffix":""},{"dropping-particle":"","family":"Barnett","given":"Kirk L.","non-dropping-particle":"","parse-names":false,"suffix":""},{"dropping-particle":"","family":"Ochoa-Hueso","given":"Raul","non-dropping-particle":"","parse-names":false,"suffix":""},{"dropping-particle":"","family":"Donn","given":"Suzanne","non-dropping-particle":"","parse-names":false,"suffix":""},{"dropping-particle":"","family":"Bennett","given":"Alison E.","non-dropping-particle":"","parse-names":false,"suffix":""},{"dropping-particle":"","family":"Powell","given":"Jeff R.","non-dropping-particle":"","parse-names":false,"suffix":""}],"container-title":"Journal of Ecology","id":"ITEM-1","issue":"2","issued":{"date-parts":[["2020"]]},"page":"515-527","title":"Temporal dynamics of mycorrhizal fungal communities and co-associations with grassland plant communities following experimental manipulation of rainfall","type":"article-journal","volume":"108"},"uris":["http://www.mendeley.com/documents/?uuid=84626156-b562-446d-abc2-e85bd7ce9a08"]}],"mendeley":{"formattedCitation":"(Deveautour et al., 2020)","manualFormatting":"Deveautour et al. 2020)","plainTextFormattedCitation":"(Deveautour et al., 2020)","previouslyFormattedCitation":"(Deveautour et al., 2020)"},"properties":{"noteIndex":0},"schema":"https://github.com/citation-style-language/schema/raw/master/csl-citation.json"}</w:instrText>
      </w:r>
      <w:r w:rsidRPr="0096280E">
        <w:fldChar w:fldCharType="separate"/>
      </w:r>
      <w:r w:rsidRPr="0096280E">
        <w:rPr>
          <w:noProof/>
        </w:rPr>
        <w:t>Deveautour</w:t>
      </w:r>
      <w:proofErr w:type="spellEnd"/>
      <w:r w:rsidRPr="0096280E">
        <w:rPr>
          <w:noProof/>
        </w:rPr>
        <w:t xml:space="preserve"> </w:t>
      </w:r>
      <w:r w:rsidRPr="0096280E">
        <w:rPr>
          <w:i/>
          <w:noProof/>
        </w:rPr>
        <w:t>et al.</w:t>
      </w:r>
      <w:r w:rsidRPr="0096280E">
        <w:rPr>
          <w:noProof/>
        </w:rPr>
        <w:t xml:space="preserve"> 2020)</w:t>
      </w:r>
      <w:r w:rsidRPr="0096280E">
        <w:fldChar w:fldCharType="end"/>
      </w:r>
      <w:r w:rsidRPr="0096280E">
        <w:t xml:space="preserve">. Thus, there </w:t>
      </w:r>
      <w:r w:rsidRPr="0096280E">
        <w:lastRenderedPageBreak/>
        <w:t xml:space="preserve">lacks a consensus regarding the direction and magnitude of change in composition as soil moisture varies among ecosystem types and temporal scales. </w:t>
      </w:r>
    </w:p>
    <w:p w14:paraId="44BABD5E" w14:textId="68C7D4F7" w:rsidR="00EB1D43" w:rsidRPr="0096280E" w:rsidRDefault="00E91282" w:rsidP="0096280E">
      <w:pPr>
        <w:spacing w:line="360" w:lineRule="auto"/>
      </w:pPr>
      <w:r w:rsidRPr="0096280E">
        <w:tab/>
        <w:t xml:space="preserve">In this study, we examine the relative importance manipulative rainfall exclusion, local soil abiotic factors, and sampling date have on AM fungal communities within a single monsoon season. We first ask, what is the strength and direction of change in AM fungal communities (i.e., composition, richness, and turnover) in response to the manipulation of seasonal rainfall in the Sonoran Desert? And secondly, what is the relative influence soil abiotic factors and sampling date have on these communities? To answer these questions, experimental rainfall exclusion treatments were set up over the course of the monsoon season to remove 0% (control), 60% (moderate exclusion) and 80% (high exclusion) of seasonal rainfall. Soil abiotic factors and AM fungal communities were sampled at the beginning and end of the monsoon season. Due to the complex ecological communities found in the rhizosphere microhabitat, there are two predictive hypotheses that were derived from our questions. First, with reduced rainfall, AM fungal communities could show no observed net gain or loss in taxa among rainfall exclusion across the monsoon season, as AM fungi have been noted to have higher desiccation tolerance than other fungal clades, such as ectomycorrhizal fungi. Alternatively, AM fungal communities could differ among rainfall exclusion treatments as AM clades might start root colonization in response to changes in soil moisture and other abiotic factors. Understanding the response of plant-host associated fungal communities to drier microhabitats could shed light on how they might associate with hosts in future, more extreme climate conditions. </w:t>
      </w:r>
    </w:p>
    <w:p w14:paraId="4C438092" w14:textId="6B4FAE68" w:rsidR="00EB1D43" w:rsidRPr="0096280E" w:rsidRDefault="00EB1D43" w:rsidP="0096280E">
      <w:pPr>
        <w:pStyle w:val="Heading2"/>
        <w:spacing w:line="360" w:lineRule="auto"/>
      </w:pPr>
      <w:bookmarkStart w:id="69" w:name="_Toc102048027"/>
      <w:r w:rsidRPr="0096280E">
        <w:t>M</w:t>
      </w:r>
      <w:r w:rsidR="00B32AAC" w:rsidRPr="0096280E">
        <w:t>aterials and Methods</w:t>
      </w:r>
      <w:bookmarkEnd w:id="69"/>
    </w:p>
    <w:p w14:paraId="7279FBB4" w14:textId="3621EDC7" w:rsidR="00EB1D43" w:rsidRPr="0096280E" w:rsidRDefault="00EB1D43" w:rsidP="0096280E">
      <w:pPr>
        <w:pStyle w:val="Heading3"/>
      </w:pPr>
      <w:bookmarkStart w:id="70" w:name="_Toc102048028"/>
      <w:r w:rsidRPr="0096280E">
        <w:t>Experimental design</w:t>
      </w:r>
      <w:bookmarkEnd w:id="70"/>
    </w:p>
    <w:p w14:paraId="1C3065E7" w14:textId="0FA9CF16" w:rsidR="00EB1D43" w:rsidRPr="0096280E" w:rsidRDefault="006A3BA7" w:rsidP="0096280E">
      <w:pPr>
        <w:spacing w:line="360" w:lineRule="auto"/>
      </w:pPr>
      <w:r w:rsidRPr="0096280E">
        <w:rPr>
          <w:i/>
          <w:iCs/>
        </w:rPr>
        <w:tab/>
      </w:r>
      <w:r w:rsidR="00E91282" w:rsidRPr="0096280E">
        <w:rPr>
          <w:i/>
          <w:iCs/>
        </w:rPr>
        <w:t xml:space="preserve">Lupinus </w:t>
      </w:r>
      <w:proofErr w:type="spellStart"/>
      <w:r w:rsidR="00E91282" w:rsidRPr="0096280E">
        <w:rPr>
          <w:i/>
          <w:iCs/>
        </w:rPr>
        <w:t>neomexicanus</w:t>
      </w:r>
      <w:proofErr w:type="spellEnd"/>
      <w:r w:rsidR="00E91282" w:rsidRPr="0096280E">
        <w:rPr>
          <w:i/>
          <w:iCs/>
        </w:rPr>
        <w:t xml:space="preserve"> </w:t>
      </w:r>
      <w:r w:rsidR="00E91282" w:rsidRPr="0096280E">
        <w:t xml:space="preserve">Greene (Fabaceae) was chosen as an experimental system because of an elongated flowering time allowing for consistent identification throughout the monsoon season. This allowed us to make sure that all plants sampled were within the same life stage and had similar aboveground biomass. This species is endemic to mid-range elevations (1,600-2,000m) in Southern Arizona </w:t>
      </w:r>
      <w:r w:rsidR="00E91282" w:rsidRPr="0096280E">
        <w:rPr>
          <w:iCs/>
          <w:color w:val="000000" w:themeColor="text1"/>
          <w:shd w:val="clear" w:color="auto" w:fill="FFFFFF"/>
        </w:rPr>
        <w:t xml:space="preserve">(e.g., </w:t>
      </w:r>
      <w:r w:rsidR="00E91282" w:rsidRPr="0096280E">
        <w:rPr>
          <w:color w:val="000000"/>
        </w:rPr>
        <w:t>31°53'50.3"N 109°16'38.5"W)</w:t>
      </w:r>
      <w:r w:rsidR="00E91282" w:rsidRPr="0096280E">
        <w:t xml:space="preserve">. Monsoon rainfall occurs in the Sonoran Desert ecoregion of the United States around late June-mid August. This rainfall often influences how organisms interact and can help maintain population level persistence throughout the remaining portion of the year. This season can function as a natural experiment to </w:t>
      </w:r>
      <w:r w:rsidR="00E91282" w:rsidRPr="0096280E">
        <w:lastRenderedPageBreak/>
        <w:t xml:space="preserve">manipulate seasonal rainfall intensity on a stable plant population and their interactions with arbuscular mycorrhizas. Monsoon rainfall exclusion shelters were established following guidelines outlined in </w:t>
      </w:r>
      <w:r w:rsidR="00E91282" w:rsidRPr="0096280E">
        <w:fldChar w:fldCharType="begin" w:fldLock="1"/>
      </w:r>
      <w:r w:rsidR="006E1F09">
        <w:instrText>ADDIN CSL_CITATION {"citationItems":[{"id":"ITEM-1","itemData":{"DOI":"10.1111/j.1461-0248.2012.01793.x","ISSN":"14610248","abstract":"Climatic changes, including altered precipitation regimes, will affect key ecosystem processes, such as plant productivity and biodiversity for many terrestrial ecosystems. Past and ongoing precipitation experiments have been conducted to quantify these potential changes. An analysis of these experiments indicates that they have provided important information on how water regulates ecosystem processes. However, they do not adequately represent global biomes nor forecasted precipitation scenarios and their potential contribution to advance our understanding of ecosystem responses to precipitation changes is therefore limited, as is their potential value for the development and testing of ecosystem models. This highlights the need for new precipitation experiments in biomes and ambient climatic conditions hitherto poorly studied applying relevant complex scenarios including changes in precipitation frequency and amplitude, seasonality, extremity and interactions with other global change drivers. A systematic and holistic approach to investigate how soil and plant community characteristics change with altered precipitation regimes and the consequent effects on ecosystem processes and functioning within these experiments will greatly increase their value to the climate change and ecosystem research communities. Experiments should specifically test how changes in precipitation leading to exceedance of biological thresholds affect ecosystem resilience and acclimation. © 2012 Blackwell Publishing Ltd/CNRS.","author":[{"dropping-particle":"","family":"Beier","given":"Claus","non-dropping-particle":"","parse-names":false,"suffix":""},{"dropping-particle":"","family":"Beierkuhnlein","given":"Carl","non-dropping-particle":"","parse-names":false,"suffix":""},{"dropping-particle":"","family":"Wohlgemuth","given":"Thomas","non-dropping-particle":"","parse-names":false,"suffix":""},{"dropping-particle":"","family":"Penuelas","given":"Josep","non-dropping-particle":"","parse-names":false,"suffix":""},{"dropping-particle":"","family":"Emmett","given":"Bridget","non-dropping-particle":"","parse-names":false,"suffix":""},{"dropping-particle":"","family":"Körner","given":"Christian","non-dropping-particle":"","parse-names":false,"suffix":""},{"dropping-particle":"","family":"Boeck","given":"Hans","non-dropping-particle":"de","parse-names":false,"suffix":""},{"dropping-particle":"","family":"Christensen","given":"Jens Hesselbjerg","non-dropping-particle":"","parse-names":false,"suffix":""},{"dropping-particle":"","family":"Leuzinger","given":"Sebastian","non-dropping-particle":"","parse-names":false,"suffix":""},{"dropping-particle":"","family":"Janssens","given":"Ivan A.","non-dropping-particle":"","parse-names":false,"suffix":""},{"dropping-particle":"","family":"Hansen","given":"Karin","non-dropping-particle":"","parse-names":false,"suffix":""}],"container-title":"Ecology Letters","id":"ITEM-1","issue":"8","issued":{"date-parts":[["2012"]]},"page":"899-911","title":"Precipitation manipulation experiments - challenges and recommendations for the future","type":"article-journal","volume":"15"},"uris":["http://www.mendeley.com/documents/?uuid=da724e8d-e2a1-4488-b410-9a83b18f9127"]}],"mendeley":{"formattedCitation":"(Beier et al., 2012)","manualFormatting":"Beier et al. (2012)","plainTextFormattedCitation":"(Beier et al., 2012)","previouslyFormattedCitation":"(Beier et al., 2012)"},"properties":{"noteIndex":0},"schema":"https://github.com/citation-style-language/schema/raw/master/csl-citation.json"}</w:instrText>
      </w:r>
      <w:r w:rsidR="00E91282" w:rsidRPr="0096280E">
        <w:fldChar w:fldCharType="separate"/>
      </w:r>
      <w:r w:rsidR="00E91282" w:rsidRPr="0096280E">
        <w:rPr>
          <w:noProof/>
        </w:rPr>
        <w:t xml:space="preserve">Beier </w:t>
      </w:r>
      <w:r w:rsidR="00E91282" w:rsidRPr="0096280E">
        <w:rPr>
          <w:i/>
          <w:noProof/>
        </w:rPr>
        <w:t>et al.</w:t>
      </w:r>
      <w:r w:rsidR="00E91282" w:rsidRPr="0096280E">
        <w:rPr>
          <w:noProof/>
        </w:rPr>
        <w:t xml:space="preserve"> (2012)</w:t>
      </w:r>
      <w:r w:rsidR="00E91282" w:rsidRPr="0096280E">
        <w:fldChar w:fldCharType="end"/>
      </w:r>
      <w:r w:rsidR="00E91282" w:rsidRPr="0096280E">
        <w:t>. Short-term rainfall exclusion shelters were constructed of 6mil heavy-duty clear plastic sheeting with 60% (moderate exclusion) or 80% (high exclusion) of a 1m</w:t>
      </w:r>
      <w:r w:rsidR="00E91282" w:rsidRPr="0096280E">
        <w:rPr>
          <w:vertAlign w:val="superscript"/>
        </w:rPr>
        <w:t>2</w:t>
      </w:r>
      <w:r w:rsidR="00E91282" w:rsidRPr="0096280E">
        <w:t xml:space="preserve"> surface area removed (n=22). Rainfall exclusion shelters were supported by two 12” and two 24” wooden landscape stakes and four 1m wooden dowels along each edge. This design raised one edge of the shelter to allow rainfall water to run off plot to ensure soil moisture manipulation (</w:t>
      </w:r>
      <w:r w:rsidR="005355D9">
        <w:rPr>
          <w:b/>
          <w:bCs/>
        </w:rPr>
        <w:t>Figure</w:t>
      </w:r>
      <w:r w:rsidR="00E91282" w:rsidRPr="0096280E">
        <w:rPr>
          <w:b/>
          <w:bCs/>
        </w:rPr>
        <w:t xml:space="preserve"> 14</w:t>
      </w:r>
      <w:r w:rsidR="00E91282" w:rsidRPr="0096280E">
        <w:t xml:space="preserve">). The control had no rainfall exclusion treatment. </w:t>
      </w:r>
    </w:p>
    <w:p w14:paraId="58913610" w14:textId="201ED432" w:rsidR="00EB1D43" w:rsidRPr="0096280E" w:rsidRDefault="00EB1D43" w:rsidP="0096280E">
      <w:pPr>
        <w:pStyle w:val="Heading3"/>
      </w:pPr>
      <w:bookmarkStart w:id="71" w:name="_Toc102048029"/>
      <w:r w:rsidRPr="0096280E">
        <w:t>S</w:t>
      </w:r>
      <w:r w:rsidR="00E91282" w:rsidRPr="0096280E">
        <w:t>ampling soil abiotic factors</w:t>
      </w:r>
      <w:bookmarkEnd w:id="71"/>
    </w:p>
    <w:p w14:paraId="68236751" w14:textId="796BDCD7" w:rsidR="00606A2C" w:rsidRDefault="005176B9" w:rsidP="0096280E">
      <w:pPr>
        <w:spacing w:line="360" w:lineRule="auto"/>
        <w:rPr>
          <w:color w:val="000000" w:themeColor="text1"/>
        </w:rPr>
      </w:pPr>
      <w:r w:rsidRPr="0096280E">
        <w:tab/>
      </w:r>
      <w:r w:rsidR="0096280E" w:rsidRPr="0096280E">
        <w:t xml:space="preserve">The rhizosphere microhabitat was sampled twice, once prior to the monsoon season (Date A; June 2019) and once at the tail end of the rhizosphere (Date B; August 2019). Baseline estimates for AM fungal community structure, soil moisture, and other soil abiotic factors are from the first sampling period prior to monsoon shelter establishment. Soil was dried in a laboratory oven for 48 hours at </w:t>
      </w:r>
      <w:r w:rsidR="0096280E" w:rsidRPr="0096280E">
        <w:rPr>
          <w:color w:val="000000" w:themeColor="text1"/>
        </w:rPr>
        <w:t xml:space="preserve">54°C. </w:t>
      </w:r>
      <w:r w:rsidR="0096280E" w:rsidRPr="0096280E">
        <w:t xml:space="preserve">Soil moisture content was measured as the difference in soil weight between field wet soil and oven dried soil divided by the weight of oven dried soil </w:t>
      </w:r>
      <w:r w:rsidR="0096280E" w:rsidRPr="0096280E">
        <w:fldChar w:fldCharType="begin" w:fldLock="1"/>
      </w:r>
      <w:r w:rsidR="006E1F09">
        <w:instrText>ADDIN CSL_CITATION {"citationItems":[{"id":"ITEM-1","itemData":{"ISBN":"072621146X 9780726211461","author":[{"dropping-particle":"","family":"Australia","given":"Standards Association of","non-dropping-particle":"","parse-names":false,"suffix":""}],"id":"ITEM-1","issued":{"date-parts":[["1977"]]},"language":"English","publisher":"North Sydney, N.S.W: The Association","title":"Methods of testing soils for engineering purposes","type":"book"},"uris":["http://www.mendeley.com/documents/?uuid=9fd0ed48-3843-41e8-89dd-a9e3c6de1bcd"]}],"mendeley":{"formattedCitation":"(Australia, 1977)","plainTextFormattedCitation":"(Australia, 1977)","previouslyFormattedCitation":"(Australia, 1977)"},"properties":{"noteIndex":0},"schema":"https://github.com/citation-style-language/schema/raw/master/csl-citation.json"}</w:instrText>
      </w:r>
      <w:r w:rsidR="0096280E" w:rsidRPr="0096280E">
        <w:fldChar w:fldCharType="separate"/>
      </w:r>
      <w:r w:rsidR="00CE6085" w:rsidRPr="00CE6085">
        <w:rPr>
          <w:noProof/>
        </w:rPr>
        <w:t>(Australia, 1977)</w:t>
      </w:r>
      <w:r w:rsidR="0096280E" w:rsidRPr="0096280E">
        <w:fldChar w:fldCharType="end"/>
      </w:r>
      <w:r w:rsidR="0096280E" w:rsidRPr="0096280E">
        <w:t xml:space="preserve">. By the end of the monsoon season, the high rainfall exclusion treatment was on average 1.66 g water/g soil drier than the moderate rainfall exclusion treatment and 2.64 g water/g soil drier than the control treatment. </w:t>
      </w:r>
      <w:r w:rsidR="0096280E" w:rsidRPr="0096280E">
        <w:rPr>
          <w:color w:val="000000" w:themeColor="text1"/>
        </w:rPr>
        <w:t>To estimate soil abiotic factors (e.g., ammonium, nitrate, and phosphorous) in the rhizosphere environment, all rhizosphere samples were subsampled twice (2 grams of rhizosphere soil per subsample) and extracted with potassium sulfate and then analyzed in triplicate (K</w:t>
      </w:r>
      <w:r w:rsidR="0096280E" w:rsidRPr="0096280E">
        <w:rPr>
          <w:color w:val="000000" w:themeColor="text1"/>
          <w:vertAlign w:val="subscript"/>
        </w:rPr>
        <w:t>2</w:t>
      </w:r>
      <w:r w:rsidR="0096280E" w:rsidRPr="0096280E">
        <w:rPr>
          <w:color w:val="000000" w:themeColor="text1"/>
        </w:rPr>
        <w:t>SO</w:t>
      </w:r>
      <w:r w:rsidR="0096280E" w:rsidRPr="0096280E">
        <w:rPr>
          <w:color w:val="000000" w:themeColor="text1"/>
          <w:vertAlign w:val="subscript"/>
        </w:rPr>
        <w:t>4</w:t>
      </w:r>
      <w:r w:rsidR="0096280E" w:rsidRPr="0096280E">
        <w:rPr>
          <w:color w:val="000000" w:themeColor="text1"/>
        </w:rPr>
        <w:t>;</w:t>
      </w:r>
      <w:r w:rsidR="0096280E" w:rsidRPr="0096280E">
        <w:rPr>
          <w:color w:val="000000" w:themeColor="text1"/>
          <w:vertAlign w:val="subscript"/>
        </w:rPr>
        <w:t xml:space="preserve"> </w:t>
      </w:r>
      <w:r w:rsidR="0096280E" w:rsidRPr="0096280E">
        <w:rPr>
          <w:color w:val="000000" w:themeColor="text1"/>
          <w:vertAlign w:val="subscript"/>
        </w:rPr>
        <w:fldChar w:fldCharType="begin" w:fldLock="1"/>
      </w:r>
      <w:r w:rsidR="006E1F09">
        <w:rPr>
          <w:color w:val="000000" w:themeColor="text1"/>
          <w:vertAlign w:val="subscript"/>
        </w:rPr>
        <w:instrText>ADDIN CSL_CITATION {"citationItems":[{"id":"ITEM-1","itemData":{"DOI":"10.1016/0038-0717(85)90144-0","ISSN":"00380717","abstract":"A new \"direct extraction\" method for measuring soil microbial biomass nitrogen (biomass N) is described. The new method (fumigation-extraction) is based on CHC13 fumigation, followed by immediate extraction with 0.5 M K2SO4 and measurement of total N released by CHC13 in the soil extracts. The amounts of NH4-N and total N extracted by K2SO4 immediately after fumigation increased with fumigation time up to 5 days. Total N released by CHC13 after 1 day fumigation (1 day CHC13-N) and after 5 days fumigation (5 day CHC13-N) were positively correlated with the flush of mineral N (FN) in 37 soils that had been fumigated, the fumigant removed and the soils incubated for 10 days (fumigation-incubation). The regression equations were 1 day CHC13-N = (0.79 ± 0.022) FN and 5 day CHC13-N = (1.01 ± 0.027) FN, both regressions accounting for 92% of the variance in the data. In field soils previously treated with 15N-labelled fertilizer, the amounts of labelled N, measured after fumigation-extraction, were very similar to the amounts of labelled N mineralized during fumigation-incubation; both were about 4 times as heavily labelled as the soil N as a whole. These results suggest that fumigation-extraction and fumigation-incubation both measure the same fraction of the soil organic N (probably the cytoplasmic component of the soil microbial biomass) and that measurement of the total N released by CHC13 fumigation for 24 h provides a rapid method for measuring biomass N. © 1985.","author":[{"dropping-particle":"","family":"Brookes","given":"P. C.","non-dropping-particle":"","parse-names":false,"suffix":""},{"dropping-particle":"","family":"Landman","given":"Andrea","non-dropping-particle":"","parse-names":false,"suffix":""},{"dropping-particle":"","family":"Pruden","given":"G.","non-dropping-particle":"","parse-names":false,"suffix":""},{"dropping-particle":"","family":"Jenkinson","given":"D. S.","non-dropping-particle":"","parse-names":false,"suffix":""}],"container-title":"Soil Biology and Biochemistry","id":"ITEM-1","issue":"6","issued":{"date-parts":[["1985"]]},"page":"837-842","title":"Chloroform fumigation and the release of soil nitrogen: A rapid direct extraction method to measure microbial biomass nitrogen in soil","type":"article-journal","volume":"17"},"uris":["http://www.mendeley.com/documents/?uuid=d4458923-f4f3-48d1-812e-697a46589b3d"]},{"id":"ITEM-2","itemData":{"ISBN":"0038-0717","ISSN":"0038-0717","abstract":"AN EXTRACTION METHOD FOR MEASURING SOIL MICROBIAL BIOMASS C","author":[{"dropping-particle":"","family":"Vance","given":"E.D.","non-dropping-particle":"","parse-names":false,"suffix":""},{"dropping-particle":"","family":"Brookes","given":"P. C.","non-dropping-particle":"","parse-names":false,"suffix":""},{"dropping-particle":"","family":"Jenkinson","given":"D.S.","non-dropping-particle":"","parse-names":false,"suffix":""}],"container-title":"Soil Biology and Biochemistry","id":"ITEM-2","issue":"6","issued":{"date-parts":[["1987"]]},"page":"1-5","title":"An extraction method for measuring soil microbial biomass C","type":"article-journal","volume":"19"},"uris":["http://www.mendeley.com/documents/?uuid=f3ca9f42-127f-402d-af83-0c251a1d37e8"]},{"id":"ITEM-3","itemData":{"ISSN":"0038-0717","author":[{"dropping-particle":"","family":"Wu","given":"JJRG","non-dropping-particle":"","parse-names":false,"suffix":""},{"dropping-particle":"","family":"Joergensen","given":"R G","non-dropping-particle":"","parse-names":false,"suffix":""},{"dropping-particle":"","family":"Pommerening","given":"Birgit","non-dropping-particle":"","parse-names":false,"suffix":""},{"dropping-particle":"","family":"Chaussod","given":"Rémi","non-dropping-particle":"","parse-names":false,"suffix":""},{"dropping-particle":"","family":"Brookes","given":"P C","non-dropping-particle":"","parse-names":false,"suffix":""}],"container-title":"Soil biology &amp; biochemistry","id":"ITEM-3","issue":"8","issued":{"date-parts":[["1990"]]},"page":"1167-1169","title":"Measurement of soil microbial biomass C by fumigation-extraction-an automated procedure.","type":"article-journal","volume":"22"},"uris":["http://www.mendeley.com/documents/?uuid=882fc6b7-c026-4200-973a-1e57b42c716a"]}],"mendeley":{"formattedCitation":"(Brookes et al., 1985; Vance et al., 1987; Wu et al., 1990)","manualFormatting":"Brookes et al. 1985; Vance, Brookes and Jenkinson 1987; Wu et al. 1990)","plainTextFormattedCitation":"(Brookes et al., 1985; Vance et al., 1987; Wu et al., 1990)","previouslyFormattedCitation":"(Brookes et al., 1985; Vance et al., 1987; Wu et al., 1990)"},"properties":{"noteIndex":0},"schema":"https://github.com/citation-style-language/schema/raw/master/csl-citation.json"}</w:instrText>
      </w:r>
      <w:r w:rsidR="0096280E" w:rsidRPr="0096280E">
        <w:rPr>
          <w:color w:val="000000" w:themeColor="text1"/>
          <w:vertAlign w:val="subscript"/>
        </w:rPr>
        <w:fldChar w:fldCharType="separate"/>
      </w:r>
      <w:r w:rsidR="0096280E" w:rsidRPr="0096280E">
        <w:rPr>
          <w:noProof/>
          <w:color w:val="000000" w:themeColor="text1"/>
        </w:rPr>
        <w:t xml:space="preserve">Brookes </w:t>
      </w:r>
      <w:r w:rsidR="0096280E" w:rsidRPr="0096280E">
        <w:rPr>
          <w:i/>
          <w:noProof/>
          <w:color w:val="000000" w:themeColor="text1"/>
        </w:rPr>
        <w:t>et al.</w:t>
      </w:r>
      <w:r w:rsidR="0096280E" w:rsidRPr="0096280E">
        <w:rPr>
          <w:noProof/>
          <w:color w:val="000000" w:themeColor="text1"/>
        </w:rPr>
        <w:t xml:space="preserve"> 1985; Vance, Brookes and Jenkinson 1987; Wu </w:t>
      </w:r>
      <w:r w:rsidR="0096280E" w:rsidRPr="0096280E">
        <w:rPr>
          <w:i/>
          <w:noProof/>
          <w:color w:val="000000" w:themeColor="text1"/>
        </w:rPr>
        <w:t>et al.</w:t>
      </w:r>
      <w:r w:rsidR="0096280E" w:rsidRPr="0096280E">
        <w:rPr>
          <w:noProof/>
          <w:color w:val="000000" w:themeColor="text1"/>
        </w:rPr>
        <w:t xml:space="preserve"> 1990)</w:t>
      </w:r>
      <w:r w:rsidR="0096280E" w:rsidRPr="0096280E">
        <w:rPr>
          <w:color w:val="000000" w:themeColor="text1"/>
          <w:vertAlign w:val="subscript"/>
        </w:rPr>
        <w:fldChar w:fldCharType="end"/>
      </w:r>
      <w:r w:rsidR="0096280E" w:rsidRPr="0096280E">
        <w:rPr>
          <w:color w:val="000000" w:themeColor="text1"/>
          <w:shd w:val="clear" w:color="auto" w:fill="FFFFFF"/>
        </w:rPr>
        <w:t xml:space="preserve">. </w:t>
      </w:r>
      <w:r w:rsidR="0096280E" w:rsidRPr="0096280E">
        <w:rPr>
          <w:color w:val="000000" w:themeColor="text1"/>
        </w:rPr>
        <w:t xml:space="preserve">Since AM fungi play a pivotal role in nitrogen cycling, nitrogen was measured in two ways (ammonium and nitrate). Ammonium was measured using the indophenol-blue Berthelot method </w:t>
      </w:r>
      <w:r w:rsidR="0096280E" w:rsidRPr="0096280E">
        <w:rPr>
          <w:color w:val="000000" w:themeColor="text1"/>
        </w:rPr>
        <w:fldChar w:fldCharType="begin" w:fldLock="1"/>
      </w:r>
      <w:r w:rsidR="006E1F09">
        <w:rPr>
          <w:color w:val="000000" w:themeColor="text1"/>
        </w:rPr>
        <w:instrText>ADDIN CSL_CITATION {"citationItems":[{"id":"ITEM-1","itemData":{"DOI":"10.1021/ac60252a045","ISSN":"15206882","abstract":"The Berthelot color reaction has been investigated with the particular aim of presenting a simple, reliable analytical procedure. The combination of two reagents prepared readily, phenol plus nitroprusside and alkali plus hypochlorite, gave excellent reproducibility with great convenience. After the ammonium sulfate sample was mixed with the phenol reagent the hypochlorite reagent could be added up to 30 minutes later without change of absorbance, whereas if this sample were mixed with a reagent containing hypochlorite or with alkaline phenate plus nitroprusside, there was a decrease in absorbance unless the second reagent was added immediately. Satisfactory color development with minimal precautions was given by a variety of reagent concentrations and by reaction temperatures of 20°, 25°, 37°, and 75° C. Sensitivity was increased at 75° C although the time to reach maximum absorbance was longer than at 37° C. The absorbance maximum was reached quickly at 100° C but this temperature is not recommended because the absorbance decreased rapidly thereafter. © 1967, American Chemical Society. All rights reserved.","author":[{"dropping-particle":"","family":"Weatherburn","given":"M. W.","non-dropping-particle":"","parse-names":false,"suffix":""}],"container-title":"Analytical Chemistry","id":"ITEM-1","issue":"8","issued":{"date-parts":[["1967"]]},"page":"971-974","title":"Phenol-Hypochlorite Reaction for Determination of Ammonia","type":"article-journal","volume":"39"},"uris":["http://www.mendeley.com/documents/?uuid=adae76cc-aae6-4711-b14c-dd73d86a4ec7"]},{"id":"ITEM-2","itemData":{"DOI":"10.1016/0043-1354(78)90107-0","ISSN":"00431354","abstract":"An ammonia determination based on formation of a substituted indophenol with sodium salicylate as phenolic reagent has been developed and compared with other methods. Sensitivity and reproducibility are comparable with results obtained in a method where phenol was used, while a number of the disadvantages inherent to the use of phenol are avoided. The salicylate method is specific for NH3N and interferences are generally absent in samples from natural fresh waters. The method can be easily applied for seawater analysis. © 1978.","author":[{"dropping-particle":"","family":"Verdouw","given":"H.","non-dropping-particle":"","parse-names":false,"suffix":""},{"dropping-particle":"","family":"Echteld","given":"C. J.A.","non-dropping-particle":"Van","parse-names":false,"suffix":""},{"dropping-particle":"","family":"Dekkers","given":"E. M.J.","non-dropping-particle":"","parse-names":false,"suffix":""}],"container-title":"Water Research","id":"ITEM-2","issue":"6","issued":{"date-parts":[["1978"]]},"page":"399-402","title":"Ammonia determination based on indophenol formation with sodium salicylate","type":"article-journal","volume":"12"},"uris":["http://www.mendeley.com/documents/?uuid=c87709f0-6a81-4c26-ae4a-dad961afba8b"]}],"mendeley":{"formattedCitation":"(Weatherburn, 1967; Verdouw et al., 1978)","plainTextFormattedCitation":"(Weatherburn, 1967; Verdouw et al., 1978)","previouslyFormattedCitation":"(Weatherburn, 1967; Verdouw et al., 1978)"},"properties":{"noteIndex":0},"schema":"https://github.com/citation-style-language/schema/raw/master/csl-citation.json"}</w:instrText>
      </w:r>
      <w:r w:rsidR="0096280E" w:rsidRPr="0096280E">
        <w:rPr>
          <w:color w:val="000000" w:themeColor="text1"/>
        </w:rPr>
        <w:fldChar w:fldCharType="separate"/>
      </w:r>
      <w:r w:rsidR="00CE6085" w:rsidRPr="00CE6085">
        <w:rPr>
          <w:noProof/>
          <w:color w:val="000000" w:themeColor="text1"/>
        </w:rPr>
        <w:t>(Weatherburn, 1967; Verdouw et al., 1978)</w:t>
      </w:r>
      <w:r w:rsidR="0096280E" w:rsidRPr="0096280E">
        <w:rPr>
          <w:color w:val="000000" w:themeColor="text1"/>
        </w:rPr>
        <w:fldChar w:fldCharType="end"/>
      </w:r>
      <w:r w:rsidR="0096280E" w:rsidRPr="0096280E">
        <w:rPr>
          <w:color w:val="000000" w:themeColor="text1"/>
        </w:rPr>
        <w:t xml:space="preserve"> and a vanadium (III) chloride acid solution and Griess reagents </w:t>
      </w:r>
      <w:r w:rsidR="0096280E" w:rsidRPr="0096280E">
        <w:rPr>
          <w:color w:val="000000" w:themeColor="text1"/>
        </w:rPr>
        <w:fldChar w:fldCharType="begin" w:fldLock="1"/>
      </w:r>
      <w:r w:rsidR="006E1F09">
        <w:rPr>
          <w:color w:val="000000" w:themeColor="text1"/>
        </w:rPr>
        <w:instrText>ADDIN CSL_CITATION {"citationItems":[{"id":"ITEM-1","itemData":{"author":[{"dropping-particle":"","family":"Mulvaney","given":"R L","non-dropping-particle":"","parse-names":false,"suffix":""}],"container-title":"Methods of soil analysis: part 3 chemical methods","id":"ITEM-1","issued":{"date-parts":[["1996"]]},"page":"1123-1184","publisher":"Wiley Online Library","title":"Nitrogen—inorganic forms","type":"article-journal","volume":"5"},"uris":["http://www.mendeley.com/documents/?uuid=b9c7bfe4-a5b8-42bf-8cdc-954465a06eee"]}],"mendeley":{"formattedCitation":"(Mulvaney, 1996)","plainTextFormattedCitation":"(Mulvaney, 1996)","previouslyFormattedCitation":"(Mulvaney, 1996)"},"properties":{"noteIndex":0},"schema":"https://github.com/citation-style-language/schema/raw/master/csl-citation.json"}</w:instrText>
      </w:r>
      <w:r w:rsidR="0096280E" w:rsidRPr="0096280E">
        <w:rPr>
          <w:color w:val="000000" w:themeColor="text1"/>
        </w:rPr>
        <w:fldChar w:fldCharType="separate"/>
      </w:r>
      <w:r w:rsidR="00CE6085" w:rsidRPr="00CE6085">
        <w:rPr>
          <w:noProof/>
          <w:color w:val="000000" w:themeColor="text1"/>
        </w:rPr>
        <w:t>(Mulvaney, 1996)</w:t>
      </w:r>
      <w:r w:rsidR="0096280E" w:rsidRPr="0096280E">
        <w:rPr>
          <w:color w:val="000000" w:themeColor="text1"/>
        </w:rPr>
        <w:fldChar w:fldCharType="end"/>
      </w:r>
      <w:r w:rsidR="0096280E" w:rsidRPr="0096280E">
        <w:rPr>
          <w:color w:val="000000" w:themeColor="text1"/>
        </w:rPr>
        <w:t xml:space="preserve"> were used to extract nitrate from the K</w:t>
      </w:r>
      <w:r w:rsidR="0096280E" w:rsidRPr="0096280E">
        <w:rPr>
          <w:color w:val="000000" w:themeColor="text1"/>
          <w:vertAlign w:val="subscript"/>
        </w:rPr>
        <w:t>2</w:t>
      </w:r>
      <w:r w:rsidR="0096280E" w:rsidRPr="0096280E">
        <w:rPr>
          <w:color w:val="000000" w:themeColor="text1"/>
        </w:rPr>
        <w:t>SO</w:t>
      </w:r>
      <w:r w:rsidR="0096280E" w:rsidRPr="0096280E">
        <w:rPr>
          <w:color w:val="000000" w:themeColor="text1"/>
          <w:vertAlign w:val="subscript"/>
        </w:rPr>
        <w:t>4</w:t>
      </w:r>
      <w:r w:rsidR="0096280E" w:rsidRPr="0096280E">
        <w:rPr>
          <w:color w:val="000000" w:themeColor="text1"/>
        </w:rPr>
        <w:t xml:space="preserve"> samples. Phosphorous content for each rhizosphere sample was measured by a reaction between the K</w:t>
      </w:r>
      <w:r w:rsidR="0096280E" w:rsidRPr="0096280E">
        <w:rPr>
          <w:color w:val="000000" w:themeColor="text1"/>
          <w:vertAlign w:val="subscript"/>
        </w:rPr>
        <w:t>2</w:t>
      </w:r>
      <w:r w:rsidR="0096280E" w:rsidRPr="0096280E">
        <w:rPr>
          <w:color w:val="000000" w:themeColor="text1"/>
        </w:rPr>
        <w:t>SO</w:t>
      </w:r>
      <w:r w:rsidR="0096280E" w:rsidRPr="0096280E">
        <w:rPr>
          <w:color w:val="000000" w:themeColor="text1"/>
          <w:vertAlign w:val="subscript"/>
        </w:rPr>
        <w:t>4</w:t>
      </w:r>
      <w:r w:rsidR="0096280E" w:rsidRPr="0096280E">
        <w:rPr>
          <w:color w:val="000000" w:themeColor="text1"/>
        </w:rPr>
        <w:t xml:space="preserve"> extractions, ammonium para-molybdate (AMP), concentrated sulfuric acid, and a malachite green solution </w:t>
      </w:r>
      <w:r w:rsidR="0096280E" w:rsidRPr="0096280E">
        <w:rPr>
          <w:color w:val="000000" w:themeColor="text1"/>
        </w:rPr>
        <w:fldChar w:fldCharType="begin" w:fldLock="1"/>
      </w:r>
      <w:r w:rsidR="006E1F09">
        <w:rPr>
          <w:color w:val="000000" w:themeColor="text1"/>
        </w:rPr>
        <w:instrText>ADDIN CSL_CITATION {"citationItems":[{"id":"ITEM-1","itemData":{"author":[{"dropping-particle":"","family":"Lajtha","given":"K","non-dropping-particle":"","parse-names":false,"suffix":""},{"dropping-particle":"","family":"Driscoll","given":"C T","non-dropping-particle":"","parse-names":false,"suffix":""},{"dropping-particle":"","family":"Jarrell","given":"W M","non-dropping-particle":"","parse-names":false,"suffix":""},{"dropping-particle":"","family":"Elliott","given":"E T","non-dropping-particle":"","parse-names":false,"suffix":""}],"container-title":"Standard soil methods for long-term ecological research. Edited by GP Robertson, DC Coleman, CS Bledsoe, and P. Sollins. Oxford University Press, Oxford, UK","id":"ITEM-1","issued":{"date-parts":[["1999"]]},"title":"Chapter 7. Soil P characterization and total element analysis","type":"article-journal"},"uris":["http://www.mendeley.com/documents/?uuid=2cebb969-24de-45d4-94ee-41953c6a3af8"]}],"mendeley":{"formattedCitation":"(Lajtha et al., 1999)","plainTextFormattedCitation":"(Lajtha et al., 1999)","previouslyFormattedCitation":"(Lajtha et al., 1999)"},"properties":{"noteIndex":0},"schema":"https://github.com/citation-style-language/schema/raw/master/csl-citation.json"}</w:instrText>
      </w:r>
      <w:r w:rsidR="0096280E" w:rsidRPr="0096280E">
        <w:rPr>
          <w:color w:val="000000" w:themeColor="text1"/>
        </w:rPr>
        <w:fldChar w:fldCharType="separate"/>
      </w:r>
      <w:r w:rsidR="00CE6085" w:rsidRPr="00CE6085">
        <w:rPr>
          <w:noProof/>
          <w:color w:val="000000" w:themeColor="text1"/>
        </w:rPr>
        <w:t>(Lajtha et al., 1999)</w:t>
      </w:r>
      <w:r w:rsidR="0096280E" w:rsidRPr="0096280E">
        <w:rPr>
          <w:color w:val="000000" w:themeColor="text1"/>
        </w:rPr>
        <w:fldChar w:fldCharType="end"/>
      </w:r>
      <w:r w:rsidR="0096280E" w:rsidRPr="0096280E">
        <w:rPr>
          <w:color w:val="000000" w:themeColor="text1"/>
        </w:rPr>
        <w:t xml:space="preserve">. </w:t>
      </w:r>
    </w:p>
    <w:p w14:paraId="3A041420" w14:textId="77777777" w:rsidR="00606A2C" w:rsidRDefault="00606A2C">
      <w:pPr>
        <w:rPr>
          <w:color w:val="000000" w:themeColor="text1"/>
        </w:rPr>
      </w:pPr>
      <w:r>
        <w:rPr>
          <w:color w:val="000000" w:themeColor="text1"/>
        </w:rPr>
        <w:br w:type="page"/>
      </w:r>
    </w:p>
    <w:p w14:paraId="7B9F673C" w14:textId="77777777" w:rsidR="00606A2C" w:rsidRDefault="00606A2C" w:rsidP="00606A2C">
      <w:r w:rsidRPr="00C16503">
        <w:rPr>
          <w:b/>
          <w:bCs/>
          <w:noProof/>
          <w:sz w:val="20"/>
        </w:rPr>
        <w:lastRenderedPageBreak/>
        <w:drawing>
          <wp:inline distT="0" distB="0" distL="0" distR="0" wp14:anchorId="4AE5F9B8" wp14:editId="73A9E580">
            <wp:extent cx="5486400" cy="2770749"/>
            <wp:effectExtent l="0" t="0" r="0" b="0"/>
            <wp:docPr id="7" name="Picture 7" descr="A picture containing text, sky, d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text, sky, day&#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86400" cy="2770749"/>
                    </a:xfrm>
                    <a:prstGeom prst="rect">
                      <a:avLst/>
                    </a:prstGeom>
                  </pic:spPr>
                </pic:pic>
              </a:graphicData>
            </a:graphic>
          </wp:inline>
        </w:drawing>
      </w:r>
    </w:p>
    <w:p w14:paraId="77B51823" w14:textId="57D661A6" w:rsidR="00EB1D43" w:rsidRPr="00606A2C" w:rsidRDefault="00606A2C" w:rsidP="00606A2C">
      <w:pPr>
        <w:pStyle w:val="Caption"/>
      </w:pPr>
      <w:bookmarkStart w:id="72" w:name="_Toc102046884"/>
      <w:r w:rsidRPr="0083206D">
        <w:rPr>
          <w:bCs/>
        </w:rPr>
        <w:t>Figure 14. Rainfall</w:t>
      </w:r>
      <w:r w:rsidRPr="0083206D">
        <w:t xml:space="preserve"> exclusion treatment designs to manipulate monsoon rainfall on AM fungal communities of the rhizosphere with 60% (moderate) exclusion, 80% (high) exclusion, and no shelter (control treatment).</w:t>
      </w:r>
      <w:bookmarkEnd w:id="72"/>
      <w:r w:rsidRPr="0083206D">
        <w:t xml:space="preserve"> </w:t>
      </w:r>
      <w:r w:rsidRPr="0083206D">
        <w:br w:type="page"/>
      </w:r>
    </w:p>
    <w:p w14:paraId="4851AEB9" w14:textId="7CF9BBB2" w:rsidR="00EB1D43" w:rsidRPr="0096280E" w:rsidRDefault="00EB1D43" w:rsidP="0096280E">
      <w:pPr>
        <w:pStyle w:val="Heading3"/>
      </w:pPr>
      <w:bookmarkStart w:id="73" w:name="_Toc102048030"/>
      <w:r w:rsidRPr="0096280E">
        <w:lastRenderedPageBreak/>
        <w:t>Sampling AM fungal communities</w:t>
      </w:r>
      <w:bookmarkEnd w:id="73"/>
    </w:p>
    <w:p w14:paraId="363E34BC" w14:textId="77777777" w:rsidR="0096280E" w:rsidRPr="0096280E" w:rsidRDefault="005176B9" w:rsidP="0096280E">
      <w:pPr>
        <w:spacing w:line="360" w:lineRule="auto"/>
        <w:rPr>
          <w:b/>
          <w:bCs/>
          <w:i/>
          <w:iCs/>
          <w:color w:val="000000" w:themeColor="text1"/>
          <w:shd w:val="clear" w:color="auto" w:fill="FFFFFF"/>
        </w:rPr>
      </w:pPr>
      <w:r w:rsidRPr="0096280E">
        <w:tab/>
      </w:r>
      <w:r w:rsidR="0096280E" w:rsidRPr="0096280E">
        <w:t xml:space="preserve">AM fungal communities were sampled using sterilized, handheld soil cores and stored in </w:t>
      </w:r>
      <w:proofErr w:type="spellStart"/>
      <w:r w:rsidR="0096280E" w:rsidRPr="0096280E">
        <w:t>Nasco</w:t>
      </w:r>
      <w:proofErr w:type="spellEnd"/>
      <w:r w:rsidR="0096280E" w:rsidRPr="0096280E">
        <w:t xml:space="preserve"> Whirl-</w:t>
      </w:r>
      <w:proofErr w:type="spellStart"/>
      <w:r w:rsidR="0096280E" w:rsidRPr="0096280E">
        <w:t>Paks</w:t>
      </w:r>
      <w:proofErr w:type="spellEnd"/>
      <w:r w:rsidR="0096280E" w:rsidRPr="0096280E">
        <w:t xml:space="preserve"> </w:t>
      </w:r>
      <w:r w:rsidR="0096280E" w:rsidRPr="0096280E">
        <w:rPr>
          <w:color w:val="000000" w:themeColor="text1"/>
        </w:rPr>
        <w:t>(</w:t>
      </w:r>
      <w:proofErr w:type="spellStart"/>
      <w:r w:rsidR="0096280E" w:rsidRPr="0096280E">
        <w:rPr>
          <w:color w:val="000000" w:themeColor="text1"/>
        </w:rPr>
        <w:t>Nasco</w:t>
      </w:r>
      <w:proofErr w:type="spellEnd"/>
      <w:r w:rsidR="0096280E" w:rsidRPr="0096280E">
        <w:rPr>
          <w:color w:val="000000" w:themeColor="text1"/>
        </w:rPr>
        <w:t>, Fort Atkinson, WI, USA)</w:t>
      </w:r>
      <w:r w:rsidR="0096280E" w:rsidRPr="0096280E">
        <w:t xml:space="preserve">. All field equipment was surface sterilized with 70% ethanol and soil particulates were removed in-between sampling. To collect AM fungal communities, the sterilized soil core was pushed approximately 5-7cm into the rhizosphere microhabitat along the root base where the plant stem meets the soil. </w:t>
      </w:r>
      <w:r w:rsidR="0096280E" w:rsidRPr="0096280E">
        <w:rPr>
          <w:color w:val="000000" w:themeColor="text1"/>
        </w:rPr>
        <w:t>All rhizosphere samples were stored on dry ice until temporary storage (-80</w:t>
      </w:r>
      <w:r w:rsidR="0096280E" w:rsidRPr="0096280E">
        <w:rPr>
          <w:color w:val="000000"/>
        </w:rPr>
        <w:t>°C)</w:t>
      </w:r>
      <w:r w:rsidR="0096280E" w:rsidRPr="0096280E">
        <w:rPr>
          <w:color w:val="000000" w:themeColor="text1"/>
        </w:rPr>
        <w:t xml:space="preserve"> at the Southwest Research Station in Portal, Arizona, USA. Samples were then shipped on dry ice to the University of Tennessee, Knoxville and immediately stored at -80</w:t>
      </w:r>
      <w:r w:rsidR="0096280E" w:rsidRPr="0096280E">
        <w:rPr>
          <w:color w:val="000000"/>
        </w:rPr>
        <w:t>°C upon arrival.</w:t>
      </w:r>
      <w:r w:rsidR="0096280E" w:rsidRPr="0096280E">
        <w:rPr>
          <w:color w:val="000000" w:themeColor="text1"/>
        </w:rPr>
        <w:t xml:space="preserve"> Prior to DNA isolation, all rhizosphere soil samples were thawed for one hour at room temperature. DNA isolation proceeded with 250 mg of rhizosphere soil per sample and the </w:t>
      </w:r>
      <w:proofErr w:type="spellStart"/>
      <w:r w:rsidR="0096280E" w:rsidRPr="0096280E">
        <w:rPr>
          <w:color w:val="000000" w:themeColor="text1"/>
          <w:shd w:val="clear" w:color="auto" w:fill="FFFFFF"/>
        </w:rPr>
        <w:t>DNeasy</w:t>
      </w:r>
      <w:proofErr w:type="spellEnd"/>
      <w:r w:rsidR="0096280E" w:rsidRPr="0096280E">
        <w:rPr>
          <w:color w:val="000000" w:themeColor="text1"/>
          <w:shd w:val="clear" w:color="auto" w:fill="FFFFFF"/>
        </w:rPr>
        <w:t xml:space="preserve"> </w:t>
      </w:r>
      <w:proofErr w:type="spellStart"/>
      <w:r w:rsidR="0096280E" w:rsidRPr="0096280E">
        <w:rPr>
          <w:color w:val="000000" w:themeColor="text1"/>
          <w:shd w:val="clear" w:color="auto" w:fill="FFFFFF"/>
        </w:rPr>
        <w:t>PowerSoil</w:t>
      </w:r>
      <w:proofErr w:type="spellEnd"/>
      <w:r w:rsidR="0096280E" w:rsidRPr="0096280E">
        <w:rPr>
          <w:color w:val="000000" w:themeColor="text1"/>
          <w:shd w:val="clear" w:color="auto" w:fill="FFFFFF"/>
        </w:rPr>
        <w:t xml:space="preserve"> HTP 96 Kit (</w:t>
      </w:r>
      <w:proofErr w:type="spellStart"/>
      <w:r w:rsidR="0096280E" w:rsidRPr="0096280E">
        <w:rPr>
          <w:color w:val="000000" w:themeColor="text1"/>
        </w:rPr>
        <w:t>MoBio</w:t>
      </w:r>
      <w:proofErr w:type="spellEnd"/>
      <w:r w:rsidR="0096280E" w:rsidRPr="0096280E">
        <w:rPr>
          <w:color w:val="000000" w:themeColor="text1"/>
        </w:rPr>
        <w:t xml:space="preserve"> Laboratories, Inc., Carlsbad, CA, USA</w:t>
      </w:r>
      <w:r w:rsidR="0096280E" w:rsidRPr="0096280E">
        <w:rPr>
          <w:color w:val="000000" w:themeColor="text1"/>
          <w:shd w:val="clear" w:color="auto" w:fill="FFFFFF"/>
        </w:rPr>
        <w:t xml:space="preserve">). The final elution volume was modified so that 50 µL of Solution C6 was used. Additionally, the solutions sat on the DNA membrane for 5 minutes at room temperature prior to centrifuging the concentrated DNA down into a sterile 96 well collection plate. </w:t>
      </w:r>
    </w:p>
    <w:p w14:paraId="0B79E8DE" w14:textId="6376D1BC" w:rsidR="0096280E" w:rsidRPr="0096280E" w:rsidRDefault="0096280E" w:rsidP="0096280E">
      <w:pPr>
        <w:spacing w:line="360" w:lineRule="auto"/>
        <w:rPr>
          <w:color w:val="000000"/>
        </w:rPr>
      </w:pPr>
      <w:r w:rsidRPr="0096280E">
        <w:rPr>
          <w:color w:val="000000" w:themeColor="text1"/>
        </w:rPr>
        <w:tab/>
        <w:t xml:space="preserve">Libraries of the 18S rRNA gene for AM fungal communities were amplified using a nested PCR protocol. The first reaction utilized the primer pair NS1/NS4, which amplified approximately a 1200 bp product </w:t>
      </w:r>
      <w:r w:rsidRPr="0096280E">
        <w:rPr>
          <w:color w:val="000000" w:themeColor="text1"/>
        </w:rPr>
        <w:fldChar w:fldCharType="begin" w:fldLock="1"/>
      </w:r>
      <w:r w:rsidR="006E1F09">
        <w:rPr>
          <w:color w:val="000000" w:themeColor="text1"/>
        </w:rPr>
        <w:instrText>ADDIN CSL_CITATION {"citationItems":[{"id":"ITEM-1","itemData":{"author":[{"dropping-particle":"","family":"White","given":"T J","non-dropping-particle":"","parse-names":false,"suffix":""},{"dropping-particle":"","family":"Bruns","given":"T","non-dropping-particle":"","parse-names":false,"suffix":""},{"dropping-particle":"","family":"Lee","given":"SJWT","non-dropping-particle":"","parse-names":false,"suffix":""},{"dropping-particle":"","family":"Taylor","given":"J","non-dropping-particle":"","parse-names":false,"suffix":""}],"container-title":"PCR Protocols: A guide to methods and applications","id":"ITEM-1","issued":{"date-parts":[["1990"]]},"page":"315-322","publisher":"Academic Press San Diego, CA","title":"Amplification and direct sequencing of fungal ribosomal RNA genes for phylogenetics In: Innis MA, Gelfand DH, Sninsky JJ, White TJ, editors. PCR protocols: a guide to methods and applications","type":"article-journal"},"uris":["http://www.mendeley.com/documents/?uuid=1beb3665-aa08-4331-8b9f-6559138d829b"]},{"id":"ITEM-2","itemData":{"DOI":"10.1021/acs.jnatprod.6b01085","ISSN":"15206025","PMID":"28199101","abstract":"Fungi are morphologically, ecologically, metabolically, and phylogenetically diverse. They are known to produce numerous bioactive molecules, which makes them very useful for natural products researchers in their pursuit of discovering new chemical diversity with agricultural, industrial, and pharmaceutical applications. Despite their importance in natural products chemistry, identification of fungi remains a daunting task for chemists, especially those who do not work with a trained mycologist. The purpose of this review is to update natural products researchers about the tools available for molecular identification of fungi. In particular, we discuss (1) problems of using morphology alone in the identification of fungi to the species level; (2) the three nuclear ribosomal genes most commonly used in fungal identification and the potential advantages and limitations of the ITS region, which is the official DNA barcoding marker for species-level identification of fungi; (3) how to use NCBI-BLAST search for DNA barcoding, with a cautionary note regarding its limitations; (4) the numerous curated molecular databases containing fungal sequences; (5) the various protein-coding genes used to augment or supplant ITS in species-level identification of certain fungal groups; and (6) methods used in the construction of phylogenetic trees from DNA sequences to facilitate fungal species identification. We recommend that, whenever possible, both morphology and molecular data be used for fungal identification. Our goal is that this review will provide a set of standardized procedures for the molecular identification of fungi that can be utilized by the natural products research community.","author":[{"dropping-particle":"","family":"Raja","given":"Huzefa A.","non-dropping-particle":"","parse-names":false,"suffix":""},{"dropping-particle":"","family":"Miller","given":"Andrew N.","non-dropping-particle":"","parse-names":false,"suffix":""},{"dropping-particle":"","family":"Pearce","given":"Cedric J.","non-dropping-particle":"","parse-names":false,"suffix":""},{"dropping-particle":"","family":"Oberlies","given":"Nicholas H.","non-dropping-particle":"","parse-names":false,"suffix":""}],"container-title":"Journal of Natural Products","id":"ITEM-2","issue":"3","issued":{"date-parts":[["2017"]]},"page":"756-770","title":"Fungal Identification Using Molecular Tools: A Primer for the Natural Products Research Community","type":"article-journal","volume":"80"},"uris":["http://www.mendeley.com/documents/?uuid=3afadb82-645b-42c1-b30f-967ff7840e87"]}],"mendeley":{"formattedCitation":"(White et al., 1990; Raja et al., 2017)","plainTextFormattedCitation":"(White et al., 1990; Raja et al., 2017)","previouslyFormattedCitation":"(White et al., 1990; Raja et al., 2017)"},"properties":{"noteIndex":0},"schema":"https://github.com/citation-style-language/schema/raw/master/csl-citation.json"}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(White et al., 1990; Raja et al., 2017)</w:t>
      </w:r>
      <w:r w:rsidRPr="0096280E">
        <w:rPr>
          <w:color w:val="000000" w:themeColor="text1"/>
        </w:rPr>
        <w:fldChar w:fldCharType="end"/>
      </w:r>
      <w:r w:rsidRPr="0096280E">
        <w:rPr>
          <w:color w:val="000000" w:themeColor="text1"/>
        </w:rPr>
        <w:t>. The forward NS1 primer sequence was 5’-</w:t>
      </w:r>
      <w:r w:rsidRPr="0096280E">
        <w:rPr>
          <w:color w:val="000000" w:themeColor="text1"/>
          <w:shd w:val="clear" w:color="auto" w:fill="FFFFFF"/>
        </w:rPr>
        <w:t>GTAGTCATATGCTTGTCTC</w:t>
      </w:r>
      <w:r w:rsidRPr="0096280E">
        <w:rPr>
          <w:color w:val="000000" w:themeColor="text1"/>
        </w:rPr>
        <w:t>-3’ and the reverse NS4 primer sequence was 5’-</w:t>
      </w:r>
      <w:r w:rsidRPr="0096280E">
        <w:rPr>
          <w:color w:val="000000" w:themeColor="text1"/>
          <w:shd w:val="clear" w:color="auto" w:fill="FFFFFF"/>
        </w:rPr>
        <w:t xml:space="preserve"> CTTCCGTCAATTCCTTTAAG</w:t>
      </w:r>
      <w:r w:rsidRPr="0096280E">
        <w:rPr>
          <w:color w:val="000000" w:themeColor="text1"/>
        </w:rPr>
        <w:t xml:space="preserve">-3’. Each </w:t>
      </w:r>
      <w:r w:rsidRPr="0096280E">
        <w:t xml:space="preserve">reaction used 2.5 </w:t>
      </w:r>
      <w:r w:rsidRPr="0096280E">
        <w:rPr>
          <w:color w:val="000000" w:themeColor="text1"/>
          <w:shd w:val="clear" w:color="auto" w:fill="FFFFFF"/>
        </w:rPr>
        <w:t>µ</w:t>
      </w:r>
      <w:r w:rsidRPr="0096280E">
        <w:rPr>
          <w:color w:val="000000" w:themeColor="text1"/>
        </w:rPr>
        <w:t xml:space="preserve">L of the DNA template, 5 </w:t>
      </w:r>
      <w:r w:rsidRPr="0096280E">
        <w:rPr>
          <w:color w:val="000000" w:themeColor="text1"/>
          <w:shd w:val="clear" w:color="auto" w:fill="FFFFFF"/>
        </w:rPr>
        <w:t>µ</w:t>
      </w:r>
      <w:r w:rsidRPr="0096280E">
        <w:rPr>
          <w:color w:val="000000" w:themeColor="text1"/>
        </w:rPr>
        <w:t>L</w:t>
      </w:r>
      <w:r w:rsidRPr="0096280E">
        <w:t xml:space="preserve"> of both the forward and reverse primers, and 12.5 </w:t>
      </w:r>
      <w:r w:rsidRPr="0096280E">
        <w:rPr>
          <w:color w:val="000000" w:themeColor="text1"/>
          <w:shd w:val="clear" w:color="auto" w:fill="FFFFFF"/>
        </w:rPr>
        <w:t>µ</w:t>
      </w:r>
      <w:r w:rsidRPr="0096280E">
        <w:rPr>
          <w:color w:val="000000" w:themeColor="text1"/>
        </w:rPr>
        <w:t xml:space="preserve">L of KAPA HiFi </w:t>
      </w:r>
      <w:proofErr w:type="spellStart"/>
      <w:r w:rsidRPr="0096280E">
        <w:rPr>
          <w:color w:val="000000" w:themeColor="text1"/>
        </w:rPr>
        <w:t>HotStart</w:t>
      </w:r>
      <w:proofErr w:type="spellEnd"/>
      <w:r w:rsidRPr="0096280E">
        <w:rPr>
          <w:color w:val="000000" w:themeColor="text1"/>
        </w:rPr>
        <w:t xml:space="preserve"> Ready Mix (KAPA Biosystems, Wilmington, MA, USA).</w:t>
      </w:r>
      <w:r w:rsidRPr="0096280E">
        <w:t xml:space="preserve"> </w:t>
      </w:r>
      <w:r w:rsidRPr="0096280E">
        <w:rPr>
          <w:color w:val="000000" w:themeColor="text1"/>
        </w:rPr>
        <w:t>This reaction ran at 95</w:t>
      </w:r>
      <w:r w:rsidRPr="0096280E">
        <w:rPr>
          <w:color w:val="000000"/>
        </w:rPr>
        <w:t xml:space="preserve">°C for 3 minutes, followed by 30 cycles of: 95°C for 30 seconds, 40°C for 1 minute, and 72°C for 1 minute with a final elongation step of 72°C for 10 minutes. These reactions produced 25 </w:t>
      </w:r>
      <w:r w:rsidRPr="0096280E">
        <w:rPr>
          <w:color w:val="000000" w:themeColor="text1"/>
          <w:shd w:val="clear" w:color="auto" w:fill="FFFFFF"/>
        </w:rPr>
        <w:t>µ</w:t>
      </w:r>
      <w:r w:rsidRPr="0096280E">
        <w:rPr>
          <w:color w:val="000000" w:themeColor="text1"/>
        </w:rPr>
        <w:t>L of PCR product.</w:t>
      </w:r>
      <w:r w:rsidRPr="0096280E">
        <w:rPr>
          <w:color w:val="000000"/>
        </w:rPr>
        <w:t xml:space="preserve"> The following nested reaction amplified ~400 bp with</w:t>
      </w:r>
      <w:r w:rsidRPr="0096280E">
        <w:rPr>
          <w:color w:val="000000" w:themeColor="text1"/>
        </w:rPr>
        <w:t xml:space="preserve"> the mixed primer pair, NS31 </w:t>
      </w:r>
      <w:r w:rsidRPr="0096280E">
        <w:rPr>
          <w:color w:val="000000" w:themeColor="text1"/>
        </w:rPr>
        <w:fldChar w:fldCharType="begin" w:fldLock="1"/>
      </w:r>
      <w:r w:rsidR="006E1F09">
        <w:rPr>
          <w:color w:val="000000" w:themeColor="text1"/>
        </w:rPr>
        <w:instrText>ADDIN CSL_CITATION {"citationItems":[{"id":"ITEM-1","itemData":{"ISBN":"8888888888","ISSN":"0099-2240 (Print)","PMID":"1339260","abstract":"The first DNA sequences obtained from arbuscular endomycorrhizal fungi are reported. They were obtained by directly sequencing overlapping amplified fragments of the nuclear genes coding for the small subunit rRNA. These sequences were used to develop a polymerase chain reaction primer (VANS1) that enables the specific amplification of a portion of the vesicular-arbuscular endomycorrhizal fungus small subunit rRNA directly from a mixture of plant and fungal tissues. The specificity of this primer for arbuscular endomycorrhizal fungi was demonstrated by testing it on a number of organisms and by sequencing the fragment amplified from colonized leek (Allium porum) roots. This approach, coupled with other molecular techniques, will facilitate rapid detection, identification, and possibly quantitation of arbuscular endomycorrhizal fungi.","author":[{"dropping-particle":"","family":"Simon","given":"L","non-dropping-particle":"","parse-names":false,"suffix":""},{"dropping-particle":"","family":"Lalonde","given":"M","non-dropping-particle":"","parse-names":false,"suffix":""},{"dropping-particle":"","family":"Bruns","given":"T D","non-dropping-particle":"","parse-names":false,"suffix":""}],"container-title":"Applied and Environmental Microbiology","id":"ITEM-1","issue":"1","issued":{"date-parts":[["1992"]]},"page":"291-295","title":"Specific amplification of 18S fungal ribosomal genes from vesicular-arbuscular mycorrhizal fungal communities","type":"article-journal","volume":"58"},"uris":["http://www.mendeley.com/documents/?uuid=f03e44b1-4b4e-412a-8560-4e4494a0ea55"]}],"mendeley":{"formattedCitation":"(Simon et al., 1992)","plainTextFormattedCitation":"(Simon et al., 1992)","previouslyFormattedCitation":"(Simon et al., 1992)"},"properties":{"noteIndex":0},"schema":"https://github.com/citation-style-language/schema/raw/master/csl-citation.json"}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(Simon et al., 1992)</w:t>
      </w:r>
      <w:r w:rsidRPr="0096280E">
        <w:rPr>
          <w:color w:val="000000" w:themeColor="text1"/>
        </w:rPr>
        <w:fldChar w:fldCharType="end"/>
      </w:r>
      <w:r w:rsidRPr="0096280E">
        <w:rPr>
          <w:color w:val="000000" w:themeColor="text1"/>
        </w:rPr>
        <w:t xml:space="preserve"> and AML2 </w:t>
      </w:r>
      <w:r w:rsidRPr="0096280E">
        <w:rPr>
          <w:color w:val="000000" w:themeColor="text1"/>
        </w:rPr>
        <w:fldChar w:fldCharType="begin" w:fldLock="1"/>
      </w:r>
      <w:r w:rsidR="006E1F09">
        <w:rPr>
          <w:color w:val="000000" w:themeColor="text1"/>
        </w:rPr>
        <w:instrText>ADDIN CSL_CITATION {"citationItems":[{"id":"ITEM-1","itemData":{"DOI":"10.1111/j.1574-6941.2008.00531.x","ISSN":"01686496","PMID":"18631176","abstract":"A set of PCR primers that should amplify all subgroups of arbuscular mycorrhizal fungi (AMF, Glomeromycota), but exclude sequences from other organisms, was designed to facilitate rapid detection and identification directly from field-grown plant roots. The small subunit rRNA gene was targeted for the new primers (AML1 and AML2) because phylogenetic relationships among the Glomeromycota are well understood for this gene. Sequence comparisons indicate that the new primers should amplify all published AMF sequences except those from Archaeospora trappei. The specificity of the new primers was tested using 23 different AMF spore morphotypes from trap cultures and Miscanthus sinensis, Glycine max and Panax ginseng roots sampled from the field. Non-AMF DNA of 14 plants, 14 Basidiomycota and 18 Ascomycota was also tested as negative controls. Sequences amplified from roots using the new primers were compared with those obtained using the established NS31 and AM1 primer combination. The new primers have much better specificity and coverage of all known AMF groups. © 2008 Federation of European Microbiological Societies. Published by Blackwell Publishing Ltd. All rights reserved.","author":[{"dropping-particle":"","family":"Lee","given":"Jaikoo","non-dropping-particle":"","parse-names":false,"suffix":""},{"dropping-particle":"","family":"Lee","given":"Sangsun","non-dropping-particle":"","parse-names":false,"suffix":""},{"dropping-particle":"","family":"Young","given":"J. Peter W.","non-dropping-particle":"","parse-names":false,"suffix":""}],"container-title":"FEMS Microbiology Ecology","id":"ITEM-1","issue":"2","issued":{"date-parts":[["2008"]]},"page":"339-349","title":"Improved PCR primers for the detection and identification of arbuscular mycorrhizal fungi","type":"article-journal","volume":"65"},"uris":["http://www.mendeley.com/documents/?uuid=cba8ff38-6bdb-4a98-96a0-6f0242625039"]}],"mendeley":{"formattedCitation":"(Lee et al., 2008)","plainTextFormattedCitation":"(Lee et al., 2008)","previouslyFormattedCitation":"(Lee et al., 2008)"},"properties":{"noteIndex":0},"schema":"https://github.com/citation-style-language/schema/raw/master/csl-citation.json"}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(Lee et al., 2008)</w:t>
      </w:r>
      <w:r w:rsidRPr="0096280E">
        <w:rPr>
          <w:color w:val="000000" w:themeColor="text1"/>
        </w:rPr>
        <w:fldChar w:fldCharType="end"/>
      </w:r>
      <w:r w:rsidRPr="0096280E">
        <w:rPr>
          <w:color w:val="000000" w:themeColor="text1"/>
        </w:rPr>
        <w:t xml:space="preserve">, which contain the sequences 5’-TTGGAGGGCAAGTCTGGTGCC-3’ and 5’-GAACCCAAACACTTTGGTTTC-3’, respectively. These reactions required 2.5 </w:t>
      </w:r>
      <w:r w:rsidRPr="0096280E">
        <w:rPr>
          <w:color w:val="000000" w:themeColor="text1"/>
          <w:shd w:val="clear" w:color="auto" w:fill="FFFFFF"/>
        </w:rPr>
        <w:t>µ</w:t>
      </w:r>
      <w:r w:rsidRPr="0096280E">
        <w:rPr>
          <w:color w:val="000000" w:themeColor="text1"/>
        </w:rPr>
        <w:t xml:space="preserve">L of product from the first reactions, 5 </w:t>
      </w:r>
      <w:r w:rsidRPr="0096280E">
        <w:rPr>
          <w:color w:val="000000" w:themeColor="text1"/>
          <w:shd w:val="clear" w:color="auto" w:fill="FFFFFF"/>
        </w:rPr>
        <w:t>µ</w:t>
      </w:r>
      <w:r w:rsidRPr="0096280E">
        <w:rPr>
          <w:color w:val="000000" w:themeColor="text1"/>
        </w:rPr>
        <w:t xml:space="preserve">L of NS31 and AML2, and 12.5 </w:t>
      </w:r>
      <w:r w:rsidRPr="0096280E">
        <w:rPr>
          <w:color w:val="000000" w:themeColor="text1"/>
          <w:shd w:val="clear" w:color="auto" w:fill="FFFFFF"/>
        </w:rPr>
        <w:t>µ</w:t>
      </w:r>
      <w:r w:rsidRPr="0096280E">
        <w:rPr>
          <w:color w:val="000000" w:themeColor="text1"/>
        </w:rPr>
        <w:t xml:space="preserve">L of KAPA HiFi </w:t>
      </w:r>
      <w:proofErr w:type="spellStart"/>
      <w:r w:rsidRPr="0096280E">
        <w:rPr>
          <w:color w:val="000000" w:themeColor="text1"/>
        </w:rPr>
        <w:t>HotStart</w:t>
      </w:r>
      <w:proofErr w:type="spellEnd"/>
      <w:r w:rsidRPr="0096280E">
        <w:rPr>
          <w:color w:val="000000" w:themeColor="text1"/>
        </w:rPr>
        <w:t xml:space="preserve"> Ready Mix. These reactions began with 95</w:t>
      </w:r>
      <w:r w:rsidRPr="0096280E">
        <w:rPr>
          <w:color w:val="000000"/>
        </w:rPr>
        <w:t xml:space="preserve">°C for 5 minutes followed by 40 cycles of: 95°C for 45 seconds, 63.1°C for 1 minute, 72°C for 1.5 minutes with a final elongation step of 72°C for </w:t>
      </w:r>
      <w:r w:rsidRPr="0096280E">
        <w:rPr>
          <w:color w:val="000000"/>
        </w:rPr>
        <w:lastRenderedPageBreak/>
        <w:t xml:space="preserve">10 minutes. This nested PCR produced 25 </w:t>
      </w:r>
      <w:r w:rsidRPr="0096280E">
        <w:rPr>
          <w:color w:val="000000" w:themeColor="text1"/>
          <w:shd w:val="clear" w:color="auto" w:fill="FFFFFF"/>
        </w:rPr>
        <w:t>µ</w:t>
      </w:r>
      <w:r w:rsidRPr="0096280E">
        <w:rPr>
          <w:color w:val="000000" w:themeColor="text1"/>
        </w:rPr>
        <w:t>L of AM fungal specific 18S rRNA gene product per sample. All 18S PCR products were then stored at -20</w:t>
      </w:r>
      <w:r w:rsidRPr="0096280E">
        <w:rPr>
          <w:color w:val="000000"/>
        </w:rPr>
        <w:t xml:space="preserve">°C until further use. </w:t>
      </w:r>
    </w:p>
    <w:p w14:paraId="1FE3BCA7" w14:textId="25FFFC9E" w:rsidR="00EB1D43" w:rsidRPr="0096280E" w:rsidRDefault="0096280E" w:rsidP="0096280E">
      <w:pPr>
        <w:spacing w:line="360" w:lineRule="auto"/>
        <w:rPr>
          <w:color w:val="000000" w:themeColor="text1"/>
          <w:shd w:val="clear" w:color="auto" w:fill="FFFFFF"/>
        </w:rPr>
      </w:pPr>
      <w:r w:rsidRPr="0096280E">
        <w:rPr>
          <w:color w:val="000000"/>
        </w:rPr>
        <w:tab/>
      </w:r>
      <w:r w:rsidRPr="0096280E">
        <w:rPr>
          <w:color w:val="000000" w:themeColor="text1"/>
        </w:rPr>
        <w:t xml:space="preserve">PCR products were combined with 20 </w:t>
      </w:r>
      <w:r w:rsidRPr="0096280E">
        <w:rPr>
          <w:color w:val="000000" w:themeColor="text1"/>
          <w:shd w:val="clear" w:color="auto" w:fill="FFFFFF"/>
        </w:rPr>
        <w:t>µ</w:t>
      </w:r>
      <w:r w:rsidRPr="0096280E">
        <w:rPr>
          <w:color w:val="000000" w:themeColor="text1"/>
        </w:rPr>
        <w:t xml:space="preserve">L of </w:t>
      </w:r>
      <w:proofErr w:type="spellStart"/>
      <w:r w:rsidRPr="0096280E">
        <w:rPr>
          <w:color w:val="000000" w:themeColor="text1"/>
        </w:rPr>
        <w:t>Agencourt</w:t>
      </w:r>
      <w:proofErr w:type="spellEnd"/>
      <w:r w:rsidRPr="0096280E">
        <w:rPr>
          <w:color w:val="000000" w:themeColor="text1"/>
        </w:rPr>
        <w:t xml:space="preserve"> </w:t>
      </w:r>
      <w:proofErr w:type="spellStart"/>
      <w:r w:rsidRPr="0096280E">
        <w:rPr>
          <w:color w:val="000000" w:themeColor="text1"/>
        </w:rPr>
        <w:t>AMPure</w:t>
      </w:r>
      <w:proofErr w:type="spellEnd"/>
      <w:r w:rsidRPr="0096280E">
        <w:rPr>
          <w:color w:val="000000" w:themeColor="text1"/>
        </w:rPr>
        <w:t xml:space="preserve"> XP magnetic beads, placed on a plate magnet, and rinsed twice with 200 </w:t>
      </w:r>
      <w:r w:rsidRPr="0096280E">
        <w:rPr>
          <w:color w:val="000000" w:themeColor="text1"/>
          <w:shd w:val="clear" w:color="auto" w:fill="FFFFFF"/>
        </w:rPr>
        <w:t>µ</w:t>
      </w:r>
      <w:r w:rsidRPr="0096280E">
        <w:rPr>
          <w:color w:val="000000" w:themeColor="text1"/>
        </w:rPr>
        <w:t xml:space="preserve">L of 80% ethanol for product purification. The remaining ethanol was allowed to evaporate before purified product was resuspended in 50 </w:t>
      </w:r>
      <w:r w:rsidRPr="0096280E">
        <w:rPr>
          <w:color w:val="000000" w:themeColor="text1"/>
          <w:shd w:val="clear" w:color="auto" w:fill="FFFFFF"/>
        </w:rPr>
        <w:t>µ</w:t>
      </w:r>
      <w:r w:rsidRPr="0096280E">
        <w:rPr>
          <w:color w:val="000000" w:themeColor="text1"/>
        </w:rPr>
        <w:t>L of Tris-HCl. Purified products were stored at -20</w:t>
      </w:r>
      <w:r w:rsidRPr="0096280E">
        <w:rPr>
          <w:color w:val="000000"/>
        </w:rPr>
        <w:t xml:space="preserve">°C until 18S rRNA communities per sample were multiplexed. Each sample was multiplexed with a forward and reverse index primer, which are specifically designed for cluster generation on an Illumina </w:t>
      </w:r>
      <w:proofErr w:type="spellStart"/>
      <w:r w:rsidRPr="0096280E">
        <w:rPr>
          <w:color w:val="000000"/>
        </w:rPr>
        <w:t>MiSeq</w:t>
      </w:r>
      <w:proofErr w:type="spellEnd"/>
      <w:r w:rsidRPr="0096280E">
        <w:rPr>
          <w:color w:val="000000"/>
        </w:rPr>
        <w:t xml:space="preserve"> flow cell (Illumina Corporation, San Diego, CA, USA). These primers were obtained from the i5/i7 </w:t>
      </w:r>
      <w:proofErr w:type="spellStart"/>
      <w:r w:rsidRPr="0096280E">
        <w:rPr>
          <w:color w:val="000000"/>
        </w:rPr>
        <w:t>Nextera</w:t>
      </w:r>
      <w:proofErr w:type="spellEnd"/>
      <w:r w:rsidRPr="0096280E">
        <w:rPr>
          <w:color w:val="000000"/>
        </w:rPr>
        <w:t xml:space="preserve"> XT Index Kit. For the indexing PCR, 5</w:t>
      </w:r>
      <w:r w:rsidRPr="0096280E">
        <w:rPr>
          <w:color w:val="000000" w:themeColor="text1"/>
          <w:shd w:val="clear" w:color="auto" w:fill="FFFFFF"/>
        </w:rPr>
        <w:t xml:space="preserve"> µL of purified PCR product</w:t>
      </w:r>
      <w:r w:rsidRPr="0096280E">
        <w:rPr>
          <w:color w:val="000000"/>
        </w:rPr>
        <w:t xml:space="preserve"> from the previous reaction is required, along with 5 </w:t>
      </w:r>
      <w:r w:rsidRPr="0096280E">
        <w:rPr>
          <w:color w:val="000000" w:themeColor="text1"/>
          <w:shd w:val="clear" w:color="auto" w:fill="FFFFFF"/>
        </w:rPr>
        <w:t xml:space="preserve">µL of the uniquely combined forward and reverse </w:t>
      </w:r>
      <w:proofErr w:type="spellStart"/>
      <w:r w:rsidRPr="0096280E">
        <w:rPr>
          <w:color w:val="000000" w:themeColor="text1"/>
          <w:shd w:val="clear" w:color="auto" w:fill="FFFFFF"/>
        </w:rPr>
        <w:t>Nextera</w:t>
      </w:r>
      <w:proofErr w:type="spellEnd"/>
      <w:r w:rsidRPr="0096280E">
        <w:rPr>
          <w:color w:val="000000" w:themeColor="text1"/>
          <w:shd w:val="clear" w:color="auto" w:fill="FFFFFF"/>
        </w:rPr>
        <w:t xml:space="preserve"> index primers, 25 µL of KAPA HiFi </w:t>
      </w:r>
      <w:proofErr w:type="spellStart"/>
      <w:r w:rsidRPr="0096280E">
        <w:rPr>
          <w:color w:val="000000" w:themeColor="text1"/>
          <w:shd w:val="clear" w:color="auto" w:fill="FFFFFF"/>
        </w:rPr>
        <w:t>HotStart</w:t>
      </w:r>
      <w:proofErr w:type="spellEnd"/>
      <w:r w:rsidRPr="0096280E">
        <w:rPr>
          <w:color w:val="000000" w:themeColor="text1"/>
          <w:shd w:val="clear" w:color="auto" w:fill="FFFFFF"/>
        </w:rPr>
        <w:t xml:space="preserve"> Ready Mix, and 10 µL of sterile nuclease free water. These reactions ran for an initial cycle of 95</w:t>
      </w:r>
      <w:r w:rsidRPr="0096280E">
        <w:rPr>
          <w:color w:val="000000" w:themeColor="text1"/>
        </w:rPr>
        <w:t xml:space="preserve">ºC for 3 minutes followed by an 8-cycle sequence of 95ºC for 3 seconds, 55ºC for 30 seconds, and 72ºC for 30 seconds and held at 72ºC for 5 minutes. These reactions yielded 50 </w:t>
      </w:r>
      <w:r w:rsidRPr="0096280E">
        <w:rPr>
          <w:color w:val="000000" w:themeColor="text1"/>
          <w:shd w:val="clear" w:color="auto" w:fill="FFFFFF"/>
        </w:rPr>
        <w:t xml:space="preserve">µL of product, that was purified with 56 µL of </w:t>
      </w:r>
      <w:proofErr w:type="spellStart"/>
      <w:r w:rsidRPr="0096280E">
        <w:rPr>
          <w:color w:val="000000" w:themeColor="text1"/>
          <w:shd w:val="clear" w:color="auto" w:fill="FFFFFF"/>
        </w:rPr>
        <w:t>Agencourt</w:t>
      </w:r>
      <w:proofErr w:type="spellEnd"/>
      <w:r w:rsidRPr="0096280E">
        <w:rPr>
          <w:color w:val="000000" w:themeColor="text1"/>
          <w:shd w:val="clear" w:color="auto" w:fill="FFFFFF"/>
        </w:rPr>
        <w:t xml:space="preserve"> </w:t>
      </w:r>
      <w:proofErr w:type="spellStart"/>
      <w:r w:rsidRPr="0096280E">
        <w:rPr>
          <w:color w:val="000000" w:themeColor="text1"/>
          <w:shd w:val="clear" w:color="auto" w:fill="FFFFFF"/>
        </w:rPr>
        <w:t>AMPure</w:t>
      </w:r>
      <w:proofErr w:type="spellEnd"/>
      <w:r w:rsidRPr="0096280E">
        <w:rPr>
          <w:color w:val="000000" w:themeColor="text1"/>
          <w:shd w:val="clear" w:color="auto" w:fill="FFFFFF"/>
        </w:rPr>
        <w:t xml:space="preserve"> XP magnetic beads, and two washes of 220 µL freshly prepared 80% ethanol. Cleaned and purified product was then resuspended in 25 µL of Tris-HCl. All DNA libraries were then pooled by equal concentrations. The pooled solution was diluted to 4 </w:t>
      </w:r>
      <w:proofErr w:type="spellStart"/>
      <w:r w:rsidRPr="0096280E">
        <w:rPr>
          <w:color w:val="000000" w:themeColor="text1"/>
          <w:shd w:val="clear" w:color="auto" w:fill="FFFFFF"/>
        </w:rPr>
        <w:t>pM</w:t>
      </w:r>
      <w:proofErr w:type="spellEnd"/>
      <w:r w:rsidRPr="0096280E">
        <w:rPr>
          <w:color w:val="000000" w:themeColor="text1"/>
          <w:shd w:val="clear" w:color="auto" w:fill="FFFFFF"/>
        </w:rPr>
        <w:t xml:space="preserve"> with Tris and loaded onto a V3 flow cell with a 20% </w:t>
      </w:r>
      <w:proofErr w:type="spellStart"/>
      <w:r w:rsidRPr="0096280E">
        <w:rPr>
          <w:color w:val="000000" w:themeColor="text1"/>
          <w:shd w:val="clear" w:color="auto" w:fill="FFFFFF"/>
        </w:rPr>
        <w:t>PhiX</w:t>
      </w:r>
      <w:proofErr w:type="spellEnd"/>
      <w:r w:rsidRPr="0096280E">
        <w:rPr>
          <w:color w:val="000000" w:themeColor="text1"/>
          <w:shd w:val="clear" w:color="auto" w:fill="FFFFFF"/>
        </w:rPr>
        <w:t xml:space="preserve"> spike. This flow cell was run on an Illumina </w:t>
      </w:r>
      <w:proofErr w:type="spellStart"/>
      <w:r w:rsidRPr="0096280E">
        <w:rPr>
          <w:color w:val="000000" w:themeColor="text1"/>
          <w:shd w:val="clear" w:color="auto" w:fill="FFFFFF"/>
        </w:rPr>
        <w:t>MiSeq</w:t>
      </w:r>
      <w:proofErr w:type="spellEnd"/>
      <w:r w:rsidRPr="0096280E">
        <w:rPr>
          <w:color w:val="000000" w:themeColor="text1"/>
          <w:shd w:val="clear" w:color="auto" w:fill="FFFFFF"/>
        </w:rPr>
        <w:t xml:space="preserve"> instrument at the University of Tennessee Genomics Core, Knoxville, Tennessee, USA set to a 2x300 paired end cycle.</w:t>
      </w:r>
    </w:p>
    <w:p w14:paraId="4A67E2FE" w14:textId="085BD7F2" w:rsidR="00EB1D43" w:rsidRPr="0096280E" w:rsidRDefault="00EB1D43" w:rsidP="0096280E">
      <w:pPr>
        <w:pStyle w:val="Heading3"/>
      </w:pPr>
      <w:bookmarkStart w:id="74" w:name="_Toc102048031"/>
      <w:r w:rsidRPr="0096280E">
        <w:t>Bioinformatics</w:t>
      </w:r>
      <w:bookmarkEnd w:id="74"/>
    </w:p>
    <w:p w14:paraId="1B1CDD7A" w14:textId="0B8D7854" w:rsidR="0096280E" w:rsidRPr="0096280E" w:rsidRDefault="005176B9" w:rsidP="0096280E">
      <w:pPr>
        <w:spacing w:line="360" w:lineRule="auto"/>
        <w:rPr>
          <w:color w:val="000000" w:themeColor="text1"/>
        </w:rPr>
      </w:pPr>
      <w:r w:rsidRPr="0096280E">
        <w:tab/>
      </w:r>
      <w:r w:rsidR="0096280E" w:rsidRPr="0096280E">
        <w:t xml:space="preserve">Demultiplexing was completed by the Illumina </w:t>
      </w:r>
      <w:proofErr w:type="spellStart"/>
      <w:r w:rsidR="0096280E" w:rsidRPr="0096280E">
        <w:t>MiSeq</w:t>
      </w:r>
      <w:proofErr w:type="spellEnd"/>
      <w:r w:rsidR="0096280E" w:rsidRPr="0096280E">
        <w:t xml:space="preserve"> instrument prior to all other processing. 18S rRNA gene amplicon sequencing data was processed with the open-source DADA2 pipeline </w:t>
      </w:r>
      <w:r w:rsidR="0096280E" w:rsidRPr="0096280E">
        <w:rPr>
          <w:color w:val="000000" w:themeColor="text1"/>
        </w:rPr>
        <w:t>version 1.8 (</w:t>
      </w:r>
      <w:hyperlink r:id="rId26" w:history="1">
        <w:r w:rsidR="0096280E" w:rsidRPr="0096280E">
          <w:rPr>
            <w:rStyle w:val="Hyperlink"/>
            <w:rFonts w:ascii="Times New Roman" w:hAnsi="Times New Roman"/>
            <w:color w:val="000000" w:themeColor="text1"/>
          </w:rPr>
          <w:t>https://github.com/benjjneb/dada2</w:t>
        </w:r>
      </w:hyperlink>
      <w:r w:rsidR="0096280E" w:rsidRPr="0096280E">
        <w:rPr>
          <w:color w:val="000000" w:themeColor="text1"/>
        </w:rPr>
        <w:t xml:space="preserve">) and R version 3.5.2. Amplification primers for reads corresponding to 18S rRNA genes were trimmed at the 5’ end according to the length of the primer (NS31: 21, AML2: 21). For 18S, all forward and reverse reads were truncated at 275 and 270 base pairs and filtered to remove reads below Q=30. Error rates for the forward and reverse reads were generated by performing sample inference and error estimations repeatedly until congruence was met. Next, the </w:t>
      </w:r>
      <w:proofErr w:type="spellStart"/>
      <w:r w:rsidR="0096280E" w:rsidRPr="0096280E">
        <w:rPr>
          <w:color w:val="000000" w:themeColor="text1"/>
        </w:rPr>
        <w:t>derepFastq</w:t>
      </w:r>
      <w:proofErr w:type="spellEnd"/>
      <w:r w:rsidR="0096280E" w:rsidRPr="0096280E">
        <w:rPr>
          <w:color w:val="000000" w:themeColor="text1"/>
        </w:rPr>
        <w:t xml:space="preserve"> function was used in the </w:t>
      </w:r>
      <w:r w:rsidR="0096280E" w:rsidRPr="0096280E">
        <w:rPr>
          <w:color w:val="000000" w:themeColor="text1"/>
        </w:rPr>
        <w:lastRenderedPageBreak/>
        <w:t xml:space="preserve">DADA2 package to dereplicate amplicons for every sample. Here, sequences with 99% similarity were grouped, creating unique amplicon sequence variants (ASVs) and read abundance was totaled </w:t>
      </w:r>
      <w:r w:rsidR="0096280E" w:rsidRPr="0096280E">
        <w:rPr>
          <w:color w:val="000000" w:themeColor="text1"/>
        </w:rPr>
        <w:fldChar w:fldCharType="begin" w:fldLock="1"/>
      </w:r>
      <w:r w:rsidR="006E1F09">
        <w:rPr>
          <w:color w:val="000000" w:themeColor="text1"/>
        </w:rPr>
        <w:instrText>ADDIN CSL_CITATION {"citationItems":[{"id":"ITEM-1","itemData":{"DOI":"10.1038/nmeth.3869","ISSN":"15487105","abstract":"We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variants.","author":[{"dropping-particle":"","family":"Callahan","given":"Benjamin J.","non-dropping-particle":"","parse-names":false,"suffix":""},{"dropping-particle":"","family":"McMurdie","given":"Paul J.","non-dropping-particle":"","parse-names":false,"suffix":""},{"dropping-particle":"","family":"Rosen","given":"Michael J.","non-dropping-particle":"","parse-names":false,"suffix":""},{"dropping-particle":"","family":"Han","given":"Andrew W.","non-dropping-particle":"","parse-names":false,"suffix":""},{"dropping-particle":"","family":"Johnson","given":"Amy Jo A.","non-dropping-particle":"","parse-names":false,"suffix":""},{"dropping-particle":"","family":"Holmes","given":"Susan P.","non-dropping-particle":"","parse-names":false,"suffix":""}],"container-title":"Nature Methods","id":"ITEM-1","issue":"7","issued":{"date-parts":[["2016"]]},"page":"581-583","title":"DADA2: High-resolution sample inference from Illumina amplicon data","type":"article-journal","volume":"13"},"uris":["http://www.mendeley.com/documents/?uuid=3587fcd7-dbb5-4fc7-8a8a-e616d0d930c7"]}],"mendeley":{"formattedCitation":"(Callahan et al., 2016)","plainTextFormattedCitation":"(Callahan et al., 2016)","previouslyFormattedCitation":"(Callahan et al., 2016)"},"properties":{"noteIndex":0},"schema":"https://github.com/citation-style-language/schema/raw/master/csl-citation.json"}</w:instrText>
      </w:r>
      <w:r w:rsidR="0096280E" w:rsidRPr="0096280E">
        <w:rPr>
          <w:color w:val="000000" w:themeColor="text1"/>
        </w:rPr>
        <w:fldChar w:fldCharType="separate"/>
      </w:r>
      <w:r w:rsidR="00CE6085" w:rsidRPr="00CE6085">
        <w:rPr>
          <w:noProof/>
          <w:color w:val="000000" w:themeColor="text1"/>
        </w:rPr>
        <w:t>(Callahan et al., 2016)</w:t>
      </w:r>
      <w:r w:rsidR="0096280E" w:rsidRPr="0096280E">
        <w:rPr>
          <w:color w:val="000000" w:themeColor="text1"/>
        </w:rPr>
        <w:fldChar w:fldCharType="end"/>
      </w:r>
      <w:r w:rsidR="0096280E" w:rsidRPr="0096280E">
        <w:rPr>
          <w:color w:val="000000" w:themeColor="text1"/>
        </w:rPr>
        <w:t xml:space="preserve">. Forward and reverse sequence reads were concatenated, instead of merged, since the amplicon length for the AM fungal specific target region within the 18S rRNA gene is too long such that, sufficient overlap in reads were negligible or non-existent between pairs. Chimeras were detected across all samples and were tossed from the data set using the </w:t>
      </w:r>
      <w:proofErr w:type="spellStart"/>
      <w:r w:rsidR="0096280E" w:rsidRPr="0096280E">
        <w:rPr>
          <w:color w:val="000000" w:themeColor="text1"/>
        </w:rPr>
        <w:t>removeBimeraDenovo</w:t>
      </w:r>
      <w:proofErr w:type="spellEnd"/>
      <w:r w:rsidR="0096280E" w:rsidRPr="0096280E">
        <w:rPr>
          <w:color w:val="000000" w:themeColor="text1"/>
        </w:rPr>
        <w:t xml:space="preserve"> function. Across all rhizosphere samples, fungal ASVs with less that 12 reads were filtered out of the data set.</w:t>
      </w:r>
    </w:p>
    <w:p w14:paraId="3A7C66DB" w14:textId="53079271" w:rsidR="00EB1D43" w:rsidRPr="0096280E" w:rsidRDefault="0096280E" w:rsidP="0096280E">
      <w:pPr>
        <w:spacing w:line="360" w:lineRule="auto"/>
        <w:rPr>
          <w:color w:val="000000" w:themeColor="text1"/>
          <w:shd w:val="clear" w:color="auto" w:fill="FFFFFF"/>
        </w:rPr>
      </w:pPr>
      <w:r w:rsidRPr="0096280E">
        <w:rPr>
          <w:color w:val="000000" w:themeColor="text1"/>
        </w:rPr>
        <w:tab/>
        <w:t xml:space="preserve">The </w:t>
      </w:r>
      <w:proofErr w:type="spellStart"/>
      <w:r w:rsidRPr="0096280E">
        <w:rPr>
          <w:color w:val="000000" w:themeColor="text1"/>
        </w:rPr>
        <w:t>decostand</w:t>
      </w:r>
      <w:proofErr w:type="spellEnd"/>
      <w:r w:rsidRPr="0096280E">
        <w:rPr>
          <w:color w:val="000000" w:themeColor="text1"/>
        </w:rPr>
        <w:t xml:space="preserve"> function in vegan was then used to proportionally standardize all AM fungal ASVs across each row (within sample). Next, all AM fungal ASVs were matched against the </w:t>
      </w:r>
      <w:proofErr w:type="spellStart"/>
      <w:r w:rsidRPr="0096280E">
        <w:rPr>
          <w:color w:val="000000" w:themeColor="text1"/>
        </w:rPr>
        <w:t>MaarjAM</w:t>
      </w:r>
      <w:proofErr w:type="spellEnd"/>
      <w:r w:rsidRPr="0096280E">
        <w:rPr>
          <w:color w:val="000000" w:themeColor="text1"/>
        </w:rPr>
        <w:t xml:space="preserve"> database, an AM fungal sequence repository for the NS31/AML2 primer pair, using BLAST, the Basic Local Alignment Search Tool </w:t>
      </w:r>
      <w:r w:rsidRPr="0096280E">
        <w:rPr>
          <w:color w:val="000000" w:themeColor="text1"/>
        </w:rPr>
        <w:fldChar w:fldCharType="begin" w:fldLock="1"/>
      </w:r>
      <w:r w:rsidR="006E1F09">
        <w:rPr>
          <w:color w:val="000000" w:themeColor="text1"/>
        </w:rPr>
        <w:instrText>ADDIN CSL_CITATION {"citationItems":[{"id":"ITEM-1","itemData":{"DOI":"10.1111/j.1469-8137.2010.03334.x","ISSN":"0028646X","PMID":"20561207","abstract":"•Here, we describe a new database, Maarj. AM, that summarizes publicly available Glomeromycota DNA sequence data and associated metadata. The goal of the database is to facilitate the description of distribution and richness patterns in this group of fungi.•Small subunit (SSU) rRNA gene sequences and available metadata were collated from all suitable taxonomic and ecological publications. These data have been made accessible in an open-access database (http://maarjam.botany.ut.ee).•Two hundred and eighty-two SSU rRNA gene virtual taxa (VT) were described based on a comprehensive phylogenetic analysis of all collated Glomeromycota sequences. Two-thirds of VT showed limited distribution ranges, occurring in single current or historic continents or climatic zones. Those VT that associated with a taxonomically wide range of host plants also tended to have a wide geographical distribution, and vice versa. No relationships were detected between VT richness and latitude, elevation or vascular plant richness.•The collated Glomeromycota molecular diversity data suggest limited distribution ranges in most Glomeromycota taxa and a positive relationship between the width of a taxon's geographical range and its host taxonomic range. Inconsistencies between molecular and traditional taxonomy of Glomeromycota, and shortage of data from major continents and ecosystems, are highlighted. © The Authors (2010). Journal compilation © New Phytologist Trust (2010).","author":[{"dropping-particle":"","family":"Öpik","given":"M.","non-dropping-particle":"","parse-names":false,"suffix":""},{"dropping-particle":"","family":"Vanatoa","given":"A.","non-dropping-particle":"","parse-names":false,"suffix":""},{"dropping-particle":"","family":"Vanatoa","given":"E.","non-dropping-particle":"","parse-names":false,"suffix":""},{"dropping-particle":"","family":"Moora","given":"M.","non-dropping-particle":"","parse-names":false,"suffix":""},{"dropping-particle":"","family":"Davison","given":"J.","non-dropping-particle":"","parse-names":false,"suffix":""},{"dropping-particle":"","family":"Kalwij","given":"J. M.","non-dropping-particle":"","parse-names":false,"suffix":""},{"dropping-particle":"","family":"Reier","given":"Ü","non-dropping-particle":"","parse-names":false,"suffix":""},{"dropping-particle":"","family":"Zobel","given":"M.","non-dropping-particle":"","parse-names":false,"suffix":""}],"container-title":"New Phytologist","id":"ITEM-1","issue":"1","issued":{"date-parts":[["2010"]]},"page":"223-241","title":"The online database MaarjAM reveals global and ecosystemic distribution patterns in arbuscular mycorrhizal fungi (Glomeromycota)","type":"article-journal","volume":"188"},"uris":["http://www.mendeley.com/documents/?uuid=9409c474-e8e2-4f7d-aafb-f74eeb4bf452"]}],"mendeley":{"formattedCitation":"(Öpik et al., 2010)","plainTextFormattedCitation":"(Öpik et al., 2010)","previouslyFormattedCitation":"(Öpik et al., 2010)"},"properties":{"noteIndex":0},"schema":"https://github.com/citation-style-language/schema/raw/master/csl-citation.json"}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(Öpik et al., 2010)</w:t>
      </w:r>
      <w:r w:rsidRPr="0096280E">
        <w:rPr>
          <w:color w:val="000000" w:themeColor="text1"/>
        </w:rPr>
        <w:fldChar w:fldCharType="end"/>
      </w:r>
      <w:r w:rsidRPr="0096280E">
        <w:rPr>
          <w:color w:val="000000" w:themeColor="text1"/>
        </w:rPr>
        <w:t xml:space="preserve">. </w:t>
      </w:r>
      <w:r w:rsidRPr="0096280E">
        <w:rPr>
          <w:color w:val="000000" w:themeColor="text1"/>
          <w:shd w:val="clear" w:color="auto" w:fill="FFFFFF"/>
        </w:rPr>
        <w:t xml:space="preserve">The program PASTA (Practical Alignment using </w:t>
      </w:r>
      <w:proofErr w:type="spellStart"/>
      <w:r w:rsidRPr="0096280E">
        <w:rPr>
          <w:color w:val="000000" w:themeColor="text1"/>
          <w:shd w:val="clear" w:color="auto" w:fill="FFFFFF"/>
        </w:rPr>
        <w:t>Saté</w:t>
      </w:r>
      <w:proofErr w:type="spellEnd"/>
      <w:r w:rsidRPr="0096280E">
        <w:rPr>
          <w:color w:val="000000" w:themeColor="text1"/>
          <w:shd w:val="clear" w:color="auto" w:fill="FFFFFF"/>
        </w:rPr>
        <w:t xml:space="preserve"> and </w:t>
      </w:r>
      <w:proofErr w:type="spellStart"/>
      <w:r w:rsidRPr="0096280E">
        <w:rPr>
          <w:color w:val="000000" w:themeColor="text1"/>
          <w:shd w:val="clear" w:color="auto" w:fill="FFFFFF"/>
        </w:rPr>
        <w:t>TrAnsitivity</w:t>
      </w:r>
      <w:proofErr w:type="spellEnd"/>
      <w:r w:rsidRPr="0096280E">
        <w:rPr>
          <w:color w:val="000000" w:themeColor="text1"/>
          <w:shd w:val="clear" w:color="auto" w:fill="FFFFFF"/>
        </w:rPr>
        <w:t xml:space="preserve">; </w:t>
      </w:r>
      <w:r w:rsidRPr="0096280E">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{"citationItems":[{"id":"ITEM-1","itemData":{"DOI":"10.1089/cmb.2014.0156","ISSN":"10665277","PMID":"25549288","abstract":"We introduce PASTA, a new multiple sequence alignment algorithm. PASTA uses a new technique to produce an alignment given a guide tree that enables it to be both highly scalable and very accurate. We present a study on biological and simulated data with up to 200,000 sequences, showing that PASTA produces highly accurate alignments, improving on the accuracy and scalability of the leading alignment methods (including SATé). We also show that trees estimated on PASTA alignments are highly accurate - slightly better than SATé trees, but with substantial improvements relative to other methods. Finally, PASTA is faster than SATé, highly parallelizable, and requires relatively little memory.","author":[{"dropping-particle":"","family":"Mirarab","given":"Siavash","non-dropping-particle":"","parse-names":false,"suffix":""},{"dropping-particle":"","family":"Nguyen","given":"Nam","non-dropping-particle":"","parse-names":false,"suffix":""},{"dropping-particle":"","family":"Guo","given":"Sheng","non-dropping-particle":"","parse-names":false,"suffix":""},{"dropping-particle":"","family":"Wang","given":"Li San","non-dropping-particle":"","parse-names":false,"suffix":""},{"dropping-particle":"","family":"Kim","given":"Junhyong","non-dropping-particle":"","parse-names":false,"suffix":""},{"dropping-particle":"","family":"Warnow","given":"Tandy","non-dropping-particle":"","parse-names":false,"suffix":""}],"container-title":"Journal of Computational Biology","id":"ITEM-1","issue":"5","issued":{"date-parts":[["2015"]]},"page":"377-386","title":"PASTA: Ultra-large multiple sequence alignment for nucleotide and amino-acid sequences","type":"article-journal","volume":"22"},"uris":["http://www.mendeley.com/documents/?uuid=e6bac3c8-2799-4ff5-81b8-7a2620e4e046"]}],"mendeley":{"formattedCitation":"(Mirarab et al., 2015)","manualFormatting":"Mirarab et al. 2015)","plainTextFormattedCitation":"(Mirarab et al., 2015)","previouslyFormattedCitation":"(Mirarab et al., 2015)"},"properties":{"noteIndex":0},"schema":"https://github.com/citation-style-language/schema/raw/master/csl-citation.json"}</w:instrText>
      </w:r>
      <w:r w:rsidRPr="0096280E">
        <w:rPr>
          <w:color w:val="000000" w:themeColor="text1"/>
          <w:shd w:val="clear" w:color="auto" w:fill="FFFFFF"/>
        </w:rPr>
        <w:fldChar w:fldCharType="separate"/>
      </w:r>
      <w:r w:rsidRPr="0096280E">
        <w:rPr>
          <w:noProof/>
          <w:color w:val="000000" w:themeColor="text1"/>
          <w:shd w:val="clear" w:color="auto" w:fill="FFFFFF"/>
        </w:rPr>
        <w:t xml:space="preserve">Mirarab </w:t>
      </w:r>
      <w:r w:rsidRPr="0096280E">
        <w:rPr>
          <w:i/>
          <w:noProof/>
          <w:color w:val="000000" w:themeColor="text1"/>
          <w:shd w:val="clear" w:color="auto" w:fill="FFFFFF"/>
        </w:rPr>
        <w:t>et al.</w:t>
      </w:r>
      <w:r w:rsidRPr="0096280E">
        <w:rPr>
          <w:noProof/>
          <w:color w:val="000000" w:themeColor="text1"/>
          <w:shd w:val="clear" w:color="auto" w:fill="FFFFFF"/>
        </w:rPr>
        <w:t xml:space="preserve"> 2015)</w:t>
      </w:r>
      <w:r w:rsidRPr="0096280E">
        <w:rPr>
          <w:color w:val="000000" w:themeColor="text1"/>
          <w:shd w:val="clear" w:color="auto" w:fill="FFFFFF"/>
        </w:rPr>
        <w:fldChar w:fldCharType="end"/>
      </w:r>
      <w:r w:rsidRPr="0096280E">
        <w:rPr>
          <w:color w:val="000000" w:themeColor="text1"/>
          <w:shd w:val="clear" w:color="auto" w:fill="FFFFFF"/>
        </w:rPr>
        <w:t xml:space="preserve"> was used to conduct multiple sequence alignment with MAFFT software </w:t>
      </w:r>
      <w:r w:rsidRPr="0096280E">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{"citationItems":[{"id":"ITEM-1","itemData":{"DOI":"10.1093/molbev/mst010","ISSN":"1537-1719","PMID":"23329690","abstract":"We report a major update of the MAFFT multiple sequence alignment program. This version has several new features, including options for adding unaligned sequences into an existing alignment, adjustment of direction in nucleotide alignment, constrained alignment and parallel processing, which were implemented after the previous major update. This report shows actual examples to explain how these features work, alone and in combination. Some examples incorrectly aligned by MAFFT are also shown to clarify its limitations. We discuss how to avoid misalignments, and our ongoing efforts to overcome such limitations.","author":[{"dropping-particle":"","family":"Katoh","given":"Kazutaka","non-dropping-particle":"","parse-names":false,"suffix":""},{"dropping-particle":"","family":"Standley","given":"Daron M","non-dropping-particle":"","parse-names":false,"suffix":""}],"container-title":"Molecular biology and evolution","id":"ITEM-1","issue":"4","issued":{"date-parts":[["2013"]]},"page":"772-80","title":"MAFFT multiple sequence alignment software version 7: improvements in performance and usability","type":"article-journal","volume":"30"},"uris":["http://www.mendeley.com/documents/?uuid=dffd9c92-32c7-47d1-b87e-4e36581c7e9e"]}],"mendeley":{"formattedCitation":"(Katoh and Standley, 2013)","plainTextFormattedCitation":"(Katoh and Standley, 2013)","previouslyFormattedCitation":"(Katoh and Standley, 2013)"},"properties":{"noteIndex":0},"schema":"https://github.com/citation-style-language/schema/raw/master/csl-citation.json"}</w:instrText>
      </w:r>
      <w:r w:rsidRPr="0096280E">
        <w:rPr>
          <w:color w:val="000000" w:themeColor="text1"/>
          <w:shd w:val="clear" w:color="auto" w:fill="FFFFFF"/>
        </w:rPr>
        <w:fldChar w:fldCharType="separate"/>
      </w:r>
      <w:r w:rsidR="00CE6085" w:rsidRPr="00CE6085">
        <w:rPr>
          <w:noProof/>
          <w:color w:val="000000" w:themeColor="text1"/>
          <w:shd w:val="clear" w:color="auto" w:fill="FFFFFF"/>
        </w:rPr>
        <w:t>(Katoh and Standley, 2013)</w:t>
      </w:r>
      <w:r w:rsidRPr="0096280E">
        <w:rPr>
          <w:color w:val="000000" w:themeColor="text1"/>
          <w:shd w:val="clear" w:color="auto" w:fill="FFFFFF"/>
        </w:rPr>
        <w:fldChar w:fldCharType="end"/>
      </w:r>
      <w:r w:rsidRPr="0096280E">
        <w:rPr>
          <w:color w:val="000000" w:themeColor="text1"/>
          <w:shd w:val="clear" w:color="auto" w:fill="FFFFFF"/>
        </w:rPr>
        <w:t xml:space="preserve">. Then, the aligned </w:t>
      </w:r>
      <w:proofErr w:type="spellStart"/>
      <w:r w:rsidRPr="0096280E">
        <w:rPr>
          <w:color w:val="000000" w:themeColor="text1"/>
          <w:shd w:val="clear" w:color="auto" w:fill="FFFFFF"/>
        </w:rPr>
        <w:t>fasta</w:t>
      </w:r>
      <w:proofErr w:type="spellEnd"/>
      <w:r w:rsidRPr="0096280E">
        <w:rPr>
          <w:color w:val="000000" w:themeColor="text1"/>
          <w:shd w:val="clear" w:color="auto" w:fill="FFFFFF"/>
        </w:rPr>
        <w:t xml:space="preserve"> file was used to infer a Maximum Likelihood phylogenetic tree using FastTree-2 </w:t>
      </w:r>
      <w:r w:rsidRPr="0096280E">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{"citationItems":[{"id":"ITEM-1","itemData":{"DOI":"10.1371/journal.pone.0009490","ISSN":"19326203","PMID":"20224823","abstract":"Background: We recently described FastTree, a tool for inferring phylogenies for alignments with up to hundreds of thousands of sequences. Here, we describe improvements to FastTree that improve its accuracy without sacrificing scalability. Methodology/Principal Findings: Where FastTree 1 used nearest-neighbor interchanges (NNIs) and the minimum-evolution criterion to improve the tree, FastTree 2 adds minimum-evolution subtree-pruning-regrafting (SPRs) and maximum-likelihood NNIs. FastTree 2 uses heuristics to restrict the search for better trees and estimates a rate of evolution for each site (the \"CAT\" approximation). Nevertheless, for both simulated and genuine alignments, FastTree 2 is slightly more accurate than a standard implementation of maximum-likelihood NNIs (PhyML 3 with default settings). Although FastTree 2 is not quite as accurate as methods that use maximum-likelihood SPRs, most of the splits that disagree are poorly supported, and for large alignments, FastTree 2 is 100-1,000 times faster. FastTree 2 inferred a topology and likelihood-based local support values for 237,882 distinct 16S ribosomal RNAs on a desktop computer in 22 hours and 5.8 gigabytes of memory. Conclusions/Significance: FastTree 2 allows the inference of maximum-likelihood phylogenies for huge alignments. FastTree 2 is freely available at http://www.microbesonline.org/fasttree. © 2010 Price et al.","author":[{"dropping-particle":"","family":"Price","given":"Morgan N.","non-dropping-particle":"","parse-names":false,"suffix":""},{"dropping-particle":"","family":"Dehal","given":"Paramvir S.","non-dropping-particle":"","parse-names":false,"suffix":""},{"dropping-particle":"","family":"Arkin","given":"Adam P.","non-dropping-particle":"","parse-names":false,"suffix":""}],"container-title":"PLoS ONE","id":"ITEM-1","issue":"3","issued":{"date-parts":[["2010"]]},"title":"FastTree 2 - Approximately maximum-likelihood trees for large alignments","type":"article-journal","volume":"5"},"uris":["http://www.mendeley.com/documents/?uuid=2462290f-91a5-4ac9-89f6-966098c02597"]}],"mendeley":{"formattedCitation":"(Price et al., 2010)","plainTextFormattedCitation":"(Price et al., 2010)","previouslyFormattedCitation":"(Price et al., 2010)"},"properties":{"noteIndex":0},"schema":"https://github.com/citation-style-language/schema/raw/master/csl-citation.json"}</w:instrText>
      </w:r>
      <w:r w:rsidRPr="0096280E">
        <w:rPr>
          <w:color w:val="000000" w:themeColor="text1"/>
          <w:shd w:val="clear" w:color="auto" w:fill="FFFFFF"/>
        </w:rPr>
        <w:fldChar w:fldCharType="separate"/>
      </w:r>
      <w:r w:rsidR="00CE6085" w:rsidRPr="00CE6085">
        <w:rPr>
          <w:noProof/>
          <w:color w:val="000000" w:themeColor="text1"/>
          <w:shd w:val="clear" w:color="auto" w:fill="FFFFFF"/>
        </w:rPr>
        <w:t>(Price et al., 2010)</w:t>
      </w:r>
      <w:r w:rsidRPr="0096280E">
        <w:rPr>
          <w:color w:val="000000" w:themeColor="text1"/>
          <w:shd w:val="clear" w:color="auto" w:fill="FFFFFF"/>
        </w:rPr>
        <w:fldChar w:fldCharType="end"/>
      </w:r>
      <w:r w:rsidRPr="0096280E">
        <w:rPr>
          <w:color w:val="000000" w:themeColor="text1"/>
          <w:shd w:val="clear" w:color="auto" w:fill="FFFFFF"/>
        </w:rPr>
        <w:t xml:space="preserve">. FastTree-2 created a generalized time-reversible CAT model of rate heterogeneity to estimate 18S rRNA phylogeny. Lastly, the </w:t>
      </w:r>
      <w:proofErr w:type="spellStart"/>
      <w:r w:rsidRPr="0096280E">
        <w:rPr>
          <w:color w:val="000000" w:themeColor="text1"/>
          <w:shd w:val="clear" w:color="auto" w:fill="FFFFFF"/>
        </w:rPr>
        <w:t>treePL</w:t>
      </w:r>
      <w:proofErr w:type="spellEnd"/>
      <w:r w:rsidRPr="0096280E">
        <w:rPr>
          <w:color w:val="000000" w:themeColor="text1"/>
          <w:shd w:val="clear" w:color="auto" w:fill="FFFFFF"/>
        </w:rPr>
        <w:t xml:space="preserve"> program was utilized to correct for differences in divergence time among branch lengths using a penalized likelihood approach </w:t>
      </w:r>
      <w:r w:rsidRPr="0096280E">
        <w:rPr>
          <w:color w:val="000000" w:themeColor="text1"/>
          <w:shd w:val="clear" w:color="auto" w:fill="FFFFFF"/>
        </w:rPr>
        <w:fldChar w:fldCharType="begin" w:fldLock="1"/>
      </w:r>
      <w:r w:rsidR="006E1F09">
        <w:rPr>
          <w:color w:val="000000" w:themeColor="text1"/>
          <w:shd w:val="clear" w:color="auto" w:fill="FFFFFF"/>
        </w:rPr>
        <w:instrText>ADDIN CSL_CITATION {"citationItems":[{"id":"ITEM-1","itemData":{"DOI":"10.1093/bioinformatics/bts492","ISSN":"13674803","abstract":"Ever larger phylogenies are being constructed due to the explosion of genetic data and development of high-performance phylogenetic reconstruction algorithms. However, most methods for calculating divergence times are limited to datasets that are orders of magnitude smaller than recently published large phylogenies. Here, we present an algorithm and implementation of a divergence time method using penalized likelihood that can handle datasets of thousands of taxa. We implement a method that combines the standard derivative-based optimization with a stochastic simulated annealing approach to overcome optimization challenges. We compare this approach with existing software including r8s, PATHd8 and BEAST. © The Author 2012. Published by Oxford University Press. All rights reserved.","author":[{"dropping-particle":"","family":"Smith","given":"Stephen A.","non-dropping-particle":"","parse-names":false,"suffix":""},{"dropping-particle":"","family":"O'Meara","given":"Brian C.","non-dropping-particle":"","parse-names":false,"suffix":""}],"container-title":"Bioinformatics","id":"ITEM-1","issue":"20","issued":{"date-parts":[["2012"]]},"page":"2689-2690","title":"TreePL: Divergence time estimation using penalized likelihood for large phylogenies","type":"article-journal","volume":"28"},"uris":["http://www.mendeley.com/documents/?uuid=5017ab19-a16e-40ce-b0a4-8729e6147091"]}],"mendeley":{"formattedCitation":"(Smith and O’Meara, 2012)","plainTextFormattedCitation":"(Smith and O’Meara, 2012)","previouslyFormattedCitation":"(Smith and O’Meara, 2012)"},"properties":{"noteIndex":0},"schema":"https://github.com/citation-style-language/schema/raw/master/csl-citation.json"}</w:instrText>
      </w:r>
      <w:r w:rsidRPr="0096280E">
        <w:rPr>
          <w:color w:val="000000" w:themeColor="text1"/>
          <w:shd w:val="clear" w:color="auto" w:fill="FFFFFF"/>
        </w:rPr>
        <w:fldChar w:fldCharType="separate"/>
      </w:r>
      <w:r w:rsidR="00CE6085" w:rsidRPr="00CE6085">
        <w:rPr>
          <w:noProof/>
          <w:color w:val="000000" w:themeColor="text1"/>
          <w:shd w:val="clear" w:color="auto" w:fill="FFFFFF"/>
        </w:rPr>
        <w:t>(Smith and O’Meara, 2012)</w:t>
      </w:r>
      <w:r w:rsidRPr="0096280E">
        <w:rPr>
          <w:color w:val="000000" w:themeColor="text1"/>
          <w:shd w:val="clear" w:color="auto" w:fill="FFFFFF"/>
        </w:rPr>
        <w:fldChar w:fldCharType="end"/>
      </w:r>
      <w:r w:rsidRPr="0096280E">
        <w:rPr>
          <w:color w:val="000000" w:themeColor="text1"/>
          <w:shd w:val="clear" w:color="auto" w:fill="FFFFFF"/>
        </w:rPr>
        <w:t xml:space="preserve">. </w:t>
      </w:r>
      <w:r w:rsidRPr="0096280E">
        <w:rPr>
          <w:color w:val="000000" w:themeColor="text1"/>
        </w:rPr>
        <w:t xml:space="preserve">Differences in sampling effort were normalized by rarifying to the lowest number of reads among samples (1,768) for 1,000 iterations using the vegan package v.2.5-6 </w:t>
      </w:r>
      <w:r w:rsidRPr="0096280E">
        <w:rPr>
          <w:color w:val="000000" w:themeColor="text1"/>
        </w:rPr>
        <w:fldChar w:fldCharType="begin" w:fldLock="1"/>
      </w:r>
      <w:r w:rsidR="006E1F09">
        <w:rPr>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2019)","plainTextFormattedCitation":"(Oksanen et al., 2019)","previouslyFormattedCitation":"(Oksanen et al., 2019)"},"properties":{"noteIndex":0},"schema":"https://github.com/citation-style-language/schema/raw/master/csl-citation.json"}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(Oksanen et al., 2019)</w:t>
      </w:r>
      <w:r w:rsidRPr="0096280E">
        <w:rPr>
          <w:color w:val="000000" w:themeColor="text1"/>
        </w:rPr>
        <w:fldChar w:fldCharType="end"/>
      </w:r>
      <w:r w:rsidRPr="0096280E">
        <w:rPr>
          <w:color w:val="000000" w:themeColor="text1"/>
        </w:rPr>
        <w:t xml:space="preserve">, creating 1,000 rarefied AM fungal communities per sample. </w:t>
      </w:r>
    </w:p>
    <w:p w14:paraId="38FCA300" w14:textId="09703A02" w:rsidR="00EB1D43" w:rsidRPr="0096280E" w:rsidRDefault="00EB1D43" w:rsidP="0096280E">
      <w:pPr>
        <w:pStyle w:val="Heading3"/>
      </w:pPr>
      <w:bookmarkStart w:id="75" w:name="_Toc102048032"/>
      <w:r w:rsidRPr="0096280E">
        <w:t>Statistical analyses</w:t>
      </w:r>
      <w:bookmarkEnd w:id="75"/>
    </w:p>
    <w:p w14:paraId="130458D0" w14:textId="2865E82C" w:rsidR="0096280E" w:rsidRPr="0096280E" w:rsidRDefault="005176B9" w:rsidP="0096280E">
      <w:pPr>
        <w:spacing w:line="360" w:lineRule="auto"/>
      </w:pPr>
      <w:r w:rsidRPr="0096280E">
        <w:tab/>
      </w:r>
      <w:r w:rsidR="0096280E" w:rsidRPr="0096280E">
        <w:t>To address the question, to what extent does AM fungal community composition respond to monsoon rainfall exclusion, sampling date and soil abiotic factors, a distance-based redundancy analysis (</w:t>
      </w:r>
      <w:proofErr w:type="spellStart"/>
      <w:r w:rsidR="0096280E" w:rsidRPr="0096280E">
        <w:t>dbRDA</w:t>
      </w:r>
      <w:proofErr w:type="spellEnd"/>
      <w:r w:rsidR="0096280E" w:rsidRPr="0096280E">
        <w:t xml:space="preserve">) was utilized (R package vegan, </w:t>
      </w:r>
      <w:r w:rsidR="0096280E" w:rsidRPr="0096280E">
        <w:fldChar w:fldCharType="begin" w:fldLock="1"/>
      </w:r>
      <w:r w:rsidR="006E1F09">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2019)","manualFormatting":"Oksanen et al. 2019)","plainTextFormattedCitation":"(Oksanen et al., 2019)","previouslyFormattedCitation":"(Oksanen et al., 2019)"},"properties":{"noteIndex":0},"schema":"https://github.com/citation-style-language/schema/raw/master/csl-citation.json"}</w:instrText>
      </w:r>
      <w:r w:rsidR="0096280E" w:rsidRPr="0096280E">
        <w:fldChar w:fldCharType="separate"/>
      </w:r>
      <w:r w:rsidR="0096280E" w:rsidRPr="0096280E">
        <w:rPr>
          <w:noProof/>
        </w:rPr>
        <w:t xml:space="preserve">Oksanen </w:t>
      </w:r>
      <w:r w:rsidR="0096280E" w:rsidRPr="0096280E">
        <w:rPr>
          <w:i/>
          <w:noProof/>
        </w:rPr>
        <w:t>et al.</w:t>
      </w:r>
      <w:r w:rsidR="0096280E" w:rsidRPr="0096280E">
        <w:rPr>
          <w:noProof/>
        </w:rPr>
        <w:t xml:space="preserve"> 2019)</w:t>
      </w:r>
      <w:r w:rsidR="0096280E" w:rsidRPr="0096280E">
        <w:fldChar w:fldCharType="end"/>
      </w:r>
      <w:r w:rsidR="0096280E" w:rsidRPr="0096280E">
        <w:t xml:space="preserve">. The quantitative Jaccard </w:t>
      </w:r>
      <w:r w:rsidR="0096280E" w:rsidRPr="0096280E">
        <w:rPr>
          <w:color w:val="000000" w:themeColor="text1"/>
        </w:rPr>
        <w:t xml:space="preserve">distance (also known as the </w:t>
      </w:r>
      <w:proofErr w:type="spellStart"/>
      <w:r w:rsidR="0096280E" w:rsidRPr="0096280E">
        <w:rPr>
          <w:color w:val="000000" w:themeColor="text1"/>
          <w:shd w:val="clear" w:color="auto" w:fill="FFFFFF"/>
        </w:rPr>
        <w:t>Ružička</w:t>
      </w:r>
      <w:proofErr w:type="spellEnd"/>
      <w:r w:rsidR="0096280E" w:rsidRPr="0096280E">
        <w:rPr>
          <w:color w:val="000000" w:themeColor="text1"/>
          <w:shd w:val="clear" w:color="auto" w:fill="FFFFFF"/>
        </w:rPr>
        <w:t xml:space="preserve"> distance</w:t>
      </w:r>
      <w:r w:rsidR="0096280E" w:rsidRPr="0096280E">
        <w:rPr>
          <w:color w:val="000000" w:themeColor="text1"/>
        </w:rPr>
        <w:t xml:space="preserve">) </w:t>
      </w:r>
      <w:r w:rsidR="0096280E" w:rsidRPr="0096280E">
        <w:t xml:space="preserve">was used to test community dissimilarity in composition among rainfall exclusion treatments, sampling date, and soil abiotic factors. A distance matrix was calculated for each of the 1,000 rarefied communities and a mean distance matrix was calculated for incorporation into model selection. Forward stepwise model </w:t>
      </w:r>
      <w:r w:rsidR="0096280E" w:rsidRPr="0096280E">
        <w:lastRenderedPageBreak/>
        <w:t xml:space="preserve">selection on the </w:t>
      </w:r>
      <w:proofErr w:type="spellStart"/>
      <w:r w:rsidR="0096280E" w:rsidRPr="0096280E">
        <w:t>dbRDA</w:t>
      </w:r>
      <w:proofErr w:type="spellEnd"/>
      <w:r w:rsidR="0096280E" w:rsidRPr="0096280E">
        <w:t xml:space="preserve"> analysis was completed using the function ordiR2step in the vegan package (permutations=1000). The full scope incorporated into model selection had the following variables as main effects: rainfall exclusion treatment, sampling date, log of phosphorous, log of ammonium, and the square root of nitrate. Model selection on the </w:t>
      </w:r>
      <w:proofErr w:type="spellStart"/>
      <w:r w:rsidR="0096280E" w:rsidRPr="0096280E">
        <w:t>dbRDA</w:t>
      </w:r>
      <w:proofErr w:type="spellEnd"/>
      <w:r w:rsidR="0096280E" w:rsidRPr="0096280E">
        <w:t xml:space="preserve"> using the mean </w:t>
      </w:r>
      <w:r w:rsidR="0096280E" w:rsidRPr="0096280E">
        <w:rPr>
          <w:color w:val="000000" w:themeColor="text1"/>
          <w:shd w:val="clear" w:color="auto" w:fill="FFFFFF"/>
        </w:rPr>
        <w:t>quantitative Jaccard</w:t>
      </w:r>
      <w:r w:rsidR="0096280E" w:rsidRPr="0096280E">
        <w:t xml:space="preserve"> distance from 1000 rarefied communities determined rainfall exclusion treatment and log of phosphorous as main effects. </w:t>
      </w:r>
      <w:r w:rsidR="0096280E" w:rsidRPr="0096280E">
        <w:rPr>
          <w:color w:val="000000" w:themeColor="text1"/>
        </w:rPr>
        <w:t xml:space="preserve">For hypothesis testing, an analysis of variation (permutations = 9,999) was conducted on this </w:t>
      </w:r>
      <w:proofErr w:type="spellStart"/>
      <w:r w:rsidR="0096280E" w:rsidRPr="0096280E">
        <w:rPr>
          <w:color w:val="000000" w:themeColor="text1"/>
        </w:rPr>
        <w:t>dbRDA</w:t>
      </w:r>
      <w:proofErr w:type="spellEnd"/>
      <w:r w:rsidR="0096280E" w:rsidRPr="0096280E">
        <w:rPr>
          <w:color w:val="000000" w:themeColor="text1"/>
        </w:rPr>
        <w:t xml:space="preserve">. A constrained ordination was made from this model using the two most predictive axes and their associated species scores. </w:t>
      </w:r>
    </w:p>
    <w:p w14:paraId="28CFE55A" w14:textId="798ABB18" w:rsidR="0096280E" w:rsidRPr="0096280E" w:rsidRDefault="0096280E" w:rsidP="0096280E">
      <w:pPr>
        <w:spacing w:line="360" w:lineRule="auto"/>
        <w:rPr>
          <w:color w:val="000000" w:themeColor="text1"/>
        </w:rPr>
      </w:pPr>
      <w:r w:rsidRPr="0096280E">
        <w:rPr>
          <w:color w:val="000000" w:themeColor="text1"/>
        </w:rPr>
        <w:tab/>
        <w:t>Hill numbers were used to examine the effective number of AM fungal ASVs (</w:t>
      </w:r>
      <w:proofErr w:type="spellStart"/>
      <w:r w:rsidRPr="0096280E">
        <w:rPr>
          <w:i/>
          <w:iCs/>
          <w:color w:val="000000" w:themeColor="text1"/>
          <w:vertAlign w:val="superscript"/>
        </w:rPr>
        <w:t>q</w:t>
      </w:r>
      <w:r w:rsidRPr="0096280E">
        <w:rPr>
          <w:i/>
          <w:iCs/>
          <w:color w:val="000000" w:themeColor="text1"/>
        </w:rPr>
        <w:t>D</w:t>
      </w:r>
      <w:proofErr w:type="spellEnd"/>
      <w:r w:rsidRPr="0096280E">
        <w:rPr>
          <w:color w:val="000000" w:themeColor="text1"/>
        </w:rPr>
        <w:t xml:space="preserve">) associated with each treatment and date </w:t>
      </w:r>
      <w:r w:rsidRPr="0096280E">
        <w:rPr>
          <w:color w:val="000000" w:themeColor="text1"/>
        </w:rPr>
        <w:fldChar w:fldCharType="begin" w:fldLock="1"/>
      </w:r>
      <w:r w:rsidR="006E1F09">
        <w:rPr>
          <w:color w:val="000000" w:themeColor="text1"/>
        </w:rPr>
        <w:instrText>ADDIN CSL_CITATION {"citationItems":[{"id":"ITEM-1","itemData":{"DOI":"10.2307/1934352","abstract":"Three commonly used measures of diversity, Simpson's index, Shannon's entropy, and the total number of species, are related to Renyi's definition of a generalized entropy. A unified concept of diversity is presented, according to which there is a continuum of possible diversity measures. In a sense which becomes apparent, these measures provide estimates of the effective number of species present, and differ only in their tendency to include or to ignore the relatively rarer species. The notion of the diversity of a community as opposed to that of a sample is examined, and is related to the asymptotic form of the species—abundance curve. A new and plausible definition of evenness is derived. See full-text article at JSTOR","author":[{"dropping-particle":"","family":"Hill","given":"M. O.","non-dropping-particle":"","parse-names":false,"suffix":""}],"container-title":"Ecology","id":"ITEM-1","issue":"2","issued":{"date-parts":[["1973"]]},"page":"427-432","title":"Diversity and Evenness: A Unifying Notation and Its Consequences","type":"article-journal","volume":"54"},"uris":["http://www.mendeley.com/documents/?uuid=f399ee3f-7768-48a0-83a7-c4019a27eec2"]}],"mendeley":{"formattedCitation":"(Hill, 1973)","plainTextFormattedCitation":"(Hill, 1973)","previouslyFormattedCitation":"(Hill, 1973)"},"properties":{"noteIndex":0},"schema":"https://github.com/citation-style-language/schema/raw/master/csl-citation.json"}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(Hill, 1973)</w:t>
      </w:r>
      <w:r w:rsidRPr="0096280E">
        <w:rPr>
          <w:color w:val="000000" w:themeColor="text1"/>
        </w:rPr>
        <w:fldChar w:fldCharType="end"/>
      </w:r>
      <w:r w:rsidRPr="0096280E">
        <w:rPr>
          <w:color w:val="000000" w:themeColor="text1"/>
        </w:rPr>
        <w:t>. The effective number of AM fungal ASVs (</w:t>
      </w:r>
      <w:r w:rsidRPr="0096280E">
        <w:rPr>
          <w:i/>
          <w:iCs/>
          <w:color w:val="000000" w:themeColor="text1"/>
        </w:rPr>
        <w:t>D</w:t>
      </w:r>
      <w:r w:rsidRPr="0096280E">
        <w:rPr>
          <w:color w:val="000000" w:themeColor="text1"/>
        </w:rPr>
        <w:t>) is sensitive to the order of diversity (</w:t>
      </w:r>
      <w:r w:rsidRPr="0096280E">
        <w:rPr>
          <w:i/>
          <w:iCs/>
          <w:color w:val="000000" w:themeColor="text1"/>
        </w:rPr>
        <w:t>q</w:t>
      </w:r>
      <w:r w:rsidRPr="0096280E">
        <w:rPr>
          <w:color w:val="000000" w:themeColor="text1"/>
        </w:rPr>
        <w:t xml:space="preserve">), the importance of rare ASVs is reduced when calculating alpha and beta diversity as the value of </w:t>
      </w:r>
      <w:r w:rsidRPr="0096280E">
        <w:rPr>
          <w:i/>
          <w:iCs/>
          <w:color w:val="000000" w:themeColor="text1"/>
        </w:rPr>
        <w:t>q</w:t>
      </w:r>
      <w:r w:rsidRPr="0096280E">
        <w:rPr>
          <w:color w:val="000000" w:themeColor="text1"/>
        </w:rPr>
        <w:t xml:space="preserve"> increases. For instance, </w:t>
      </w:r>
      <w:r w:rsidRPr="0096280E">
        <w:rPr>
          <w:i/>
          <w:iCs/>
          <w:color w:val="000000" w:themeColor="text1"/>
        </w:rPr>
        <w:t>q</w:t>
      </w:r>
      <w:r w:rsidRPr="0096280E">
        <w:rPr>
          <w:color w:val="000000" w:themeColor="text1"/>
        </w:rPr>
        <w:t xml:space="preserve">=0 represents species richness, where rare and common ASVs are weighted equally. At </w:t>
      </w:r>
      <w:r w:rsidRPr="0096280E">
        <w:rPr>
          <w:i/>
          <w:iCs/>
          <w:color w:val="000000" w:themeColor="text1"/>
        </w:rPr>
        <w:t>q</w:t>
      </w:r>
      <w:r w:rsidRPr="0096280E">
        <w:rPr>
          <w:color w:val="000000" w:themeColor="text1"/>
        </w:rPr>
        <w:t xml:space="preserve">=1 (exponential Shannon’s entropy), ASVs are weighted by their proportional abundance. Lastly, </w:t>
      </w:r>
      <w:r w:rsidRPr="0096280E">
        <w:rPr>
          <w:i/>
          <w:iCs/>
          <w:color w:val="000000" w:themeColor="text1"/>
        </w:rPr>
        <w:t>q</w:t>
      </w:r>
      <w:r w:rsidRPr="0096280E">
        <w:rPr>
          <w:color w:val="000000" w:themeColor="text1"/>
        </w:rPr>
        <w:t xml:space="preserve">=2 represents the inverse of the Simpson’s index, where rare ASVs are </w:t>
      </w:r>
      <w:proofErr w:type="spellStart"/>
      <w:r w:rsidRPr="0096280E">
        <w:rPr>
          <w:color w:val="000000" w:themeColor="text1"/>
        </w:rPr>
        <w:t>downweighted</w:t>
      </w:r>
      <w:proofErr w:type="spellEnd"/>
      <w:r w:rsidRPr="0096280E">
        <w:rPr>
          <w:color w:val="000000" w:themeColor="text1"/>
        </w:rPr>
        <w:t xml:space="preserve"> when calculating the effective number of AM fungal ASVs.</w:t>
      </w:r>
    </w:p>
    <w:p w14:paraId="4A9E739A" w14:textId="7715D6C3" w:rsidR="0096280E" w:rsidRPr="0096280E" w:rsidRDefault="0096280E" w:rsidP="0096280E">
      <w:pPr>
        <w:spacing w:line="360" w:lineRule="auto"/>
        <w:ind w:firstLine="720"/>
        <w:rPr>
          <w:color w:val="000000" w:themeColor="text1"/>
        </w:rPr>
      </w:pPr>
      <w:r w:rsidRPr="0096280E">
        <w:t xml:space="preserve">We fitted Bayesian linear models to assess </w:t>
      </w:r>
      <w:r w:rsidRPr="0096280E">
        <w:rPr>
          <w:color w:val="000000" w:themeColor="text1"/>
        </w:rPr>
        <w:t xml:space="preserve">∆ AM fungal richness and community turnover associated with rainfall exclusion treatment at </w:t>
      </w:r>
      <w:r w:rsidRPr="0096280E">
        <w:rPr>
          <w:i/>
          <w:iCs/>
          <w:color w:val="000000" w:themeColor="text1"/>
        </w:rPr>
        <w:t xml:space="preserve">q </w:t>
      </w:r>
      <w:r w:rsidRPr="0096280E">
        <w:rPr>
          <w:color w:val="000000" w:themeColor="text1"/>
        </w:rPr>
        <w:t>= 0, 1, and 2. This was accomplished using the brms package (</w:t>
      </w:r>
      <w:proofErr w:type="spellStart"/>
      <w:r w:rsidRPr="0096280E">
        <w:rPr>
          <w:noProof/>
          <w:color w:val="000000" w:themeColor="text1"/>
        </w:rPr>
        <w:t>Bürkner</w:t>
      </w:r>
      <w:proofErr w:type="spellEnd"/>
      <w:r w:rsidRPr="0096280E">
        <w:rPr>
          <w:noProof/>
          <w:color w:val="000000" w:themeColor="text1"/>
        </w:rPr>
        <w:t xml:space="preserve"> 2017</w:t>
      </w:r>
      <w:r w:rsidRPr="0096280E">
        <w:rPr>
          <w:color w:val="000000" w:themeColor="text1"/>
        </w:rPr>
        <w:t xml:space="preserve">), which calls the probabilistic programming language Stan </w:t>
      </w:r>
      <w:r w:rsidRPr="0096280E">
        <w:rPr>
          <w:color w:val="000000" w:themeColor="text1"/>
        </w:rPr>
        <w:fldChar w:fldCharType="begin" w:fldLock="1"/>
      </w:r>
      <w:r w:rsidR="006E1F09">
        <w:rPr>
          <w:color w:val="000000" w:themeColor="text1"/>
        </w:rPr>
        <w:instrText>ADDIN CSL_CITATION {"citationItems":[{"id":"ITEM-1","itemData":{"ISSN":"1548-7660","author":[{"dropping-particle":"","family":"Carpenter","given":"Bob","non-dropping-particle":"","parse-names":false,"suffix":""},{"dropping-particle":"","family":"Gelman","given":"Andrew","non-dropping-particle":"","parse-names":false,"suffix":""},{"dropping-particle":"","family":"Hoffman","given":"Matthew D","non-dropping-particle":"","parse-names":false,"suffix":""},{"dropping-particle":"","family":"Lee","given":"Daniel","non-dropping-particle":"","parse-names":false,"suffix":""},{"dropping-particle":"","family":"Goodrich","given":"Ben","non-dropping-particle":"","parse-names":false,"suffix":""},{"dropping-particle":"","family":"Betancourt","given":"Michael","non-dropping-particle":"","parse-names":false,"suffix":""},{"dropping-particle":"","family":"Brubaker","given":"Marcus","non-dropping-particle":"","parse-names":false,"suffix":""},{"dropping-particle":"","family":"Guo","given":"Jiqiang","non-dropping-particle":"","parse-names":false,"suffix":""},{"dropping-particle":"","family":"Li","given":"Peter","non-dropping-particle":"","parse-names":false,"suffix":""},{"dropping-particle":"","family":"Riddell","given":"Allen","non-dropping-particle":"","parse-names":false,"suffix":""}],"container-title":"Journal of statistical software","id":"ITEM-1","issue":"1","issued":{"date-parts":[["2017"]]},"page":"1-32","title":"Stan: A probabilistic programming language","type":"article-journal","volume":"76"},"uris":["http://www.mendeley.com/documents/?uuid=499b9459-5510-414b-aa99-a9f4e2611ae6"]}],"mendeley":{"formattedCitation":"(Carpenter et al., 2017)","plainTextFormattedCitation":"(Carpenter et al., 2017)","previouslyFormattedCitation":"(Carpenter et al., 2017)"},"properties":{"noteIndex":0},"schema":"https://github.com/citation-style-language/schema/raw/master/csl-citation.json"}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(Carpenter et al., 2017)</w:t>
      </w:r>
      <w:r w:rsidRPr="0096280E">
        <w:rPr>
          <w:color w:val="000000" w:themeColor="text1"/>
        </w:rPr>
        <w:fldChar w:fldCharType="end"/>
      </w:r>
      <w:r w:rsidRPr="0096280E">
        <w:rPr>
          <w:color w:val="000000" w:themeColor="text1"/>
        </w:rPr>
        <w:t xml:space="preserve">. ∆ AM fungal richness was calculated as the difference in the effective number of AM fungal ASVs across the monsoon season (Date A- Date B) for each rhizosphere sample. Community turnover was calculated as 1 – the pairwise beta diversity for each rhizosphere, thus providing the proportional change in community composition between Date A and Date B. Each model used four Markov chain Monte Carlo (MCMC) chains, each with 2,000 iterations with a starting warmup period made up of 1,000 iterations and 1,000 post-warm up draws. Chain convergence was confirmed using the Gelman-Rubin convergence statistic (R hat = 1 for all models). Effective sample size for all models were &gt; 3000. Inferences were based on examining the 95% highest density interval of model parameters calculated using the </w:t>
      </w:r>
      <w:proofErr w:type="spellStart"/>
      <w:r w:rsidRPr="0096280E">
        <w:rPr>
          <w:color w:val="000000" w:themeColor="text1"/>
        </w:rPr>
        <w:t>hdi</w:t>
      </w:r>
      <w:proofErr w:type="spellEnd"/>
      <w:r w:rsidRPr="0096280E">
        <w:rPr>
          <w:color w:val="000000" w:themeColor="text1"/>
        </w:rPr>
        <w:t xml:space="preserve"> function in the </w:t>
      </w:r>
      <w:proofErr w:type="spellStart"/>
      <w:r w:rsidRPr="0096280E">
        <w:rPr>
          <w:color w:val="000000" w:themeColor="text1"/>
        </w:rPr>
        <w:t>HDInterval</w:t>
      </w:r>
      <w:proofErr w:type="spellEnd"/>
      <w:r w:rsidRPr="0096280E">
        <w:rPr>
          <w:color w:val="000000" w:themeColor="text1"/>
        </w:rPr>
        <w:t xml:space="preserve"> package (v. 0.2.2) (Meredith and </w:t>
      </w:r>
      <w:proofErr w:type="spellStart"/>
      <w:r w:rsidRPr="0096280E">
        <w:rPr>
          <w:color w:val="000000" w:themeColor="text1"/>
        </w:rPr>
        <w:t>Kruschke</w:t>
      </w:r>
      <w:proofErr w:type="spellEnd"/>
      <w:r w:rsidRPr="0096280E">
        <w:rPr>
          <w:color w:val="000000" w:themeColor="text1"/>
        </w:rPr>
        <w:t xml:space="preserve"> 2020). Further, directional hypotheses were examined using the joint probability distribution for the parameters with the hypothesis function in brms, which provides a posterior probability where the value is </w:t>
      </w:r>
      <w:r w:rsidRPr="0096280E">
        <w:rPr>
          <w:color w:val="000000" w:themeColor="text1"/>
        </w:rPr>
        <w:lastRenderedPageBreak/>
        <w:t>simply the proportion of samples from the posterior that are either greater than or less than zero. ∆ AM fungal richness and AM fungal community turnover were analyzed using standardized abundance ASV data and rarefied data to confirm that Bayesian inference is consistent with both normalization techniques.</w:t>
      </w:r>
    </w:p>
    <w:p w14:paraId="181CA549" w14:textId="3D9AB549" w:rsidR="00EB1D43" w:rsidRPr="0096280E" w:rsidRDefault="0096280E" w:rsidP="0096280E">
      <w:pPr>
        <w:spacing w:line="360" w:lineRule="auto"/>
      </w:pPr>
      <w:r w:rsidRPr="0096280E">
        <w:rPr>
          <w:color w:val="000000" w:themeColor="text1"/>
        </w:rPr>
        <w:tab/>
        <w:t xml:space="preserve">To assess phylogenetic relatedness among rainfall exclusion treatments we utilized a phylogenetically informed Hill number approach at </w:t>
      </w:r>
      <w:r w:rsidRPr="0096280E">
        <w:rPr>
          <w:i/>
          <w:iCs/>
          <w:color w:val="000000" w:themeColor="text1"/>
        </w:rPr>
        <w:t>q</w:t>
      </w:r>
      <w:r w:rsidRPr="0096280E">
        <w:rPr>
          <w:color w:val="000000" w:themeColor="text1"/>
        </w:rPr>
        <w:t xml:space="preserve">=1 for alpha diversity, which is analogous to a </w:t>
      </w:r>
      <w:proofErr w:type="spellStart"/>
      <w:r w:rsidRPr="0096280E">
        <w:rPr>
          <w:color w:val="000000" w:themeColor="text1"/>
        </w:rPr>
        <w:t>phylo</w:t>
      </w:r>
      <w:proofErr w:type="spellEnd"/>
      <w:r w:rsidRPr="0096280E">
        <w:rPr>
          <w:color w:val="000000" w:themeColor="text1"/>
        </w:rPr>
        <w:t xml:space="preserve">-Horn N-assemblage overlap measure </w:t>
      </w:r>
      <w:r w:rsidRPr="0096280E">
        <w:rPr>
          <w:color w:val="000000" w:themeColor="text1"/>
        </w:rPr>
        <w:fldChar w:fldCharType="begin" w:fldLock="1"/>
      </w:r>
      <w:r w:rsidR="006E1F09">
        <w:rPr>
          <w:color w:val="000000" w:themeColor="text1"/>
        </w:rPr>
        <w:instrText>ADDIN CSL_CITATION {"citationItems":[{"id":"ITEM-1","itemData":{"DOI":"10.1098/rstb.2010.0272","ISSN":"14712970","abstract":"We propose a parametric class of phylogenetic diversity (PD) measures that are sensitive to both species abundance and species taxonomic or phylogenetic distances. This work extends the conventional parametric species-neutral approach (based on 'effective number of species' or Hill numbers) to take into account species relatedness, and also generalizes the traditional phylogenetic approach (based on 'total phylogenetic length') to incorporate species abundances. The proposed measure quantifies 'the mean effective number of species' over any time interval of interest, or the 'effective number of maximally distinct lineages' over that time interval. The product of the measure and the interval length quantifies the 'branch diversity' of the phylogenetic tree during that interval. The new measures generalize and unify many existing measures and lead to a natural definition of taxonomic diversity as a special case. The replication principle (or doubling property), an important requirement for species-neutral diversity, is generalized to PD. The widely used Rao's quadratic entropy and the phylogenetic entropy do not satisfy this essential property, but a simple transformation converts each to our measures, which do satisfy the property. The proposed approach is applied to forest data for interpreting the effects of thinning. This journal is © 2010 The Royal Society.","author":[{"dropping-particle":"","family":"Chao","given":"Anne","non-dropping-particle":"","parse-names":false,"suffix":""},{"dropping-particle":"","family":"Chiu","given":"Chun Huo","non-dropping-particle":"","parse-names":false,"suffix":""},{"dropping-particle":"","family":"Jost","given":"Lou","non-dropping-particle":"","parse-names":false,"suffix":""}],"container-title":"Philosophical Transactions of the Royal Society B: Biological Sciences","id":"ITEM-1","issue":"1558","issued":{"date-parts":[["2010"]]},"page":"3599-3609","title":"Phylogenetic diversity measures based on Hill numbers","type":"article-journal","volume":"365"},"uris":["http://www.mendeley.com/documents/?uuid=73079fb9-ae97-4173-b215-3383fe04552b"]}],"mendeley":{"formattedCitation":"(Chao et al., 2010)","plainTextFormattedCitation":"(Chao et al., 2010)","previouslyFormattedCitation":"(Chao et al., 2010)"},"properties":{"noteIndex":0},"schema":"https://github.com/citation-style-language/schema/raw/master/csl-citation.json"}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(Chao et al., 2010)</w:t>
      </w:r>
      <w:r w:rsidRPr="0096280E">
        <w:rPr>
          <w:color w:val="000000" w:themeColor="text1"/>
        </w:rPr>
        <w:fldChar w:fldCharType="end"/>
      </w:r>
      <w:r w:rsidRPr="0096280E">
        <w:rPr>
          <w:color w:val="000000" w:themeColor="text1"/>
        </w:rPr>
        <w:t xml:space="preserve">. This measure considers phylogenetic relationships by calculating the effective number of AM fungal ASVs (richness) given relative abundance and a phylogenetic tree. At </w:t>
      </w:r>
      <w:r w:rsidRPr="0096280E">
        <w:rPr>
          <w:i/>
          <w:iCs/>
          <w:color w:val="000000" w:themeColor="text1"/>
        </w:rPr>
        <w:t>q</w:t>
      </w:r>
      <w:r w:rsidRPr="0096280E">
        <w:rPr>
          <w:color w:val="000000" w:themeColor="text1"/>
        </w:rPr>
        <w:t xml:space="preserve">=1, we used the </w:t>
      </w:r>
      <w:proofErr w:type="spellStart"/>
      <w:r w:rsidRPr="0096280E">
        <w:rPr>
          <w:color w:val="000000" w:themeColor="text1"/>
        </w:rPr>
        <w:t>hill_div</w:t>
      </w:r>
      <w:proofErr w:type="spellEnd"/>
      <w:r w:rsidRPr="0096280E">
        <w:rPr>
          <w:color w:val="000000" w:themeColor="text1"/>
        </w:rPr>
        <w:t xml:space="preserve"> function in the </w:t>
      </w:r>
      <w:proofErr w:type="spellStart"/>
      <w:r w:rsidRPr="0096280E">
        <w:rPr>
          <w:color w:val="000000" w:themeColor="text1"/>
        </w:rPr>
        <w:t>hilldiv</w:t>
      </w:r>
      <w:proofErr w:type="spellEnd"/>
      <w:r w:rsidRPr="0096280E">
        <w:rPr>
          <w:color w:val="000000" w:themeColor="text1"/>
        </w:rPr>
        <w:t xml:space="preserve"> package v.1.5.1 for proportional abundance data and all rarefied community data </w:t>
      </w:r>
      <w:r w:rsidRPr="0096280E">
        <w:rPr>
          <w:color w:val="000000" w:themeColor="text1"/>
        </w:rPr>
        <w:fldChar w:fldCharType="begin" w:fldLock="1"/>
      </w:r>
      <w:r w:rsidR="006E1F09">
        <w:rPr>
          <w:color w:val="000000" w:themeColor="text1"/>
        </w:rPr>
        <w:instrText>ADDIN CSL_CITATION {"citationItems":[{"id":"ITEM-1","itemData":{"author":[{"dropping-particle":"","family":"Alberdi","given":"Antton","non-dropping-particle":"","parse-names":false,"suffix":""},{"dropping-particle":"","family":"Gilbert","given":"M Thomas P","non-dropping-particle":"","parse-names":false,"suffix":""}],"container-title":"Biorxiv","id":"ITEM-1","issued":{"date-parts":[["2019"]]},"page":"545665","publisher":"Cold Spring Harbor Laboratory","title":"hilldiv: an R package for the integral analysis of diversity based on Hill numbers","type":"article-journal"},"uris":["http://www.mendeley.com/documents/?uuid=b8180323-83dd-41e9-8969-d664f574499e"]}],"mendeley":{"formattedCitation":"(Alberdi and Gilbert, 2019)","plainTextFormattedCitation":"(Alberdi and Gilbert, 2019)","previouslyFormattedCitation":"(Alberdi and Gilbert, 2019)"},"properties":{"noteIndex":0},"schema":"https://github.com/citation-style-language/schema/raw/master/csl-citation.json"}</w:instrText>
      </w:r>
      <w:r w:rsidRPr="0096280E">
        <w:rPr>
          <w:color w:val="000000" w:themeColor="text1"/>
        </w:rPr>
        <w:fldChar w:fldCharType="separate"/>
      </w:r>
      <w:r w:rsidR="00CE6085" w:rsidRPr="00CE6085">
        <w:rPr>
          <w:noProof/>
          <w:color w:val="000000" w:themeColor="text1"/>
        </w:rPr>
        <w:t>(Alberdi and Gilbert, 2019)</w:t>
      </w:r>
      <w:r w:rsidRPr="0096280E">
        <w:rPr>
          <w:color w:val="000000" w:themeColor="text1"/>
        </w:rPr>
        <w:fldChar w:fldCharType="end"/>
      </w:r>
      <w:r w:rsidRPr="0096280E">
        <w:rPr>
          <w:color w:val="000000" w:themeColor="text1"/>
        </w:rPr>
        <w:t xml:space="preserve">. We calculated the phylogenetically informed ∆ AM fungal richness across the monsoon season for each sample and modeled it as a fitted Bayesian linear model as described above. The same one-sided hypothesis was used to test significant patterns in phylogenetically informed ∆ AM fungal richness among treatments. </w:t>
      </w:r>
    </w:p>
    <w:p w14:paraId="57A21199" w14:textId="5D7A28A5" w:rsidR="00EB1D43" w:rsidRPr="0096280E" w:rsidRDefault="00EB1D43" w:rsidP="0096280E">
      <w:pPr>
        <w:pStyle w:val="Heading2"/>
        <w:spacing w:line="360" w:lineRule="auto"/>
      </w:pPr>
      <w:bookmarkStart w:id="76" w:name="_Toc102048033"/>
      <w:r w:rsidRPr="0096280E">
        <w:t>R</w:t>
      </w:r>
      <w:r w:rsidR="00D06749" w:rsidRPr="0096280E">
        <w:t>esults</w:t>
      </w:r>
      <w:bookmarkEnd w:id="76"/>
    </w:p>
    <w:p w14:paraId="1B521ACB" w14:textId="3B574FAD" w:rsidR="00EB1D43" w:rsidRPr="0096280E" w:rsidRDefault="00EB1D43" w:rsidP="0096280E">
      <w:pPr>
        <w:pStyle w:val="Heading3"/>
      </w:pPr>
      <w:bookmarkStart w:id="77" w:name="_Toc102048034"/>
      <w:r w:rsidRPr="0096280E">
        <w:t>Summary</w:t>
      </w:r>
      <w:bookmarkEnd w:id="77"/>
    </w:p>
    <w:p w14:paraId="4441C65D" w14:textId="2A63AF29" w:rsidR="00187BA0" w:rsidRDefault="005176B9" w:rsidP="00187BA0">
      <w:pPr>
        <w:spacing w:line="360" w:lineRule="auto"/>
        <w:rPr>
          <w:color w:val="000000" w:themeColor="text1"/>
        </w:rPr>
      </w:pPr>
      <w:r w:rsidRPr="0096280E">
        <w:tab/>
      </w:r>
      <w:r w:rsidR="0096280E" w:rsidRPr="0096280E">
        <w:t xml:space="preserve">After running the DADA2 customized pipeline as described above, a total of 34,011 ASVs were generated. Based on best practices for sequencing and analyzing AM fungal communities, ASVs with less than 10-12 reads (for this study &lt;12 was chosen as the threshold), were omitted from the dataset. This resulted in a total of 5,012 ASVs that correspond to the 18S rRNA gene region. After ASVs were confirmed to be AM fungi in the </w:t>
      </w:r>
      <w:proofErr w:type="spellStart"/>
      <w:r w:rsidR="0096280E" w:rsidRPr="0096280E">
        <w:t>MaarjAM</w:t>
      </w:r>
      <w:proofErr w:type="spellEnd"/>
      <w:r w:rsidR="0096280E" w:rsidRPr="0096280E">
        <w:t xml:space="preserve"> database, 5,011 ASVs remained in the final data set. One ASV did not match any taxa from the </w:t>
      </w:r>
      <w:proofErr w:type="spellStart"/>
      <w:r w:rsidR="0096280E" w:rsidRPr="0096280E">
        <w:t>MaarjAM</w:t>
      </w:r>
      <w:proofErr w:type="spellEnd"/>
      <w:r w:rsidR="0096280E" w:rsidRPr="0096280E">
        <w:t xml:space="preserve"> database and was removed. </w:t>
      </w:r>
      <w:r w:rsidR="0096280E" w:rsidRPr="0096280E">
        <w:rPr>
          <w:color w:val="000000" w:themeColor="text1"/>
        </w:rPr>
        <w:t xml:space="preserve">All other reads were assigned to the </w:t>
      </w:r>
      <w:r w:rsidR="0096280E" w:rsidRPr="0057009B">
        <w:rPr>
          <w:color w:val="000000" w:themeColor="text1"/>
        </w:rPr>
        <w:t xml:space="preserve">subphylum </w:t>
      </w:r>
      <w:proofErr w:type="spellStart"/>
      <w:r w:rsidR="0096280E" w:rsidRPr="0057009B">
        <w:rPr>
          <w:color w:val="000000" w:themeColor="text1"/>
        </w:rPr>
        <w:t>Glomeromycotina</w:t>
      </w:r>
      <w:proofErr w:type="spellEnd"/>
      <w:r w:rsidR="0096280E" w:rsidRPr="0096280E">
        <w:rPr>
          <w:i/>
          <w:iCs/>
          <w:color w:val="000000" w:themeColor="text1"/>
        </w:rPr>
        <w:t xml:space="preserve"> </w:t>
      </w:r>
      <w:r w:rsidR="0096280E" w:rsidRPr="0096280E">
        <w:rPr>
          <w:color w:val="000000" w:themeColor="text1"/>
        </w:rPr>
        <w:t>(</w:t>
      </w:r>
      <w:r w:rsidR="005355D9">
        <w:rPr>
          <w:b/>
          <w:bCs/>
          <w:color w:val="000000" w:themeColor="text1"/>
        </w:rPr>
        <w:t>Figure</w:t>
      </w:r>
      <w:r w:rsidR="0096280E" w:rsidRPr="0096280E">
        <w:rPr>
          <w:b/>
          <w:bCs/>
          <w:color w:val="000000" w:themeColor="text1"/>
        </w:rPr>
        <w:t xml:space="preserve"> </w:t>
      </w:r>
      <w:r w:rsidR="0083206D">
        <w:rPr>
          <w:b/>
          <w:bCs/>
          <w:color w:val="000000" w:themeColor="text1"/>
        </w:rPr>
        <w:t>15</w:t>
      </w:r>
      <w:r w:rsidR="0096280E" w:rsidRPr="0096280E">
        <w:rPr>
          <w:color w:val="000000" w:themeColor="text1"/>
        </w:rPr>
        <w:t xml:space="preserve">). AM fungal communities from Date A, prior to the onset of rainfall exclusion treatment, were utilized as a baseline understanding of AM fungal diversity and relative abundance present in the </w:t>
      </w:r>
      <w:r w:rsidR="0096280E" w:rsidRPr="0096280E">
        <w:rPr>
          <w:i/>
          <w:iCs/>
          <w:color w:val="000000" w:themeColor="text1"/>
        </w:rPr>
        <w:t xml:space="preserve">L. </w:t>
      </w:r>
      <w:proofErr w:type="spellStart"/>
      <w:r w:rsidR="0096280E" w:rsidRPr="0096280E">
        <w:rPr>
          <w:i/>
          <w:iCs/>
          <w:color w:val="000000" w:themeColor="text1"/>
        </w:rPr>
        <w:t>neomexicanus</w:t>
      </w:r>
      <w:proofErr w:type="spellEnd"/>
      <w:r w:rsidR="0096280E" w:rsidRPr="0096280E">
        <w:rPr>
          <w:color w:val="000000" w:themeColor="text1"/>
        </w:rPr>
        <w:t xml:space="preserve"> rhizosphere. </w:t>
      </w:r>
      <w:r w:rsidR="0096280E" w:rsidRPr="00A277C0">
        <w:rPr>
          <w:color w:val="000000" w:themeColor="text1"/>
        </w:rPr>
        <w:t xml:space="preserve">Of the four orders within </w:t>
      </w:r>
      <w:proofErr w:type="spellStart"/>
      <w:r w:rsidR="0096280E" w:rsidRPr="00A277C0">
        <w:rPr>
          <w:color w:val="000000" w:themeColor="text1"/>
        </w:rPr>
        <w:t>Glomeromycotina</w:t>
      </w:r>
      <w:proofErr w:type="spellEnd"/>
      <w:r w:rsidR="0096280E" w:rsidRPr="00A277C0">
        <w:rPr>
          <w:color w:val="000000" w:themeColor="text1"/>
        </w:rPr>
        <w:t xml:space="preserve">, </w:t>
      </w:r>
      <w:proofErr w:type="spellStart"/>
      <w:r w:rsidR="0096280E" w:rsidRPr="00A277C0">
        <w:rPr>
          <w:color w:val="000000" w:themeColor="text1"/>
        </w:rPr>
        <w:t>Glomerales</w:t>
      </w:r>
      <w:proofErr w:type="spellEnd"/>
      <w:r w:rsidR="0096280E" w:rsidRPr="00A277C0">
        <w:rPr>
          <w:color w:val="000000" w:themeColor="text1"/>
        </w:rPr>
        <w:t xml:space="preserve">, </w:t>
      </w:r>
      <w:proofErr w:type="spellStart"/>
      <w:r w:rsidR="0096280E" w:rsidRPr="00A277C0">
        <w:rPr>
          <w:color w:val="000000" w:themeColor="text1"/>
        </w:rPr>
        <w:t>Diversisporales</w:t>
      </w:r>
      <w:proofErr w:type="spellEnd"/>
      <w:r w:rsidR="0096280E" w:rsidRPr="00A277C0">
        <w:rPr>
          <w:color w:val="000000" w:themeColor="text1"/>
        </w:rPr>
        <w:t xml:space="preserve">, </w:t>
      </w:r>
      <w:proofErr w:type="spellStart"/>
      <w:r w:rsidR="0096280E" w:rsidRPr="00A277C0">
        <w:rPr>
          <w:color w:val="000000" w:themeColor="text1"/>
        </w:rPr>
        <w:t>Paraglomerales</w:t>
      </w:r>
      <w:proofErr w:type="spellEnd"/>
      <w:r w:rsidR="0096280E" w:rsidRPr="00A277C0">
        <w:rPr>
          <w:color w:val="000000" w:themeColor="text1"/>
        </w:rPr>
        <w:t xml:space="preserve">, and </w:t>
      </w:r>
      <w:proofErr w:type="spellStart"/>
      <w:r w:rsidR="0096280E" w:rsidRPr="00A277C0">
        <w:rPr>
          <w:color w:val="000000" w:themeColor="text1"/>
        </w:rPr>
        <w:t>Archaeosporales</w:t>
      </w:r>
      <w:proofErr w:type="spellEnd"/>
      <w:r w:rsidR="0096280E" w:rsidRPr="0096280E">
        <w:rPr>
          <w:color w:val="000000" w:themeColor="text1"/>
        </w:rPr>
        <w:t xml:space="preserve"> represented 80%, 10%, 6%, and 4% of reads recovered. The genus </w:t>
      </w:r>
      <w:r w:rsidR="0096280E" w:rsidRPr="0096280E">
        <w:rPr>
          <w:i/>
          <w:iCs/>
          <w:color w:val="000000" w:themeColor="text1"/>
        </w:rPr>
        <w:t>Glomus</w:t>
      </w:r>
      <w:r w:rsidR="0096280E" w:rsidRPr="0096280E">
        <w:rPr>
          <w:color w:val="000000" w:themeColor="text1"/>
        </w:rPr>
        <w:t xml:space="preserve"> was the most abundant genus recovered from the rhizosphere microhabitat, representing ~67% of all total reads at Date A. Further, the second most abundant genus recovered was </w:t>
      </w:r>
      <w:proofErr w:type="spellStart"/>
      <w:r w:rsidR="0096280E" w:rsidRPr="0096280E">
        <w:rPr>
          <w:i/>
          <w:iCs/>
          <w:color w:val="000000" w:themeColor="text1"/>
        </w:rPr>
        <w:t>Claroideoglomus</w:t>
      </w:r>
      <w:proofErr w:type="spellEnd"/>
      <w:r w:rsidR="0096280E" w:rsidRPr="0096280E">
        <w:rPr>
          <w:color w:val="000000" w:themeColor="text1"/>
        </w:rPr>
        <w:t xml:space="preserve"> with </w:t>
      </w:r>
      <w:r w:rsidR="00187BA0">
        <w:rPr>
          <w:color w:val="000000" w:themeColor="text1"/>
        </w:rPr>
        <w:br w:type="page"/>
      </w:r>
    </w:p>
    <w:p w14:paraId="4B639061" w14:textId="77777777" w:rsidR="00187BA0" w:rsidRDefault="00187BA0" w:rsidP="00187BA0">
      <w:pPr>
        <w:rPr>
          <w:color w:val="000000" w:themeColor="text1"/>
        </w:rPr>
      </w:pPr>
      <w:r w:rsidRPr="00C16503">
        <w:rPr>
          <w:noProof/>
          <w:sz w:val="20"/>
        </w:rPr>
        <w:lastRenderedPageBreak/>
        <w:drawing>
          <wp:inline distT="0" distB="0" distL="0" distR="0" wp14:anchorId="2BF72654" wp14:editId="4386348A">
            <wp:extent cx="5020733" cy="4154978"/>
            <wp:effectExtent l="0" t="0" r="0" b="0"/>
            <wp:docPr id="16" name="Picture 1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031762" cy="4164105"/>
                    </a:xfrm>
                    <a:prstGeom prst="rect">
                      <a:avLst/>
                    </a:prstGeom>
                  </pic:spPr>
                </pic:pic>
              </a:graphicData>
            </a:graphic>
          </wp:inline>
        </w:drawing>
      </w:r>
    </w:p>
    <w:p w14:paraId="45A6B15B" w14:textId="77777777" w:rsidR="00187BA0" w:rsidRDefault="00187BA0" w:rsidP="00187BA0">
      <w:pPr>
        <w:pStyle w:val="Caption"/>
      </w:pPr>
      <w:bookmarkStart w:id="78" w:name="_Toc102046885"/>
      <w:r w:rsidRPr="0083206D">
        <w:t xml:space="preserve">Figure 15. Heat map tree illustrating the AM Fungal variants recovered from Illumina </w:t>
      </w:r>
      <w:proofErr w:type="spellStart"/>
      <w:r w:rsidRPr="0083206D">
        <w:t>MiSeq</w:t>
      </w:r>
      <w:proofErr w:type="spellEnd"/>
      <w:r w:rsidRPr="0083206D">
        <w:t xml:space="preserve"> run from this study.</w:t>
      </w:r>
      <w:bookmarkEnd w:id="78"/>
      <w:r w:rsidRPr="0083206D">
        <w:t xml:space="preserve"> </w:t>
      </w:r>
    </w:p>
    <w:p w14:paraId="26EEBAEA" w14:textId="77777777" w:rsidR="00187BA0" w:rsidRPr="00F62254" w:rsidRDefault="00187BA0" w:rsidP="00187BA0">
      <w:pPr>
        <w:rPr>
          <w:sz w:val="20"/>
          <w:szCs w:val="20"/>
        </w:rPr>
      </w:pPr>
      <w:r w:rsidRPr="00F62254">
        <w:rPr>
          <w:sz w:val="20"/>
          <w:szCs w:val="20"/>
        </w:rPr>
        <w:t>Figure 15 footnote</w:t>
      </w:r>
      <w:r>
        <w:rPr>
          <w:sz w:val="20"/>
          <w:szCs w:val="20"/>
        </w:rPr>
        <w:t>.</w:t>
      </w:r>
      <w:r w:rsidRPr="00F62254">
        <w:rPr>
          <w:sz w:val="20"/>
          <w:szCs w:val="20"/>
        </w:rPr>
        <w:t xml:space="preserve"> Number of AM Fungal variants are represented here as presence/absence where darker pink colors and larger circles show higher abundance.</w:t>
      </w:r>
    </w:p>
    <w:p w14:paraId="2F856818" w14:textId="77777777" w:rsidR="00187BA0" w:rsidRPr="00F62254" w:rsidRDefault="00187BA0" w:rsidP="00187BA0">
      <w:r w:rsidRPr="00F62254">
        <w:br w:type="page"/>
      </w:r>
    </w:p>
    <w:p w14:paraId="768CB377" w14:textId="1D4284F1" w:rsidR="00EB1D43" w:rsidRPr="0096280E" w:rsidRDefault="0096280E" w:rsidP="0096280E">
      <w:pPr>
        <w:spacing w:line="360" w:lineRule="auto"/>
        <w:rPr>
          <w:color w:val="000000" w:themeColor="text1"/>
        </w:rPr>
      </w:pPr>
      <w:r w:rsidRPr="0096280E">
        <w:rPr>
          <w:color w:val="000000" w:themeColor="text1"/>
        </w:rPr>
        <w:lastRenderedPageBreak/>
        <w:t xml:space="preserve">approximately 12% of total reads sampled at Date A. Lastly, the third most abundant genus was </w:t>
      </w:r>
      <w:proofErr w:type="spellStart"/>
      <w:r w:rsidRPr="0096280E">
        <w:rPr>
          <w:i/>
          <w:iCs/>
          <w:color w:val="000000" w:themeColor="text1"/>
        </w:rPr>
        <w:t>Paraglomus</w:t>
      </w:r>
      <w:proofErr w:type="spellEnd"/>
      <w:r w:rsidRPr="0096280E">
        <w:rPr>
          <w:color w:val="000000" w:themeColor="text1"/>
        </w:rPr>
        <w:t xml:space="preserve"> (</w:t>
      </w:r>
      <w:proofErr w:type="spellStart"/>
      <w:r w:rsidRPr="00A277C0">
        <w:rPr>
          <w:color w:val="000000" w:themeColor="text1"/>
        </w:rPr>
        <w:t>Paraglomerales</w:t>
      </w:r>
      <w:proofErr w:type="spellEnd"/>
      <w:r w:rsidRPr="0096280E">
        <w:rPr>
          <w:color w:val="000000" w:themeColor="text1"/>
        </w:rPr>
        <w:t xml:space="preserve">) comprising ~7% of reads in </w:t>
      </w:r>
      <w:proofErr w:type="spellStart"/>
      <w:r w:rsidRPr="00A277C0">
        <w:rPr>
          <w:color w:val="000000" w:themeColor="text1"/>
        </w:rPr>
        <w:t>Glomeromycotina</w:t>
      </w:r>
      <w:proofErr w:type="spellEnd"/>
      <w:r w:rsidRPr="00A277C0">
        <w:rPr>
          <w:color w:val="000000" w:themeColor="text1"/>
        </w:rPr>
        <w:t>.</w:t>
      </w:r>
      <w:r w:rsidRPr="0096280E">
        <w:rPr>
          <w:color w:val="000000" w:themeColor="text1"/>
        </w:rPr>
        <w:t xml:space="preserve"> The most abundant AM fungal variant recovered was </w:t>
      </w:r>
      <w:r w:rsidRPr="0096280E">
        <w:rPr>
          <w:i/>
          <w:iCs/>
          <w:color w:val="000000" w:themeColor="text1"/>
        </w:rPr>
        <w:t>Glomus Valera-Cervero15 BG21</w:t>
      </w:r>
      <w:r w:rsidRPr="0096280E">
        <w:rPr>
          <w:color w:val="000000" w:themeColor="text1"/>
        </w:rPr>
        <w:t xml:space="preserve"> representing 14% of all total reads recovered at Date A in this study.</w:t>
      </w:r>
    </w:p>
    <w:p w14:paraId="4E5F7F65" w14:textId="2E863D3D" w:rsidR="00EB1D43" w:rsidRPr="0096280E" w:rsidRDefault="00EB1D43" w:rsidP="0096280E">
      <w:pPr>
        <w:pStyle w:val="Heading3"/>
      </w:pPr>
      <w:bookmarkStart w:id="79" w:name="_Toc102048035"/>
      <w:r w:rsidRPr="0096280E">
        <w:t>AM fungal community composition is influenced by rainfall exclusion</w:t>
      </w:r>
      <w:bookmarkEnd w:id="79"/>
    </w:p>
    <w:p w14:paraId="7FE55966" w14:textId="39A637A2" w:rsidR="0096280E" w:rsidRPr="0096280E" w:rsidRDefault="005176B9" w:rsidP="0096280E">
      <w:pPr>
        <w:spacing w:line="360" w:lineRule="auto"/>
        <w:rPr>
          <w:color w:val="000000" w:themeColor="text1"/>
        </w:rPr>
      </w:pPr>
      <w:r w:rsidRPr="0096280E">
        <w:rPr>
          <w:color w:val="000000" w:themeColor="text1"/>
        </w:rPr>
        <w:tab/>
      </w:r>
      <w:r w:rsidR="0096280E" w:rsidRPr="0096280E">
        <w:rPr>
          <w:color w:val="000000" w:themeColor="text1"/>
        </w:rPr>
        <w:t xml:space="preserve">AM fungal community composition was characterized by assigning taxonomy and documenting change in relative read abundance among treatments before and after the monsoon season </w:t>
      </w:r>
      <w:r w:rsidR="0096280E" w:rsidRPr="0096280E">
        <w:rPr>
          <w:b/>
          <w:bCs/>
          <w:color w:val="000000" w:themeColor="text1"/>
        </w:rPr>
        <w:t>(</w:t>
      </w:r>
      <w:r w:rsidR="005355D9">
        <w:rPr>
          <w:b/>
          <w:bCs/>
          <w:color w:val="000000" w:themeColor="text1"/>
        </w:rPr>
        <w:t>Figure</w:t>
      </w:r>
      <w:r w:rsidR="0096280E" w:rsidRPr="0096280E">
        <w:rPr>
          <w:b/>
          <w:bCs/>
          <w:color w:val="000000" w:themeColor="text1"/>
        </w:rPr>
        <w:t xml:space="preserve"> </w:t>
      </w:r>
      <w:r w:rsidR="0083206D">
        <w:rPr>
          <w:b/>
          <w:bCs/>
          <w:color w:val="000000" w:themeColor="text1"/>
        </w:rPr>
        <w:t>16</w:t>
      </w:r>
      <w:r w:rsidR="0096280E" w:rsidRPr="0096280E">
        <w:rPr>
          <w:b/>
          <w:bCs/>
          <w:color w:val="000000" w:themeColor="text1"/>
        </w:rPr>
        <w:t>)</w:t>
      </w:r>
      <w:r w:rsidR="0096280E" w:rsidRPr="0096280E">
        <w:rPr>
          <w:color w:val="000000" w:themeColor="text1"/>
        </w:rPr>
        <w:t xml:space="preserve">. Across all treatments, </w:t>
      </w:r>
      <w:proofErr w:type="spellStart"/>
      <w:r w:rsidR="0096280E" w:rsidRPr="00A277C0">
        <w:rPr>
          <w:color w:val="000000" w:themeColor="text1"/>
        </w:rPr>
        <w:t>Diversisporaceae</w:t>
      </w:r>
      <w:proofErr w:type="spellEnd"/>
      <w:r w:rsidR="0096280E" w:rsidRPr="00A277C0">
        <w:rPr>
          <w:color w:val="000000" w:themeColor="text1"/>
        </w:rPr>
        <w:t xml:space="preserve"> decreased in relative abundance across the monsoon season with the largest observed difference in the high rainfall exclusion treatment. On the other hand, </w:t>
      </w:r>
      <w:r w:rsidR="005355D9" w:rsidRPr="00A277C0">
        <w:rPr>
          <w:b/>
          <w:bCs/>
          <w:color w:val="000000" w:themeColor="text1"/>
        </w:rPr>
        <w:t>Figure</w:t>
      </w:r>
      <w:r w:rsidR="0096280E" w:rsidRPr="00A277C0">
        <w:rPr>
          <w:b/>
          <w:bCs/>
          <w:color w:val="000000" w:themeColor="text1"/>
        </w:rPr>
        <w:t xml:space="preserve"> </w:t>
      </w:r>
      <w:r w:rsidR="0083206D" w:rsidRPr="00A277C0">
        <w:rPr>
          <w:b/>
          <w:bCs/>
          <w:color w:val="000000" w:themeColor="text1"/>
        </w:rPr>
        <w:t>16</w:t>
      </w:r>
      <w:r w:rsidR="0096280E" w:rsidRPr="00A277C0">
        <w:rPr>
          <w:color w:val="000000" w:themeColor="text1"/>
        </w:rPr>
        <w:t xml:space="preserve"> illustrates an increase in </w:t>
      </w:r>
      <w:proofErr w:type="spellStart"/>
      <w:r w:rsidR="0096280E" w:rsidRPr="00A277C0">
        <w:rPr>
          <w:color w:val="000000" w:themeColor="text1"/>
        </w:rPr>
        <w:t>Paraglomeraceae</w:t>
      </w:r>
      <w:proofErr w:type="spellEnd"/>
      <w:r w:rsidR="0096280E" w:rsidRPr="00A277C0">
        <w:rPr>
          <w:color w:val="000000" w:themeColor="text1"/>
        </w:rPr>
        <w:t xml:space="preserve"> in response to monsoon rainfall, with the most extreme observed change in the control treatment. </w:t>
      </w:r>
      <w:proofErr w:type="spellStart"/>
      <w:r w:rsidR="0096280E" w:rsidRPr="00A277C0">
        <w:rPr>
          <w:color w:val="000000" w:themeColor="text1"/>
        </w:rPr>
        <w:t>Glomeraceae</w:t>
      </w:r>
      <w:proofErr w:type="spellEnd"/>
      <w:r w:rsidR="0096280E" w:rsidRPr="00A277C0">
        <w:rPr>
          <w:color w:val="000000" w:themeColor="text1"/>
        </w:rPr>
        <w:t xml:space="preserve">, was observed to be the most common AM fungal family recovered, and relative abundance decreased over time. </w:t>
      </w:r>
      <w:proofErr w:type="spellStart"/>
      <w:r w:rsidR="0096280E" w:rsidRPr="00A277C0">
        <w:rPr>
          <w:color w:val="000000" w:themeColor="text1"/>
        </w:rPr>
        <w:t>Claroideoglomerales</w:t>
      </w:r>
      <w:proofErr w:type="spellEnd"/>
      <w:r w:rsidR="0096280E" w:rsidRPr="00A277C0">
        <w:rPr>
          <w:color w:val="000000" w:themeColor="text1"/>
        </w:rPr>
        <w:t xml:space="preserve"> decreased in relative abundance among all treatments, but most notably in the control treatment</w:t>
      </w:r>
      <w:r w:rsidR="0096280E" w:rsidRPr="0096280E">
        <w:rPr>
          <w:color w:val="000000" w:themeColor="text1"/>
        </w:rPr>
        <w:t>.</w:t>
      </w:r>
    </w:p>
    <w:p w14:paraId="2C239C75" w14:textId="0B62CAFF" w:rsidR="00EB1D43" w:rsidRPr="0096280E" w:rsidRDefault="0096280E" w:rsidP="0096280E">
      <w:pPr>
        <w:spacing w:line="360" w:lineRule="auto"/>
        <w:rPr>
          <w:color w:val="000000" w:themeColor="text1"/>
        </w:rPr>
      </w:pPr>
      <w:r w:rsidRPr="0096280E">
        <w:rPr>
          <w:color w:val="000000" w:themeColor="text1"/>
        </w:rPr>
        <w:tab/>
        <w:t xml:space="preserve">We used the mean quantitative Jaccard distance matrix from 1,000 rarefactions to test the strength of rainfall exclusion treatments and the log of phosphorous on AM fungal community composition and relative abundance. This model’s constrained variables explained 3.55% of total variation in multivariate space. Additionally, axes 1 and 2 explained 47.14% and 34.04% of the 3.55% of total variation, respectively. </w:t>
      </w:r>
      <w:r w:rsidRPr="0096280E">
        <w:rPr>
          <w:b/>
          <w:bCs/>
          <w:color w:val="000000" w:themeColor="text1"/>
        </w:rPr>
        <w:t xml:space="preserve">Figure </w:t>
      </w:r>
      <w:r w:rsidR="0083206D">
        <w:rPr>
          <w:b/>
          <w:bCs/>
          <w:color w:val="000000" w:themeColor="text1"/>
        </w:rPr>
        <w:t>17</w:t>
      </w:r>
      <w:r w:rsidRPr="0096280E">
        <w:rPr>
          <w:color w:val="000000" w:themeColor="text1"/>
        </w:rPr>
        <w:t xml:space="preserve"> shows distinctive clustering of AM fungal communities by rainfall exclusion treatment on axis 2, while clustering based on sampling date is prominent on axis 1 (</w:t>
      </w:r>
      <w:r w:rsidR="005355D9">
        <w:rPr>
          <w:b/>
          <w:bCs/>
          <w:color w:val="000000" w:themeColor="text1"/>
        </w:rPr>
        <w:t>Figure</w:t>
      </w:r>
      <w:r w:rsidRPr="0096280E">
        <w:rPr>
          <w:b/>
          <w:bCs/>
          <w:color w:val="000000" w:themeColor="text1"/>
        </w:rPr>
        <w:t xml:space="preserve"> </w:t>
      </w:r>
      <w:r w:rsidR="0083206D">
        <w:rPr>
          <w:b/>
          <w:bCs/>
          <w:color w:val="000000" w:themeColor="text1"/>
        </w:rPr>
        <w:t>17</w:t>
      </w:r>
      <w:r w:rsidRPr="0096280E">
        <w:rPr>
          <w:color w:val="000000" w:themeColor="text1"/>
        </w:rPr>
        <w:t xml:space="preserve">). Points here represent the median centroid in multivariate space with ± 1 standard error for each treatment and sampling date. A permutational analysis of variance showed that rainfall exclusion treatments were a significant predictor for AM fungal community structure and composition (p&lt;0.05). Based on this model, the log of phosphorous was also a significant predictor of AM fungal community composition in multivariate space (p&lt;0.001). </w:t>
      </w:r>
    </w:p>
    <w:p w14:paraId="517DDE3D" w14:textId="6159DD13" w:rsidR="005176B9" w:rsidRPr="0096280E" w:rsidRDefault="0096280E" w:rsidP="0096280E">
      <w:pPr>
        <w:pStyle w:val="Heading3"/>
      </w:pPr>
      <w:bookmarkStart w:id="80" w:name="_Toc102048036"/>
      <w:r w:rsidRPr="0096280E">
        <w:t>Richness and community turnover from</w:t>
      </w:r>
      <w:r w:rsidR="005176B9" w:rsidRPr="0096280E">
        <w:t xml:space="preserve"> q=0 to q=2</w:t>
      </w:r>
      <w:bookmarkEnd w:id="80"/>
    </w:p>
    <w:p w14:paraId="09BB0436" w14:textId="0FD0768C" w:rsidR="00187BA0" w:rsidRPr="00187BA0" w:rsidRDefault="00C470B5" w:rsidP="00187BA0">
      <w:pPr>
        <w:spacing w:line="360" w:lineRule="auto"/>
      </w:pPr>
      <w:r w:rsidRPr="0096280E">
        <w:rPr>
          <w:color w:val="000000" w:themeColor="text1"/>
          <w:shd w:val="clear" w:color="auto" w:fill="FFFFFF"/>
        </w:rPr>
        <w:tab/>
      </w:r>
      <w:r w:rsidR="0096280E" w:rsidRPr="0096280E">
        <w:rPr>
          <w:color w:val="000000" w:themeColor="text1"/>
          <w:shd w:val="clear" w:color="auto" w:fill="FFFFFF"/>
        </w:rPr>
        <w:t>T</w:t>
      </w:r>
      <w:r w:rsidR="0096280E" w:rsidRPr="0096280E">
        <w:rPr>
          <w:color w:val="000000" w:themeColor="text1"/>
        </w:rPr>
        <w:t xml:space="preserve">he differences </w:t>
      </w:r>
      <w:r w:rsidR="0096280E" w:rsidRPr="0096280E">
        <w:t xml:space="preserve">in alpha diversity between Date A and Date B, or ∆ AM fungal richness, was analyzed from </w:t>
      </w:r>
      <w:r w:rsidR="0096280E" w:rsidRPr="0096280E">
        <w:rPr>
          <w:i/>
          <w:iCs/>
        </w:rPr>
        <w:t>q</w:t>
      </w:r>
      <w:r w:rsidR="0096280E" w:rsidRPr="0096280E">
        <w:t xml:space="preserve">=0 to 2 using Bayesian inference. From </w:t>
      </w:r>
      <w:r w:rsidR="0096280E" w:rsidRPr="0096280E">
        <w:rPr>
          <w:i/>
          <w:iCs/>
        </w:rPr>
        <w:t>q</w:t>
      </w:r>
      <w:r w:rsidR="0096280E" w:rsidRPr="0096280E">
        <w:t xml:space="preserve">=0 to </w:t>
      </w:r>
      <w:r w:rsidR="0096280E" w:rsidRPr="0096280E">
        <w:rPr>
          <w:i/>
          <w:iCs/>
        </w:rPr>
        <w:t>q</w:t>
      </w:r>
      <w:r w:rsidR="0096280E" w:rsidRPr="0096280E">
        <w:t xml:space="preserve">=2, the greatest observed gain in the effective number of AM fungal ASVs was in the moderate rainfall exclusion </w:t>
      </w:r>
      <w:r w:rsidR="00187BA0">
        <w:br w:type="page"/>
      </w:r>
      <w:r w:rsidR="00187BA0" w:rsidRPr="00C16503">
        <w:rPr>
          <w:b/>
          <w:bCs/>
          <w:noProof/>
          <w:sz w:val="20"/>
        </w:rPr>
        <w:lastRenderedPageBreak/>
        <w:drawing>
          <wp:inline distT="0" distB="0" distL="0" distR="0" wp14:anchorId="60C2C82A" wp14:editId="2B85D976">
            <wp:extent cx="5486400" cy="3394417"/>
            <wp:effectExtent l="0" t="0" r="0" b="0"/>
            <wp:docPr id="17" name="Picture 1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86400" cy="3394417"/>
                    </a:xfrm>
                    <a:prstGeom prst="rect">
                      <a:avLst/>
                    </a:prstGeom>
                  </pic:spPr>
                </pic:pic>
              </a:graphicData>
            </a:graphic>
          </wp:inline>
        </w:drawing>
      </w:r>
    </w:p>
    <w:p w14:paraId="669D2FA8" w14:textId="77777777" w:rsidR="00187BA0" w:rsidRDefault="00187BA0" w:rsidP="00187BA0">
      <w:pPr>
        <w:pStyle w:val="Caption"/>
        <w:rPr>
          <w:i/>
        </w:rPr>
      </w:pPr>
      <w:bookmarkStart w:id="81" w:name="_Toc102046886"/>
      <w:r w:rsidRPr="0083206D">
        <w:t>Figure 16. Stacked</w:t>
      </w:r>
      <w:r w:rsidRPr="00C16503">
        <w:t xml:space="preserve"> bar chart </w:t>
      </w:r>
      <w:r w:rsidRPr="0008459E">
        <w:t xml:space="preserve">for the orders </w:t>
      </w:r>
      <w:proofErr w:type="spellStart"/>
      <w:r w:rsidRPr="0008459E">
        <w:t>Archaeosporales</w:t>
      </w:r>
      <w:proofErr w:type="spellEnd"/>
      <w:r w:rsidRPr="0008459E">
        <w:t xml:space="preserve">, </w:t>
      </w:r>
      <w:proofErr w:type="spellStart"/>
      <w:r w:rsidRPr="0008459E">
        <w:t>Diversisporales</w:t>
      </w:r>
      <w:proofErr w:type="spellEnd"/>
      <w:r w:rsidRPr="0008459E">
        <w:t xml:space="preserve">, and </w:t>
      </w:r>
      <w:proofErr w:type="spellStart"/>
      <w:r w:rsidRPr="0008459E">
        <w:t>Paraglomerales</w:t>
      </w:r>
      <w:proofErr w:type="spellEnd"/>
      <w:r w:rsidRPr="0008459E">
        <w:t xml:space="preserve">, and </w:t>
      </w:r>
      <w:proofErr w:type="spellStart"/>
      <w:r w:rsidRPr="0008459E">
        <w:t>Glomerales</w:t>
      </w:r>
      <w:proofErr w:type="spellEnd"/>
      <w:r w:rsidRPr="00C16503">
        <w:rPr>
          <w:i/>
        </w:rPr>
        <w:t>.</w:t>
      </w:r>
      <w:bookmarkEnd w:id="81"/>
      <w:r w:rsidRPr="00C16503">
        <w:rPr>
          <w:i/>
        </w:rPr>
        <w:t xml:space="preserve"> </w:t>
      </w:r>
    </w:p>
    <w:p w14:paraId="373A2808" w14:textId="77777777" w:rsidR="00187BA0" w:rsidRPr="00F62254" w:rsidRDefault="00187BA0" w:rsidP="00187BA0">
      <w:pPr>
        <w:rPr>
          <w:sz w:val="20"/>
          <w:szCs w:val="20"/>
        </w:rPr>
      </w:pPr>
      <w:r w:rsidRPr="00F62254">
        <w:rPr>
          <w:sz w:val="20"/>
          <w:szCs w:val="20"/>
        </w:rPr>
        <w:t>Figure 16 footnote</w:t>
      </w:r>
      <w:r>
        <w:rPr>
          <w:sz w:val="20"/>
          <w:szCs w:val="20"/>
        </w:rPr>
        <w:t xml:space="preserve">. </w:t>
      </w:r>
      <w:r w:rsidRPr="00F62254">
        <w:rPr>
          <w:sz w:val="20"/>
          <w:szCs w:val="20"/>
        </w:rPr>
        <w:t>Here, each treatment is broken up by Date (A or B) to show changes within AM fungal families across the monsoon season. Here, 0% represents the control treatment, 60% the moderate rainfall exclusion treatment, and 80% the high rainfall exclusion treatment.</w:t>
      </w:r>
    </w:p>
    <w:p w14:paraId="4D1E993E" w14:textId="77777777" w:rsidR="00187BA0" w:rsidRPr="00F62254" w:rsidRDefault="00187BA0" w:rsidP="00187BA0">
      <w:pPr>
        <w:rPr>
          <w:color w:val="000000" w:themeColor="text1"/>
          <w:sz w:val="20"/>
          <w:szCs w:val="20"/>
        </w:rPr>
      </w:pPr>
      <w:r w:rsidRPr="00F62254">
        <w:rPr>
          <w:color w:val="000000" w:themeColor="text1"/>
          <w:sz w:val="20"/>
          <w:szCs w:val="20"/>
        </w:rPr>
        <w:br w:type="page"/>
      </w:r>
    </w:p>
    <w:p w14:paraId="29E9AD4D" w14:textId="77777777" w:rsidR="00187BA0" w:rsidRDefault="00187BA0" w:rsidP="00187BA0">
      <w:pPr>
        <w:rPr>
          <w:color w:val="000000" w:themeColor="text1"/>
        </w:rPr>
      </w:pPr>
      <w:r w:rsidRPr="00C16503">
        <w:rPr>
          <w:b/>
          <w:bCs/>
          <w:noProof/>
          <w:sz w:val="20"/>
        </w:rPr>
        <w:lastRenderedPageBreak/>
        <w:drawing>
          <wp:inline distT="0" distB="0" distL="0" distR="0" wp14:anchorId="48F4546A" wp14:editId="60574A76">
            <wp:extent cx="5154045" cy="4775200"/>
            <wp:effectExtent l="0" t="0" r="2540" b="0"/>
            <wp:docPr id="18" name="Picture 1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rotWithShape="1">
                    <a:blip r:embed="rId29" cstate="print">
                      <a:extLst>
                        <a:ext uri="{28A0092B-C50C-407E-A947-70E740481C1C}">
                          <a14:useLocalDpi xmlns:a14="http://schemas.microsoft.com/office/drawing/2010/main" val="0"/>
                        </a:ext>
                      </a:extLst>
                    </a:blip>
                    <a:srcRect t="1" b="1583"/>
                    <a:stretch/>
                  </pic:blipFill>
                  <pic:spPr bwMode="auto">
                    <a:xfrm>
                      <a:off x="0" y="0"/>
                      <a:ext cx="5158356" cy="4779194"/>
                    </a:xfrm>
                    <a:prstGeom prst="rect">
                      <a:avLst/>
                    </a:prstGeom>
                    <a:ln>
                      <a:noFill/>
                    </a:ln>
                    <a:extLst>
                      <a:ext uri="{53640926-AAD7-44D8-BBD7-CCE9431645EC}">
                        <a14:shadowObscured xmlns:a14="http://schemas.microsoft.com/office/drawing/2010/main"/>
                      </a:ext>
                    </a:extLst>
                  </pic:spPr>
                </pic:pic>
              </a:graphicData>
            </a:graphic>
          </wp:inline>
        </w:drawing>
      </w:r>
    </w:p>
    <w:p w14:paraId="04AA2B48" w14:textId="77777777" w:rsidR="00187BA0" w:rsidRDefault="00187BA0" w:rsidP="00187BA0">
      <w:pPr>
        <w:pStyle w:val="Caption"/>
      </w:pPr>
      <w:bookmarkStart w:id="82" w:name="_Toc102046887"/>
      <w:r w:rsidRPr="00F62254">
        <w:t>Figure 17. Principal</w:t>
      </w:r>
      <w:r w:rsidRPr="00C16503">
        <w:t xml:space="preserve"> coordinate analysis for AM fungal community composition from the </w:t>
      </w:r>
      <w:proofErr w:type="spellStart"/>
      <w:r w:rsidRPr="00C16503">
        <w:t>dbRDA</w:t>
      </w:r>
      <w:proofErr w:type="spellEnd"/>
      <w:r w:rsidRPr="00C16503">
        <w:t xml:space="preserve"> using the mean quantitative Jaccard dissimilarity matrix of 1000 rarefied communities.</w:t>
      </w:r>
      <w:bookmarkEnd w:id="82"/>
      <w:r w:rsidRPr="00C16503">
        <w:t xml:space="preserve"> </w:t>
      </w:r>
    </w:p>
    <w:p w14:paraId="0F4B2780" w14:textId="77777777" w:rsidR="00187BA0" w:rsidRPr="00F62254" w:rsidRDefault="00187BA0" w:rsidP="00187BA0">
      <w:pPr>
        <w:rPr>
          <w:sz w:val="20"/>
          <w:szCs w:val="20"/>
        </w:rPr>
      </w:pPr>
      <w:r w:rsidRPr="00F62254">
        <w:rPr>
          <w:sz w:val="20"/>
          <w:szCs w:val="20"/>
        </w:rPr>
        <w:t>Figure 17 footnote</w:t>
      </w:r>
      <w:r>
        <w:rPr>
          <w:sz w:val="20"/>
          <w:szCs w:val="20"/>
        </w:rPr>
        <w:t>.</w:t>
      </w:r>
      <w:r w:rsidRPr="00F62254">
        <w:rPr>
          <w:sz w:val="20"/>
          <w:szCs w:val="20"/>
        </w:rPr>
        <w:t xml:space="preserve"> Axes 1 and 2 explain 47.14% and 34.04% of the 3.55% of total variation explained by this model. Colors represent the median centroid of the control treatment (black), the moderate rainfall exclusion treatment (teal), and the high rainfall exclusion treatment (pink). Date A and Date B are represented by triangles and circles, respectively. Bars are ± one standard error.</w:t>
      </w:r>
    </w:p>
    <w:p w14:paraId="513711C5" w14:textId="77777777" w:rsidR="00187BA0" w:rsidRDefault="00187BA0" w:rsidP="00187BA0">
      <w:pPr>
        <w:rPr>
          <w:color w:val="000000" w:themeColor="text1"/>
        </w:rPr>
      </w:pPr>
      <w:r>
        <w:rPr>
          <w:color w:val="000000" w:themeColor="text1"/>
        </w:rPr>
        <w:br w:type="page"/>
      </w:r>
    </w:p>
    <w:p w14:paraId="062EFE69" w14:textId="53BD949F" w:rsidR="0096280E" w:rsidRPr="0096280E" w:rsidRDefault="0096280E" w:rsidP="0096280E">
      <w:pPr>
        <w:spacing w:line="360" w:lineRule="auto"/>
      </w:pPr>
      <w:r w:rsidRPr="0096280E">
        <w:lastRenderedPageBreak/>
        <w:t>treatment (</w:t>
      </w:r>
      <w:r w:rsidR="005355D9">
        <w:rPr>
          <w:b/>
          <w:bCs/>
        </w:rPr>
        <w:t>Figure</w:t>
      </w:r>
      <w:r w:rsidRPr="0096280E">
        <w:rPr>
          <w:b/>
          <w:bCs/>
        </w:rPr>
        <w:t xml:space="preserve"> </w:t>
      </w:r>
      <w:r w:rsidR="00F62254">
        <w:rPr>
          <w:b/>
          <w:bCs/>
        </w:rPr>
        <w:t>18</w:t>
      </w:r>
      <w:r w:rsidRPr="0096280E">
        <w:t xml:space="preserve">). On the contrary, the control treatment on average lost AM fungal ASVs throughout the monsoon season. As </w:t>
      </w:r>
      <w:r w:rsidRPr="0096280E">
        <w:rPr>
          <w:i/>
          <w:iCs/>
        </w:rPr>
        <w:t>q</w:t>
      </w:r>
      <w:r w:rsidRPr="0096280E">
        <w:t xml:space="preserve"> increases, the 95% highest density intervals decrease around the median change in AM fungal richness across the monsoon season. The control treatment was observed to have an estimated median change of -15.13, -4.85, and -2.96 in AM fungal richness across the monsoon season for </w:t>
      </w:r>
      <w:r w:rsidRPr="0096280E">
        <w:rPr>
          <w:i/>
          <w:iCs/>
        </w:rPr>
        <w:t>q</w:t>
      </w:r>
      <w:r w:rsidRPr="0096280E">
        <w:t xml:space="preserve">=0, 1, and 2, respectively. We can infer that rainfall had a negative effect on ∆ AM fungal richness of rhizospheres. This hypothesis was observed to be true in our posterior samples 77%, 89%, 96% of the time for </w:t>
      </w:r>
      <w:r w:rsidRPr="0096280E">
        <w:rPr>
          <w:i/>
          <w:iCs/>
        </w:rPr>
        <w:t>q</w:t>
      </w:r>
      <w:r w:rsidRPr="0096280E">
        <w:t>=0, 1, and 2 (</w:t>
      </w:r>
      <w:r w:rsidRPr="0096280E">
        <w:rPr>
          <w:b/>
          <w:bCs/>
        </w:rPr>
        <w:t xml:space="preserve">Table </w:t>
      </w:r>
      <w:r w:rsidR="00F62254">
        <w:rPr>
          <w:b/>
          <w:bCs/>
        </w:rPr>
        <w:t>4</w:t>
      </w:r>
      <w:r w:rsidRPr="0096280E">
        <w:t>). The median estimated ∆ AM fungal richness</w:t>
      </w:r>
      <w:r w:rsidRPr="0096280E" w:rsidDel="00086E3B">
        <w:t xml:space="preserve"> </w:t>
      </w:r>
      <w:r w:rsidRPr="0096280E">
        <w:t xml:space="preserve">for the moderate rainfall exclusion treatment was 4.68, 6.10, and 3.10 at </w:t>
      </w:r>
      <w:r w:rsidRPr="0096280E">
        <w:rPr>
          <w:i/>
          <w:iCs/>
        </w:rPr>
        <w:t>q</w:t>
      </w:r>
      <w:r w:rsidRPr="0096280E">
        <w:t xml:space="preserve">=0, 1, and 2. For the moderate rainfall exclusion treatment, we can infer positive change in richness throughout the monsoon season for each value of </w:t>
      </w:r>
      <w:r w:rsidRPr="0096280E">
        <w:rPr>
          <w:i/>
          <w:iCs/>
        </w:rPr>
        <w:t>q</w:t>
      </w:r>
      <w:r w:rsidRPr="0096280E">
        <w:t xml:space="preserve">. For </w:t>
      </w:r>
      <w:r w:rsidRPr="0096280E">
        <w:rPr>
          <w:i/>
          <w:iCs/>
        </w:rPr>
        <w:t>q</w:t>
      </w:r>
      <w:r w:rsidRPr="0096280E">
        <w:t>=0, 1, and 2 this hypothesis was observed 76%, 97%, and 99% of the time of the posterior samples. In the high rainfall exclusion treatment, we can infer that minimal, positive change in AM fungal richness was observed 73%, 78%, and 83% of the time of the posterior samples. The patterns here illustrate that rainfall exclusion had a positive effect on ∆ AM fungal richness and that as rare AM fungal taxa are removed from our analysis (</w:t>
      </w:r>
      <w:r w:rsidRPr="0096280E">
        <w:rPr>
          <w:i/>
          <w:iCs/>
        </w:rPr>
        <w:t>q</w:t>
      </w:r>
      <w:r w:rsidRPr="0096280E">
        <w:t xml:space="preserve">=2), the likelihood of this to be truer increased. These inferences in ∆ </w:t>
      </w:r>
      <w:r w:rsidRPr="0021311E">
        <w:t>AM fungal richness</w:t>
      </w:r>
      <w:r w:rsidRPr="0021311E" w:rsidDel="003B638C">
        <w:t xml:space="preserve"> </w:t>
      </w:r>
      <w:r w:rsidRPr="0021311E">
        <w:t>are consistent with inferences generated from the 1,000 rarefied samples (</w:t>
      </w:r>
      <w:r w:rsidR="0021311E" w:rsidRPr="0021311E">
        <w:rPr>
          <w:b/>
          <w:bCs/>
        </w:rPr>
        <w:t>Appendix Figure 5</w:t>
      </w:r>
      <w:r w:rsidRPr="0021311E">
        <w:t>).</w:t>
      </w:r>
    </w:p>
    <w:p w14:paraId="53E2AE47" w14:textId="7ECBB1E1" w:rsidR="0096280E" w:rsidRPr="00187BA0" w:rsidRDefault="0096280E" w:rsidP="0096280E">
      <w:pPr>
        <w:spacing w:line="360" w:lineRule="auto"/>
        <w:rPr>
          <w:color w:val="000000" w:themeColor="text1"/>
        </w:rPr>
      </w:pPr>
      <w:r w:rsidRPr="0096280E">
        <w:tab/>
        <w:t xml:space="preserve">Phylogenetic relatedness among rainfall exclusion treatments were measured as </w:t>
      </w:r>
      <w:r w:rsidRPr="0096280E">
        <w:rPr>
          <w:color w:val="000000" w:themeColor="text1"/>
        </w:rPr>
        <w:t>∆ AM fungal richness</w:t>
      </w:r>
      <w:r w:rsidRPr="0096280E">
        <w:t xml:space="preserve"> across the monsoon season using the </w:t>
      </w:r>
      <w:proofErr w:type="spellStart"/>
      <w:r w:rsidRPr="0096280E">
        <w:rPr>
          <w:color w:val="000000" w:themeColor="text1"/>
        </w:rPr>
        <w:t>phylo</w:t>
      </w:r>
      <w:proofErr w:type="spellEnd"/>
      <w:r w:rsidRPr="0096280E">
        <w:rPr>
          <w:color w:val="000000" w:themeColor="text1"/>
        </w:rPr>
        <w:t>-Horn N-assemblage overlap measure (</w:t>
      </w:r>
      <w:r w:rsidRPr="0096280E">
        <w:rPr>
          <w:i/>
          <w:iCs/>
          <w:color w:val="000000" w:themeColor="text1"/>
        </w:rPr>
        <w:t>q</w:t>
      </w:r>
      <w:r w:rsidRPr="0096280E">
        <w:rPr>
          <w:color w:val="000000" w:themeColor="text1"/>
        </w:rPr>
        <w:t xml:space="preserve">=1 when informed by phylogeny). Median change in phylogenetic relatedness was -1.05, 1.21, and 0.41 for the control treatment, moderate rainfall exclusion treatment, and the high rainfall exclusion treatment, respectively. For the control treatment we can infer negative change in phylogenetic relatedness 85% of the time throughout the monsoon season. The moderate and the high rainfall exclusion treatments differ in inference from the control treatment showing positive change in phylogenetic relatedness 94% and 83% of the time, respectively. A full summary of hypothesis testing for each treatment including the 95% highest density intervals and associated posterior probabilities can be found in </w:t>
      </w:r>
      <w:r w:rsidR="00AD31CD" w:rsidRPr="00AD31CD">
        <w:rPr>
          <w:b/>
        </w:rPr>
        <w:t>Appendix Table 1</w:t>
      </w:r>
      <w:r w:rsidRPr="00AD31CD">
        <w:rPr>
          <w:color w:val="000000" w:themeColor="text1"/>
        </w:rPr>
        <w:t>.</w:t>
      </w:r>
      <w:r w:rsidRPr="0096280E">
        <w:rPr>
          <w:color w:val="000000" w:themeColor="text1"/>
        </w:rPr>
        <w:t xml:space="preserve"> Additionally, inferences per treatment for rarefied communities mirror that of inferences uncovered through this Bayesian analyses applied to proportional abundance data. </w:t>
      </w:r>
    </w:p>
    <w:p w14:paraId="689DD9FF" w14:textId="4A2AF750" w:rsidR="00187BA0" w:rsidRPr="00187BA0" w:rsidRDefault="0096280E" w:rsidP="00187BA0">
      <w:pPr>
        <w:spacing w:line="360" w:lineRule="auto"/>
      </w:pPr>
      <w:r w:rsidRPr="0096280E">
        <w:tab/>
        <w:t xml:space="preserve">From </w:t>
      </w:r>
      <w:r w:rsidRPr="0096280E">
        <w:rPr>
          <w:i/>
          <w:iCs/>
        </w:rPr>
        <w:t>q</w:t>
      </w:r>
      <w:r w:rsidRPr="0096280E">
        <w:t xml:space="preserve">=0 to </w:t>
      </w:r>
      <w:r w:rsidRPr="0096280E">
        <w:rPr>
          <w:i/>
          <w:iCs/>
        </w:rPr>
        <w:t>q</w:t>
      </w:r>
      <w:r w:rsidRPr="0096280E">
        <w:t xml:space="preserve">=2, AM fungal community turnover was measured as 1 – pairwise beta diversity for each sample, which represents proportional change in AM fungal community </w:t>
      </w:r>
      <w:r w:rsidR="00187BA0">
        <w:br w:type="page"/>
      </w:r>
      <w:r w:rsidR="00187BA0" w:rsidRPr="00C16503">
        <w:rPr>
          <w:noProof/>
          <w:sz w:val="20"/>
        </w:rPr>
        <w:lastRenderedPageBreak/>
        <w:drawing>
          <wp:inline distT="0" distB="0" distL="0" distR="0" wp14:anchorId="5002076B" wp14:editId="78E37C78">
            <wp:extent cx="5486400" cy="4713849"/>
            <wp:effectExtent l="0" t="0" r="0" b="0"/>
            <wp:docPr id="19" name="Picture 1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Chart&#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86400" cy="4713849"/>
                    </a:xfrm>
                    <a:prstGeom prst="rect">
                      <a:avLst/>
                    </a:prstGeom>
                  </pic:spPr>
                </pic:pic>
              </a:graphicData>
            </a:graphic>
          </wp:inline>
        </w:drawing>
      </w:r>
    </w:p>
    <w:p w14:paraId="0AC10A6B" w14:textId="77777777" w:rsidR="00187BA0" w:rsidRDefault="00187BA0" w:rsidP="00187BA0">
      <w:pPr>
        <w:pStyle w:val="Caption"/>
      </w:pPr>
      <w:bookmarkStart w:id="83" w:name="_Toc102046888"/>
      <w:r w:rsidRPr="00DC6803">
        <w:t>Figure 18. ∆ AM fungal richness and the 95% highest density interval around the median change in alpha</w:t>
      </w:r>
      <w:r w:rsidRPr="00C16503">
        <w:t xml:space="preserve"> diversity between the two time points.</w:t>
      </w:r>
      <w:bookmarkEnd w:id="83"/>
      <w:r w:rsidRPr="00C16503">
        <w:t xml:space="preserve"> </w:t>
      </w:r>
    </w:p>
    <w:p w14:paraId="2AB96B3C" w14:textId="77777777" w:rsidR="00187BA0" w:rsidRPr="00F62254" w:rsidRDefault="00187BA0" w:rsidP="00187BA0">
      <w:pPr>
        <w:rPr>
          <w:sz w:val="20"/>
          <w:szCs w:val="20"/>
        </w:rPr>
      </w:pPr>
      <w:r w:rsidRPr="00F62254">
        <w:rPr>
          <w:sz w:val="20"/>
          <w:szCs w:val="20"/>
        </w:rPr>
        <w:t>Figure 18 footnote</w:t>
      </w:r>
      <w:r>
        <w:rPr>
          <w:sz w:val="20"/>
          <w:szCs w:val="20"/>
        </w:rPr>
        <w:t xml:space="preserve">. </w:t>
      </w:r>
      <w:r w:rsidRPr="00F62254">
        <w:rPr>
          <w:sz w:val="20"/>
          <w:szCs w:val="20"/>
        </w:rPr>
        <w:t xml:space="preserve">Bayesian inference was determined using linear models where the difference in AM fungal alpha diversity was predicted by rainfall exclusion treatment. This was conducted for </w:t>
      </w:r>
      <w:r w:rsidRPr="00F62254">
        <w:rPr>
          <w:i/>
          <w:iCs/>
          <w:sz w:val="20"/>
          <w:szCs w:val="20"/>
        </w:rPr>
        <w:t>q</w:t>
      </w:r>
      <w:r w:rsidRPr="00F62254">
        <w:rPr>
          <w:sz w:val="20"/>
          <w:szCs w:val="20"/>
        </w:rPr>
        <w:t xml:space="preserve">=0, 1, and 2. Black represents the control treatment, teal the moderate (60%) rainfall exclusion treatment, and pink the high (80%) rainfall exclusion treatment. Across all values of </w:t>
      </w:r>
      <w:r w:rsidRPr="00F62254">
        <w:rPr>
          <w:i/>
          <w:iCs/>
          <w:sz w:val="20"/>
          <w:szCs w:val="20"/>
        </w:rPr>
        <w:t>q</w:t>
      </w:r>
      <w:r w:rsidRPr="00F62254">
        <w:rPr>
          <w:sz w:val="20"/>
          <w:szCs w:val="20"/>
        </w:rPr>
        <w:t>, the moderate rainfall exclusion treatment, on average, had the largest change in AM fungal richness compared to other treatments.</w:t>
      </w:r>
    </w:p>
    <w:p w14:paraId="2653B7C3" w14:textId="77777777" w:rsidR="00187BA0" w:rsidRPr="00C16503" w:rsidRDefault="00187BA0" w:rsidP="00187BA0">
      <w:pPr>
        <w:pStyle w:val="Subtitle"/>
      </w:pPr>
      <w:r w:rsidRPr="00F62254">
        <w:br w:type="page"/>
      </w:r>
      <w:bookmarkStart w:id="84" w:name="_Toc102118707"/>
      <w:r w:rsidRPr="00DC6803">
        <w:lastRenderedPageBreak/>
        <w:t>Table 4. Results from hypothesis testing on ∆ AM fungal richness. Hypotheses are listed per value of</w:t>
      </w:r>
      <w:r w:rsidRPr="00C16503">
        <w:t xml:space="preserve"> </w:t>
      </w:r>
      <w:r w:rsidRPr="00C16503">
        <w:rPr>
          <w:i/>
          <w:iCs/>
        </w:rPr>
        <w:t>q</w:t>
      </w:r>
      <w:r w:rsidRPr="00C16503">
        <w:t xml:space="preserve"> with the estimated median and 95% highest density interval (HDI).</w:t>
      </w:r>
      <w:bookmarkEnd w:id="84"/>
      <w:r w:rsidRPr="00C16503">
        <w:t xml:space="preserve"> </w:t>
      </w:r>
    </w:p>
    <w:tbl>
      <w:tblPr>
        <w:tblW w:w="8621" w:type="dxa"/>
        <w:tblLook w:val="04A0" w:firstRow="1" w:lastRow="0" w:firstColumn="1" w:lastColumn="0" w:noHBand="0" w:noVBand="1"/>
      </w:tblPr>
      <w:tblGrid>
        <w:gridCol w:w="1192"/>
        <w:gridCol w:w="248"/>
        <w:gridCol w:w="1350"/>
        <w:gridCol w:w="1350"/>
        <w:gridCol w:w="1481"/>
        <w:gridCol w:w="1417"/>
        <w:gridCol w:w="1583"/>
      </w:tblGrid>
      <w:tr w:rsidR="00187BA0" w:rsidRPr="00C16503" w14:paraId="269597A0" w14:textId="77777777" w:rsidTr="00624567">
        <w:trPr>
          <w:trHeight w:val="292"/>
        </w:trPr>
        <w:tc>
          <w:tcPr>
            <w:tcW w:w="1440" w:type="dxa"/>
            <w:gridSpan w:val="2"/>
            <w:tcBorders>
              <w:top w:val="nil"/>
              <w:left w:val="nil"/>
              <w:bottom w:val="single" w:sz="4" w:space="0" w:color="auto"/>
              <w:right w:val="nil"/>
            </w:tcBorders>
            <w:shd w:val="clear" w:color="auto" w:fill="auto"/>
            <w:noWrap/>
            <w:vAlign w:val="center"/>
            <w:hideMark/>
          </w:tcPr>
          <w:p w14:paraId="74BD7AF2" w14:textId="77777777" w:rsidR="00187BA0" w:rsidRPr="00624567" w:rsidRDefault="00187BA0" w:rsidP="00D20AC1">
            <w:pPr>
              <w:jc w:val="center"/>
              <w:rPr>
                <w:b/>
                <w:bCs/>
                <w:color w:val="000000"/>
              </w:rPr>
            </w:pPr>
            <w:r w:rsidRPr="00624567">
              <w:rPr>
                <w:b/>
                <w:bCs/>
                <w:color w:val="000000"/>
              </w:rPr>
              <w:t xml:space="preserve">Value of </w:t>
            </w:r>
            <w:r w:rsidRPr="00624567">
              <w:rPr>
                <w:b/>
                <w:bCs/>
                <w:i/>
                <w:iCs/>
                <w:color w:val="000000"/>
              </w:rPr>
              <w:t>q</w:t>
            </w:r>
          </w:p>
        </w:tc>
        <w:tc>
          <w:tcPr>
            <w:tcW w:w="1350" w:type="dxa"/>
            <w:tcBorders>
              <w:top w:val="nil"/>
              <w:left w:val="nil"/>
              <w:bottom w:val="single" w:sz="4" w:space="0" w:color="auto"/>
              <w:right w:val="nil"/>
            </w:tcBorders>
            <w:shd w:val="clear" w:color="auto" w:fill="auto"/>
            <w:noWrap/>
            <w:vAlign w:val="center"/>
            <w:hideMark/>
          </w:tcPr>
          <w:p w14:paraId="24227E37" w14:textId="77777777" w:rsidR="00187BA0" w:rsidRPr="00624567" w:rsidRDefault="00187BA0" w:rsidP="00D20AC1">
            <w:pPr>
              <w:jc w:val="center"/>
              <w:rPr>
                <w:b/>
                <w:bCs/>
                <w:color w:val="000000"/>
              </w:rPr>
            </w:pPr>
            <w:r w:rsidRPr="00624567">
              <w:rPr>
                <w:b/>
                <w:bCs/>
                <w:color w:val="000000"/>
              </w:rPr>
              <w:t>Hypothesis</w:t>
            </w:r>
          </w:p>
        </w:tc>
        <w:tc>
          <w:tcPr>
            <w:tcW w:w="1350" w:type="dxa"/>
            <w:tcBorders>
              <w:top w:val="nil"/>
              <w:left w:val="nil"/>
              <w:bottom w:val="single" w:sz="4" w:space="0" w:color="auto"/>
              <w:right w:val="nil"/>
            </w:tcBorders>
            <w:shd w:val="clear" w:color="auto" w:fill="auto"/>
            <w:noWrap/>
            <w:vAlign w:val="center"/>
            <w:hideMark/>
          </w:tcPr>
          <w:p w14:paraId="5A50D7D3" w14:textId="77777777" w:rsidR="00187BA0" w:rsidRPr="00624567" w:rsidRDefault="00187BA0" w:rsidP="00D20AC1">
            <w:pPr>
              <w:jc w:val="center"/>
              <w:rPr>
                <w:b/>
                <w:bCs/>
                <w:color w:val="000000"/>
              </w:rPr>
            </w:pPr>
            <w:r w:rsidRPr="00624567">
              <w:rPr>
                <w:b/>
                <w:bCs/>
                <w:color w:val="000000"/>
              </w:rPr>
              <w:t>Lower 95% HDI</w:t>
            </w:r>
          </w:p>
        </w:tc>
        <w:tc>
          <w:tcPr>
            <w:tcW w:w="1481" w:type="dxa"/>
            <w:tcBorders>
              <w:top w:val="nil"/>
              <w:left w:val="nil"/>
              <w:bottom w:val="single" w:sz="4" w:space="0" w:color="auto"/>
              <w:right w:val="nil"/>
            </w:tcBorders>
            <w:shd w:val="clear" w:color="auto" w:fill="auto"/>
            <w:noWrap/>
            <w:vAlign w:val="center"/>
            <w:hideMark/>
          </w:tcPr>
          <w:p w14:paraId="6A749D4E" w14:textId="77777777" w:rsidR="00187BA0" w:rsidRPr="00624567" w:rsidRDefault="00187BA0" w:rsidP="00D20AC1">
            <w:pPr>
              <w:jc w:val="center"/>
              <w:rPr>
                <w:b/>
                <w:bCs/>
                <w:color w:val="000000"/>
              </w:rPr>
            </w:pPr>
            <w:r w:rsidRPr="00624567">
              <w:rPr>
                <w:b/>
                <w:bCs/>
                <w:color w:val="000000"/>
              </w:rPr>
              <w:t>Median</w:t>
            </w:r>
          </w:p>
        </w:tc>
        <w:tc>
          <w:tcPr>
            <w:tcW w:w="1417" w:type="dxa"/>
            <w:tcBorders>
              <w:top w:val="nil"/>
              <w:left w:val="nil"/>
              <w:bottom w:val="single" w:sz="4" w:space="0" w:color="auto"/>
              <w:right w:val="nil"/>
            </w:tcBorders>
            <w:shd w:val="clear" w:color="auto" w:fill="auto"/>
            <w:noWrap/>
            <w:vAlign w:val="center"/>
            <w:hideMark/>
          </w:tcPr>
          <w:p w14:paraId="16C3A982" w14:textId="77777777" w:rsidR="00187BA0" w:rsidRPr="00624567" w:rsidRDefault="00187BA0" w:rsidP="00D20AC1">
            <w:pPr>
              <w:jc w:val="center"/>
              <w:rPr>
                <w:b/>
                <w:bCs/>
                <w:color w:val="000000"/>
              </w:rPr>
            </w:pPr>
            <w:r w:rsidRPr="00624567">
              <w:rPr>
                <w:b/>
                <w:bCs/>
                <w:color w:val="000000"/>
              </w:rPr>
              <w:t>Higher 95% HDI</w:t>
            </w:r>
          </w:p>
        </w:tc>
        <w:tc>
          <w:tcPr>
            <w:tcW w:w="1583" w:type="dxa"/>
            <w:tcBorders>
              <w:top w:val="nil"/>
              <w:left w:val="nil"/>
              <w:bottom w:val="single" w:sz="4" w:space="0" w:color="auto"/>
              <w:right w:val="nil"/>
            </w:tcBorders>
            <w:shd w:val="clear" w:color="auto" w:fill="auto"/>
            <w:noWrap/>
            <w:vAlign w:val="center"/>
            <w:hideMark/>
          </w:tcPr>
          <w:p w14:paraId="6B4A907A" w14:textId="77777777" w:rsidR="00187BA0" w:rsidRPr="00624567" w:rsidRDefault="00187BA0" w:rsidP="00D20AC1">
            <w:pPr>
              <w:jc w:val="center"/>
              <w:rPr>
                <w:b/>
                <w:bCs/>
                <w:color w:val="000000"/>
              </w:rPr>
            </w:pPr>
            <w:r w:rsidRPr="00624567">
              <w:rPr>
                <w:b/>
                <w:bCs/>
                <w:color w:val="000000"/>
              </w:rPr>
              <w:t>Posterior Probability</w:t>
            </w:r>
          </w:p>
        </w:tc>
      </w:tr>
      <w:tr w:rsidR="00187BA0" w:rsidRPr="00C16503" w14:paraId="5D9FAF79" w14:textId="77777777" w:rsidTr="00624567">
        <w:trPr>
          <w:trHeight w:val="292"/>
        </w:trPr>
        <w:tc>
          <w:tcPr>
            <w:tcW w:w="1192" w:type="dxa"/>
            <w:tcBorders>
              <w:top w:val="nil"/>
              <w:left w:val="nil"/>
              <w:bottom w:val="nil"/>
              <w:right w:val="nil"/>
            </w:tcBorders>
            <w:shd w:val="clear" w:color="auto" w:fill="auto"/>
            <w:noWrap/>
            <w:vAlign w:val="bottom"/>
            <w:hideMark/>
          </w:tcPr>
          <w:p w14:paraId="53E69FFA" w14:textId="77777777" w:rsidR="00187BA0" w:rsidRPr="00624567" w:rsidRDefault="00187BA0" w:rsidP="00D20AC1">
            <w:pPr>
              <w:jc w:val="center"/>
              <w:rPr>
                <w:color w:val="000000"/>
              </w:rPr>
            </w:pPr>
            <w:r w:rsidRPr="00624567">
              <w:rPr>
                <w:color w:val="000000"/>
              </w:rPr>
              <w:t>0</w:t>
            </w:r>
          </w:p>
        </w:tc>
        <w:tc>
          <w:tcPr>
            <w:tcW w:w="1598" w:type="dxa"/>
            <w:gridSpan w:val="2"/>
            <w:tcBorders>
              <w:top w:val="nil"/>
              <w:left w:val="nil"/>
              <w:bottom w:val="nil"/>
              <w:right w:val="nil"/>
            </w:tcBorders>
            <w:shd w:val="clear" w:color="auto" w:fill="auto"/>
            <w:noWrap/>
            <w:vAlign w:val="bottom"/>
            <w:hideMark/>
          </w:tcPr>
          <w:p w14:paraId="51942544" w14:textId="77777777" w:rsidR="00187BA0" w:rsidRPr="00624567" w:rsidRDefault="00187BA0" w:rsidP="00D20AC1">
            <w:pPr>
              <w:jc w:val="center"/>
              <w:rPr>
                <w:color w:val="000000"/>
              </w:rPr>
            </w:pPr>
            <w:r w:rsidRPr="00624567">
              <w:rPr>
                <w:color w:val="000000"/>
              </w:rPr>
              <w:t>Control &lt; 0</w:t>
            </w:r>
          </w:p>
        </w:tc>
        <w:tc>
          <w:tcPr>
            <w:tcW w:w="1350" w:type="dxa"/>
            <w:tcBorders>
              <w:top w:val="nil"/>
              <w:left w:val="nil"/>
              <w:bottom w:val="nil"/>
              <w:right w:val="nil"/>
            </w:tcBorders>
            <w:shd w:val="clear" w:color="auto" w:fill="auto"/>
            <w:noWrap/>
            <w:vAlign w:val="bottom"/>
            <w:hideMark/>
          </w:tcPr>
          <w:p w14:paraId="3B668DAD" w14:textId="77777777" w:rsidR="00187BA0" w:rsidRPr="00624567" w:rsidRDefault="00187BA0" w:rsidP="00D20AC1">
            <w:pPr>
              <w:jc w:val="center"/>
              <w:rPr>
                <w:color w:val="000000"/>
              </w:rPr>
            </w:pPr>
            <w:r w:rsidRPr="00624567">
              <w:rPr>
                <w:color w:val="000000"/>
              </w:rPr>
              <w:t>-55.55</w:t>
            </w:r>
          </w:p>
        </w:tc>
        <w:tc>
          <w:tcPr>
            <w:tcW w:w="1481" w:type="dxa"/>
            <w:tcBorders>
              <w:top w:val="nil"/>
              <w:left w:val="nil"/>
              <w:bottom w:val="nil"/>
              <w:right w:val="nil"/>
            </w:tcBorders>
            <w:shd w:val="clear" w:color="auto" w:fill="auto"/>
            <w:noWrap/>
            <w:vAlign w:val="bottom"/>
            <w:hideMark/>
          </w:tcPr>
          <w:p w14:paraId="6855F5DE" w14:textId="77777777" w:rsidR="00187BA0" w:rsidRPr="00624567" w:rsidRDefault="00187BA0" w:rsidP="00D20AC1">
            <w:pPr>
              <w:jc w:val="center"/>
              <w:rPr>
                <w:color w:val="000000"/>
              </w:rPr>
            </w:pPr>
            <w:r w:rsidRPr="00624567">
              <w:rPr>
                <w:color w:val="000000"/>
              </w:rPr>
              <w:t>-15.13</w:t>
            </w:r>
          </w:p>
        </w:tc>
        <w:tc>
          <w:tcPr>
            <w:tcW w:w="1417" w:type="dxa"/>
            <w:tcBorders>
              <w:top w:val="nil"/>
              <w:left w:val="nil"/>
              <w:bottom w:val="nil"/>
              <w:right w:val="nil"/>
            </w:tcBorders>
            <w:shd w:val="clear" w:color="auto" w:fill="auto"/>
            <w:noWrap/>
            <w:vAlign w:val="bottom"/>
            <w:hideMark/>
          </w:tcPr>
          <w:p w14:paraId="44C6458D" w14:textId="77777777" w:rsidR="00187BA0" w:rsidRPr="00624567" w:rsidRDefault="00187BA0" w:rsidP="00D20AC1">
            <w:pPr>
              <w:jc w:val="center"/>
              <w:rPr>
                <w:color w:val="000000"/>
              </w:rPr>
            </w:pPr>
            <w:r w:rsidRPr="00624567">
              <w:rPr>
                <w:color w:val="000000"/>
              </w:rPr>
              <w:t>24.95</w:t>
            </w:r>
          </w:p>
        </w:tc>
        <w:tc>
          <w:tcPr>
            <w:tcW w:w="1583" w:type="dxa"/>
            <w:tcBorders>
              <w:top w:val="nil"/>
              <w:left w:val="nil"/>
              <w:bottom w:val="nil"/>
              <w:right w:val="nil"/>
            </w:tcBorders>
            <w:shd w:val="clear" w:color="auto" w:fill="auto"/>
            <w:noWrap/>
            <w:vAlign w:val="bottom"/>
            <w:hideMark/>
          </w:tcPr>
          <w:p w14:paraId="05670E63" w14:textId="77777777" w:rsidR="00187BA0" w:rsidRPr="00624567" w:rsidRDefault="00187BA0" w:rsidP="00D20AC1">
            <w:pPr>
              <w:jc w:val="center"/>
              <w:rPr>
                <w:color w:val="000000"/>
              </w:rPr>
            </w:pPr>
            <w:r w:rsidRPr="00624567">
              <w:rPr>
                <w:color w:val="000000"/>
              </w:rPr>
              <w:t>0.77</w:t>
            </w:r>
          </w:p>
        </w:tc>
      </w:tr>
      <w:tr w:rsidR="00187BA0" w:rsidRPr="00C16503" w14:paraId="5AD6AE38" w14:textId="77777777" w:rsidTr="00624567">
        <w:trPr>
          <w:trHeight w:val="292"/>
        </w:trPr>
        <w:tc>
          <w:tcPr>
            <w:tcW w:w="1192" w:type="dxa"/>
            <w:tcBorders>
              <w:top w:val="nil"/>
              <w:left w:val="nil"/>
              <w:bottom w:val="nil"/>
              <w:right w:val="nil"/>
            </w:tcBorders>
            <w:shd w:val="clear" w:color="auto" w:fill="auto"/>
            <w:noWrap/>
            <w:vAlign w:val="bottom"/>
            <w:hideMark/>
          </w:tcPr>
          <w:p w14:paraId="521BA80C" w14:textId="77777777" w:rsidR="00187BA0" w:rsidRPr="00624567" w:rsidRDefault="00187BA0" w:rsidP="00D20AC1">
            <w:pPr>
              <w:jc w:val="center"/>
              <w:rPr>
                <w:color w:val="000000"/>
              </w:rPr>
            </w:pPr>
            <w:r w:rsidRPr="00624567">
              <w:rPr>
                <w:color w:val="000000"/>
              </w:rPr>
              <w:t>1</w:t>
            </w:r>
          </w:p>
        </w:tc>
        <w:tc>
          <w:tcPr>
            <w:tcW w:w="1598" w:type="dxa"/>
            <w:gridSpan w:val="2"/>
            <w:tcBorders>
              <w:top w:val="nil"/>
              <w:left w:val="nil"/>
              <w:bottom w:val="nil"/>
              <w:right w:val="nil"/>
            </w:tcBorders>
            <w:shd w:val="clear" w:color="auto" w:fill="auto"/>
            <w:noWrap/>
            <w:vAlign w:val="bottom"/>
            <w:hideMark/>
          </w:tcPr>
          <w:p w14:paraId="0A0AAE34" w14:textId="77777777" w:rsidR="00187BA0" w:rsidRPr="00624567" w:rsidRDefault="00187BA0" w:rsidP="00D20AC1">
            <w:pPr>
              <w:jc w:val="center"/>
              <w:rPr>
                <w:color w:val="000000"/>
              </w:rPr>
            </w:pPr>
            <w:r w:rsidRPr="00624567">
              <w:rPr>
                <w:color w:val="000000"/>
              </w:rPr>
              <w:t>Control &lt; 0</w:t>
            </w:r>
          </w:p>
        </w:tc>
        <w:tc>
          <w:tcPr>
            <w:tcW w:w="1350" w:type="dxa"/>
            <w:tcBorders>
              <w:top w:val="nil"/>
              <w:left w:val="nil"/>
              <w:bottom w:val="nil"/>
              <w:right w:val="nil"/>
            </w:tcBorders>
            <w:shd w:val="clear" w:color="auto" w:fill="auto"/>
            <w:noWrap/>
            <w:vAlign w:val="bottom"/>
            <w:hideMark/>
          </w:tcPr>
          <w:p w14:paraId="56C9AC33" w14:textId="77777777" w:rsidR="00187BA0" w:rsidRPr="00624567" w:rsidRDefault="00187BA0" w:rsidP="00D20AC1">
            <w:pPr>
              <w:jc w:val="center"/>
              <w:rPr>
                <w:color w:val="000000"/>
              </w:rPr>
            </w:pPr>
            <w:r w:rsidRPr="00624567">
              <w:rPr>
                <w:color w:val="000000"/>
              </w:rPr>
              <w:t>-12.34</w:t>
            </w:r>
          </w:p>
        </w:tc>
        <w:tc>
          <w:tcPr>
            <w:tcW w:w="1481" w:type="dxa"/>
            <w:tcBorders>
              <w:top w:val="nil"/>
              <w:left w:val="nil"/>
              <w:bottom w:val="nil"/>
              <w:right w:val="nil"/>
            </w:tcBorders>
            <w:shd w:val="clear" w:color="auto" w:fill="auto"/>
            <w:noWrap/>
            <w:vAlign w:val="bottom"/>
            <w:hideMark/>
          </w:tcPr>
          <w:p w14:paraId="11DFF9EC" w14:textId="77777777" w:rsidR="00187BA0" w:rsidRPr="00624567" w:rsidRDefault="00187BA0" w:rsidP="00D20AC1">
            <w:pPr>
              <w:jc w:val="center"/>
              <w:rPr>
                <w:color w:val="000000"/>
              </w:rPr>
            </w:pPr>
            <w:r w:rsidRPr="00624567">
              <w:rPr>
                <w:color w:val="000000"/>
              </w:rPr>
              <w:t>-4.85</w:t>
            </w:r>
          </w:p>
        </w:tc>
        <w:tc>
          <w:tcPr>
            <w:tcW w:w="1417" w:type="dxa"/>
            <w:tcBorders>
              <w:top w:val="nil"/>
              <w:left w:val="nil"/>
              <w:bottom w:val="nil"/>
              <w:right w:val="nil"/>
            </w:tcBorders>
            <w:shd w:val="clear" w:color="auto" w:fill="auto"/>
            <w:noWrap/>
            <w:vAlign w:val="bottom"/>
            <w:hideMark/>
          </w:tcPr>
          <w:p w14:paraId="58837A98" w14:textId="77777777" w:rsidR="00187BA0" w:rsidRPr="00624567" w:rsidRDefault="00187BA0" w:rsidP="00D20AC1">
            <w:pPr>
              <w:jc w:val="center"/>
              <w:rPr>
                <w:color w:val="000000"/>
              </w:rPr>
            </w:pPr>
            <w:r w:rsidRPr="00624567">
              <w:rPr>
                <w:color w:val="000000"/>
              </w:rPr>
              <w:t>3.27</w:t>
            </w:r>
          </w:p>
        </w:tc>
        <w:tc>
          <w:tcPr>
            <w:tcW w:w="1583" w:type="dxa"/>
            <w:tcBorders>
              <w:top w:val="nil"/>
              <w:left w:val="nil"/>
              <w:bottom w:val="nil"/>
              <w:right w:val="nil"/>
            </w:tcBorders>
            <w:shd w:val="clear" w:color="auto" w:fill="auto"/>
            <w:noWrap/>
            <w:vAlign w:val="bottom"/>
            <w:hideMark/>
          </w:tcPr>
          <w:p w14:paraId="47030B56" w14:textId="77777777" w:rsidR="00187BA0" w:rsidRPr="00624567" w:rsidRDefault="00187BA0" w:rsidP="00D20AC1">
            <w:pPr>
              <w:jc w:val="center"/>
              <w:rPr>
                <w:color w:val="000000"/>
              </w:rPr>
            </w:pPr>
            <w:r w:rsidRPr="00624567">
              <w:rPr>
                <w:color w:val="000000"/>
              </w:rPr>
              <w:t>0.89</w:t>
            </w:r>
          </w:p>
        </w:tc>
      </w:tr>
      <w:tr w:rsidR="00187BA0" w:rsidRPr="00C16503" w14:paraId="1750F324" w14:textId="77777777" w:rsidTr="00624567">
        <w:trPr>
          <w:trHeight w:val="292"/>
        </w:trPr>
        <w:tc>
          <w:tcPr>
            <w:tcW w:w="1192" w:type="dxa"/>
            <w:tcBorders>
              <w:top w:val="nil"/>
              <w:left w:val="nil"/>
              <w:bottom w:val="single" w:sz="4" w:space="0" w:color="auto"/>
              <w:right w:val="nil"/>
            </w:tcBorders>
            <w:shd w:val="clear" w:color="auto" w:fill="auto"/>
            <w:noWrap/>
            <w:vAlign w:val="bottom"/>
            <w:hideMark/>
          </w:tcPr>
          <w:p w14:paraId="78E67B39" w14:textId="77777777" w:rsidR="00187BA0" w:rsidRPr="00624567" w:rsidRDefault="00187BA0" w:rsidP="00D20AC1">
            <w:pPr>
              <w:jc w:val="center"/>
              <w:rPr>
                <w:color w:val="000000"/>
              </w:rPr>
            </w:pPr>
            <w:r w:rsidRPr="00624567">
              <w:rPr>
                <w:color w:val="000000"/>
              </w:rPr>
              <w:t>2</w:t>
            </w:r>
          </w:p>
        </w:tc>
        <w:tc>
          <w:tcPr>
            <w:tcW w:w="1598" w:type="dxa"/>
            <w:gridSpan w:val="2"/>
            <w:tcBorders>
              <w:top w:val="nil"/>
              <w:left w:val="nil"/>
              <w:bottom w:val="single" w:sz="4" w:space="0" w:color="auto"/>
              <w:right w:val="nil"/>
            </w:tcBorders>
            <w:shd w:val="clear" w:color="auto" w:fill="auto"/>
            <w:noWrap/>
            <w:vAlign w:val="bottom"/>
            <w:hideMark/>
          </w:tcPr>
          <w:p w14:paraId="3D123497" w14:textId="77777777" w:rsidR="00187BA0" w:rsidRPr="00624567" w:rsidRDefault="00187BA0" w:rsidP="00D20AC1">
            <w:pPr>
              <w:jc w:val="center"/>
              <w:rPr>
                <w:color w:val="000000"/>
              </w:rPr>
            </w:pPr>
            <w:r w:rsidRPr="00624567">
              <w:rPr>
                <w:color w:val="000000"/>
              </w:rPr>
              <w:t>Control &lt; 0</w:t>
            </w:r>
          </w:p>
        </w:tc>
        <w:tc>
          <w:tcPr>
            <w:tcW w:w="1350" w:type="dxa"/>
            <w:tcBorders>
              <w:top w:val="nil"/>
              <w:left w:val="nil"/>
              <w:bottom w:val="single" w:sz="4" w:space="0" w:color="auto"/>
              <w:right w:val="nil"/>
            </w:tcBorders>
            <w:shd w:val="clear" w:color="auto" w:fill="auto"/>
            <w:noWrap/>
            <w:vAlign w:val="bottom"/>
            <w:hideMark/>
          </w:tcPr>
          <w:p w14:paraId="7E785A7F" w14:textId="77777777" w:rsidR="00187BA0" w:rsidRPr="00624567" w:rsidRDefault="00187BA0" w:rsidP="00D20AC1">
            <w:pPr>
              <w:jc w:val="center"/>
              <w:rPr>
                <w:color w:val="000000"/>
              </w:rPr>
            </w:pPr>
            <w:r w:rsidRPr="00624567">
              <w:rPr>
                <w:color w:val="000000"/>
              </w:rPr>
              <w:t>-6.36</w:t>
            </w:r>
          </w:p>
        </w:tc>
        <w:tc>
          <w:tcPr>
            <w:tcW w:w="1481" w:type="dxa"/>
            <w:tcBorders>
              <w:top w:val="nil"/>
              <w:left w:val="nil"/>
              <w:bottom w:val="single" w:sz="4" w:space="0" w:color="auto"/>
              <w:right w:val="nil"/>
            </w:tcBorders>
            <w:shd w:val="clear" w:color="auto" w:fill="auto"/>
            <w:noWrap/>
            <w:vAlign w:val="bottom"/>
            <w:hideMark/>
          </w:tcPr>
          <w:p w14:paraId="6A34AB93" w14:textId="77777777" w:rsidR="00187BA0" w:rsidRPr="00624567" w:rsidRDefault="00187BA0" w:rsidP="00D20AC1">
            <w:pPr>
              <w:jc w:val="center"/>
              <w:rPr>
                <w:color w:val="000000"/>
              </w:rPr>
            </w:pPr>
            <w:r w:rsidRPr="00624567">
              <w:rPr>
                <w:color w:val="000000"/>
              </w:rPr>
              <w:t>-2.96</w:t>
            </w:r>
          </w:p>
        </w:tc>
        <w:tc>
          <w:tcPr>
            <w:tcW w:w="1417" w:type="dxa"/>
            <w:tcBorders>
              <w:top w:val="nil"/>
              <w:left w:val="nil"/>
              <w:bottom w:val="single" w:sz="4" w:space="0" w:color="auto"/>
              <w:right w:val="nil"/>
            </w:tcBorders>
            <w:shd w:val="clear" w:color="auto" w:fill="auto"/>
            <w:noWrap/>
            <w:vAlign w:val="bottom"/>
            <w:hideMark/>
          </w:tcPr>
          <w:p w14:paraId="01A726E9" w14:textId="77777777" w:rsidR="00187BA0" w:rsidRPr="00624567" w:rsidRDefault="00187BA0" w:rsidP="00D20AC1">
            <w:pPr>
              <w:jc w:val="center"/>
              <w:rPr>
                <w:color w:val="000000"/>
              </w:rPr>
            </w:pPr>
            <w:r w:rsidRPr="00624567">
              <w:rPr>
                <w:color w:val="000000"/>
              </w:rPr>
              <w:t>0.41</w:t>
            </w:r>
          </w:p>
        </w:tc>
        <w:tc>
          <w:tcPr>
            <w:tcW w:w="1583" w:type="dxa"/>
            <w:tcBorders>
              <w:top w:val="nil"/>
              <w:left w:val="nil"/>
              <w:bottom w:val="single" w:sz="4" w:space="0" w:color="auto"/>
              <w:right w:val="nil"/>
            </w:tcBorders>
            <w:shd w:val="clear" w:color="auto" w:fill="auto"/>
            <w:noWrap/>
            <w:vAlign w:val="bottom"/>
            <w:hideMark/>
          </w:tcPr>
          <w:p w14:paraId="048C5978" w14:textId="77777777" w:rsidR="00187BA0" w:rsidRPr="00624567" w:rsidRDefault="00187BA0" w:rsidP="00D20AC1">
            <w:pPr>
              <w:jc w:val="center"/>
              <w:rPr>
                <w:color w:val="000000"/>
              </w:rPr>
            </w:pPr>
            <w:r w:rsidRPr="00624567">
              <w:rPr>
                <w:color w:val="000000"/>
              </w:rPr>
              <w:t>0.96</w:t>
            </w:r>
          </w:p>
        </w:tc>
      </w:tr>
      <w:tr w:rsidR="00187BA0" w:rsidRPr="00C16503" w14:paraId="73E315F4" w14:textId="77777777" w:rsidTr="00624567">
        <w:trPr>
          <w:trHeight w:val="292"/>
        </w:trPr>
        <w:tc>
          <w:tcPr>
            <w:tcW w:w="1192" w:type="dxa"/>
            <w:tcBorders>
              <w:top w:val="nil"/>
              <w:left w:val="nil"/>
              <w:bottom w:val="nil"/>
              <w:right w:val="nil"/>
            </w:tcBorders>
            <w:shd w:val="clear" w:color="auto" w:fill="auto"/>
            <w:noWrap/>
            <w:vAlign w:val="bottom"/>
            <w:hideMark/>
          </w:tcPr>
          <w:p w14:paraId="178C60F0" w14:textId="77777777" w:rsidR="00187BA0" w:rsidRPr="00624567" w:rsidRDefault="00187BA0" w:rsidP="00D20AC1">
            <w:pPr>
              <w:jc w:val="center"/>
              <w:rPr>
                <w:color w:val="000000"/>
              </w:rPr>
            </w:pPr>
            <w:r w:rsidRPr="00624567">
              <w:rPr>
                <w:color w:val="000000"/>
              </w:rPr>
              <w:t>0</w:t>
            </w:r>
          </w:p>
        </w:tc>
        <w:tc>
          <w:tcPr>
            <w:tcW w:w="1598" w:type="dxa"/>
            <w:gridSpan w:val="2"/>
            <w:tcBorders>
              <w:top w:val="nil"/>
              <w:left w:val="nil"/>
              <w:bottom w:val="nil"/>
              <w:right w:val="nil"/>
            </w:tcBorders>
            <w:shd w:val="clear" w:color="auto" w:fill="auto"/>
            <w:noWrap/>
            <w:vAlign w:val="bottom"/>
            <w:hideMark/>
          </w:tcPr>
          <w:p w14:paraId="7F6F9BE0" w14:textId="77777777" w:rsidR="00187BA0" w:rsidRPr="00624567" w:rsidRDefault="00187BA0" w:rsidP="00D20AC1">
            <w:pPr>
              <w:jc w:val="center"/>
              <w:rPr>
                <w:color w:val="000000"/>
              </w:rPr>
            </w:pPr>
            <w:r w:rsidRPr="00624567">
              <w:rPr>
                <w:color w:val="000000"/>
              </w:rPr>
              <w:t>Moderate &gt; 0</w:t>
            </w:r>
          </w:p>
        </w:tc>
        <w:tc>
          <w:tcPr>
            <w:tcW w:w="1350" w:type="dxa"/>
            <w:tcBorders>
              <w:top w:val="nil"/>
              <w:left w:val="nil"/>
              <w:bottom w:val="nil"/>
              <w:right w:val="nil"/>
            </w:tcBorders>
            <w:shd w:val="clear" w:color="auto" w:fill="auto"/>
            <w:noWrap/>
            <w:vAlign w:val="bottom"/>
            <w:hideMark/>
          </w:tcPr>
          <w:p w14:paraId="77BBD7B7" w14:textId="77777777" w:rsidR="00187BA0" w:rsidRPr="00624567" w:rsidRDefault="00187BA0" w:rsidP="00D20AC1">
            <w:pPr>
              <w:jc w:val="center"/>
              <w:rPr>
                <w:color w:val="000000"/>
              </w:rPr>
            </w:pPr>
            <w:r w:rsidRPr="00624567">
              <w:rPr>
                <w:color w:val="000000"/>
              </w:rPr>
              <w:t>-35.83</w:t>
            </w:r>
          </w:p>
        </w:tc>
        <w:tc>
          <w:tcPr>
            <w:tcW w:w="1481" w:type="dxa"/>
            <w:tcBorders>
              <w:top w:val="nil"/>
              <w:left w:val="nil"/>
              <w:bottom w:val="nil"/>
              <w:right w:val="nil"/>
            </w:tcBorders>
            <w:shd w:val="clear" w:color="auto" w:fill="auto"/>
            <w:noWrap/>
            <w:vAlign w:val="bottom"/>
            <w:hideMark/>
          </w:tcPr>
          <w:p w14:paraId="7C4F76BF" w14:textId="77777777" w:rsidR="00187BA0" w:rsidRPr="00624567" w:rsidRDefault="00187BA0" w:rsidP="00D20AC1">
            <w:pPr>
              <w:jc w:val="center"/>
              <w:rPr>
                <w:color w:val="000000"/>
              </w:rPr>
            </w:pPr>
            <w:r w:rsidRPr="00624567">
              <w:rPr>
                <w:color w:val="000000"/>
              </w:rPr>
              <w:t>4.68</w:t>
            </w:r>
          </w:p>
        </w:tc>
        <w:tc>
          <w:tcPr>
            <w:tcW w:w="1417" w:type="dxa"/>
            <w:tcBorders>
              <w:top w:val="nil"/>
              <w:left w:val="nil"/>
              <w:bottom w:val="nil"/>
              <w:right w:val="nil"/>
            </w:tcBorders>
            <w:shd w:val="clear" w:color="auto" w:fill="auto"/>
            <w:noWrap/>
            <w:vAlign w:val="bottom"/>
            <w:hideMark/>
          </w:tcPr>
          <w:p w14:paraId="0F8B738D" w14:textId="77777777" w:rsidR="00187BA0" w:rsidRPr="00624567" w:rsidRDefault="00187BA0" w:rsidP="00D20AC1">
            <w:pPr>
              <w:jc w:val="center"/>
              <w:rPr>
                <w:color w:val="000000"/>
              </w:rPr>
            </w:pPr>
            <w:r w:rsidRPr="00624567">
              <w:rPr>
                <w:color w:val="000000"/>
              </w:rPr>
              <w:t>45.53</w:t>
            </w:r>
          </w:p>
        </w:tc>
        <w:tc>
          <w:tcPr>
            <w:tcW w:w="1583" w:type="dxa"/>
            <w:tcBorders>
              <w:top w:val="nil"/>
              <w:left w:val="nil"/>
              <w:bottom w:val="nil"/>
              <w:right w:val="nil"/>
            </w:tcBorders>
            <w:shd w:val="clear" w:color="auto" w:fill="auto"/>
            <w:noWrap/>
            <w:vAlign w:val="bottom"/>
            <w:hideMark/>
          </w:tcPr>
          <w:p w14:paraId="73DCACEE" w14:textId="77777777" w:rsidR="00187BA0" w:rsidRPr="00624567" w:rsidRDefault="00187BA0" w:rsidP="00D20AC1">
            <w:pPr>
              <w:jc w:val="center"/>
              <w:rPr>
                <w:color w:val="000000"/>
              </w:rPr>
            </w:pPr>
            <w:r w:rsidRPr="00624567">
              <w:rPr>
                <w:color w:val="000000"/>
              </w:rPr>
              <w:t>0.76</w:t>
            </w:r>
          </w:p>
        </w:tc>
      </w:tr>
      <w:tr w:rsidR="00187BA0" w:rsidRPr="00C16503" w14:paraId="693F7067" w14:textId="77777777" w:rsidTr="00624567">
        <w:trPr>
          <w:trHeight w:val="292"/>
        </w:trPr>
        <w:tc>
          <w:tcPr>
            <w:tcW w:w="1192" w:type="dxa"/>
            <w:tcBorders>
              <w:top w:val="nil"/>
              <w:left w:val="nil"/>
              <w:bottom w:val="nil"/>
              <w:right w:val="nil"/>
            </w:tcBorders>
            <w:shd w:val="clear" w:color="auto" w:fill="auto"/>
            <w:noWrap/>
            <w:vAlign w:val="bottom"/>
            <w:hideMark/>
          </w:tcPr>
          <w:p w14:paraId="69CE1644" w14:textId="77777777" w:rsidR="00187BA0" w:rsidRPr="00624567" w:rsidRDefault="00187BA0" w:rsidP="00D20AC1">
            <w:pPr>
              <w:jc w:val="center"/>
              <w:rPr>
                <w:color w:val="000000"/>
              </w:rPr>
            </w:pPr>
            <w:r w:rsidRPr="00624567">
              <w:rPr>
                <w:color w:val="000000"/>
              </w:rPr>
              <w:t>1</w:t>
            </w:r>
          </w:p>
        </w:tc>
        <w:tc>
          <w:tcPr>
            <w:tcW w:w="1598" w:type="dxa"/>
            <w:gridSpan w:val="2"/>
            <w:tcBorders>
              <w:top w:val="nil"/>
              <w:left w:val="nil"/>
              <w:bottom w:val="nil"/>
              <w:right w:val="nil"/>
            </w:tcBorders>
            <w:shd w:val="clear" w:color="auto" w:fill="auto"/>
            <w:noWrap/>
            <w:vAlign w:val="bottom"/>
            <w:hideMark/>
          </w:tcPr>
          <w:p w14:paraId="22392CCF" w14:textId="77777777" w:rsidR="00187BA0" w:rsidRPr="00624567" w:rsidRDefault="00187BA0" w:rsidP="00D20AC1">
            <w:pPr>
              <w:jc w:val="center"/>
              <w:rPr>
                <w:color w:val="000000"/>
              </w:rPr>
            </w:pPr>
            <w:r w:rsidRPr="00624567">
              <w:rPr>
                <w:color w:val="000000"/>
              </w:rPr>
              <w:t>Moderate &gt; 0</w:t>
            </w:r>
          </w:p>
        </w:tc>
        <w:tc>
          <w:tcPr>
            <w:tcW w:w="1350" w:type="dxa"/>
            <w:tcBorders>
              <w:top w:val="nil"/>
              <w:left w:val="nil"/>
              <w:bottom w:val="nil"/>
              <w:right w:val="nil"/>
            </w:tcBorders>
            <w:shd w:val="clear" w:color="auto" w:fill="auto"/>
            <w:noWrap/>
            <w:vAlign w:val="bottom"/>
            <w:hideMark/>
          </w:tcPr>
          <w:p w14:paraId="0678CF94" w14:textId="77777777" w:rsidR="00187BA0" w:rsidRPr="00624567" w:rsidRDefault="00187BA0" w:rsidP="00D20AC1">
            <w:pPr>
              <w:jc w:val="center"/>
              <w:rPr>
                <w:color w:val="000000"/>
              </w:rPr>
            </w:pPr>
            <w:r w:rsidRPr="00624567">
              <w:rPr>
                <w:color w:val="000000"/>
              </w:rPr>
              <w:t>-1.44</w:t>
            </w:r>
          </w:p>
        </w:tc>
        <w:tc>
          <w:tcPr>
            <w:tcW w:w="1481" w:type="dxa"/>
            <w:tcBorders>
              <w:top w:val="nil"/>
              <w:left w:val="nil"/>
              <w:bottom w:val="nil"/>
              <w:right w:val="nil"/>
            </w:tcBorders>
            <w:shd w:val="clear" w:color="auto" w:fill="auto"/>
            <w:noWrap/>
            <w:vAlign w:val="bottom"/>
            <w:hideMark/>
          </w:tcPr>
          <w:p w14:paraId="63C01417" w14:textId="77777777" w:rsidR="00187BA0" w:rsidRPr="00624567" w:rsidRDefault="00187BA0" w:rsidP="00D20AC1">
            <w:pPr>
              <w:jc w:val="center"/>
              <w:rPr>
                <w:color w:val="000000"/>
              </w:rPr>
            </w:pPr>
            <w:r w:rsidRPr="00624567">
              <w:rPr>
                <w:color w:val="000000"/>
              </w:rPr>
              <w:t>6.1</w:t>
            </w:r>
          </w:p>
        </w:tc>
        <w:tc>
          <w:tcPr>
            <w:tcW w:w="1417" w:type="dxa"/>
            <w:tcBorders>
              <w:top w:val="nil"/>
              <w:left w:val="nil"/>
              <w:bottom w:val="nil"/>
              <w:right w:val="nil"/>
            </w:tcBorders>
            <w:shd w:val="clear" w:color="auto" w:fill="auto"/>
            <w:noWrap/>
            <w:vAlign w:val="bottom"/>
            <w:hideMark/>
          </w:tcPr>
          <w:p w14:paraId="5ACFA074" w14:textId="77777777" w:rsidR="00187BA0" w:rsidRPr="00624567" w:rsidRDefault="00187BA0" w:rsidP="00D20AC1">
            <w:pPr>
              <w:jc w:val="center"/>
              <w:rPr>
                <w:color w:val="000000"/>
              </w:rPr>
            </w:pPr>
            <w:r w:rsidRPr="00624567">
              <w:rPr>
                <w:color w:val="000000"/>
              </w:rPr>
              <w:t>14.02</w:t>
            </w:r>
          </w:p>
        </w:tc>
        <w:tc>
          <w:tcPr>
            <w:tcW w:w="1583" w:type="dxa"/>
            <w:tcBorders>
              <w:top w:val="nil"/>
              <w:left w:val="nil"/>
              <w:bottom w:val="nil"/>
              <w:right w:val="nil"/>
            </w:tcBorders>
            <w:shd w:val="clear" w:color="auto" w:fill="auto"/>
            <w:noWrap/>
            <w:vAlign w:val="bottom"/>
            <w:hideMark/>
          </w:tcPr>
          <w:p w14:paraId="6A4B63C5" w14:textId="77777777" w:rsidR="00187BA0" w:rsidRPr="00624567" w:rsidRDefault="00187BA0" w:rsidP="00D20AC1">
            <w:pPr>
              <w:jc w:val="center"/>
              <w:rPr>
                <w:color w:val="000000"/>
              </w:rPr>
            </w:pPr>
            <w:r w:rsidRPr="00624567">
              <w:rPr>
                <w:color w:val="000000"/>
              </w:rPr>
              <w:t>0.97</w:t>
            </w:r>
          </w:p>
        </w:tc>
      </w:tr>
      <w:tr w:rsidR="00187BA0" w:rsidRPr="00C16503" w14:paraId="7E989408" w14:textId="77777777" w:rsidTr="00624567">
        <w:trPr>
          <w:trHeight w:val="292"/>
        </w:trPr>
        <w:tc>
          <w:tcPr>
            <w:tcW w:w="1192" w:type="dxa"/>
            <w:tcBorders>
              <w:top w:val="nil"/>
              <w:left w:val="nil"/>
              <w:bottom w:val="single" w:sz="4" w:space="0" w:color="auto"/>
              <w:right w:val="nil"/>
            </w:tcBorders>
            <w:shd w:val="clear" w:color="auto" w:fill="auto"/>
            <w:noWrap/>
            <w:vAlign w:val="bottom"/>
            <w:hideMark/>
          </w:tcPr>
          <w:p w14:paraId="41C81894" w14:textId="77777777" w:rsidR="00187BA0" w:rsidRPr="00624567" w:rsidRDefault="00187BA0" w:rsidP="00D20AC1">
            <w:pPr>
              <w:jc w:val="center"/>
              <w:rPr>
                <w:color w:val="000000"/>
              </w:rPr>
            </w:pPr>
            <w:r w:rsidRPr="00624567">
              <w:rPr>
                <w:color w:val="000000"/>
              </w:rPr>
              <w:t>2</w:t>
            </w:r>
          </w:p>
        </w:tc>
        <w:tc>
          <w:tcPr>
            <w:tcW w:w="1598" w:type="dxa"/>
            <w:gridSpan w:val="2"/>
            <w:tcBorders>
              <w:top w:val="nil"/>
              <w:left w:val="nil"/>
              <w:bottom w:val="single" w:sz="4" w:space="0" w:color="auto"/>
              <w:right w:val="nil"/>
            </w:tcBorders>
            <w:shd w:val="clear" w:color="auto" w:fill="auto"/>
            <w:noWrap/>
            <w:vAlign w:val="bottom"/>
            <w:hideMark/>
          </w:tcPr>
          <w:p w14:paraId="3463B497" w14:textId="77777777" w:rsidR="00187BA0" w:rsidRPr="00624567" w:rsidRDefault="00187BA0" w:rsidP="00D20AC1">
            <w:pPr>
              <w:jc w:val="center"/>
              <w:rPr>
                <w:color w:val="000000"/>
              </w:rPr>
            </w:pPr>
            <w:r w:rsidRPr="00624567">
              <w:rPr>
                <w:color w:val="000000"/>
              </w:rPr>
              <w:t>Moderate &gt; 0</w:t>
            </w:r>
          </w:p>
        </w:tc>
        <w:tc>
          <w:tcPr>
            <w:tcW w:w="1350" w:type="dxa"/>
            <w:tcBorders>
              <w:top w:val="nil"/>
              <w:left w:val="nil"/>
              <w:bottom w:val="single" w:sz="4" w:space="0" w:color="auto"/>
              <w:right w:val="nil"/>
            </w:tcBorders>
            <w:shd w:val="clear" w:color="auto" w:fill="auto"/>
            <w:noWrap/>
            <w:vAlign w:val="bottom"/>
            <w:hideMark/>
          </w:tcPr>
          <w:p w14:paraId="7013E1FD" w14:textId="77777777" w:rsidR="00187BA0" w:rsidRPr="00624567" w:rsidRDefault="00187BA0" w:rsidP="00D20AC1">
            <w:pPr>
              <w:jc w:val="center"/>
              <w:rPr>
                <w:color w:val="000000"/>
              </w:rPr>
            </w:pPr>
            <w:r w:rsidRPr="00624567">
              <w:rPr>
                <w:color w:val="000000"/>
              </w:rPr>
              <w:t>-0.57</w:t>
            </w:r>
          </w:p>
        </w:tc>
        <w:tc>
          <w:tcPr>
            <w:tcW w:w="1481" w:type="dxa"/>
            <w:tcBorders>
              <w:top w:val="nil"/>
              <w:left w:val="nil"/>
              <w:bottom w:val="single" w:sz="4" w:space="0" w:color="auto"/>
              <w:right w:val="nil"/>
            </w:tcBorders>
            <w:shd w:val="clear" w:color="auto" w:fill="auto"/>
            <w:noWrap/>
            <w:vAlign w:val="bottom"/>
            <w:hideMark/>
          </w:tcPr>
          <w:p w14:paraId="45D19EA5" w14:textId="77777777" w:rsidR="00187BA0" w:rsidRPr="00624567" w:rsidRDefault="00187BA0" w:rsidP="00D20AC1">
            <w:pPr>
              <w:jc w:val="center"/>
              <w:rPr>
                <w:color w:val="000000"/>
              </w:rPr>
            </w:pPr>
            <w:r w:rsidRPr="00624567">
              <w:rPr>
                <w:color w:val="000000"/>
              </w:rPr>
              <w:t>3.1</w:t>
            </w:r>
          </w:p>
        </w:tc>
        <w:tc>
          <w:tcPr>
            <w:tcW w:w="1417" w:type="dxa"/>
            <w:tcBorders>
              <w:top w:val="nil"/>
              <w:left w:val="nil"/>
              <w:bottom w:val="single" w:sz="4" w:space="0" w:color="auto"/>
              <w:right w:val="nil"/>
            </w:tcBorders>
            <w:shd w:val="clear" w:color="auto" w:fill="auto"/>
            <w:noWrap/>
            <w:vAlign w:val="bottom"/>
            <w:hideMark/>
          </w:tcPr>
          <w:p w14:paraId="15C003F9" w14:textId="77777777" w:rsidR="00187BA0" w:rsidRPr="00624567" w:rsidRDefault="00187BA0" w:rsidP="00D20AC1">
            <w:pPr>
              <w:jc w:val="center"/>
              <w:rPr>
                <w:color w:val="000000"/>
              </w:rPr>
            </w:pPr>
            <w:r w:rsidRPr="00624567">
              <w:rPr>
                <w:color w:val="000000"/>
              </w:rPr>
              <w:t>6.75</w:t>
            </w:r>
          </w:p>
        </w:tc>
        <w:tc>
          <w:tcPr>
            <w:tcW w:w="1583" w:type="dxa"/>
            <w:tcBorders>
              <w:top w:val="nil"/>
              <w:left w:val="nil"/>
              <w:bottom w:val="single" w:sz="4" w:space="0" w:color="auto"/>
              <w:right w:val="nil"/>
            </w:tcBorders>
            <w:shd w:val="clear" w:color="auto" w:fill="auto"/>
            <w:noWrap/>
            <w:vAlign w:val="bottom"/>
            <w:hideMark/>
          </w:tcPr>
          <w:p w14:paraId="02652DBE" w14:textId="77777777" w:rsidR="00187BA0" w:rsidRPr="00624567" w:rsidRDefault="00187BA0" w:rsidP="00D20AC1">
            <w:pPr>
              <w:jc w:val="center"/>
              <w:rPr>
                <w:color w:val="000000"/>
              </w:rPr>
            </w:pPr>
            <w:r w:rsidRPr="00624567">
              <w:rPr>
                <w:color w:val="000000"/>
              </w:rPr>
              <w:t>0.99</w:t>
            </w:r>
          </w:p>
        </w:tc>
      </w:tr>
      <w:tr w:rsidR="00187BA0" w:rsidRPr="00C16503" w14:paraId="421E16E2" w14:textId="77777777" w:rsidTr="00624567">
        <w:trPr>
          <w:trHeight w:val="292"/>
        </w:trPr>
        <w:tc>
          <w:tcPr>
            <w:tcW w:w="1192" w:type="dxa"/>
            <w:tcBorders>
              <w:top w:val="nil"/>
              <w:left w:val="nil"/>
              <w:bottom w:val="nil"/>
              <w:right w:val="nil"/>
            </w:tcBorders>
            <w:shd w:val="clear" w:color="auto" w:fill="auto"/>
            <w:noWrap/>
            <w:vAlign w:val="bottom"/>
            <w:hideMark/>
          </w:tcPr>
          <w:p w14:paraId="3E73F816" w14:textId="77777777" w:rsidR="00187BA0" w:rsidRPr="00624567" w:rsidRDefault="00187BA0" w:rsidP="00D20AC1">
            <w:pPr>
              <w:jc w:val="center"/>
              <w:rPr>
                <w:color w:val="000000"/>
              </w:rPr>
            </w:pPr>
            <w:r w:rsidRPr="00624567">
              <w:rPr>
                <w:color w:val="000000"/>
              </w:rPr>
              <w:t>0</w:t>
            </w:r>
          </w:p>
        </w:tc>
        <w:tc>
          <w:tcPr>
            <w:tcW w:w="1598" w:type="dxa"/>
            <w:gridSpan w:val="2"/>
            <w:tcBorders>
              <w:top w:val="nil"/>
              <w:left w:val="nil"/>
              <w:bottom w:val="nil"/>
              <w:right w:val="nil"/>
            </w:tcBorders>
            <w:shd w:val="clear" w:color="auto" w:fill="auto"/>
            <w:noWrap/>
            <w:vAlign w:val="bottom"/>
            <w:hideMark/>
          </w:tcPr>
          <w:p w14:paraId="0201343F" w14:textId="77777777" w:rsidR="00187BA0" w:rsidRPr="00624567" w:rsidRDefault="00187BA0" w:rsidP="00D20AC1">
            <w:pPr>
              <w:jc w:val="center"/>
              <w:rPr>
                <w:color w:val="000000"/>
              </w:rPr>
            </w:pPr>
            <w:r w:rsidRPr="00624567">
              <w:rPr>
                <w:color w:val="000000"/>
              </w:rPr>
              <w:t>High &gt; 0</w:t>
            </w:r>
          </w:p>
        </w:tc>
        <w:tc>
          <w:tcPr>
            <w:tcW w:w="1350" w:type="dxa"/>
            <w:tcBorders>
              <w:top w:val="nil"/>
              <w:left w:val="nil"/>
              <w:bottom w:val="nil"/>
              <w:right w:val="nil"/>
            </w:tcBorders>
            <w:shd w:val="clear" w:color="auto" w:fill="auto"/>
            <w:noWrap/>
            <w:vAlign w:val="bottom"/>
            <w:hideMark/>
          </w:tcPr>
          <w:p w14:paraId="033DF69C" w14:textId="77777777" w:rsidR="00187BA0" w:rsidRPr="00624567" w:rsidRDefault="00187BA0" w:rsidP="00D20AC1">
            <w:pPr>
              <w:jc w:val="center"/>
              <w:rPr>
                <w:color w:val="000000"/>
              </w:rPr>
            </w:pPr>
            <w:r w:rsidRPr="00624567">
              <w:rPr>
                <w:color w:val="000000"/>
              </w:rPr>
              <w:t>-43.01</w:t>
            </w:r>
          </w:p>
        </w:tc>
        <w:tc>
          <w:tcPr>
            <w:tcW w:w="1481" w:type="dxa"/>
            <w:tcBorders>
              <w:top w:val="nil"/>
              <w:left w:val="nil"/>
              <w:bottom w:val="nil"/>
              <w:right w:val="nil"/>
            </w:tcBorders>
            <w:shd w:val="clear" w:color="auto" w:fill="auto"/>
            <w:noWrap/>
            <w:vAlign w:val="bottom"/>
            <w:hideMark/>
          </w:tcPr>
          <w:p w14:paraId="7B2A681B" w14:textId="77777777" w:rsidR="00187BA0" w:rsidRPr="00624567" w:rsidRDefault="00187BA0" w:rsidP="00D20AC1">
            <w:pPr>
              <w:jc w:val="center"/>
              <w:rPr>
                <w:color w:val="000000"/>
              </w:rPr>
            </w:pPr>
            <w:r w:rsidRPr="00624567">
              <w:rPr>
                <w:color w:val="000000"/>
              </w:rPr>
              <w:t>2.15</w:t>
            </w:r>
          </w:p>
        </w:tc>
        <w:tc>
          <w:tcPr>
            <w:tcW w:w="1417" w:type="dxa"/>
            <w:tcBorders>
              <w:top w:val="nil"/>
              <w:left w:val="nil"/>
              <w:bottom w:val="nil"/>
              <w:right w:val="nil"/>
            </w:tcBorders>
            <w:shd w:val="clear" w:color="auto" w:fill="auto"/>
            <w:noWrap/>
            <w:vAlign w:val="bottom"/>
            <w:hideMark/>
          </w:tcPr>
          <w:p w14:paraId="24E8D5CE" w14:textId="77777777" w:rsidR="00187BA0" w:rsidRPr="00624567" w:rsidRDefault="00187BA0" w:rsidP="00D20AC1">
            <w:pPr>
              <w:jc w:val="center"/>
              <w:rPr>
                <w:color w:val="000000"/>
              </w:rPr>
            </w:pPr>
            <w:r w:rsidRPr="00624567">
              <w:rPr>
                <w:color w:val="000000"/>
              </w:rPr>
              <w:t>42.06</w:t>
            </w:r>
          </w:p>
        </w:tc>
        <w:tc>
          <w:tcPr>
            <w:tcW w:w="1583" w:type="dxa"/>
            <w:tcBorders>
              <w:top w:val="nil"/>
              <w:left w:val="nil"/>
              <w:bottom w:val="nil"/>
              <w:right w:val="nil"/>
            </w:tcBorders>
            <w:shd w:val="clear" w:color="auto" w:fill="auto"/>
            <w:noWrap/>
            <w:vAlign w:val="bottom"/>
            <w:hideMark/>
          </w:tcPr>
          <w:p w14:paraId="135F17BB" w14:textId="77777777" w:rsidR="00187BA0" w:rsidRPr="00624567" w:rsidRDefault="00187BA0" w:rsidP="00D20AC1">
            <w:pPr>
              <w:jc w:val="center"/>
              <w:rPr>
                <w:color w:val="000000"/>
              </w:rPr>
            </w:pPr>
            <w:r w:rsidRPr="00624567">
              <w:rPr>
                <w:color w:val="000000"/>
              </w:rPr>
              <w:t>0.73</w:t>
            </w:r>
          </w:p>
        </w:tc>
      </w:tr>
      <w:tr w:rsidR="00187BA0" w:rsidRPr="00C16503" w14:paraId="4485DBAF" w14:textId="77777777" w:rsidTr="00624567">
        <w:trPr>
          <w:trHeight w:val="292"/>
        </w:trPr>
        <w:tc>
          <w:tcPr>
            <w:tcW w:w="1192" w:type="dxa"/>
            <w:tcBorders>
              <w:top w:val="nil"/>
              <w:left w:val="nil"/>
              <w:bottom w:val="nil"/>
              <w:right w:val="nil"/>
            </w:tcBorders>
            <w:shd w:val="clear" w:color="auto" w:fill="auto"/>
            <w:noWrap/>
            <w:vAlign w:val="bottom"/>
            <w:hideMark/>
          </w:tcPr>
          <w:p w14:paraId="1760AD8D" w14:textId="77777777" w:rsidR="00187BA0" w:rsidRPr="00624567" w:rsidRDefault="00187BA0" w:rsidP="00D20AC1">
            <w:pPr>
              <w:jc w:val="center"/>
              <w:rPr>
                <w:color w:val="000000"/>
              </w:rPr>
            </w:pPr>
            <w:r w:rsidRPr="00624567">
              <w:rPr>
                <w:color w:val="000000"/>
              </w:rPr>
              <w:t>1</w:t>
            </w:r>
          </w:p>
        </w:tc>
        <w:tc>
          <w:tcPr>
            <w:tcW w:w="1598" w:type="dxa"/>
            <w:gridSpan w:val="2"/>
            <w:tcBorders>
              <w:top w:val="nil"/>
              <w:left w:val="nil"/>
              <w:bottom w:val="nil"/>
              <w:right w:val="nil"/>
            </w:tcBorders>
            <w:shd w:val="clear" w:color="auto" w:fill="auto"/>
            <w:noWrap/>
            <w:vAlign w:val="bottom"/>
            <w:hideMark/>
          </w:tcPr>
          <w:p w14:paraId="72EEBEB4" w14:textId="77777777" w:rsidR="00187BA0" w:rsidRPr="00624567" w:rsidRDefault="00187BA0" w:rsidP="00D20AC1">
            <w:pPr>
              <w:jc w:val="center"/>
              <w:rPr>
                <w:color w:val="000000"/>
              </w:rPr>
            </w:pPr>
            <w:r w:rsidRPr="00624567">
              <w:rPr>
                <w:color w:val="000000"/>
              </w:rPr>
              <w:t>High &gt; 0</w:t>
            </w:r>
          </w:p>
        </w:tc>
        <w:tc>
          <w:tcPr>
            <w:tcW w:w="1350" w:type="dxa"/>
            <w:tcBorders>
              <w:top w:val="nil"/>
              <w:left w:val="nil"/>
              <w:bottom w:val="nil"/>
              <w:right w:val="nil"/>
            </w:tcBorders>
            <w:shd w:val="clear" w:color="auto" w:fill="auto"/>
            <w:noWrap/>
            <w:vAlign w:val="bottom"/>
            <w:hideMark/>
          </w:tcPr>
          <w:p w14:paraId="4C170058" w14:textId="77777777" w:rsidR="00187BA0" w:rsidRPr="00624567" w:rsidRDefault="00187BA0" w:rsidP="00D20AC1">
            <w:pPr>
              <w:jc w:val="center"/>
              <w:rPr>
                <w:color w:val="000000"/>
              </w:rPr>
            </w:pPr>
            <w:r w:rsidRPr="00624567">
              <w:rPr>
                <w:color w:val="000000"/>
              </w:rPr>
              <w:t>-8.40</w:t>
            </w:r>
          </w:p>
        </w:tc>
        <w:tc>
          <w:tcPr>
            <w:tcW w:w="1481" w:type="dxa"/>
            <w:tcBorders>
              <w:top w:val="nil"/>
              <w:left w:val="nil"/>
              <w:bottom w:val="nil"/>
              <w:right w:val="nil"/>
            </w:tcBorders>
            <w:shd w:val="clear" w:color="auto" w:fill="auto"/>
            <w:noWrap/>
            <w:vAlign w:val="bottom"/>
            <w:hideMark/>
          </w:tcPr>
          <w:p w14:paraId="2974FAAD" w14:textId="77777777" w:rsidR="00187BA0" w:rsidRPr="00624567" w:rsidRDefault="00187BA0" w:rsidP="00D20AC1">
            <w:pPr>
              <w:jc w:val="center"/>
              <w:rPr>
                <w:color w:val="000000"/>
              </w:rPr>
            </w:pPr>
            <w:r w:rsidRPr="00624567">
              <w:rPr>
                <w:color w:val="000000"/>
              </w:rPr>
              <w:t>-0.42</w:t>
            </w:r>
          </w:p>
        </w:tc>
        <w:tc>
          <w:tcPr>
            <w:tcW w:w="1417" w:type="dxa"/>
            <w:tcBorders>
              <w:top w:val="nil"/>
              <w:left w:val="nil"/>
              <w:bottom w:val="nil"/>
              <w:right w:val="nil"/>
            </w:tcBorders>
            <w:shd w:val="clear" w:color="auto" w:fill="auto"/>
            <w:noWrap/>
            <w:vAlign w:val="bottom"/>
            <w:hideMark/>
          </w:tcPr>
          <w:p w14:paraId="07C17600" w14:textId="77777777" w:rsidR="00187BA0" w:rsidRPr="00624567" w:rsidRDefault="00187BA0" w:rsidP="00D20AC1">
            <w:pPr>
              <w:jc w:val="center"/>
              <w:rPr>
                <w:color w:val="000000"/>
              </w:rPr>
            </w:pPr>
            <w:r w:rsidRPr="00624567">
              <w:rPr>
                <w:color w:val="000000"/>
              </w:rPr>
              <w:t>7.62</w:t>
            </w:r>
          </w:p>
        </w:tc>
        <w:tc>
          <w:tcPr>
            <w:tcW w:w="1583" w:type="dxa"/>
            <w:tcBorders>
              <w:top w:val="nil"/>
              <w:left w:val="nil"/>
              <w:bottom w:val="nil"/>
              <w:right w:val="nil"/>
            </w:tcBorders>
            <w:shd w:val="clear" w:color="auto" w:fill="auto"/>
            <w:noWrap/>
            <w:vAlign w:val="bottom"/>
            <w:hideMark/>
          </w:tcPr>
          <w:p w14:paraId="23D8857D" w14:textId="77777777" w:rsidR="00187BA0" w:rsidRPr="00624567" w:rsidRDefault="00187BA0" w:rsidP="00D20AC1">
            <w:pPr>
              <w:jc w:val="center"/>
              <w:rPr>
                <w:color w:val="000000"/>
              </w:rPr>
            </w:pPr>
            <w:r w:rsidRPr="00624567">
              <w:rPr>
                <w:color w:val="000000"/>
              </w:rPr>
              <w:t>0.78</w:t>
            </w:r>
          </w:p>
        </w:tc>
      </w:tr>
      <w:tr w:rsidR="00187BA0" w:rsidRPr="00C16503" w14:paraId="53579280" w14:textId="77777777" w:rsidTr="00624567">
        <w:trPr>
          <w:trHeight w:val="292"/>
        </w:trPr>
        <w:tc>
          <w:tcPr>
            <w:tcW w:w="1192" w:type="dxa"/>
            <w:tcBorders>
              <w:top w:val="nil"/>
              <w:left w:val="nil"/>
              <w:bottom w:val="single" w:sz="4" w:space="0" w:color="auto"/>
              <w:right w:val="nil"/>
            </w:tcBorders>
            <w:shd w:val="clear" w:color="auto" w:fill="auto"/>
            <w:noWrap/>
            <w:vAlign w:val="bottom"/>
            <w:hideMark/>
          </w:tcPr>
          <w:p w14:paraId="5E49A928" w14:textId="77777777" w:rsidR="00187BA0" w:rsidRPr="00624567" w:rsidRDefault="00187BA0" w:rsidP="00D20AC1">
            <w:pPr>
              <w:jc w:val="center"/>
              <w:rPr>
                <w:color w:val="000000"/>
              </w:rPr>
            </w:pPr>
            <w:r w:rsidRPr="00624567">
              <w:rPr>
                <w:color w:val="000000"/>
              </w:rPr>
              <w:t>2</w:t>
            </w:r>
          </w:p>
        </w:tc>
        <w:tc>
          <w:tcPr>
            <w:tcW w:w="1598" w:type="dxa"/>
            <w:gridSpan w:val="2"/>
            <w:tcBorders>
              <w:top w:val="nil"/>
              <w:left w:val="nil"/>
              <w:bottom w:val="single" w:sz="4" w:space="0" w:color="auto"/>
              <w:right w:val="nil"/>
            </w:tcBorders>
            <w:shd w:val="clear" w:color="auto" w:fill="auto"/>
            <w:noWrap/>
            <w:vAlign w:val="bottom"/>
            <w:hideMark/>
          </w:tcPr>
          <w:p w14:paraId="4AEB428A" w14:textId="77777777" w:rsidR="00187BA0" w:rsidRPr="00624567" w:rsidRDefault="00187BA0" w:rsidP="00D20AC1">
            <w:pPr>
              <w:jc w:val="center"/>
              <w:rPr>
                <w:color w:val="000000"/>
              </w:rPr>
            </w:pPr>
            <w:r w:rsidRPr="00624567">
              <w:rPr>
                <w:color w:val="000000"/>
              </w:rPr>
              <w:t>High &gt; 0</w:t>
            </w:r>
          </w:p>
        </w:tc>
        <w:tc>
          <w:tcPr>
            <w:tcW w:w="1350" w:type="dxa"/>
            <w:tcBorders>
              <w:top w:val="nil"/>
              <w:left w:val="nil"/>
              <w:bottom w:val="single" w:sz="4" w:space="0" w:color="auto"/>
              <w:right w:val="nil"/>
            </w:tcBorders>
            <w:shd w:val="clear" w:color="auto" w:fill="auto"/>
            <w:noWrap/>
            <w:vAlign w:val="bottom"/>
            <w:hideMark/>
          </w:tcPr>
          <w:p w14:paraId="3E648E43" w14:textId="77777777" w:rsidR="00187BA0" w:rsidRPr="00624567" w:rsidRDefault="00187BA0" w:rsidP="00D20AC1">
            <w:pPr>
              <w:jc w:val="center"/>
              <w:rPr>
                <w:color w:val="000000"/>
              </w:rPr>
            </w:pPr>
            <w:r w:rsidRPr="00624567">
              <w:rPr>
                <w:color w:val="000000"/>
              </w:rPr>
              <w:t>-4.66</w:t>
            </w:r>
          </w:p>
        </w:tc>
        <w:tc>
          <w:tcPr>
            <w:tcW w:w="1481" w:type="dxa"/>
            <w:tcBorders>
              <w:top w:val="nil"/>
              <w:left w:val="nil"/>
              <w:bottom w:val="single" w:sz="4" w:space="0" w:color="auto"/>
              <w:right w:val="nil"/>
            </w:tcBorders>
            <w:shd w:val="clear" w:color="auto" w:fill="auto"/>
            <w:noWrap/>
            <w:vAlign w:val="bottom"/>
            <w:hideMark/>
          </w:tcPr>
          <w:p w14:paraId="32B269EC" w14:textId="77777777" w:rsidR="00187BA0" w:rsidRPr="00624567" w:rsidRDefault="00187BA0" w:rsidP="00D20AC1">
            <w:pPr>
              <w:jc w:val="center"/>
              <w:rPr>
                <w:color w:val="000000"/>
              </w:rPr>
            </w:pPr>
            <w:r w:rsidRPr="00624567">
              <w:rPr>
                <w:color w:val="000000"/>
              </w:rPr>
              <w:t>-0.56</w:t>
            </w:r>
          </w:p>
        </w:tc>
        <w:tc>
          <w:tcPr>
            <w:tcW w:w="1417" w:type="dxa"/>
            <w:tcBorders>
              <w:top w:val="nil"/>
              <w:left w:val="nil"/>
              <w:bottom w:val="single" w:sz="4" w:space="0" w:color="auto"/>
              <w:right w:val="nil"/>
            </w:tcBorders>
            <w:shd w:val="clear" w:color="auto" w:fill="auto"/>
            <w:noWrap/>
            <w:vAlign w:val="bottom"/>
            <w:hideMark/>
          </w:tcPr>
          <w:p w14:paraId="01964473" w14:textId="77777777" w:rsidR="00187BA0" w:rsidRPr="00624567" w:rsidRDefault="00187BA0" w:rsidP="00D20AC1">
            <w:pPr>
              <w:jc w:val="center"/>
              <w:rPr>
                <w:color w:val="000000"/>
              </w:rPr>
            </w:pPr>
            <w:r w:rsidRPr="00624567">
              <w:rPr>
                <w:color w:val="000000"/>
              </w:rPr>
              <w:t>2.89</w:t>
            </w:r>
          </w:p>
        </w:tc>
        <w:tc>
          <w:tcPr>
            <w:tcW w:w="1583" w:type="dxa"/>
            <w:tcBorders>
              <w:top w:val="nil"/>
              <w:left w:val="nil"/>
              <w:bottom w:val="single" w:sz="4" w:space="0" w:color="auto"/>
              <w:right w:val="nil"/>
            </w:tcBorders>
            <w:shd w:val="clear" w:color="auto" w:fill="auto"/>
            <w:noWrap/>
            <w:vAlign w:val="bottom"/>
            <w:hideMark/>
          </w:tcPr>
          <w:p w14:paraId="7CCCAEB7" w14:textId="77777777" w:rsidR="00187BA0" w:rsidRPr="00624567" w:rsidRDefault="00187BA0" w:rsidP="00D20AC1">
            <w:pPr>
              <w:jc w:val="center"/>
              <w:rPr>
                <w:color w:val="000000"/>
              </w:rPr>
            </w:pPr>
            <w:r w:rsidRPr="00624567">
              <w:rPr>
                <w:color w:val="000000"/>
              </w:rPr>
              <w:t>0.83</w:t>
            </w:r>
          </w:p>
        </w:tc>
      </w:tr>
    </w:tbl>
    <w:p w14:paraId="619C0CCB" w14:textId="77777777" w:rsidR="00187BA0" w:rsidRPr="00513C81" w:rsidRDefault="00187BA0" w:rsidP="00513C81">
      <w:pPr>
        <w:rPr>
          <w:sz w:val="20"/>
          <w:szCs w:val="20"/>
        </w:rPr>
      </w:pPr>
    </w:p>
    <w:p w14:paraId="3AA3AED9" w14:textId="77777777" w:rsidR="00187BA0" w:rsidRPr="00513C81" w:rsidRDefault="00187BA0" w:rsidP="00513C81">
      <w:pPr>
        <w:rPr>
          <w:sz w:val="20"/>
          <w:szCs w:val="20"/>
        </w:rPr>
      </w:pPr>
      <w:r w:rsidRPr="00513C81">
        <w:rPr>
          <w:sz w:val="20"/>
          <w:szCs w:val="20"/>
        </w:rPr>
        <w:t xml:space="preserve">Table 4 footnote. Here, posterior probability represents the proportion of times the given hypothesis was true throughout the MCMC chains. </w:t>
      </w:r>
    </w:p>
    <w:p w14:paraId="34779246" w14:textId="77777777" w:rsidR="00187BA0" w:rsidRDefault="00187BA0" w:rsidP="00187BA0">
      <w:r>
        <w:br w:type="page"/>
      </w:r>
    </w:p>
    <w:p w14:paraId="4F996630" w14:textId="2ECA5CC7" w:rsidR="00C470B5" w:rsidRPr="0096280E" w:rsidRDefault="0096280E" w:rsidP="0096280E">
      <w:pPr>
        <w:spacing w:line="360" w:lineRule="auto"/>
      </w:pPr>
      <w:r w:rsidRPr="0096280E">
        <w:lastRenderedPageBreak/>
        <w:t xml:space="preserve">composition across the monsoon season (between Date A and Date B). Across all values of </w:t>
      </w:r>
      <w:r w:rsidRPr="0096280E">
        <w:rPr>
          <w:i/>
          <w:iCs/>
        </w:rPr>
        <w:t>q</w:t>
      </w:r>
      <w:r w:rsidRPr="0096280E">
        <w:t>, the control treatment had the greatest AM fungal community turnover in comparison to other treatments (</w:t>
      </w:r>
      <w:r w:rsidR="005355D9">
        <w:rPr>
          <w:b/>
          <w:bCs/>
        </w:rPr>
        <w:t>Figure</w:t>
      </w:r>
      <w:r w:rsidRPr="0096280E">
        <w:rPr>
          <w:b/>
          <w:bCs/>
        </w:rPr>
        <w:t xml:space="preserve"> </w:t>
      </w:r>
      <w:r w:rsidR="00DC6803">
        <w:rPr>
          <w:b/>
          <w:bCs/>
        </w:rPr>
        <w:t>19</w:t>
      </w:r>
      <w:r w:rsidRPr="0096280E">
        <w:t xml:space="preserve">). At </w:t>
      </w:r>
      <w:r w:rsidRPr="0096280E">
        <w:rPr>
          <w:i/>
          <w:iCs/>
        </w:rPr>
        <w:t>q</w:t>
      </w:r>
      <w:r w:rsidRPr="0096280E">
        <w:t xml:space="preserve">=0, 1, and 2, the median estimate for AM fungal turnover for the control treatment was estimated as 0.72, 0.57, and 0.60 and was greater than zero 100% of the time for each value of </w:t>
      </w:r>
      <w:r w:rsidRPr="0096280E">
        <w:rPr>
          <w:i/>
          <w:iCs/>
        </w:rPr>
        <w:t>q</w:t>
      </w:r>
      <w:r w:rsidRPr="0096280E">
        <w:t xml:space="preserve"> (</w:t>
      </w:r>
      <w:r w:rsidRPr="0096280E">
        <w:rPr>
          <w:b/>
          <w:bCs/>
        </w:rPr>
        <w:t xml:space="preserve">Table </w:t>
      </w:r>
      <w:r w:rsidR="00DC6803">
        <w:rPr>
          <w:b/>
          <w:bCs/>
        </w:rPr>
        <w:t>5</w:t>
      </w:r>
      <w:r w:rsidRPr="0096280E">
        <w:t xml:space="preserve">). This indicates that there </w:t>
      </w:r>
      <w:proofErr w:type="gramStart"/>
      <w:r w:rsidRPr="0096280E">
        <w:t>were</w:t>
      </w:r>
      <w:proofErr w:type="gramEnd"/>
      <w:r w:rsidRPr="0096280E">
        <w:t xml:space="preserve"> some community turnover in the control treatment due to rainfall. Median community turnover estimates for the moderate and high rainfall exclusion treatments were more </w:t>
      </w:r>
      <w:proofErr w:type="gramStart"/>
      <w:r w:rsidRPr="0096280E">
        <w:t>similar to</w:t>
      </w:r>
      <w:proofErr w:type="gramEnd"/>
      <w:r w:rsidRPr="0096280E">
        <w:t xml:space="preserve"> each other and differed from the control treatment. From </w:t>
      </w:r>
      <w:r w:rsidRPr="0096280E">
        <w:rPr>
          <w:i/>
          <w:iCs/>
        </w:rPr>
        <w:t>q</w:t>
      </w:r>
      <w:r w:rsidRPr="0096280E">
        <w:t xml:space="preserve">=0 to </w:t>
      </w:r>
      <w:r w:rsidRPr="0096280E">
        <w:rPr>
          <w:i/>
          <w:iCs/>
        </w:rPr>
        <w:t>q</w:t>
      </w:r>
      <w:r w:rsidRPr="0096280E">
        <w:t>=2, rhizospheres that underwent moderate rainfall exclusion were shown to have lower estimates of turnover in comparison to the control treatment 96%, 93%, and 78% of the posterior samples were less than zero, respectively. This suggests that rainfall exclusion treatments influenced AM fungal community composition across the monsoon season (</w:t>
      </w:r>
      <w:r w:rsidR="005355D9">
        <w:rPr>
          <w:b/>
          <w:bCs/>
        </w:rPr>
        <w:t>Figure</w:t>
      </w:r>
      <w:r w:rsidRPr="0096280E">
        <w:rPr>
          <w:b/>
          <w:bCs/>
        </w:rPr>
        <w:t xml:space="preserve"> </w:t>
      </w:r>
      <w:r w:rsidR="00DC6803">
        <w:rPr>
          <w:b/>
          <w:bCs/>
        </w:rPr>
        <w:t>19</w:t>
      </w:r>
      <w:r w:rsidRPr="0096280E">
        <w:t xml:space="preserve">). Further, rhizosphere microhabitats that experienced high rainfall exclusion across the monsoon season had the least AM fungal community turnover out of all treatments and differed from the control treatment where 99%, 99%, and 96% of the posterior samples were less than zero for </w:t>
      </w:r>
      <w:r w:rsidRPr="0096280E">
        <w:rPr>
          <w:i/>
          <w:iCs/>
        </w:rPr>
        <w:t>q</w:t>
      </w:r>
      <w:r w:rsidRPr="0096280E">
        <w:t xml:space="preserve">=0, 1, and 2. As rare species were down weighted from calculating AM fungal community turnover, the proportion of times our hypotheses were observed in the MCMC chains decreases. </w:t>
      </w:r>
      <w:r w:rsidRPr="0096280E">
        <w:rPr>
          <w:b/>
          <w:bCs/>
        </w:rPr>
        <w:t xml:space="preserve">Figure </w:t>
      </w:r>
      <w:r w:rsidR="00DC6803">
        <w:rPr>
          <w:b/>
          <w:bCs/>
        </w:rPr>
        <w:t>19</w:t>
      </w:r>
      <w:r w:rsidRPr="0096280E">
        <w:t xml:space="preserve"> also illustrates that as the value of </w:t>
      </w:r>
      <w:r w:rsidRPr="0096280E">
        <w:rPr>
          <w:i/>
          <w:iCs/>
        </w:rPr>
        <w:t>q</w:t>
      </w:r>
      <w:r w:rsidRPr="0096280E">
        <w:t xml:space="preserve"> increases from 0 to 2, so does the highest density intervals around estimated values of AM fungal community turnover. Inferences made for AM fungal community turnover using proportional abundance data is in concordance with inferences made from 1,000 </w:t>
      </w:r>
      <w:r w:rsidRPr="00FD7637">
        <w:t>rarefied samples (</w:t>
      </w:r>
      <w:r w:rsidR="00FD7637" w:rsidRPr="00FD7637">
        <w:rPr>
          <w:b/>
          <w:bCs/>
        </w:rPr>
        <w:t>Appendix Figure 6</w:t>
      </w:r>
      <w:r w:rsidRPr="00FD7637">
        <w:t>). Lastly, median</w:t>
      </w:r>
      <w:r w:rsidRPr="0096280E">
        <w:t xml:space="preserve"> point estimates for rarefied AM fungal community turnover can be found in the </w:t>
      </w:r>
      <w:r w:rsidR="00026318" w:rsidRPr="00026318">
        <w:rPr>
          <w:b/>
          <w:bCs/>
        </w:rPr>
        <w:t>Appendix Table 2</w:t>
      </w:r>
      <w:r w:rsidRPr="00026318">
        <w:t>. Here, one</w:t>
      </w:r>
      <w:r w:rsidRPr="0096280E">
        <w:t xml:space="preserve"> can see that the 95% highest density intervals around the median are less than the highest density intervals seen around the median point estimates calculated using proportional abundance data. </w:t>
      </w:r>
    </w:p>
    <w:p w14:paraId="49711ABF" w14:textId="00BC4629" w:rsidR="00EB1D43" w:rsidRPr="0096280E" w:rsidRDefault="00EB1D43" w:rsidP="0096280E">
      <w:pPr>
        <w:pStyle w:val="Heading2"/>
        <w:spacing w:line="360" w:lineRule="auto"/>
      </w:pPr>
      <w:bookmarkStart w:id="85" w:name="_Toc102048037"/>
      <w:r w:rsidRPr="0096280E">
        <w:t>D</w:t>
      </w:r>
      <w:r w:rsidR="007E3466" w:rsidRPr="0096280E">
        <w:t>iscussion</w:t>
      </w:r>
      <w:bookmarkEnd w:id="85"/>
    </w:p>
    <w:p w14:paraId="126F7BB0" w14:textId="2C3C166E" w:rsidR="00F0624E" w:rsidRDefault="00C470B5" w:rsidP="00F0624E">
      <w:pPr>
        <w:spacing w:line="360" w:lineRule="auto"/>
      </w:pPr>
      <w:r w:rsidRPr="0096280E">
        <w:tab/>
      </w:r>
      <w:r w:rsidR="0096280E" w:rsidRPr="0096280E">
        <w:t xml:space="preserve">In this study, we explicitly show the importance rainfall exclusion has on AM fungal richness and community turnover in rhizosphere microhabitats of a dry, arid ecosystem during the monsoon season. Our results illustrate that variation in AM fungal community structure may be partially predicted by phosphorous and short-term rainfall exclusion. As soils get drier, AM fungal communities have been shown to have less seasonal community turnover and may be </w:t>
      </w:r>
      <w:r w:rsidR="00F0624E">
        <w:br w:type="page"/>
      </w:r>
      <w:r w:rsidR="00F0624E" w:rsidRPr="00C16503">
        <w:rPr>
          <w:noProof/>
          <w:sz w:val="20"/>
        </w:rPr>
        <w:lastRenderedPageBreak/>
        <w:drawing>
          <wp:inline distT="0" distB="0" distL="0" distR="0" wp14:anchorId="68C6C81A" wp14:editId="2CF77479">
            <wp:extent cx="5257800" cy="4430370"/>
            <wp:effectExtent l="0" t="0" r="0" b="2540"/>
            <wp:docPr id="20" name="Picture 20"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box and whisker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62797" cy="4434581"/>
                    </a:xfrm>
                    <a:prstGeom prst="rect">
                      <a:avLst/>
                    </a:prstGeom>
                  </pic:spPr>
                </pic:pic>
              </a:graphicData>
            </a:graphic>
          </wp:inline>
        </w:drawing>
      </w:r>
    </w:p>
    <w:p w14:paraId="59E8D5D2" w14:textId="77777777" w:rsidR="00F0624E" w:rsidRDefault="00F0624E" w:rsidP="00F0624E">
      <w:pPr>
        <w:pStyle w:val="Caption"/>
      </w:pPr>
      <w:bookmarkStart w:id="86" w:name="_Toc102046889"/>
      <w:r w:rsidRPr="00DC6803">
        <w:t>Figure 19. AM fungal community turnover between time points and the 95% highest density interval around</w:t>
      </w:r>
      <w:r w:rsidRPr="00C16503">
        <w:t xml:space="preserve"> the median between the two time points.</w:t>
      </w:r>
      <w:bookmarkEnd w:id="86"/>
      <w:r w:rsidRPr="00C16503">
        <w:t xml:space="preserve"> </w:t>
      </w:r>
    </w:p>
    <w:p w14:paraId="545FACAF" w14:textId="77777777" w:rsidR="00F0624E" w:rsidRPr="00C16503" w:rsidRDefault="00F0624E" w:rsidP="00F0624E">
      <w:pPr>
        <w:rPr>
          <w:sz w:val="20"/>
        </w:rPr>
      </w:pPr>
      <w:r>
        <w:rPr>
          <w:sz w:val="20"/>
        </w:rPr>
        <w:t xml:space="preserve">Figure 19 footnote. </w:t>
      </w:r>
      <w:r w:rsidRPr="00C16503">
        <w:rPr>
          <w:sz w:val="20"/>
        </w:rPr>
        <w:t xml:space="preserve">Bayesian inference was determined using linear models where AM fungal community turnover was predicted by rainfall exclusion. This was conducted for </w:t>
      </w:r>
      <w:r w:rsidRPr="00C16503">
        <w:rPr>
          <w:i/>
          <w:iCs/>
          <w:sz w:val="20"/>
        </w:rPr>
        <w:t>q</w:t>
      </w:r>
      <w:r w:rsidRPr="00C16503">
        <w:rPr>
          <w:sz w:val="20"/>
        </w:rPr>
        <w:t xml:space="preserve">=0, 1, and 2. Here, the color black represents the control treatment whereas teal and pink represent moderate (60%) and high (80%) rainfall exclusion treatments respectively. Across all values of </w:t>
      </w:r>
      <w:r w:rsidRPr="00C16503">
        <w:rPr>
          <w:i/>
          <w:iCs/>
          <w:sz w:val="20"/>
        </w:rPr>
        <w:t>q</w:t>
      </w:r>
      <w:r w:rsidRPr="00C16503">
        <w:rPr>
          <w:sz w:val="20"/>
        </w:rPr>
        <w:t xml:space="preserve">, the control treatment, on average, had the largest observed AM fungal community turnover compared to other treatments. </w:t>
      </w:r>
    </w:p>
    <w:p w14:paraId="7B2EFC2F" w14:textId="4451BA53" w:rsidR="00F0624E" w:rsidRPr="00043624" w:rsidRDefault="00F0624E" w:rsidP="00043624">
      <w:pPr>
        <w:pStyle w:val="Subtitle"/>
      </w:pPr>
      <w:r>
        <w:br w:type="page"/>
      </w:r>
      <w:bookmarkStart w:id="87" w:name="_Toc102118708"/>
      <w:r w:rsidRPr="00DC6803">
        <w:lastRenderedPageBreak/>
        <w:t>Table 5. Hypothesis</w:t>
      </w:r>
      <w:r w:rsidRPr="00C16503">
        <w:t xml:space="preserve"> testing on pairwise AM fungal community turnover for each rainfall exclusion treatment and value of </w:t>
      </w:r>
      <w:r w:rsidRPr="00C16503">
        <w:rPr>
          <w:i/>
          <w:iCs/>
        </w:rPr>
        <w:t>q</w:t>
      </w:r>
      <w:r w:rsidRPr="00C16503">
        <w:t>.</w:t>
      </w:r>
      <w:bookmarkEnd w:id="87"/>
      <w:r w:rsidRPr="00C16503">
        <w:t xml:space="preserve"> </w:t>
      </w:r>
    </w:p>
    <w:tbl>
      <w:tblPr>
        <w:tblW w:w="8542" w:type="dxa"/>
        <w:tblLook w:val="04A0" w:firstRow="1" w:lastRow="0" w:firstColumn="1" w:lastColumn="0" w:noHBand="0" w:noVBand="1"/>
      </w:tblPr>
      <w:tblGrid>
        <w:gridCol w:w="1350"/>
        <w:gridCol w:w="1530"/>
        <w:gridCol w:w="1350"/>
        <w:gridCol w:w="1300"/>
        <w:gridCol w:w="1450"/>
        <w:gridCol w:w="1562"/>
      </w:tblGrid>
      <w:tr w:rsidR="00F0624E" w:rsidRPr="00C16503" w14:paraId="3D4A1FDB" w14:textId="77777777" w:rsidTr="00E81047">
        <w:trPr>
          <w:trHeight w:val="291"/>
        </w:trPr>
        <w:tc>
          <w:tcPr>
            <w:tcW w:w="1350" w:type="dxa"/>
            <w:tcBorders>
              <w:top w:val="nil"/>
              <w:left w:val="nil"/>
              <w:bottom w:val="single" w:sz="4" w:space="0" w:color="auto"/>
              <w:right w:val="nil"/>
            </w:tcBorders>
            <w:shd w:val="clear" w:color="auto" w:fill="auto"/>
            <w:noWrap/>
            <w:vAlign w:val="center"/>
            <w:hideMark/>
          </w:tcPr>
          <w:p w14:paraId="548D91E1" w14:textId="77777777" w:rsidR="00F0624E" w:rsidRPr="00E81047" w:rsidRDefault="00F0624E" w:rsidP="00D20AC1">
            <w:pPr>
              <w:jc w:val="center"/>
              <w:rPr>
                <w:b/>
                <w:bCs/>
                <w:color w:val="000000"/>
              </w:rPr>
            </w:pPr>
            <w:r w:rsidRPr="00E81047">
              <w:rPr>
                <w:b/>
                <w:bCs/>
                <w:color w:val="000000"/>
              </w:rPr>
              <w:t xml:space="preserve">Value of </w:t>
            </w:r>
            <w:r w:rsidRPr="00E81047">
              <w:rPr>
                <w:b/>
                <w:bCs/>
                <w:i/>
                <w:iCs/>
                <w:color w:val="000000"/>
              </w:rPr>
              <w:t>q</w:t>
            </w:r>
          </w:p>
        </w:tc>
        <w:tc>
          <w:tcPr>
            <w:tcW w:w="1530" w:type="dxa"/>
            <w:tcBorders>
              <w:top w:val="nil"/>
              <w:left w:val="nil"/>
              <w:bottom w:val="single" w:sz="4" w:space="0" w:color="auto"/>
              <w:right w:val="nil"/>
            </w:tcBorders>
            <w:shd w:val="clear" w:color="auto" w:fill="auto"/>
            <w:noWrap/>
            <w:vAlign w:val="center"/>
            <w:hideMark/>
          </w:tcPr>
          <w:p w14:paraId="562259DA" w14:textId="77777777" w:rsidR="00F0624E" w:rsidRPr="00E81047" w:rsidRDefault="00F0624E" w:rsidP="00D20AC1">
            <w:pPr>
              <w:jc w:val="center"/>
              <w:rPr>
                <w:b/>
                <w:bCs/>
                <w:color w:val="000000"/>
              </w:rPr>
            </w:pPr>
            <w:r w:rsidRPr="00E81047">
              <w:rPr>
                <w:b/>
                <w:bCs/>
                <w:color w:val="000000"/>
              </w:rPr>
              <w:t>Hypothesis</w:t>
            </w:r>
          </w:p>
        </w:tc>
        <w:tc>
          <w:tcPr>
            <w:tcW w:w="1350" w:type="dxa"/>
            <w:tcBorders>
              <w:top w:val="nil"/>
              <w:left w:val="nil"/>
              <w:bottom w:val="single" w:sz="4" w:space="0" w:color="auto"/>
              <w:right w:val="nil"/>
            </w:tcBorders>
            <w:shd w:val="clear" w:color="auto" w:fill="auto"/>
            <w:noWrap/>
            <w:vAlign w:val="center"/>
            <w:hideMark/>
          </w:tcPr>
          <w:p w14:paraId="7EDDD65C" w14:textId="77777777" w:rsidR="00F0624E" w:rsidRPr="00E81047" w:rsidRDefault="00F0624E" w:rsidP="00D20AC1">
            <w:pPr>
              <w:jc w:val="center"/>
              <w:rPr>
                <w:b/>
                <w:bCs/>
                <w:color w:val="000000"/>
              </w:rPr>
            </w:pPr>
            <w:r w:rsidRPr="00E81047">
              <w:rPr>
                <w:b/>
                <w:bCs/>
                <w:color w:val="000000"/>
              </w:rPr>
              <w:t>Lower 95% HDI</w:t>
            </w:r>
          </w:p>
        </w:tc>
        <w:tc>
          <w:tcPr>
            <w:tcW w:w="1300" w:type="dxa"/>
            <w:tcBorders>
              <w:top w:val="nil"/>
              <w:left w:val="nil"/>
              <w:bottom w:val="single" w:sz="4" w:space="0" w:color="auto"/>
              <w:right w:val="nil"/>
            </w:tcBorders>
            <w:shd w:val="clear" w:color="auto" w:fill="auto"/>
            <w:noWrap/>
            <w:vAlign w:val="center"/>
            <w:hideMark/>
          </w:tcPr>
          <w:p w14:paraId="1F758348" w14:textId="77777777" w:rsidR="00F0624E" w:rsidRPr="00E81047" w:rsidRDefault="00F0624E" w:rsidP="00D20AC1">
            <w:pPr>
              <w:jc w:val="center"/>
              <w:rPr>
                <w:b/>
                <w:bCs/>
                <w:color w:val="000000"/>
              </w:rPr>
            </w:pPr>
            <w:r w:rsidRPr="00E81047">
              <w:rPr>
                <w:b/>
                <w:bCs/>
                <w:color w:val="000000"/>
              </w:rPr>
              <w:t>Median</w:t>
            </w:r>
          </w:p>
        </w:tc>
        <w:tc>
          <w:tcPr>
            <w:tcW w:w="1450" w:type="dxa"/>
            <w:tcBorders>
              <w:top w:val="nil"/>
              <w:left w:val="nil"/>
              <w:bottom w:val="single" w:sz="4" w:space="0" w:color="auto"/>
              <w:right w:val="nil"/>
            </w:tcBorders>
            <w:shd w:val="clear" w:color="auto" w:fill="auto"/>
            <w:noWrap/>
            <w:vAlign w:val="center"/>
            <w:hideMark/>
          </w:tcPr>
          <w:p w14:paraId="7A3A1E5F" w14:textId="77777777" w:rsidR="00F0624E" w:rsidRPr="00E81047" w:rsidRDefault="00F0624E" w:rsidP="00D20AC1">
            <w:pPr>
              <w:jc w:val="center"/>
              <w:rPr>
                <w:b/>
                <w:bCs/>
                <w:color w:val="000000"/>
              </w:rPr>
            </w:pPr>
            <w:r w:rsidRPr="00E81047">
              <w:rPr>
                <w:b/>
                <w:bCs/>
                <w:color w:val="000000"/>
              </w:rPr>
              <w:t>Higher 95% HDI</w:t>
            </w:r>
          </w:p>
        </w:tc>
        <w:tc>
          <w:tcPr>
            <w:tcW w:w="1562" w:type="dxa"/>
            <w:tcBorders>
              <w:top w:val="nil"/>
              <w:left w:val="nil"/>
              <w:bottom w:val="single" w:sz="4" w:space="0" w:color="auto"/>
              <w:right w:val="nil"/>
            </w:tcBorders>
            <w:shd w:val="clear" w:color="auto" w:fill="auto"/>
            <w:noWrap/>
            <w:vAlign w:val="center"/>
            <w:hideMark/>
          </w:tcPr>
          <w:p w14:paraId="22AC0BB7" w14:textId="77777777" w:rsidR="00F0624E" w:rsidRPr="00E81047" w:rsidRDefault="00F0624E" w:rsidP="00D20AC1">
            <w:pPr>
              <w:jc w:val="center"/>
              <w:rPr>
                <w:b/>
                <w:bCs/>
                <w:color w:val="000000"/>
              </w:rPr>
            </w:pPr>
            <w:r w:rsidRPr="00E81047">
              <w:rPr>
                <w:b/>
                <w:bCs/>
                <w:color w:val="000000"/>
              </w:rPr>
              <w:t>Posterior Probability</w:t>
            </w:r>
          </w:p>
        </w:tc>
      </w:tr>
      <w:tr w:rsidR="00F0624E" w:rsidRPr="00C16503" w14:paraId="7CCE6D94" w14:textId="77777777" w:rsidTr="00E81047">
        <w:trPr>
          <w:trHeight w:val="291"/>
        </w:trPr>
        <w:tc>
          <w:tcPr>
            <w:tcW w:w="1350" w:type="dxa"/>
            <w:tcBorders>
              <w:top w:val="nil"/>
              <w:left w:val="nil"/>
              <w:bottom w:val="nil"/>
              <w:right w:val="nil"/>
            </w:tcBorders>
            <w:shd w:val="clear" w:color="auto" w:fill="auto"/>
            <w:noWrap/>
            <w:vAlign w:val="bottom"/>
            <w:hideMark/>
          </w:tcPr>
          <w:p w14:paraId="5FB4ED1F" w14:textId="77777777" w:rsidR="00F0624E" w:rsidRPr="00E81047" w:rsidRDefault="00F0624E" w:rsidP="00D20AC1">
            <w:pPr>
              <w:jc w:val="center"/>
              <w:rPr>
                <w:color w:val="000000"/>
              </w:rPr>
            </w:pPr>
            <w:r w:rsidRPr="00E81047">
              <w:rPr>
                <w:color w:val="000000"/>
              </w:rPr>
              <w:t>0</w:t>
            </w:r>
          </w:p>
        </w:tc>
        <w:tc>
          <w:tcPr>
            <w:tcW w:w="1530" w:type="dxa"/>
            <w:tcBorders>
              <w:top w:val="nil"/>
              <w:left w:val="nil"/>
              <w:bottom w:val="nil"/>
              <w:right w:val="nil"/>
            </w:tcBorders>
            <w:shd w:val="clear" w:color="auto" w:fill="auto"/>
            <w:noWrap/>
            <w:vAlign w:val="bottom"/>
            <w:hideMark/>
          </w:tcPr>
          <w:p w14:paraId="3AF9B2ED" w14:textId="77777777" w:rsidR="00F0624E" w:rsidRPr="00E81047" w:rsidRDefault="00F0624E" w:rsidP="00D20AC1">
            <w:pPr>
              <w:jc w:val="center"/>
              <w:rPr>
                <w:color w:val="000000"/>
              </w:rPr>
            </w:pPr>
            <w:r w:rsidRPr="00E81047">
              <w:rPr>
                <w:color w:val="000000"/>
              </w:rPr>
              <w:t>Control &gt; 0</w:t>
            </w:r>
          </w:p>
        </w:tc>
        <w:tc>
          <w:tcPr>
            <w:tcW w:w="1350" w:type="dxa"/>
            <w:tcBorders>
              <w:top w:val="nil"/>
              <w:left w:val="nil"/>
              <w:bottom w:val="nil"/>
              <w:right w:val="nil"/>
            </w:tcBorders>
            <w:shd w:val="clear" w:color="auto" w:fill="auto"/>
            <w:noWrap/>
            <w:vAlign w:val="bottom"/>
            <w:hideMark/>
          </w:tcPr>
          <w:p w14:paraId="185200D2" w14:textId="77777777" w:rsidR="00F0624E" w:rsidRPr="00E81047" w:rsidRDefault="00F0624E" w:rsidP="00D20AC1">
            <w:pPr>
              <w:jc w:val="center"/>
              <w:rPr>
                <w:color w:val="000000"/>
              </w:rPr>
            </w:pPr>
            <w:r w:rsidRPr="00E81047">
              <w:rPr>
                <w:color w:val="000000"/>
              </w:rPr>
              <w:t>0.69</w:t>
            </w:r>
          </w:p>
        </w:tc>
        <w:tc>
          <w:tcPr>
            <w:tcW w:w="1300" w:type="dxa"/>
            <w:tcBorders>
              <w:top w:val="nil"/>
              <w:left w:val="nil"/>
              <w:bottom w:val="nil"/>
              <w:right w:val="nil"/>
            </w:tcBorders>
            <w:shd w:val="clear" w:color="auto" w:fill="auto"/>
            <w:noWrap/>
            <w:vAlign w:val="bottom"/>
            <w:hideMark/>
          </w:tcPr>
          <w:p w14:paraId="1CF64026" w14:textId="77777777" w:rsidR="00F0624E" w:rsidRPr="00E81047" w:rsidRDefault="00F0624E" w:rsidP="00D20AC1">
            <w:pPr>
              <w:jc w:val="center"/>
              <w:rPr>
                <w:color w:val="000000"/>
              </w:rPr>
            </w:pPr>
            <w:r w:rsidRPr="00E81047">
              <w:rPr>
                <w:color w:val="000000"/>
              </w:rPr>
              <w:t>0.72</w:t>
            </w:r>
          </w:p>
        </w:tc>
        <w:tc>
          <w:tcPr>
            <w:tcW w:w="1450" w:type="dxa"/>
            <w:tcBorders>
              <w:top w:val="nil"/>
              <w:left w:val="nil"/>
              <w:bottom w:val="nil"/>
              <w:right w:val="nil"/>
            </w:tcBorders>
            <w:shd w:val="clear" w:color="auto" w:fill="auto"/>
            <w:noWrap/>
            <w:vAlign w:val="bottom"/>
            <w:hideMark/>
          </w:tcPr>
          <w:p w14:paraId="2E07ACB3" w14:textId="77777777" w:rsidR="00F0624E" w:rsidRPr="00E81047" w:rsidRDefault="00F0624E" w:rsidP="00D20AC1">
            <w:pPr>
              <w:jc w:val="center"/>
              <w:rPr>
                <w:color w:val="000000"/>
              </w:rPr>
            </w:pPr>
            <w:r w:rsidRPr="00E81047">
              <w:rPr>
                <w:color w:val="000000"/>
              </w:rPr>
              <w:t>0.76</w:t>
            </w:r>
          </w:p>
        </w:tc>
        <w:tc>
          <w:tcPr>
            <w:tcW w:w="1562" w:type="dxa"/>
            <w:tcBorders>
              <w:top w:val="nil"/>
              <w:left w:val="nil"/>
              <w:bottom w:val="nil"/>
              <w:right w:val="nil"/>
            </w:tcBorders>
            <w:shd w:val="clear" w:color="auto" w:fill="auto"/>
            <w:noWrap/>
            <w:vAlign w:val="bottom"/>
            <w:hideMark/>
          </w:tcPr>
          <w:p w14:paraId="77792006" w14:textId="77777777" w:rsidR="00F0624E" w:rsidRPr="00E81047" w:rsidRDefault="00F0624E" w:rsidP="00D20AC1">
            <w:pPr>
              <w:jc w:val="center"/>
              <w:rPr>
                <w:color w:val="000000"/>
              </w:rPr>
            </w:pPr>
            <w:r w:rsidRPr="00E81047">
              <w:rPr>
                <w:color w:val="000000"/>
              </w:rPr>
              <w:t>1</w:t>
            </w:r>
          </w:p>
        </w:tc>
      </w:tr>
      <w:tr w:rsidR="00F0624E" w:rsidRPr="00C16503" w14:paraId="707B1ECD" w14:textId="77777777" w:rsidTr="00E81047">
        <w:trPr>
          <w:trHeight w:val="291"/>
        </w:trPr>
        <w:tc>
          <w:tcPr>
            <w:tcW w:w="1350" w:type="dxa"/>
            <w:tcBorders>
              <w:top w:val="nil"/>
              <w:left w:val="nil"/>
              <w:bottom w:val="nil"/>
              <w:right w:val="nil"/>
            </w:tcBorders>
            <w:shd w:val="clear" w:color="auto" w:fill="auto"/>
            <w:noWrap/>
            <w:vAlign w:val="bottom"/>
            <w:hideMark/>
          </w:tcPr>
          <w:p w14:paraId="164EBA15" w14:textId="77777777" w:rsidR="00F0624E" w:rsidRPr="00E81047" w:rsidRDefault="00F0624E" w:rsidP="00D20AC1">
            <w:pPr>
              <w:jc w:val="center"/>
              <w:rPr>
                <w:color w:val="000000"/>
              </w:rPr>
            </w:pPr>
            <w:r w:rsidRPr="00E81047">
              <w:rPr>
                <w:color w:val="000000"/>
              </w:rPr>
              <w:t>1</w:t>
            </w:r>
          </w:p>
        </w:tc>
        <w:tc>
          <w:tcPr>
            <w:tcW w:w="1530" w:type="dxa"/>
            <w:tcBorders>
              <w:top w:val="nil"/>
              <w:left w:val="nil"/>
              <w:bottom w:val="nil"/>
              <w:right w:val="nil"/>
            </w:tcBorders>
            <w:shd w:val="clear" w:color="auto" w:fill="auto"/>
            <w:noWrap/>
            <w:vAlign w:val="bottom"/>
            <w:hideMark/>
          </w:tcPr>
          <w:p w14:paraId="65458015" w14:textId="77777777" w:rsidR="00F0624E" w:rsidRPr="00E81047" w:rsidRDefault="00F0624E" w:rsidP="00D20AC1">
            <w:pPr>
              <w:jc w:val="center"/>
              <w:rPr>
                <w:color w:val="000000"/>
              </w:rPr>
            </w:pPr>
            <w:r w:rsidRPr="00E81047">
              <w:rPr>
                <w:color w:val="000000"/>
              </w:rPr>
              <w:t>Control &gt; 0</w:t>
            </w:r>
          </w:p>
        </w:tc>
        <w:tc>
          <w:tcPr>
            <w:tcW w:w="1350" w:type="dxa"/>
            <w:tcBorders>
              <w:top w:val="nil"/>
              <w:left w:val="nil"/>
              <w:bottom w:val="nil"/>
              <w:right w:val="nil"/>
            </w:tcBorders>
            <w:shd w:val="clear" w:color="auto" w:fill="auto"/>
            <w:noWrap/>
            <w:vAlign w:val="bottom"/>
            <w:hideMark/>
          </w:tcPr>
          <w:p w14:paraId="364F9845" w14:textId="77777777" w:rsidR="00F0624E" w:rsidRPr="00E81047" w:rsidRDefault="00F0624E" w:rsidP="00D20AC1">
            <w:pPr>
              <w:jc w:val="center"/>
              <w:rPr>
                <w:color w:val="000000"/>
              </w:rPr>
            </w:pPr>
            <w:r w:rsidRPr="00E81047">
              <w:rPr>
                <w:color w:val="000000"/>
              </w:rPr>
              <w:t>0.48</w:t>
            </w:r>
          </w:p>
        </w:tc>
        <w:tc>
          <w:tcPr>
            <w:tcW w:w="1300" w:type="dxa"/>
            <w:tcBorders>
              <w:top w:val="nil"/>
              <w:left w:val="nil"/>
              <w:bottom w:val="nil"/>
              <w:right w:val="nil"/>
            </w:tcBorders>
            <w:shd w:val="clear" w:color="auto" w:fill="auto"/>
            <w:noWrap/>
            <w:vAlign w:val="bottom"/>
            <w:hideMark/>
          </w:tcPr>
          <w:p w14:paraId="26916576" w14:textId="77777777" w:rsidR="00F0624E" w:rsidRPr="00E81047" w:rsidRDefault="00F0624E" w:rsidP="00D20AC1">
            <w:pPr>
              <w:jc w:val="center"/>
              <w:rPr>
                <w:color w:val="000000"/>
              </w:rPr>
            </w:pPr>
            <w:r w:rsidRPr="00E81047">
              <w:rPr>
                <w:color w:val="000000"/>
              </w:rPr>
              <w:t>0.57</w:t>
            </w:r>
          </w:p>
        </w:tc>
        <w:tc>
          <w:tcPr>
            <w:tcW w:w="1450" w:type="dxa"/>
            <w:tcBorders>
              <w:top w:val="nil"/>
              <w:left w:val="nil"/>
              <w:bottom w:val="nil"/>
              <w:right w:val="nil"/>
            </w:tcBorders>
            <w:shd w:val="clear" w:color="auto" w:fill="auto"/>
            <w:noWrap/>
            <w:vAlign w:val="bottom"/>
            <w:hideMark/>
          </w:tcPr>
          <w:p w14:paraId="32EE23E7" w14:textId="77777777" w:rsidR="00F0624E" w:rsidRPr="00E81047" w:rsidRDefault="00F0624E" w:rsidP="00D20AC1">
            <w:pPr>
              <w:jc w:val="center"/>
              <w:rPr>
                <w:color w:val="000000"/>
              </w:rPr>
            </w:pPr>
            <w:r w:rsidRPr="00E81047">
              <w:rPr>
                <w:color w:val="000000"/>
              </w:rPr>
              <w:t>0.65</w:t>
            </w:r>
          </w:p>
        </w:tc>
        <w:tc>
          <w:tcPr>
            <w:tcW w:w="1562" w:type="dxa"/>
            <w:tcBorders>
              <w:top w:val="nil"/>
              <w:left w:val="nil"/>
              <w:bottom w:val="nil"/>
              <w:right w:val="nil"/>
            </w:tcBorders>
            <w:shd w:val="clear" w:color="auto" w:fill="auto"/>
            <w:noWrap/>
            <w:vAlign w:val="bottom"/>
            <w:hideMark/>
          </w:tcPr>
          <w:p w14:paraId="74E42C0F" w14:textId="77777777" w:rsidR="00F0624E" w:rsidRPr="00E81047" w:rsidRDefault="00F0624E" w:rsidP="00D20AC1">
            <w:pPr>
              <w:jc w:val="center"/>
              <w:rPr>
                <w:color w:val="000000"/>
              </w:rPr>
            </w:pPr>
            <w:r w:rsidRPr="00E81047">
              <w:rPr>
                <w:color w:val="000000"/>
              </w:rPr>
              <w:t>1</w:t>
            </w:r>
          </w:p>
        </w:tc>
      </w:tr>
      <w:tr w:rsidR="00F0624E" w:rsidRPr="00C16503" w14:paraId="09F14EEE" w14:textId="77777777" w:rsidTr="00E81047">
        <w:trPr>
          <w:trHeight w:val="291"/>
        </w:trPr>
        <w:tc>
          <w:tcPr>
            <w:tcW w:w="1350" w:type="dxa"/>
            <w:tcBorders>
              <w:top w:val="nil"/>
              <w:left w:val="nil"/>
              <w:bottom w:val="single" w:sz="4" w:space="0" w:color="auto"/>
              <w:right w:val="nil"/>
            </w:tcBorders>
            <w:shd w:val="clear" w:color="auto" w:fill="auto"/>
            <w:noWrap/>
            <w:vAlign w:val="bottom"/>
            <w:hideMark/>
          </w:tcPr>
          <w:p w14:paraId="3E599948" w14:textId="77777777" w:rsidR="00F0624E" w:rsidRPr="00E81047" w:rsidRDefault="00F0624E" w:rsidP="00D20AC1">
            <w:pPr>
              <w:jc w:val="center"/>
              <w:rPr>
                <w:color w:val="000000"/>
              </w:rPr>
            </w:pPr>
            <w:r w:rsidRPr="00E81047">
              <w:rPr>
                <w:color w:val="000000"/>
              </w:rPr>
              <w:t>2</w:t>
            </w:r>
          </w:p>
        </w:tc>
        <w:tc>
          <w:tcPr>
            <w:tcW w:w="1530" w:type="dxa"/>
            <w:tcBorders>
              <w:top w:val="nil"/>
              <w:left w:val="nil"/>
              <w:bottom w:val="single" w:sz="4" w:space="0" w:color="auto"/>
              <w:right w:val="nil"/>
            </w:tcBorders>
            <w:shd w:val="clear" w:color="auto" w:fill="auto"/>
            <w:noWrap/>
            <w:vAlign w:val="bottom"/>
            <w:hideMark/>
          </w:tcPr>
          <w:p w14:paraId="0E5A2DE9" w14:textId="77777777" w:rsidR="00F0624E" w:rsidRPr="00E81047" w:rsidRDefault="00F0624E" w:rsidP="00D20AC1">
            <w:pPr>
              <w:jc w:val="center"/>
              <w:rPr>
                <w:color w:val="000000"/>
              </w:rPr>
            </w:pPr>
            <w:r w:rsidRPr="00E81047">
              <w:rPr>
                <w:color w:val="000000"/>
              </w:rPr>
              <w:t>Control &gt; 0</w:t>
            </w:r>
          </w:p>
        </w:tc>
        <w:tc>
          <w:tcPr>
            <w:tcW w:w="1350" w:type="dxa"/>
            <w:tcBorders>
              <w:top w:val="nil"/>
              <w:left w:val="nil"/>
              <w:bottom w:val="single" w:sz="4" w:space="0" w:color="auto"/>
              <w:right w:val="nil"/>
            </w:tcBorders>
            <w:shd w:val="clear" w:color="auto" w:fill="auto"/>
            <w:noWrap/>
            <w:vAlign w:val="bottom"/>
            <w:hideMark/>
          </w:tcPr>
          <w:p w14:paraId="349FF373" w14:textId="77777777" w:rsidR="00F0624E" w:rsidRPr="00E81047" w:rsidRDefault="00F0624E" w:rsidP="00D20AC1">
            <w:pPr>
              <w:jc w:val="center"/>
              <w:rPr>
                <w:color w:val="000000"/>
              </w:rPr>
            </w:pPr>
            <w:r w:rsidRPr="00E81047">
              <w:rPr>
                <w:color w:val="000000"/>
              </w:rPr>
              <w:t>0.47</w:t>
            </w:r>
          </w:p>
        </w:tc>
        <w:tc>
          <w:tcPr>
            <w:tcW w:w="1300" w:type="dxa"/>
            <w:tcBorders>
              <w:top w:val="nil"/>
              <w:left w:val="nil"/>
              <w:bottom w:val="single" w:sz="4" w:space="0" w:color="auto"/>
              <w:right w:val="nil"/>
            </w:tcBorders>
            <w:shd w:val="clear" w:color="auto" w:fill="auto"/>
            <w:noWrap/>
            <w:vAlign w:val="bottom"/>
            <w:hideMark/>
          </w:tcPr>
          <w:p w14:paraId="774B5844" w14:textId="77777777" w:rsidR="00F0624E" w:rsidRPr="00E81047" w:rsidRDefault="00F0624E" w:rsidP="00D20AC1">
            <w:pPr>
              <w:jc w:val="center"/>
              <w:rPr>
                <w:color w:val="000000"/>
              </w:rPr>
            </w:pPr>
            <w:r w:rsidRPr="00E81047">
              <w:rPr>
                <w:color w:val="000000"/>
              </w:rPr>
              <w:t>0.6</w:t>
            </w:r>
          </w:p>
        </w:tc>
        <w:tc>
          <w:tcPr>
            <w:tcW w:w="1450" w:type="dxa"/>
            <w:tcBorders>
              <w:top w:val="nil"/>
              <w:left w:val="nil"/>
              <w:bottom w:val="single" w:sz="4" w:space="0" w:color="auto"/>
              <w:right w:val="nil"/>
            </w:tcBorders>
            <w:shd w:val="clear" w:color="auto" w:fill="auto"/>
            <w:noWrap/>
            <w:vAlign w:val="bottom"/>
            <w:hideMark/>
          </w:tcPr>
          <w:p w14:paraId="20863293" w14:textId="77777777" w:rsidR="00F0624E" w:rsidRPr="00E81047" w:rsidRDefault="00F0624E" w:rsidP="00D20AC1">
            <w:pPr>
              <w:jc w:val="center"/>
              <w:rPr>
                <w:color w:val="000000"/>
              </w:rPr>
            </w:pPr>
            <w:r w:rsidRPr="00E81047">
              <w:rPr>
                <w:color w:val="000000"/>
              </w:rPr>
              <w:t>0.72</w:t>
            </w:r>
          </w:p>
        </w:tc>
        <w:tc>
          <w:tcPr>
            <w:tcW w:w="1562" w:type="dxa"/>
            <w:tcBorders>
              <w:top w:val="nil"/>
              <w:left w:val="nil"/>
              <w:bottom w:val="single" w:sz="4" w:space="0" w:color="auto"/>
              <w:right w:val="nil"/>
            </w:tcBorders>
            <w:shd w:val="clear" w:color="auto" w:fill="auto"/>
            <w:noWrap/>
            <w:vAlign w:val="bottom"/>
            <w:hideMark/>
          </w:tcPr>
          <w:p w14:paraId="574EED45" w14:textId="77777777" w:rsidR="00F0624E" w:rsidRPr="00E81047" w:rsidRDefault="00F0624E" w:rsidP="00D20AC1">
            <w:pPr>
              <w:jc w:val="center"/>
              <w:rPr>
                <w:color w:val="000000"/>
              </w:rPr>
            </w:pPr>
            <w:r w:rsidRPr="00E81047">
              <w:rPr>
                <w:color w:val="000000"/>
              </w:rPr>
              <w:t>1</w:t>
            </w:r>
          </w:p>
        </w:tc>
      </w:tr>
      <w:tr w:rsidR="00F0624E" w:rsidRPr="00C16503" w14:paraId="61A425AB" w14:textId="77777777" w:rsidTr="00E81047">
        <w:trPr>
          <w:trHeight w:val="291"/>
        </w:trPr>
        <w:tc>
          <w:tcPr>
            <w:tcW w:w="1350" w:type="dxa"/>
            <w:tcBorders>
              <w:top w:val="nil"/>
              <w:left w:val="nil"/>
              <w:bottom w:val="nil"/>
              <w:right w:val="nil"/>
            </w:tcBorders>
            <w:shd w:val="clear" w:color="auto" w:fill="auto"/>
            <w:noWrap/>
            <w:vAlign w:val="bottom"/>
            <w:hideMark/>
          </w:tcPr>
          <w:p w14:paraId="096DB24B" w14:textId="77777777" w:rsidR="00F0624E" w:rsidRPr="00E81047" w:rsidRDefault="00F0624E" w:rsidP="00D20AC1">
            <w:pPr>
              <w:jc w:val="center"/>
              <w:rPr>
                <w:color w:val="000000"/>
              </w:rPr>
            </w:pPr>
            <w:r w:rsidRPr="00E81047">
              <w:rPr>
                <w:color w:val="000000"/>
              </w:rPr>
              <w:t>0</w:t>
            </w:r>
          </w:p>
        </w:tc>
        <w:tc>
          <w:tcPr>
            <w:tcW w:w="1530" w:type="dxa"/>
            <w:tcBorders>
              <w:top w:val="nil"/>
              <w:left w:val="nil"/>
              <w:bottom w:val="nil"/>
              <w:right w:val="nil"/>
            </w:tcBorders>
            <w:shd w:val="clear" w:color="auto" w:fill="auto"/>
            <w:noWrap/>
            <w:vAlign w:val="bottom"/>
            <w:hideMark/>
          </w:tcPr>
          <w:p w14:paraId="505D92B4" w14:textId="77777777" w:rsidR="00F0624E" w:rsidRPr="00E81047" w:rsidRDefault="00F0624E" w:rsidP="00D20AC1">
            <w:pPr>
              <w:jc w:val="center"/>
              <w:rPr>
                <w:color w:val="000000"/>
              </w:rPr>
            </w:pPr>
            <w:r w:rsidRPr="00E81047">
              <w:rPr>
                <w:color w:val="000000"/>
              </w:rPr>
              <w:t>Moderate &lt; 0</w:t>
            </w:r>
          </w:p>
        </w:tc>
        <w:tc>
          <w:tcPr>
            <w:tcW w:w="1350" w:type="dxa"/>
            <w:tcBorders>
              <w:top w:val="nil"/>
              <w:left w:val="nil"/>
              <w:bottom w:val="nil"/>
              <w:right w:val="nil"/>
            </w:tcBorders>
            <w:shd w:val="clear" w:color="auto" w:fill="auto"/>
            <w:noWrap/>
            <w:vAlign w:val="bottom"/>
            <w:hideMark/>
          </w:tcPr>
          <w:p w14:paraId="30D1EAB8" w14:textId="77777777" w:rsidR="00F0624E" w:rsidRPr="00E81047" w:rsidRDefault="00F0624E" w:rsidP="00D20AC1">
            <w:pPr>
              <w:jc w:val="center"/>
              <w:rPr>
                <w:color w:val="000000"/>
              </w:rPr>
            </w:pPr>
            <w:r w:rsidRPr="00E81047">
              <w:rPr>
                <w:color w:val="000000"/>
              </w:rPr>
              <w:t>0.59</w:t>
            </w:r>
          </w:p>
        </w:tc>
        <w:tc>
          <w:tcPr>
            <w:tcW w:w="1300" w:type="dxa"/>
            <w:tcBorders>
              <w:top w:val="nil"/>
              <w:left w:val="nil"/>
              <w:bottom w:val="nil"/>
              <w:right w:val="nil"/>
            </w:tcBorders>
            <w:shd w:val="clear" w:color="auto" w:fill="auto"/>
            <w:noWrap/>
            <w:vAlign w:val="bottom"/>
            <w:hideMark/>
          </w:tcPr>
          <w:p w14:paraId="00265AD5" w14:textId="77777777" w:rsidR="00F0624E" w:rsidRPr="00E81047" w:rsidRDefault="00F0624E" w:rsidP="00D20AC1">
            <w:pPr>
              <w:jc w:val="center"/>
              <w:rPr>
                <w:color w:val="000000"/>
              </w:rPr>
            </w:pPr>
            <w:r w:rsidRPr="00E81047">
              <w:rPr>
                <w:color w:val="000000"/>
              </w:rPr>
              <w:t>0.67</w:t>
            </w:r>
          </w:p>
        </w:tc>
        <w:tc>
          <w:tcPr>
            <w:tcW w:w="1450" w:type="dxa"/>
            <w:tcBorders>
              <w:top w:val="nil"/>
              <w:left w:val="nil"/>
              <w:bottom w:val="nil"/>
              <w:right w:val="nil"/>
            </w:tcBorders>
            <w:shd w:val="clear" w:color="auto" w:fill="auto"/>
            <w:noWrap/>
            <w:vAlign w:val="bottom"/>
            <w:hideMark/>
          </w:tcPr>
          <w:p w14:paraId="5A774384" w14:textId="77777777" w:rsidR="00F0624E" w:rsidRPr="00E81047" w:rsidRDefault="00F0624E" w:rsidP="00D20AC1">
            <w:pPr>
              <w:jc w:val="center"/>
              <w:rPr>
                <w:color w:val="000000"/>
              </w:rPr>
            </w:pPr>
            <w:r w:rsidRPr="00E81047">
              <w:rPr>
                <w:color w:val="000000"/>
              </w:rPr>
              <w:t>0.77</w:t>
            </w:r>
          </w:p>
        </w:tc>
        <w:tc>
          <w:tcPr>
            <w:tcW w:w="1562" w:type="dxa"/>
            <w:tcBorders>
              <w:top w:val="nil"/>
              <w:left w:val="nil"/>
              <w:bottom w:val="nil"/>
              <w:right w:val="nil"/>
            </w:tcBorders>
            <w:shd w:val="clear" w:color="auto" w:fill="auto"/>
            <w:noWrap/>
            <w:vAlign w:val="bottom"/>
            <w:hideMark/>
          </w:tcPr>
          <w:p w14:paraId="2C660A41" w14:textId="77777777" w:rsidR="00F0624E" w:rsidRPr="00E81047" w:rsidRDefault="00F0624E" w:rsidP="00D20AC1">
            <w:pPr>
              <w:jc w:val="center"/>
              <w:rPr>
                <w:color w:val="000000"/>
              </w:rPr>
            </w:pPr>
            <w:r w:rsidRPr="00E81047">
              <w:rPr>
                <w:color w:val="000000"/>
              </w:rPr>
              <w:t>0.96</w:t>
            </w:r>
          </w:p>
        </w:tc>
      </w:tr>
      <w:tr w:rsidR="00F0624E" w:rsidRPr="00C16503" w14:paraId="769A3397" w14:textId="77777777" w:rsidTr="00E81047">
        <w:trPr>
          <w:trHeight w:val="291"/>
        </w:trPr>
        <w:tc>
          <w:tcPr>
            <w:tcW w:w="1350" w:type="dxa"/>
            <w:tcBorders>
              <w:top w:val="nil"/>
              <w:left w:val="nil"/>
              <w:bottom w:val="nil"/>
              <w:right w:val="nil"/>
            </w:tcBorders>
            <w:shd w:val="clear" w:color="auto" w:fill="auto"/>
            <w:noWrap/>
            <w:vAlign w:val="bottom"/>
            <w:hideMark/>
          </w:tcPr>
          <w:p w14:paraId="71460AF4" w14:textId="77777777" w:rsidR="00F0624E" w:rsidRPr="00E81047" w:rsidRDefault="00F0624E" w:rsidP="00D20AC1">
            <w:pPr>
              <w:jc w:val="center"/>
              <w:rPr>
                <w:color w:val="000000"/>
              </w:rPr>
            </w:pPr>
            <w:r w:rsidRPr="00E81047">
              <w:rPr>
                <w:color w:val="000000"/>
              </w:rPr>
              <w:t>1</w:t>
            </w:r>
          </w:p>
        </w:tc>
        <w:tc>
          <w:tcPr>
            <w:tcW w:w="1530" w:type="dxa"/>
            <w:tcBorders>
              <w:top w:val="nil"/>
              <w:left w:val="nil"/>
              <w:bottom w:val="nil"/>
              <w:right w:val="nil"/>
            </w:tcBorders>
            <w:shd w:val="clear" w:color="auto" w:fill="auto"/>
            <w:noWrap/>
            <w:vAlign w:val="bottom"/>
            <w:hideMark/>
          </w:tcPr>
          <w:p w14:paraId="271F19D2" w14:textId="77777777" w:rsidR="00F0624E" w:rsidRPr="00E81047" w:rsidRDefault="00F0624E" w:rsidP="00D20AC1">
            <w:pPr>
              <w:jc w:val="center"/>
              <w:rPr>
                <w:color w:val="000000"/>
              </w:rPr>
            </w:pPr>
            <w:r w:rsidRPr="00E81047">
              <w:rPr>
                <w:color w:val="000000"/>
              </w:rPr>
              <w:t>Moderate &lt; 0</w:t>
            </w:r>
          </w:p>
        </w:tc>
        <w:tc>
          <w:tcPr>
            <w:tcW w:w="1350" w:type="dxa"/>
            <w:tcBorders>
              <w:top w:val="nil"/>
              <w:left w:val="nil"/>
              <w:bottom w:val="nil"/>
              <w:right w:val="nil"/>
            </w:tcBorders>
            <w:shd w:val="clear" w:color="auto" w:fill="auto"/>
            <w:noWrap/>
            <w:vAlign w:val="bottom"/>
            <w:hideMark/>
          </w:tcPr>
          <w:p w14:paraId="6F2E4568" w14:textId="77777777" w:rsidR="00F0624E" w:rsidRPr="00E81047" w:rsidRDefault="00F0624E" w:rsidP="00D20AC1">
            <w:pPr>
              <w:jc w:val="center"/>
              <w:rPr>
                <w:color w:val="000000"/>
              </w:rPr>
            </w:pPr>
            <w:r w:rsidRPr="00E81047">
              <w:rPr>
                <w:color w:val="000000"/>
              </w:rPr>
              <w:t>0.27</w:t>
            </w:r>
          </w:p>
        </w:tc>
        <w:tc>
          <w:tcPr>
            <w:tcW w:w="1300" w:type="dxa"/>
            <w:tcBorders>
              <w:top w:val="nil"/>
              <w:left w:val="nil"/>
              <w:bottom w:val="nil"/>
              <w:right w:val="nil"/>
            </w:tcBorders>
            <w:shd w:val="clear" w:color="auto" w:fill="auto"/>
            <w:noWrap/>
            <w:vAlign w:val="bottom"/>
            <w:hideMark/>
          </w:tcPr>
          <w:p w14:paraId="5D29A8DB" w14:textId="77777777" w:rsidR="00F0624E" w:rsidRPr="00E81047" w:rsidRDefault="00F0624E" w:rsidP="00D20AC1">
            <w:pPr>
              <w:jc w:val="center"/>
              <w:rPr>
                <w:color w:val="000000"/>
              </w:rPr>
            </w:pPr>
            <w:r w:rsidRPr="00E81047">
              <w:rPr>
                <w:color w:val="000000"/>
              </w:rPr>
              <w:t>0.48</w:t>
            </w:r>
          </w:p>
        </w:tc>
        <w:tc>
          <w:tcPr>
            <w:tcW w:w="1450" w:type="dxa"/>
            <w:tcBorders>
              <w:top w:val="nil"/>
              <w:left w:val="nil"/>
              <w:bottom w:val="nil"/>
              <w:right w:val="nil"/>
            </w:tcBorders>
            <w:shd w:val="clear" w:color="auto" w:fill="auto"/>
            <w:noWrap/>
            <w:vAlign w:val="bottom"/>
            <w:hideMark/>
          </w:tcPr>
          <w:p w14:paraId="223FBFFD" w14:textId="77777777" w:rsidR="00F0624E" w:rsidRPr="00E81047" w:rsidRDefault="00F0624E" w:rsidP="00D20AC1">
            <w:pPr>
              <w:jc w:val="center"/>
              <w:rPr>
                <w:color w:val="000000"/>
              </w:rPr>
            </w:pPr>
            <w:r w:rsidRPr="00E81047">
              <w:rPr>
                <w:color w:val="000000"/>
              </w:rPr>
              <w:t>0.68</w:t>
            </w:r>
          </w:p>
        </w:tc>
        <w:tc>
          <w:tcPr>
            <w:tcW w:w="1562" w:type="dxa"/>
            <w:tcBorders>
              <w:top w:val="nil"/>
              <w:left w:val="nil"/>
              <w:bottom w:val="nil"/>
              <w:right w:val="nil"/>
            </w:tcBorders>
            <w:shd w:val="clear" w:color="auto" w:fill="auto"/>
            <w:noWrap/>
            <w:vAlign w:val="bottom"/>
            <w:hideMark/>
          </w:tcPr>
          <w:p w14:paraId="02B50C01" w14:textId="77777777" w:rsidR="00F0624E" w:rsidRPr="00E81047" w:rsidRDefault="00F0624E" w:rsidP="00D20AC1">
            <w:pPr>
              <w:jc w:val="center"/>
              <w:rPr>
                <w:color w:val="000000"/>
              </w:rPr>
            </w:pPr>
            <w:r w:rsidRPr="00E81047">
              <w:rPr>
                <w:color w:val="000000"/>
              </w:rPr>
              <w:t>0.93</w:t>
            </w:r>
          </w:p>
        </w:tc>
      </w:tr>
      <w:tr w:rsidR="00F0624E" w:rsidRPr="00C16503" w14:paraId="54E62C88" w14:textId="77777777" w:rsidTr="00E81047">
        <w:trPr>
          <w:trHeight w:val="291"/>
        </w:trPr>
        <w:tc>
          <w:tcPr>
            <w:tcW w:w="1350" w:type="dxa"/>
            <w:tcBorders>
              <w:top w:val="nil"/>
              <w:left w:val="nil"/>
              <w:bottom w:val="single" w:sz="4" w:space="0" w:color="auto"/>
              <w:right w:val="nil"/>
            </w:tcBorders>
            <w:shd w:val="clear" w:color="auto" w:fill="auto"/>
            <w:noWrap/>
            <w:vAlign w:val="bottom"/>
            <w:hideMark/>
          </w:tcPr>
          <w:p w14:paraId="14BA0EAA" w14:textId="77777777" w:rsidR="00F0624E" w:rsidRPr="00E81047" w:rsidRDefault="00F0624E" w:rsidP="00D20AC1">
            <w:pPr>
              <w:jc w:val="center"/>
              <w:rPr>
                <w:color w:val="000000"/>
              </w:rPr>
            </w:pPr>
            <w:r w:rsidRPr="00E81047">
              <w:rPr>
                <w:color w:val="000000"/>
              </w:rPr>
              <w:t>2</w:t>
            </w:r>
          </w:p>
        </w:tc>
        <w:tc>
          <w:tcPr>
            <w:tcW w:w="1530" w:type="dxa"/>
            <w:tcBorders>
              <w:top w:val="nil"/>
              <w:left w:val="nil"/>
              <w:bottom w:val="single" w:sz="4" w:space="0" w:color="auto"/>
              <w:right w:val="nil"/>
            </w:tcBorders>
            <w:shd w:val="clear" w:color="auto" w:fill="auto"/>
            <w:noWrap/>
            <w:vAlign w:val="bottom"/>
            <w:hideMark/>
          </w:tcPr>
          <w:p w14:paraId="40D13C0A" w14:textId="77777777" w:rsidR="00F0624E" w:rsidRPr="00E81047" w:rsidRDefault="00F0624E" w:rsidP="00D20AC1">
            <w:pPr>
              <w:jc w:val="center"/>
              <w:rPr>
                <w:color w:val="000000"/>
              </w:rPr>
            </w:pPr>
            <w:r w:rsidRPr="00E81047">
              <w:rPr>
                <w:color w:val="000000"/>
              </w:rPr>
              <w:t>Moderate &lt; 0</w:t>
            </w:r>
          </w:p>
        </w:tc>
        <w:tc>
          <w:tcPr>
            <w:tcW w:w="1350" w:type="dxa"/>
            <w:tcBorders>
              <w:top w:val="nil"/>
              <w:left w:val="nil"/>
              <w:bottom w:val="single" w:sz="4" w:space="0" w:color="auto"/>
              <w:right w:val="nil"/>
            </w:tcBorders>
            <w:shd w:val="clear" w:color="auto" w:fill="auto"/>
            <w:noWrap/>
            <w:vAlign w:val="bottom"/>
            <w:hideMark/>
          </w:tcPr>
          <w:p w14:paraId="35F932E3" w14:textId="77777777" w:rsidR="00F0624E" w:rsidRPr="00E81047" w:rsidRDefault="00F0624E" w:rsidP="00D20AC1">
            <w:pPr>
              <w:jc w:val="center"/>
              <w:rPr>
                <w:color w:val="000000"/>
              </w:rPr>
            </w:pPr>
            <w:r w:rsidRPr="00E81047">
              <w:rPr>
                <w:color w:val="000000"/>
              </w:rPr>
              <w:t>0.23</w:t>
            </w:r>
          </w:p>
        </w:tc>
        <w:tc>
          <w:tcPr>
            <w:tcW w:w="1300" w:type="dxa"/>
            <w:tcBorders>
              <w:top w:val="nil"/>
              <w:left w:val="nil"/>
              <w:bottom w:val="single" w:sz="4" w:space="0" w:color="auto"/>
              <w:right w:val="nil"/>
            </w:tcBorders>
            <w:shd w:val="clear" w:color="auto" w:fill="auto"/>
            <w:noWrap/>
            <w:vAlign w:val="bottom"/>
            <w:hideMark/>
          </w:tcPr>
          <w:p w14:paraId="3421ED7B" w14:textId="77777777" w:rsidR="00F0624E" w:rsidRPr="00E81047" w:rsidRDefault="00F0624E" w:rsidP="00D20AC1">
            <w:pPr>
              <w:jc w:val="center"/>
              <w:rPr>
                <w:color w:val="000000"/>
              </w:rPr>
            </w:pPr>
            <w:r w:rsidRPr="00E81047">
              <w:rPr>
                <w:color w:val="000000"/>
              </w:rPr>
              <w:t>0.69</w:t>
            </w:r>
          </w:p>
        </w:tc>
        <w:tc>
          <w:tcPr>
            <w:tcW w:w="1450" w:type="dxa"/>
            <w:tcBorders>
              <w:top w:val="nil"/>
              <w:left w:val="nil"/>
              <w:bottom w:val="single" w:sz="4" w:space="0" w:color="auto"/>
              <w:right w:val="nil"/>
            </w:tcBorders>
            <w:shd w:val="clear" w:color="auto" w:fill="auto"/>
            <w:noWrap/>
            <w:vAlign w:val="bottom"/>
            <w:hideMark/>
          </w:tcPr>
          <w:p w14:paraId="14A0584F" w14:textId="77777777" w:rsidR="00F0624E" w:rsidRPr="00E81047" w:rsidRDefault="00F0624E" w:rsidP="00D20AC1">
            <w:pPr>
              <w:jc w:val="center"/>
              <w:rPr>
                <w:color w:val="000000"/>
              </w:rPr>
            </w:pPr>
            <w:r w:rsidRPr="00E81047">
              <w:rPr>
                <w:color w:val="000000"/>
              </w:rPr>
              <w:t>0.85</w:t>
            </w:r>
          </w:p>
        </w:tc>
        <w:tc>
          <w:tcPr>
            <w:tcW w:w="1562" w:type="dxa"/>
            <w:tcBorders>
              <w:top w:val="nil"/>
              <w:left w:val="nil"/>
              <w:bottom w:val="single" w:sz="4" w:space="0" w:color="auto"/>
              <w:right w:val="nil"/>
            </w:tcBorders>
            <w:shd w:val="clear" w:color="auto" w:fill="auto"/>
            <w:noWrap/>
            <w:vAlign w:val="bottom"/>
            <w:hideMark/>
          </w:tcPr>
          <w:p w14:paraId="66689342" w14:textId="77777777" w:rsidR="00F0624E" w:rsidRPr="00E81047" w:rsidRDefault="00F0624E" w:rsidP="00D20AC1">
            <w:pPr>
              <w:jc w:val="center"/>
              <w:rPr>
                <w:color w:val="000000"/>
              </w:rPr>
            </w:pPr>
            <w:r w:rsidRPr="00E81047">
              <w:rPr>
                <w:color w:val="000000"/>
              </w:rPr>
              <w:t>0.78</w:t>
            </w:r>
          </w:p>
        </w:tc>
      </w:tr>
      <w:tr w:rsidR="00F0624E" w:rsidRPr="00C16503" w14:paraId="6AFC44A1" w14:textId="77777777" w:rsidTr="00E81047">
        <w:trPr>
          <w:trHeight w:val="291"/>
        </w:trPr>
        <w:tc>
          <w:tcPr>
            <w:tcW w:w="1350" w:type="dxa"/>
            <w:tcBorders>
              <w:top w:val="nil"/>
              <w:left w:val="nil"/>
              <w:bottom w:val="nil"/>
              <w:right w:val="nil"/>
            </w:tcBorders>
            <w:shd w:val="clear" w:color="auto" w:fill="auto"/>
            <w:noWrap/>
            <w:vAlign w:val="bottom"/>
            <w:hideMark/>
          </w:tcPr>
          <w:p w14:paraId="1D474A48" w14:textId="77777777" w:rsidR="00F0624E" w:rsidRPr="00E81047" w:rsidRDefault="00F0624E" w:rsidP="00D20AC1">
            <w:pPr>
              <w:jc w:val="center"/>
              <w:rPr>
                <w:color w:val="000000"/>
              </w:rPr>
            </w:pPr>
            <w:r w:rsidRPr="00E81047">
              <w:rPr>
                <w:color w:val="000000"/>
              </w:rPr>
              <w:t>0</w:t>
            </w:r>
          </w:p>
        </w:tc>
        <w:tc>
          <w:tcPr>
            <w:tcW w:w="1530" w:type="dxa"/>
            <w:tcBorders>
              <w:top w:val="nil"/>
              <w:left w:val="nil"/>
              <w:bottom w:val="nil"/>
              <w:right w:val="nil"/>
            </w:tcBorders>
            <w:shd w:val="clear" w:color="auto" w:fill="auto"/>
            <w:noWrap/>
            <w:vAlign w:val="bottom"/>
            <w:hideMark/>
          </w:tcPr>
          <w:p w14:paraId="52F95CB5" w14:textId="77777777" w:rsidR="00F0624E" w:rsidRPr="00E81047" w:rsidRDefault="00F0624E" w:rsidP="00D20AC1">
            <w:pPr>
              <w:jc w:val="center"/>
              <w:rPr>
                <w:color w:val="000000"/>
              </w:rPr>
            </w:pPr>
            <w:r w:rsidRPr="00E81047">
              <w:rPr>
                <w:color w:val="000000"/>
              </w:rPr>
              <w:t>High &lt; 0</w:t>
            </w:r>
          </w:p>
        </w:tc>
        <w:tc>
          <w:tcPr>
            <w:tcW w:w="1350" w:type="dxa"/>
            <w:tcBorders>
              <w:top w:val="nil"/>
              <w:left w:val="nil"/>
              <w:bottom w:val="nil"/>
              <w:right w:val="nil"/>
            </w:tcBorders>
            <w:shd w:val="clear" w:color="auto" w:fill="auto"/>
            <w:noWrap/>
            <w:vAlign w:val="bottom"/>
            <w:hideMark/>
          </w:tcPr>
          <w:p w14:paraId="43668091" w14:textId="77777777" w:rsidR="00F0624E" w:rsidRPr="00E81047" w:rsidRDefault="00F0624E" w:rsidP="00D20AC1">
            <w:pPr>
              <w:jc w:val="center"/>
              <w:rPr>
                <w:color w:val="000000"/>
              </w:rPr>
            </w:pPr>
            <w:r w:rsidRPr="00E81047">
              <w:rPr>
                <w:color w:val="000000"/>
              </w:rPr>
              <w:t>0.57</w:t>
            </w:r>
          </w:p>
        </w:tc>
        <w:tc>
          <w:tcPr>
            <w:tcW w:w="1300" w:type="dxa"/>
            <w:tcBorders>
              <w:top w:val="nil"/>
              <w:left w:val="nil"/>
              <w:bottom w:val="nil"/>
              <w:right w:val="nil"/>
            </w:tcBorders>
            <w:shd w:val="clear" w:color="auto" w:fill="auto"/>
            <w:noWrap/>
            <w:vAlign w:val="bottom"/>
            <w:hideMark/>
          </w:tcPr>
          <w:p w14:paraId="4E5F1B55" w14:textId="77777777" w:rsidR="00F0624E" w:rsidRPr="00E81047" w:rsidRDefault="00F0624E" w:rsidP="00D20AC1">
            <w:pPr>
              <w:jc w:val="center"/>
              <w:rPr>
                <w:color w:val="000000"/>
              </w:rPr>
            </w:pPr>
            <w:r w:rsidRPr="00E81047">
              <w:rPr>
                <w:color w:val="000000"/>
              </w:rPr>
              <w:t>0.66</w:t>
            </w:r>
          </w:p>
        </w:tc>
        <w:tc>
          <w:tcPr>
            <w:tcW w:w="1450" w:type="dxa"/>
            <w:tcBorders>
              <w:top w:val="nil"/>
              <w:left w:val="nil"/>
              <w:bottom w:val="nil"/>
              <w:right w:val="nil"/>
            </w:tcBorders>
            <w:shd w:val="clear" w:color="auto" w:fill="auto"/>
            <w:noWrap/>
            <w:vAlign w:val="bottom"/>
            <w:hideMark/>
          </w:tcPr>
          <w:p w14:paraId="31A871DC" w14:textId="77777777" w:rsidR="00F0624E" w:rsidRPr="00E81047" w:rsidRDefault="00F0624E" w:rsidP="00D20AC1">
            <w:pPr>
              <w:jc w:val="center"/>
              <w:rPr>
                <w:color w:val="000000"/>
              </w:rPr>
            </w:pPr>
            <w:r w:rsidRPr="00E81047">
              <w:rPr>
                <w:color w:val="000000"/>
              </w:rPr>
              <w:t>0.75</w:t>
            </w:r>
          </w:p>
        </w:tc>
        <w:tc>
          <w:tcPr>
            <w:tcW w:w="1562" w:type="dxa"/>
            <w:tcBorders>
              <w:top w:val="nil"/>
              <w:left w:val="nil"/>
              <w:bottom w:val="nil"/>
              <w:right w:val="nil"/>
            </w:tcBorders>
            <w:shd w:val="clear" w:color="auto" w:fill="auto"/>
            <w:noWrap/>
            <w:vAlign w:val="bottom"/>
            <w:hideMark/>
          </w:tcPr>
          <w:p w14:paraId="2624C091" w14:textId="77777777" w:rsidR="00F0624E" w:rsidRPr="00E81047" w:rsidRDefault="00F0624E" w:rsidP="00D20AC1">
            <w:pPr>
              <w:jc w:val="center"/>
              <w:rPr>
                <w:color w:val="000000"/>
              </w:rPr>
            </w:pPr>
            <w:r w:rsidRPr="00E81047">
              <w:rPr>
                <w:color w:val="000000"/>
              </w:rPr>
              <w:t>0.99</w:t>
            </w:r>
          </w:p>
        </w:tc>
      </w:tr>
      <w:tr w:rsidR="00F0624E" w:rsidRPr="00C16503" w14:paraId="567651EB" w14:textId="77777777" w:rsidTr="00E81047">
        <w:trPr>
          <w:trHeight w:val="291"/>
        </w:trPr>
        <w:tc>
          <w:tcPr>
            <w:tcW w:w="1350" w:type="dxa"/>
            <w:tcBorders>
              <w:top w:val="nil"/>
              <w:left w:val="nil"/>
              <w:bottom w:val="nil"/>
              <w:right w:val="nil"/>
            </w:tcBorders>
            <w:shd w:val="clear" w:color="auto" w:fill="auto"/>
            <w:noWrap/>
            <w:vAlign w:val="bottom"/>
            <w:hideMark/>
          </w:tcPr>
          <w:p w14:paraId="6AE1B90A" w14:textId="77777777" w:rsidR="00F0624E" w:rsidRPr="00E81047" w:rsidRDefault="00F0624E" w:rsidP="00D20AC1">
            <w:pPr>
              <w:jc w:val="center"/>
              <w:rPr>
                <w:color w:val="000000"/>
              </w:rPr>
            </w:pPr>
            <w:r w:rsidRPr="00E81047">
              <w:rPr>
                <w:color w:val="000000"/>
              </w:rPr>
              <w:t>1</w:t>
            </w:r>
          </w:p>
        </w:tc>
        <w:tc>
          <w:tcPr>
            <w:tcW w:w="1530" w:type="dxa"/>
            <w:tcBorders>
              <w:top w:val="nil"/>
              <w:left w:val="nil"/>
              <w:bottom w:val="nil"/>
              <w:right w:val="nil"/>
            </w:tcBorders>
            <w:shd w:val="clear" w:color="auto" w:fill="auto"/>
            <w:noWrap/>
            <w:vAlign w:val="bottom"/>
            <w:hideMark/>
          </w:tcPr>
          <w:p w14:paraId="7084ABD7" w14:textId="77777777" w:rsidR="00F0624E" w:rsidRPr="00E81047" w:rsidRDefault="00F0624E" w:rsidP="00D20AC1">
            <w:pPr>
              <w:jc w:val="center"/>
              <w:rPr>
                <w:color w:val="000000"/>
              </w:rPr>
            </w:pPr>
            <w:r w:rsidRPr="00E81047">
              <w:rPr>
                <w:color w:val="000000"/>
              </w:rPr>
              <w:t>High &lt; 0</w:t>
            </w:r>
          </w:p>
        </w:tc>
        <w:tc>
          <w:tcPr>
            <w:tcW w:w="1350" w:type="dxa"/>
            <w:tcBorders>
              <w:top w:val="nil"/>
              <w:left w:val="nil"/>
              <w:bottom w:val="nil"/>
              <w:right w:val="nil"/>
            </w:tcBorders>
            <w:shd w:val="clear" w:color="auto" w:fill="auto"/>
            <w:noWrap/>
            <w:vAlign w:val="bottom"/>
            <w:hideMark/>
          </w:tcPr>
          <w:p w14:paraId="2CC15702" w14:textId="77777777" w:rsidR="00F0624E" w:rsidRPr="00E81047" w:rsidRDefault="00F0624E" w:rsidP="00D20AC1">
            <w:pPr>
              <w:jc w:val="center"/>
              <w:rPr>
                <w:color w:val="000000"/>
              </w:rPr>
            </w:pPr>
            <w:r w:rsidRPr="00E81047">
              <w:rPr>
                <w:color w:val="000000"/>
              </w:rPr>
              <w:t>0.23</w:t>
            </w:r>
          </w:p>
        </w:tc>
        <w:tc>
          <w:tcPr>
            <w:tcW w:w="1300" w:type="dxa"/>
            <w:tcBorders>
              <w:top w:val="nil"/>
              <w:left w:val="nil"/>
              <w:bottom w:val="nil"/>
              <w:right w:val="nil"/>
            </w:tcBorders>
            <w:shd w:val="clear" w:color="auto" w:fill="auto"/>
            <w:noWrap/>
            <w:vAlign w:val="bottom"/>
            <w:hideMark/>
          </w:tcPr>
          <w:p w14:paraId="1033C3F7" w14:textId="77777777" w:rsidR="00F0624E" w:rsidRPr="00E81047" w:rsidRDefault="00F0624E" w:rsidP="00D20AC1">
            <w:pPr>
              <w:jc w:val="center"/>
              <w:rPr>
                <w:color w:val="000000"/>
              </w:rPr>
            </w:pPr>
            <w:r w:rsidRPr="00E81047">
              <w:rPr>
                <w:color w:val="000000"/>
              </w:rPr>
              <w:t>0.44</w:t>
            </w:r>
          </w:p>
        </w:tc>
        <w:tc>
          <w:tcPr>
            <w:tcW w:w="1450" w:type="dxa"/>
            <w:tcBorders>
              <w:top w:val="nil"/>
              <w:left w:val="nil"/>
              <w:bottom w:val="nil"/>
              <w:right w:val="nil"/>
            </w:tcBorders>
            <w:shd w:val="clear" w:color="auto" w:fill="auto"/>
            <w:noWrap/>
            <w:vAlign w:val="bottom"/>
            <w:hideMark/>
          </w:tcPr>
          <w:p w14:paraId="2CF1A536" w14:textId="77777777" w:rsidR="00F0624E" w:rsidRPr="00E81047" w:rsidRDefault="00F0624E" w:rsidP="00D20AC1">
            <w:pPr>
              <w:jc w:val="center"/>
              <w:rPr>
                <w:color w:val="000000"/>
              </w:rPr>
            </w:pPr>
            <w:r w:rsidRPr="00E81047">
              <w:rPr>
                <w:color w:val="000000"/>
              </w:rPr>
              <w:t>0.64</w:t>
            </w:r>
          </w:p>
        </w:tc>
        <w:tc>
          <w:tcPr>
            <w:tcW w:w="1562" w:type="dxa"/>
            <w:tcBorders>
              <w:top w:val="nil"/>
              <w:left w:val="nil"/>
              <w:bottom w:val="nil"/>
              <w:right w:val="nil"/>
            </w:tcBorders>
            <w:shd w:val="clear" w:color="auto" w:fill="auto"/>
            <w:noWrap/>
            <w:vAlign w:val="bottom"/>
            <w:hideMark/>
          </w:tcPr>
          <w:p w14:paraId="4D5BD139" w14:textId="77777777" w:rsidR="00F0624E" w:rsidRPr="00E81047" w:rsidRDefault="00F0624E" w:rsidP="00D20AC1">
            <w:pPr>
              <w:jc w:val="center"/>
              <w:rPr>
                <w:color w:val="000000"/>
              </w:rPr>
            </w:pPr>
            <w:r w:rsidRPr="00E81047">
              <w:rPr>
                <w:color w:val="000000"/>
              </w:rPr>
              <w:t>0.99</w:t>
            </w:r>
          </w:p>
        </w:tc>
      </w:tr>
      <w:tr w:rsidR="00F0624E" w:rsidRPr="00C16503" w14:paraId="1E1D7282" w14:textId="77777777" w:rsidTr="00E81047">
        <w:trPr>
          <w:trHeight w:val="291"/>
        </w:trPr>
        <w:tc>
          <w:tcPr>
            <w:tcW w:w="1350" w:type="dxa"/>
            <w:tcBorders>
              <w:top w:val="nil"/>
              <w:left w:val="nil"/>
              <w:bottom w:val="single" w:sz="4" w:space="0" w:color="auto"/>
              <w:right w:val="nil"/>
            </w:tcBorders>
            <w:shd w:val="clear" w:color="auto" w:fill="auto"/>
            <w:noWrap/>
            <w:vAlign w:val="bottom"/>
            <w:hideMark/>
          </w:tcPr>
          <w:p w14:paraId="143198E3" w14:textId="77777777" w:rsidR="00F0624E" w:rsidRPr="00E81047" w:rsidRDefault="00F0624E" w:rsidP="00D20AC1">
            <w:pPr>
              <w:jc w:val="center"/>
              <w:rPr>
                <w:color w:val="000000"/>
              </w:rPr>
            </w:pPr>
            <w:r w:rsidRPr="00E81047">
              <w:rPr>
                <w:color w:val="000000"/>
              </w:rPr>
              <w:t>2</w:t>
            </w:r>
          </w:p>
        </w:tc>
        <w:tc>
          <w:tcPr>
            <w:tcW w:w="1530" w:type="dxa"/>
            <w:tcBorders>
              <w:top w:val="nil"/>
              <w:left w:val="nil"/>
              <w:bottom w:val="single" w:sz="4" w:space="0" w:color="auto"/>
              <w:right w:val="nil"/>
            </w:tcBorders>
            <w:shd w:val="clear" w:color="auto" w:fill="auto"/>
            <w:noWrap/>
            <w:vAlign w:val="bottom"/>
            <w:hideMark/>
          </w:tcPr>
          <w:p w14:paraId="4DC30140" w14:textId="77777777" w:rsidR="00F0624E" w:rsidRPr="00E81047" w:rsidRDefault="00F0624E" w:rsidP="00D20AC1">
            <w:pPr>
              <w:jc w:val="center"/>
              <w:rPr>
                <w:color w:val="000000"/>
              </w:rPr>
            </w:pPr>
            <w:r w:rsidRPr="00E81047">
              <w:rPr>
                <w:color w:val="000000"/>
              </w:rPr>
              <w:t>High &lt; 0</w:t>
            </w:r>
          </w:p>
        </w:tc>
        <w:tc>
          <w:tcPr>
            <w:tcW w:w="1350" w:type="dxa"/>
            <w:tcBorders>
              <w:top w:val="nil"/>
              <w:left w:val="nil"/>
              <w:bottom w:val="single" w:sz="4" w:space="0" w:color="auto"/>
              <w:right w:val="nil"/>
            </w:tcBorders>
            <w:shd w:val="clear" w:color="auto" w:fill="auto"/>
            <w:noWrap/>
            <w:vAlign w:val="bottom"/>
            <w:hideMark/>
          </w:tcPr>
          <w:p w14:paraId="4D13C459" w14:textId="77777777" w:rsidR="00F0624E" w:rsidRPr="00E81047" w:rsidRDefault="00F0624E" w:rsidP="00D20AC1">
            <w:pPr>
              <w:jc w:val="center"/>
              <w:rPr>
                <w:color w:val="000000"/>
              </w:rPr>
            </w:pPr>
            <w:r w:rsidRPr="00E81047">
              <w:rPr>
                <w:color w:val="000000"/>
              </w:rPr>
              <w:t>0.14</w:t>
            </w:r>
          </w:p>
        </w:tc>
        <w:tc>
          <w:tcPr>
            <w:tcW w:w="1300" w:type="dxa"/>
            <w:tcBorders>
              <w:top w:val="nil"/>
              <w:left w:val="nil"/>
              <w:bottom w:val="single" w:sz="4" w:space="0" w:color="auto"/>
              <w:right w:val="nil"/>
            </w:tcBorders>
            <w:shd w:val="clear" w:color="auto" w:fill="auto"/>
            <w:noWrap/>
            <w:vAlign w:val="bottom"/>
            <w:hideMark/>
          </w:tcPr>
          <w:p w14:paraId="0A606AD8" w14:textId="77777777" w:rsidR="00F0624E" w:rsidRPr="00E81047" w:rsidRDefault="00F0624E" w:rsidP="00D20AC1">
            <w:pPr>
              <w:jc w:val="center"/>
              <w:rPr>
                <w:color w:val="000000"/>
              </w:rPr>
            </w:pPr>
            <w:r w:rsidRPr="00E81047">
              <w:rPr>
                <w:color w:val="000000"/>
              </w:rPr>
              <w:t>0.44</w:t>
            </w:r>
          </w:p>
        </w:tc>
        <w:tc>
          <w:tcPr>
            <w:tcW w:w="1450" w:type="dxa"/>
            <w:tcBorders>
              <w:top w:val="nil"/>
              <w:left w:val="nil"/>
              <w:bottom w:val="single" w:sz="4" w:space="0" w:color="auto"/>
              <w:right w:val="nil"/>
            </w:tcBorders>
            <w:shd w:val="clear" w:color="auto" w:fill="auto"/>
            <w:noWrap/>
            <w:vAlign w:val="bottom"/>
            <w:hideMark/>
          </w:tcPr>
          <w:p w14:paraId="2FEF9226" w14:textId="77777777" w:rsidR="00F0624E" w:rsidRPr="00E81047" w:rsidRDefault="00F0624E" w:rsidP="00D20AC1">
            <w:pPr>
              <w:jc w:val="center"/>
              <w:rPr>
                <w:color w:val="000000"/>
              </w:rPr>
            </w:pPr>
            <w:r w:rsidRPr="00E81047">
              <w:rPr>
                <w:color w:val="000000"/>
              </w:rPr>
              <w:t>0.75</w:t>
            </w:r>
          </w:p>
        </w:tc>
        <w:tc>
          <w:tcPr>
            <w:tcW w:w="1562" w:type="dxa"/>
            <w:tcBorders>
              <w:top w:val="nil"/>
              <w:left w:val="nil"/>
              <w:bottom w:val="single" w:sz="4" w:space="0" w:color="auto"/>
              <w:right w:val="nil"/>
            </w:tcBorders>
            <w:shd w:val="clear" w:color="auto" w:fill="auto"/>
            <w:noWrap/>
            <w:vAlign w:val="bottom"/>
            <w:hideMark/>
          </w:tcPr>
          <w:p w14:paraId="14C67FB1" w14:textId="77777777" w:rsidR="00F0624E" w:rsidRPr="00E81047" w:rsidRDefault="00F0624E" w:rsidP="00D20AC1">
            <w:pPr>
              <w:jc w:val="center"/>
              <w:rPr>
                <w:color w:val="000000"/>
              </w:rPr>
            </w:pPr>
            <w:r w:rsidRPr="00E81047">
              <w:rPr>
                <w:color w:val="000000"/>
              </w:rPr>
              <w:t>0.96</w:t>
            </w:r>
          </w:p>
        </w:tc>
      </w:tr>
    </w:tbl>
    <w:p w14:paraId="6ABEAA75" w14:textId="77777777" w:rsidR="00F0624E" w:rsidRDefault="00F0624E" w:rsidP="00F0624E">
      <w:pPr>
        <w:rPr>
          <w:sz w:val="20"/>
          <w:szCs w:val="20"/>
        </w:rPr>
      </w:pPr>
    </w:p>
    <w:p w14:paraId="2F9E446A" w14:textId="77777777" w:rsidR="00F0624E" w:rsidRPr="00DC6803" w:rsidRDefault="00F0624E" w:rsidP="00F0624E">
      <w:pPr>
        <w:rPr>
          <w:sz w:val="20"/>
          <w:szCs w:val="20"/>
        </w:rPr>
      </w:pPr>
      <w:r w:rsidRPr="00DC6803">
        <w:rPr>
          <w:sz w:val="20"/>
          <w:szCs w:val="20"/>
        </w:rPr>
        <w:t>Table 5 footnote. For each hypothesis, the parameter estimates and the lower and upper bounds of the 95% highest density intervals are included. The probability for each hypothesis represents the proportion of times that the hypothesis was true throughout the MCMC chains.</w:t>
      </w:r>
    </w:p>
    <w:p w14:paraId="65B35E4A" w14:textId="77777777" w:rsidR="00F0624E" w:rsidRDefault="00F0624E" w:rsidP="00F0624E">
      <w:r>
        <w:br w:type="page"/>
      </w:r>
    </w:p>
    <w:p w14:paraId="1ACC1188" w14:textId="713C881D" w:rsidR="0096280E" w:rsidRPr="0096280E" w:rsidRDefault="0096280E" w:rsidP="0096280E">
      <w:pPr>
        <w:spacing w:line="360" w:lineRule="auto"/>
      </w:pPr>
      <w:r w:rsidRPr="0096280E">
        <w:lastRenderedPageBreak/>
        <w:t>more influenced by phosphorous. Based on model selection, all other soil abiotic factors failed to explain significant variation in AM fungal community composition and richness. By the end of the monsoon season, ∆ AM fungal richness</w:t>
      </w:r>
      <w:r w:rsidRPr="0096280E" w:rsidDel="000847BA">
        <w:t xml:space="preserve"> </w:t>
      </w:r>
      <w:r w:rsidRPr="0096280E">
        <w:t xml:space="preserve">at </w:t>
      </w:r>
      <w:r w:rsidRPr="0096280E">
        <w:rPr>
          <w:i/>
          <w:iCs/>
        </w:rPr>
        <w:t>q</w:t>
      </w:r>
      <w:r w:rsidRPr="0096280E">
        <w:t xml:space="preserve">=0, 1 and 2 responded to rainfall exclusion treatments, however the response differed among rainfall exclusion treatments where the control treatment showed a loss in taxa due to rainfall and the moderate and high rainfall exclusion treatments showed increase in fungal ASVs. Rainfall exclusion also contributes to differences in phylogenetic relatedness among rhizosphere microhabitats in the Sonoran Desert, with rainfall contributing to a decrease in phylogenetic community composition. Lastly, AM fungal community turnover across the monsoon season was dependent on rainfall exclusion treatments, whereby the greatest turnover across all values of </w:t>
      </w:r>
      <w:r w:rsidRPr="0096280E">
        <w:rPr>
          <w:i/>
          <w:iCs/>
        </w:rPr>
        <w:t>q</w:t>
      </w:r>
      <w:r w:rsidRPr="0096280E">
        <w:t xml:space="preserve"> was observed in the control treatment. Here, moderate rainfall exclusion could be a threshold that favors the coexistence of different AM fungal taxa by the end of the monsoon season </w:t>
      </w:r>
      <w:r w:rsidRPr="0096280E">
        <w:fldChar w:fldCharType="begin" w:fldLock="1"/>
      </w:r>
      <w:r w:rsidR="006E1F09">
        <w:instrText>ADDIN CSL_CITATION {"citationItems":[{"id":"ITEM-1","itemData":{"author":[{"dropping-particle":"","family":"Tilman","given":"David","non-dropping-particle":"","parse-names":false,"suffix":""}],"container-title":"Ecology","id":"ITEM-1","issue":"2","issued":{"date-parts":[["1977"]]},"page":"338-348","title":"Resource Competition between Plankton Algae : An Experimental and Theoretical Approach","type":"article-journal","volume":"58"},"uris":["http://www.mendeley.com/documents/?uuid=149b2479-c733-4a95-b051-1380a88ca4ec"]}],"mendeley":{"formattedCitation":"(Tilman, 1977)","plainTextFormattedCitation":"(Tilman, 1977)","previouslyFormattedCitation":"(Tilman, 1977)"},"properties":{"noteIndex":0},"schema":"https://github.com/citation-style-language/schema/raw/master/csl-citation.json"}</w:instrText>
      </w:r>
      <w:r w:rsidRPr="0096280E">
        <w:fldChar w:fldCharType="separate"/>
      </w:r>
      <w:r w:rsidR="00CE6085" w:rsidRPr="00CE6085">
        <w:rPr>
          <w:noProof/>
        </w:rPr>
        <w:t>(Tilman, 1977)</w:t>
      </w:r>
      <w:r w:rsidRPr="0096280E">
        <w:fldChar w:fldCharType="end"/>
      </w:r>
      <w:r w:rsidRPr="0096280E">
        <w:t xml:space="preserve">. These results support our second prediction that AM fungal composition responds to short term rainfall exclusion treatments, and more importantly, emphasizes the relationship between rainfall perturbations and soil abiotic factors like phosphorous content in the soil. </w:t>
      </w:r>
    </w:p>
    <w:p w14:paraId="21C94EEC" w14:textId="6ABC870B" w:rsidR="0096280E" w:rsidRPr="0096280E" w:rsidRDefault="0096280E" w:rsidP="0096280E">
      <w:pPr>
        <w:spacing w:line="360" w:lineRule="auto"/>
      </w:pPr>
      <w:r w:rsidRPr="0096280E">
        <w:tab/>
        <w:t xml:space="preserve">Environmental changes on a regional scale can feedback onto soil properties at a local scale, in turn leading to possible positive or negative effects between plant hosts and belowground microbial communities </w:t>
      </w:r>
      <w:r w:rsidRPr="0096280E">
        <w:fldChar w:fldCharType="begin" w:fldLock="1"/>
      </w:r>
      <w:r w:rsidR="006E1F09">
        <w:instrText>ADDIN CSL_CITATION {"citationItems":[{"id":"ITEM-1","itemData":{"ISSN":"2045-2322","author":[{"dropping-particle":"","family":"Bickel","given":"Samuel","non-dropping-particle":"","parse-names":false,"suffix":""},{"dropping-particle":"","family":"Chen","given":"Xi","non-dropping-particle":"","parse-names":false,"suffix":""},{"dropping-particle":"","family":"Papritz","given":"Andreas","non-dropping-particle":"","parse-names":false,"suffix":""},{"dropping-particle":"","family":"Or","given":"Dani","non-dropping-particle":"","parse-names":false,"suffix":""}],"container-title":"Scientific reports","id":"ITEM-1","issue":"1","issued":{"date-parts":[["2019"]]},"page":"1-10","publisher":"Nature Publishing Group","title":"A hierarchy of environmental covariates control the global biogeography of soil bacterial richness","type":"article-journal","volume":"9"},"uris":["http://www.mendeley.com/documents/?uuid=d7d446e1-26b5-4d70-925c-bb34033d0a0a"]}],"mendeley":{"formattedCitation":"(Bickel et al., 2019)","plainTextFormattedCitation":"(Bickel et al., 2019)","previouslyFormattedCitation":"(Bickel et al., 2019)"},"properties":{"noteIndex":0},"schema":"https://github.com/citation-style-language/schema/raw/master/csl-citation.json"}</w:instrText>
      </w:r>
      <w:r w:rsidRPr="0096280E">
        <w:fldChar w:fldCharType="separate"/>
      </w:r>
      <w:r w:rsidR="00CE6085" w:rsidRPr="00CE6085">
        <w:rPr>
          <w:noProof/>
        </w:rPr>
        <w:t>(Bickel et al., 2019)</w:t>
      </w:r>
      <w:r w:rsidRPr="0096280E">
        <w:fldChar w:fldCharType="end"/>
      </w:r>
      <w:r w:rsidRPr="0096280E">
        <w:t xml:space="preserve">. Small environmental perturbations that affect microbial communities can range from increased seasonal temperatures </w:t>
      </w:r>
      <w:r w:rsidRPr="0096280E">
        <w:fldChar w:fldCharType="begin" w:fldLock="1"/>
      </w:r>
      <w:r w:rsidR="006E1F09">
        <w:instrText>ADDIN CSL_CITATION {"citationItems":[{"id":"ITEM-1","itemData":{"DOI":"10.1038/ncomms12083","ISSN":"20411723","abstract":"Climate warming is increasingly leading to marked changes in plant and animal biodiversity, but it remains unclear how temperatures affect microbial biodiversity, particularly in terrestrial soils. Here we show that, in accordance with metabolic theory of ecology, taxonomic and phylogenetic diversity of soil bacteria, fungi and nitrogen fixers are all better predicted by variation in environmental temperature than pH. However, the rates of diversity turnover across the global temperature gradients are substantially lower than those recorded for trees and animals, suggesting that the diversity of plant, animal and soil microbial communities show differential responses to climate change. To the best of our knowledge, this is the first study demonstrating that the diversity of different microbial groups has significantly lower rates of turnover across temperature gradients than other major taxa, which has important implications for assessing the effects of human-caused changes in climate, land use and other factors.","author":[{"dropping-particle":"","family":"Zhou","given":"Jizhong","non-dropping-particle":"","parse-names":false,"suffix":""},{"dropping-particle":"","family":"Deng","given":"Ye","non-dropping-particle":"","parse-names":false,"suffix":""},{"dropping-particle":"","family":"Shen","given":"Lina","non-dropping-particle":"","parse-names":false,"suffix":""},{"dropping-particle":"","family":"Wen","given":"Chongqing","non-dropping-particle":"","parse-names":false,"suffix":""},{"dropping-particle":"","family":"Yan","given":"Qingyun","non-dropping-particle":"","parse-names":false,"suffix":""},{"dropping-particle":"","family":"Ning","given":"Daliang","non-dropping-particle":"","parse-names":false,"suffix":""},{"dropping-particle":"","family":"Qin","given":"Yujia","non-dropping-particle":"","parse-names":false,"suffix":""},{"dropping-particle":"","family":"Xue","given":"Kai","non-dropping-particle":"","parse-names":false,"suffix":""},{"dropping-particle":"","family":"Wu","given":"Liyou","non-dropping-particle":"","parse-names":false,"suffix":""},{"dropping-particle":"","family":"He","given":"Zhili","non-dropping-particle":"","parse-names":false,"suffix":""},{"dropping-particle":"","family":"Voordeckers","given":"James W.","non-dropping-particle":"","parse-names":false,"suffix":""},{"dropping-particle":"","family":"Nostrand","given":"Joy D.","non-dropping-particle":"Van","parse-names":false,"suffix":""},{"dropping-particle":"","family":"Buzzard","given":"Vanessa","non-dropping-particle":"","parse-names":false,"suffix":""},{"dropping-particle":"","family":"Michaletz","given":"Sean T.","non-dropping-particle":"","parse-names":false,"suffix":""},{"dropping-particle":"","family":"Enquist","given":"Brian J.","non-dropping-particle":"","parse-names":false,"suffix":""},{"dropping-particle":"","family":"Weiser","given":"Michael D.","non-dropping-particle":"","parse-names":false,"suffix":""},{"dropping-particle":"","family":"Kaspari","given":"Michael","non-dropping-particle":"","parse-names":false,"suffix":""},{"dropping-particle":"","family":"Waide","given":"Robert","non-dropping-particle":"","parse-names":false,"suffix":""},{"dropping-particle":"","family":"Yang","given":"Yunfeng","non-dropping-particle":"","parse-names":false,"suffix":""},{"dropping-particle":"","family":"Brown","given":"James H.","non-dropping-particle":"","parse-names":false,"suffix":""}],"container-title":"Nature Communications","id":"ITEM-1","issue":"May","issued":{"date-parts":[["2016"]]},"publisher":"Nature Publishing Group","title":"Temperature mediates continental-scale diversity of microbes in forest soils","type":"article-journal","volume":"7"},"uris":["http://www.mendeley.com/documents/?uuid=70cea175-4b59-493a-9ef6-9561459a5576"]}],"mendeley":{"formattedCitation":"(Zhou et al., 2016)","plainTextFormattedCitation":"(Zhou et al., 2016)","previouslyFormattedCitation":"(Zhou et al., 2016)"},"properties":{"noteIndex":0},"schema":"https://github.com/citation-style-language/schema/raw/master/csl-citation.json"}</w:instrText>
      </w:r>
      <w:r w:rsidRPr="0096280E">
        <w:fldChar w:fldCharType="separate"/>
      </w:r>
      <w:r w:rsidR="00CE6085" w:rsidRPr="00CE6085">
        <w:rPr>
          <w:noProof/>
        </w:rPr>
        <w:t>(Zhou et al., 2016)</w:t>
      </w:r>
      <w:r w:rsidRPr="0096280E">
        <w:fldChar w:fldCharType="end"/>
      </w:r>
      <w:r w:rsidRPr="0096280E">
        <w:t xml:space="preserve"> to changes in precipitation regimes </w:t>
      </w:r>
      <w:r w:rsidRPr="0096280E">
        <w:fldChar w:fldCharType="begin" w:fldLock="1"/>
      </w:r>
      <w:r w:rsidR="006E1F09">
        <w:instrText>ADDIN CSL_CITATION {"citationItems":[{"id":"ITEM-1","itemData":{"DOI":"10.1007/s00248-014-0436-z","ISSN":"00953628","abstract":"Many wet tropical forests, which contain a quarter of global terrestrial biomass carbon stocks, will experience changes in precipitation regime over the next century. Soil microbial responses to altered rainfall are likely to be an important feedback on ecosystem carbon cycling, but the ecological mechanisms underpinning these responses are poorly understood. We examined how reduced rainfall affected soil microbial abundance, activity, and community composition using a 6-month precipitation exclusion experiment at La Selva Biological Station, Costa Rica. Thereafter, we addressed the persistent effects of field moisture treatments by exposing soils to a controlled soil moisture gradient in the lab for 4 weeks. In the field, compositional and functional responses to reduced rainfall were dependent on initial conditions, consistent with a large degree of spatial heterogeneity in tropical forests. However, the precipitation manipulation significantly altered microbial functional responses to soil moisture. Communities with prior drought exposure exhibited higher respiration rates per unit microbial biomass under all conditions and respired significantly more CO2 than control soils at low soil moisture. These functional patterns suggest that changes in microbial physiology may drive positive feedbacks to rising atmospheric CO2 concentrations if wet tropical forests experience longer or more intense dry seasons in the future.","author":[{"dropping-particle":"","family":"Waring","given":"Bonnie G.","non-dropping-particle":"","parse-names":false,"suffix":""},{"dropping-particle":"V.","family":"Hawkes","given":"Christine","non-dropping-particle":"","parse-names":false,"suffix":""}],"container-title":"Microbial Ecology","id":"ITEM-1","issue":"4","issued":{"date-parts":[["2015"]]},"page":"843-854","title":"Short-Term Precipitation Exclusion Alters Microbial Responses to Soil Moisture in a Wet Tropical Forest","type":"article-journal","volume":"69"},"uris":["http://www.mendeley.com/documents/?uuid=d949d78c-b431-4366-8e55-192d2fea17e6"]}],"mendeley":{"formattedCitation":"(Waring and Hawkes, 2015)","plainTextFormattedCitation":"(Waring and Hawkes, 2015)","previouslyFormattedCitation":"(Waring and Hawkes, 2015)"},"properties":{"noteIndex":0},"schema":"https://github.com/citation-style-language/schema/raw/master/csl-citation.json"}</w:instrText>
      </w:r>
      <w:r w:rsidRPr="0096280E">
        <w:fldChar w:fldCharType="separate"/>
      </w:r>
      <w:r w:rsidR="00CE6085" w:rsidRPr="00CE6085">
        <w:rPr>
          <w:noProof/>
        </w:rPr>
        <w:t>(Waring and Hawkes, 2015)</w:t>
      </w:r>
      <w:r w:rsidRPr="0096280E">
        <w:fldChar w:fldCharType="end"/>
      </w:r>
      <w:r w:rsidRPr="0096280E">
        <w:t xml:space="preserve">. AM fungi have been shown to be exist in a wider range of annual precipitation than other mycorrhizal fungi </w:t>
      </w:r>
      <w:r w:rsidRPr="0096280E">
        <w:fldChar w:fldCharType="begin" w:fldLock="1"/>
      </w:r>
      <w:r w:rsidR="006E1F09">
        <w:instrText>ADDIN CSL_CITATION {"citationItems":[{"id":"ITEM-1","itemData":{"DOI":"10.1126/science.1256688","ISSN":"10959203","abstract":"Fungi play major roles in ecosystem processes, but the determinants of fungal diversity and biogeographic patterns remain poorly understood. Using DNA metabarcoding data from hundreds of globally distributed soil samples,we demonstrate that fungal richness is decoupled from plant diversity.The plant-to-fungus richness ratio declines exponentially toward the poles. Climatic factors, followed by edaphic and spatial variables, constitute the best predictors of fungal richness and community composition at the global scale. Fungi show similar latitudinal diversity gradients to other organisms,with several notable exceptions.These findings advance our understanding of global fungal diversity patterns and permit integration of fungi into a general macroecological framework.","author":[{"dropping-particle":"","family":"Tedersoo","given":"Leho","non-dropping-particle":"","parse-names":false,"suffix":""},{"dropping-particle":"","family":"Bahram","given":"Mohammad","non-dropping-particle":"","parse-names":false,"suffix":""},{"dropping-particle":"","family":"Põlme","given":"Sergei","non-dropping-particle":"","parse-names":false,"suffix":""},{"dropping-particle":"","family":"Kõljalg","given":"Urmas","non-dropping-particle":"","parse-names":false,"suffix":""},{"dropping-particle":"","family":"Yorou","given":"Nourou S.","non-dropping-particle":"","parse-names":false,"suffix":""},{"dropping-particle":"","family":"Wijesundera","given":"Ravi","non-dropping-particle":"","parse-names":false,"suffix":""},{"dropping-particle":"","family":"Ruiz","given":"Luis Villarreal","non-dropping-particle":"","parse-names":false,"suffix":""},{"dropping-particle":"","family":"Vasco-Palacios","given":"Aí M.","non-dropping-particle":"","parse-names":false,"suffix":""},{"dropping-particle":"","family":"Thu","given":"Pham Quang","non-dropping-particle":"","parse-names":false,"suffix":""},{"dropping-particle":"","family":"Suija","given":"Ave","non-dropping-particle":"","parse-names":false,"suffix":""},{"dropping-particle":"","family":"Smith","given":"Matthew E.","non-dropping-particle":"","parse-names":false,"suffix":""},{"dropping-particle":"","family":"Sharp","given":"Cathy","non-dropping-particle":"","parse-names":false,"suffix":""},{"dropping-particle":"","family":"Saluveer","given":"Erki","non-dropping-particle":"","parse-names":false,"suffix":""},{"dropping-particle":"","family":"Saitta","given":"Alessro","non-dropping-particle":"","parse-names":false,"suffix":""},{"dropping-particle":"","family":"Rosas","given":"Miguel","non-dropping-particle":"","parse-names":false,"suffix":""},{"dropping-particle":"","family":"Riit","given":"Taavi","non-dropping-particle":"","parse-names":false,"suffix":""},{"dropping-particle":"","family":"Ratkowsky","given":"David","non-dropping-particle":"","parse-names":false,"suffix":""},{"dropping-particle":"","family":"Pritsch","given":"Karin","non-dropping-particle":"","parse-names":false,"suffix":""},{"dropping-particle":"","family":"Põldmaa","given":"Kadri","non-dropping-particle":"","parse-names":false,"suffix":""},{"dropping-particle":"","family":"Piepenbring","given":"Meike","non-dropping-particle":"","parse-names":false,"suffix":""},{"dropping-particle":"","family":"Phosri","given":"Cherdchai","non-dropping-particle":"","parse-names":false,"suffix":""},{"dropping-particle":"","family":"Peterson","given":"Marko","non-dropping-particle":"","parse-names":false,"suffix":""},{"dropping-particle":"","family":"Parts","given":"Kaarin","non-dropping-particle":"","parse-names":false,"suffix":""},{"dropping-particle":"","family":"Pärtel","given":"Kadri","non-dropping-particle":"","parse-names":false,"suffix":""},{"dropping-particle":"","family":"Otsing","given":"Eveli","non-dropping-particle":"","parse-names":false,"suffix":""},{"dropping-particle":"","family":"Nouhra","given":"Eduardo","non-dropping-particle":"","parse-names":false,"suffix":""},{"dropping-particle":"","family":"Njouonkou","given":"André L.","non-dropping-particle":"","parse-names":false,"suffix":""},{"dropping-particle":"","family":"Nilsson","given":"R. Henrik","non-dropping-particle":"","parse-names":false,"suffix":""},{"dropping-particle":"","family":"Morgado","given":"Luis N.","non-dropping-particle":"","parse-names":false,"suffix":""},{"dropping-particle":"","family":"Mayor","given":"Jordan","non-dropping-particle":"","parse-names":false,"suffix":""},{"dropping-particle":"","family":"May","given":"Tom W.","non-dropping-particle":"","parse-names":false,"suffix":""},{"dropping-particle":"","family":"Majuakim","given":"Luiza","non-dropping-particle":"","parse-names":false,"suffix":""},{"dropping-particle":"","family":"Lodge","given":"D. Jean","non-dropping-particle":"","parse-names":false,"suffix":""},{"dropping-particle":"","family":"Lee","given":"Su","non-dropping-particle":"","parse-names":false,"suffix":""},{"dropping-particle":"","family":"Larsson","given":"Karl Henrik","non-dropping-particle":"","parse-names":false,"suffix":""},{"dropping-particle":"","family":"Kohout","given":"Petr","non-dropping-particle":"","parse-names":false,"suffix":""},{"dropping-particle":"","family":"Hosaka","given":"Kentaro","non-dropping-particle":"","parse-names":false,"suffix":""},{"dropping-particle":"","family":"Hiiesalu","given":"Indrek","non-dropping-particle":"","parse-names":false,"suffix":""},{"dropping-particle":"","family":"Henkel","given":"Terry W.","non-dropping-particle":"","parse-names":false,"suffix":""},{"dropping-particle":"","family":"Harend","given":"Helery","non-dropping-particle":"","parse-names":false,"suffix":""},{"dropping-particle":"","family":"Guo","given":"Liang Dong","non-dropping-particle":"","parse-names":false,"suffix":""},{"dropping-particle":"","family":"Greslebin","given":"Alina","non-dropping-particle":"","parse-names":false,"suffix":""},{"dropping-particle":"","family":"Grelet","given":"Gwen","non-dropping-particle":"","parse-names":false,"suffix":""},{"dropping-particle":"","family":"Geml","given":"Jozsef","non-dropping-particle":"","parse-names":false,"suffix":""},{"dropping-particle":"","family":"Gates","given":"Genevieve","non-dropping-particle":"","parse-names":false,"suffix":""},{"dropping-particle":"","family":"Dunstan","given":"William","non-dropping-particle":"","parse-names":false,"suffix":""},{"dropping-particle":"","family":"Dunk","given":"Chris","non-dropping-particle":"","parse-names":false,"suffix":""},{"dropping-particle":"","family":"Drenkhan","given":"Rein","non-dropping-particle":"","parse-names":false,"suffix":""},{"dropping-particle":"","family":"Dearnaley","given":"John","non-dropping-particle":"","parse-names":false,"suffix":""},{"dropping-particle":"","family":"Kesel","given":"André","non-dropping-particle":"De","parse-names":false,"suffix":""},{"dropping-particle":"","family":"Dang","given":"Tan","non-dropping-particle":"","parse-names":false,"suffix":""},{"dropping-particle":"","family":"Chen","given":"Xin","non-dropping-particle":"","parse-names":false,"suffix":""},{"dropping-particle":"","family":"Buegger","given":"Franz","non-dropping-particle":"","parse-names":false,"suffix":""},{"dropping-particle":"","family":"Brearley","given":"Francis Q.","non-dropping-particle":"","parse-names":false,"suffix":""},{"dropping-particle":"","family":"Bonito","given":"Gregory","non-dropping-particle":"","parse-names":false,"suffix":""},{"dropping-particle":"","family":"Anslan","given":"Sten","non-dropping-particle":"","parse-names":false,"suffix":""},{"dropping-particle":"","family":"Abell","given":"Sra","non-dropping-particle":"","parse-names":false,"suffix":""},{"dropping-particle":"","family":"Abarenkov","given":"Kessy","non-dropping-particle":"","parse-names":false,"suffix":""}],"container-title":"Science","id":"ITEM-1","issue":"6213","issued":{"date-parts":[["2014"]]},"title":"Global diversity and geography of soil fungi","type":"article-journal","volume":"346"},"uris":["http://www.mendeley.com/documents/?uuid=d8ba2b2b-2aa9-4a56-9d03-9f3ee2d3d8f1"]}],"mendeley":{"formattedCitation":"(Tedersoo et al., 2014)","plainTextFormattedCitation":"(Tedersoo et al., 2014)","previouslyFormattedCitation":"(Tedersoo et al., 2014)"},"properties":{"noteIndex":0},"schema":"https://github.com/citation-style-language/schema/raw/master/csl-citation.json"}</w:instrText>
      </w:r>
      <w:r w:rsidRPr="0096280E">
        <w:fldChar w:fldCharType="separate"/>
      </w:r>
      <w:r w:rsidR="00CE6085" w:rsidRPr="00CE6085">
        <w:rPr>
          <w:noProof/>
        </w:rPr>
        <w:t>(Tedersoo et al., 2014)</w:t>
      </w:r>
      <w:r w:rsidRPr="0096280E">
        <w:fldChar w:fldCharType="end"/>
      </w:r>
      <w:r w:rsidRPr="0096280E">
        <w:t xml:space="preserve">, and thus AM fungi have been regarded as key regulators of plant stress brought on by drought </w:t>
      </w:r>
      <w:r w:rsidRPr="0096280E">
        <w:fldChar w:fldCharType="begin" w:fldLock="1"/>
      </w:r>
      <w:r w:rsidR="006E1F09">
        <w:instrText>ADDIN CSL_CITATION {"citationItems":[{"id":"ITEM-1","itemData":{"DOI":"10.1007/s00442-012-2258-3","ISBN":"0044201222","ISSN":"00298549","PMID":"22286084","abstract":"Under drought conditions, arbuscular mycorrhizal (AM) fungi alter water relationships of plants and improve their resistance to drought. In a factorial greenhouse experiment, we tested the effects of the AM symbiosis and precipitation regime on the performance (growth, gas exchange, nutrient status and mycorrhizal responsiveness) of Boswellia papyrifera seedlings. A continuous precipitation regime was imitated by continuous watering of plants to field capacity every other day during 4 months, and irregular precipitation by pulsed watering of plants where watering was switched every 15 days during these 4 months, with 15 days of watering followed by 15 days without watering. There were significantly higher levels of AM colonization under irregular precipitation regime than under continuous precipitation. Mycorrhizal seedlings had higher biomass than control seedlings. Stomatal conductance and phosphorus mass fraction in shoot and root were also significantly higher for mycorrhizal seedlings. Mycorrhizal seedlings under irregular watering had the highest biomass. Both a larger leaf area and higher assimilation rates contributed to higher biomass. Under irregular watering, the water use efficiency increased in non-mycorrhizal seedlings through a reduction in transpiration, while in mycorrhizal seedlings irregular watering increased transpiration. Because assimilation rates increased even more, mycorrhizal seedlings achieved an even higher water use efficiency. Boswellia seedlings allocated almost all carbon to the storage root. Boswellia seedlings had higher mass fractions of N, P, and K in roots than in shoots. Irregular precipitation conditions apparently benefit Boswellia seedlings when they are mycorrhizal. © 2012 The Author(s).","author":[{"dropping-particle":"","family":"Birhane","given":"Emiru","non-dropping-particle":"","parse-names":false,"suffix":""},{"dropping-particle":"","family":"Sterck","given":"Frank J.","non-dropping-particle":"","parse-names":false,"suffix":""},{"dropping-particle":"","family":"Fetene","given":"Masresha","non-dropping-particle":"","parse-names":false,"suffix":""},{"dropping-particle":"","family":"Bongers","given":"Frans","non-dropping-particle":"","parse-names":false,"suffix":""},{"dropping-particle":"","family":"Kuyper","given":"Thomas W.","non-dropping-particle":"","parse-names":false,"suffix":""}],"container-title":"Oecologia","id":"ITEM-1","issue":"4","issued":{"date-parts":[["2012"]]},"page":"895-904","title":"Arbuscular mycorrhizal fungi enhance photosynthesis, water use efficiency, and growth of frankincense seedlings under pulsed water availability conditions","type":"article-journal","volume":"169"},"uris":["http://www.mendeley.com/documents/?uuid=8dd23192-bdcc-4114-893d-70c209d58afb"]}],"mendeley":{"formattedCitation":"(Birhane et al., 2012)","plainTextFormattedCitation":"(Birhane et al., 2012)","previouslyFormattedCitation":"(Birhane et al., 2012)"},"properties":{"noteIndex":0},"schema":"https://github.com/citation-style-language/schema/raw/master/csl-citation.json"}</w:instrText>
      </w:r>
      <w:r w:rsidRPr="0096280E">
        <w:fldChar w:fldCharType="separate"/>
      </w:r>
      <w:r w:rsidR="00CE6085" w:rsidRPr="00CE6085">
        <w:rPr>
          <w:noProof/>
        </w:rPr>
        <w:t>(Birhane et al., 2012)</w:t>
      </w:r>
      <w:r w:rsidRPr="0096280E">
        <w:fldChar w:fldCharType="end"/>
      </w:r>
      <w:r w:rsidRPr="0096280E">
        <w:t xml:space="preserve">. </w:t>
      </w:r>
      <w:r w:rsidRPr="0096280E">
        <w:fldChar w:fldCharType="begin" w:fldLock="1"/>
      </w:r>
      <w:r w:rsidR="006E1F09">
        <w:instrText>ADDIN CSL_CITATION {"citationItems":[{"id":"ITEM-1","itemData":{"DOI":"10.1111/1365-2745.13267","ISSN":"13652745","abstract":"Climate models project overall a reduction in rainfall amounts and shifts in the timing of rainfall events in mid-latitudes and sub-tropical dry regions, which threatens the productivity and diversity of grasslands. Arbuscular mycorrhizal (AM) fungi may help plants to cope with expected changes but may also be impacted by changing rainfall, either via the direct effects of low soil moisture on survival and function or indirectly via changes in the plant community. In an Australian mesic grassland (former pasture) system, we characterized plant and AM fungal communities every 6 months for nearly 4 years to two altered rainfall regimes: (a) ambient, (b) rainfall reduced by 50% relative to ambient over the entire year and (c) total summer rainfall exclusion. Using Illumina sequencing, we assessed the response of AM fungal communities sampled from contrasting rainfall treatments and evaluated whether variation in AM fungal communities was associated with variation in plant community richness and composition. We found that rainfall reduction influenced the fungal communities, with the nature of the response depending on the type of manipulation, but that consistent results were only observed after more than 2 years of rainfall manipulation. We observed significant co-associations between plant and AM fungal communities on multiple dates. Predictive co-correspondence analyses indicated more support for the hypothesis that fungal community composition influenced plant community composition than vice versa. However, we found no evidence that altered rainfall regimes were leading to distinct co-associations between plants and AM fungi. Overall, our results provide evidence that grassland plant communities are intricately tied to variation in AM fungal communities. However, in this system, plant responses to climate change may not be directly related to impacts of altered rainfall regimes on AM fungal communities. Synthesis. Our study shows that arbuscular mycorrhizal (AM) fungal communities respond to changes in rainfall but that this effect was not immediate. The AM fungal community may influence the composition of the plant community. However, our results suggest that plant responses to altered rainfall regimes at our site may not be resulting via changes in the AM fungal communities.","author":[{"dropping-particle":"","family":"Deveautour","given":"Coline","non-dropping-particle":"","parse-names":false,"suffix":""},{"dropping-particle":"","family":"Power","given":"Sally A.","non-dropping-particle":"","parse-names":false,"suffix":""},{"dropping-particle":"","family":"Barnett","given":"Kirk L.","non-dropping-particle":"","parse-names":false,"suffix":""},{"dropping-particle":"","family":"Ochoa-Hueso","given":"Raul","non-dropping-particle":"","parse-names":false,"suffix":""},{"dropping-particle":"","family":"Donn","given":"Suzanne","non-dropping-particle":"","parse-names":false,"suffix":""},{"dropping-particle":"","family":"Bennett","given":"Alison E.","non-dropping-particle":"","parse-names":false,"suffix":""},{"dropping-particle":"","family":"Powell","given":"Jeff R.","non-dropping-particle":"","parse-names":false,"suffix":""}],"container-title":"Journal of Ecology","id":"ITEM-1","issue":"2","issued":{"date-parts":[["2020"]]},"page":"515-527","title":"Temporal dynamics of mycorrhizal fungal communities and co-associations with grassland plant communities following experimental manipulation of rainfall","type":"article-journal","volume":"108"},"uris":["http://www.mendeley.com/documents/?uuid=84626156-b562-446d-abc2-e85bd7ce9a08"]}],"mendeley":{"formattedCitation":"(Deveautour et al., 2020)","manualFormatting":"Deveautour et al. (2020)","plainTextFormattedCitation":"(Deveautour et al., 2020)","previouslyFormattedCitation":"(Deveautour et al., 2020)"},"properties":{"noteIndex":0},"schema":"https://github.com/citation-style-language/schema/raw/master/csl-citation.json"}</w:instrText>
      </w:r>
      <w:r w:rsidRPr="0096280E">
        <w:fldChar w:fldCharType="separate"/>
      </w:r>
      <w:r w:rsidRPr="0096280E">
        <w:rPr>
          <w:noProof/>
        </w:rPr>
        <w:t xml:space="preserve">Deveautour </w:t>
      </w:r>
      <w:r w:rsidRPr="0096280E">
        <w:rPr>
          <w:i/>
          <w:noProof/>
        </w:rPr>
        <w:t>et al.</w:t>
      </w:r>
      <w:r w:rsidRPr="0096280E">
        <w:rPr>
          <w:noProof/>
        </w:rPr>
        <w:t xml:space="preserve"> (2020)</w:t>
      </w:r>
      <w:r w:rsidRPr="0096280E">
        <w:fldChar w:fldCharType="end"/>
      </w:r>
      <w:r w:rsidRPr="0096280E">
        <w:t xml:space="preserve"> concluded that under reduced rainfall, estimated AM fungal alpha diversity is larger in comparison to the control treatment (ambient rainfall). On the other hand, plants that experienced total rainfall removal, or higher environmental stress, showed lower alpha diversity estimates than the control and the reduced rainfall treatment. </w:t>
      </w:r>
    </w:p>
    <w:p w14:paraId="42E57645" w14:textId="50930CD2" w:rsidR="0096280E" w:rsidRPr="0096280E" w:rsidRDefault="0096280E" w:rsidP="0096280E">
      <w:pPr>
        <w:spacing w:line="360" w:lineRule="auto"/>
      </w:pPr>
      <w:r w:rsidRPr="0096280E">
        <w:tab/>
        <w:t xml:space="preserve">Our results for </w:t>
      </w:r>
      <w:r w:rsidRPr="0096280E">
        <w:rPr>
          <w:color w:val="000000" w:themeColor="text1"/>
        </w:rPr>
        <w:t>∆ AM fungal richness</w:t>
      </w:r>
      <w:r w:rsidRPr="0096280E" w:rsidDel="0071076A">
        <w:t xml:space="preserve"> </w:t>
      </w:r>
      <w:r w:rsidRPr="0096280E">
        <w:t xml:space="preserve">across the monsoon season are consistent </w:t>
      </w:r>
      <w:proofErr w:type="spellStart"/>
      <w:r w:rsidRPr="0096280E">
        <w:t>Deveautour</w:t>
      </w:r>
      <w:proofErr w:type="spellEnd"/>
      <w:r w:rsidRPr="0096280E">
        <w:t xml:space="preserve"> </w:t>
      </w:r>
      <w:r w:rsidRPr="0096280E">
        <w:rPr>
          <w:i/>
          <w:iCs/>
        </w:rPr>
        <w:t>et al.</w:t>
      </w:r>
      <w:r w:rsidRPr="0096280E">
        <w:t xml:space="preserve"> (2020) as our moderate exclusion treatment showed an increase in AM fungal ASVs from </w:t>
      </w:r>
      <w:r w:rsidRPr="0096280E">
        <w:rPr>
          <w:i/>
          <w:iCs/>
        </w:rPr>
        <w:t>q</w:t>
      </w:r>
      <w:r w:rsidRPr="0096280E">
        <w:t xml:space="preserve">=0 to </w:t>
      </w:r>
      <w:r w:rsidRPr="0096280E">
        <w:rPr>
          <w:i/>
          <w:iCs/>
        </w:rPr>
        <w:t>q</w:t>
      </w:r>
      <w:r w:rsidRPr="0096280E">
        <w:t xml:space="preserve">=2 relative to the control treatment. Further, more extreme rainfall removal resulted in lesser changes in alpha diversity, which may be a result of taxa specific requirements </w:t>
      </w:r>
      <w:r w:rsidRPr="0096280E">
        <w:lastRenderedPageBreak/>
        <w:t xml:space="preserve">for population level persistence throughout decreased soil moisture and warmer Summer temperatures </w:t>
      </w:r>
      <w:r w:rsidRPr="0096280E">
        <w:fldChar w:fldCharType="begin" w:fldLock="1"/>
      </w:r>
      <w:r w:rsidR="006E1F09">
        <w:instrText>ADDIN CSL_CITATION {"citationItems":[{"id":"ITEM-1","itemData":{"author":[{"dropping-particle":"","family":"Tilman","given":"David","non-dropping-particle":"","parse-names":false,"suffix":""}],"container-title":"Ecology","id":"ITEM-1","issue":"2","issued":{"date-parts":[["1977"]]},"page":"338-348","title":"Resource Competition between Plankton Algae : An Experimental and Theoretical Approach","type":"article-journal","volume":"58"},"uris":["http://www.mendeley.com/documents/?uuid=149b2479-c733-4a95-b051-1380a88ca4ec"]}],"mendeley":{"formattedCitation":"(Tilman, 1977)","plainTextFormattedCitation":"(Tilman, 1977)","previouslyFormattedCitation":"(Tilman, 1977)"},"properties":{"noteIndex":0},"schema":"https://github.com/citation-style-language/schema/raw/master/csl-citation.json"}</w:instrText>
      </w:r>
      <w:r w:rsidRPr="0096280E">
        <w:fldChar w:fldCharType="separate"/>
      </w:r>
      <w:r w:rsidR="00CE6085" w:rsidRPr="00CE6085">
        <w:rPr>
          <w:noProof/>
        </w:rPr>
        <w:t>(Tilman, 1977)</w:t>
      </w:r>
      <w:r w:rsidRPr="0096280E">
        <w:fldChar w:fldCharType="end"/>
      </w:r>
      <w:r w:rsidRPr="0096280E">
        <w:t>. In comparison to other ecological factors, precipitation and soil water availability more strongly influences AM fungal composition in semiarid ecosystems (</w:t>
      </w:r>
      <w:r w:rsidRPr="0096280E">
        <w:fldChar w:fldCharType="begin" w:fldLock="1"/>
      </w:r>
      <w:r w:rsidR="006E1F09">
        <w:instrText>ADDIN CSL_CITATION {"citationItems":[{"id":"ITEM-1","itemData":{"DOI":"10.1139/cjb-2015-0210","ISSN":"19162804","abstract":"Knowing the responses of arbuscular mycorrhizal (AM) fungi to warming and increased precipitation are critical for understanding how biodiversity is maintained and how the ecosystem functions under global climate-change scenarios in natural ecosystems. In this study, AM fungal communities were examined in a 6 year experiment with warming and increased precipitation, in a semiarid steppe in northern China. Only the increased precipitation, regardless of warming, significantly increased AM fungal extra-radical hyphal density, compared with the control treatment. AM fungal spore density was significantly increased by the combination of warming and increased precipitation, and increased precipitation-only treatments, but not by warming alone. A total of 36 operational taxonomic units (OTUs) of AM fungi were recovered by 454 pyrosequencing of 18S rDNA. Only increased precipitation, regardless of warming, significantly decreased AM fungal OTU richness and Shannon diversity index, and yet significantly increased AM fungal Bray–Curtis dissimilarity index, compared with the control treatment. AM fungal community composition was significantly affected by increased precipitation via water availability, but not by warming. Our findings demonstrated that the AM fungal community responded more strongly to water availability than to warming in the semiarid steppe ecosystem.","author":[{"dropping-particle":"","family":"Gao","given":"Cheng","non-dropping-particle":"","parse-names":false,"suffix":""},{"dropping-particle":"","family":"Kim","given":"Yong Chan","non-dropping-particle":"","parse-names":false,"suffix":""},{"dropping-particle":"","family":"Zheng","given":"Yong","non-dropping-particle":"","parse-names":false,"suffix":""},{"dropping-particle":"","family":"Yang","given":"Wei","non-dropping-particle":"","parse-names":false,"suffix":""},{"dropping-particle":"","family":"Chen","given":"Liang","non-dropping-particle":"","parse-names":false,"suffix":""},{"dropping-particle":"","family":"Ji","given":"Niu Niu","non-dropping-particle":"","parse-names":false,"suffix":""},{"dropping-particle":"","family":"Wan","given":"Shi Qiang","non-dropping-particle":"","parse-names":false,"suffix":""},{"dropping-particle":"","family":"Guo","given":"Liang Dong","non-dropping-particle":"","parse-names":false,"suffix":""}],"container-title":"Botany","id":"ITEM-1","issue":"6","issued":{"date-parts":[["2016"]]},"page":"459-469","title":"Increased precipitation, rather than warming, exerts a strong influence on arbuscular mycorrhizal fungal community in a semiarid steppe ecosystem","type":"article-journal","volume":"94"},"uris":["http://www.mendeley.com/documents/?uuid=75bb3ffb-fc42-469d-8595-134cce847643"]}],"mendeley":{"formattedCitation":"(Gao et al., 2016)","manualFormatting":"Gao et al. 2016)","plainTextFormattedCitation":"(Gao et al., 2016)","previouslyFormattedCitation":"(Gao et al., 2016)"},"properties":{"noteIndex":0},"schema":"https://github.com/citation-style-language/schema/raw/master/csl-citation.json"}</w:instrText>
      </w:r>
      <w:r w:rsidRPr="0096280E">
        <w:fldChar w:fldCharType="separate"/>
      </w:r>
      <w:r w:rsidRPr="0096280E">
        <w:rPr>
          <w:noProof/>
        </w:rPr>
        <w:t xml:space="preserve">Gao </w:t>
      </w:r>
      <w:r w:rsidRPr="0096280E">
        <w:rPr>
          <w:i/>
          <w:noProof/>
        </w:rPr>
        <w:t>et al.</w:t>
      </w:r>
      <w:r w:rsidRPr="0096280E">
        <w:rPr>
          <w:noProof/>
        </w:rPr>
        <w:t xml:space="preserve"> 2016)</w:t>
      </w:r>
      <w:r w:rsidRPr="0096280E">
        <w:fldChar w:fldCharType="end"/>
      </w:r>
      <w:r w:rsidRPr="0096280E">
        <w:t xml:space="preserve">. In a study by </w:t>
      </w:r>
      <w:r w:rsidRPr="0096280E">
        <w:fldChar w:fldCharType="begin" w:fldLock="1"/>
      </w:r>
      <w:r w:rsidR="006E1F09">
        <w:instrText>ADDIN CSL_CITATION {"citationItems":[{"id":"ITEM-1","itemData":{"DOI":"10.1007/s00374-019-01362-x","ISSN":"14320789","abstract":"Determining the effects of nitrogen (N) and phosphorus (P) application on arbuscular mycorrhizal fungi (AMF) communities is important for predicting AMF responses to nutrient deposition. The AMF parameters and soil properties were monitored in karst grassland after 2 years of N and P addition. Then, AMF abundance, diversity, and community composition significantly differed between seasons. AMF abundance was higher in July (summer) than in December (winter), whereas richness and Chao1 estimator values showed the opposite results. The numbers of the genera Funneliformis and Sclerocystis were significantly more abundant in December, but the proportions of Scutellospora, Redeckera, and Diversispora were significantly higher in July. N and NP treatments significantly increased AMF abundance; richness and Chao1 values in the P treatment were significantly higher than those of the control in July. AMF community composition changed substantially between December and July but did not respond to fertilization. AMF abundance was significantly correlated with total N (TN), while AMF richness was also significantly correlated with available P (AP) and pH. pH and nitrate N (NO3−-N) strongly affected AMF community composition. These results suggested that P became more limiting with N fertilization, AMF investment increased access to more P, and richness was lower when certain AMF taxa (Diversisporales) increased in abundance during the growing season and under more P-limiting conditions. These results also suggested that N and P addition have specifically different effects on AMF abundance and diversity, and consequently potential effect on long-term vegetation composition and productivity.","author":[{"dropping-particle":"","family":"Xiao","given":"Dan","non-dropping-particle":"","parse-names":false,"suffix":""},{"dropping-particle":"","family":"Che","given":"Rongxiao","non-dropping-particle":"","parse-names":false,"suffix":""},{"dropping-particle":"","family":"Liu","given":"Xin","non-dropping-particle":"","parse-names":false,"suffix":""},{"dropping-particle":"","family":"Tan","given":"Yongjun","non-dropping-particle":"","parse-names":false,"suffix":""},{"dropping-particle":"","family":"Yang","given":"Rong","non-dropping-particle":"","parse-names":false,"suffix":""},{"dropping-particle":"","family":"Zhang","given":"Wei","non-dropping-particle":"","parse-names":false,"suffix":""},{"dropping-particle":"","family":"He","given":"Xunyang","non-dropping-particle":"","parse-names":false,"suffix":""},{"dropping-particle":"","family":"Xu","given":"Zhihong","non-dropping-particle":"","parse-names":false,"suffix":""},{"dropping-particle":"","family":"Wang","given":"Kelin","non-dropping-particle":"","parse-names":false,"suffix":""}],"container-title":"Biology and Fertility of Soils","id":"ITEM-1","issue":"5","issued":{"date-parts":[["2019"]]},"page":"457-469","publisher":"Biology and Fertility of Soils","title":"Arbuscular mycorrhizal fungi abundance was sensitive to nitrogen addition but diversity was sensitive to phosphorus addition in karst ecosystems","type":"article-journal","volume":"55"},"uris":["http://www.mendeley.com/documents/?uuid=80978ae0-6df1-42df-8225-f5242d0d8e01"]}],"mendeley":{"formattedCitation":"(Xiao et al., 2019)","manualFormatting":"Xiao et al. (2019)","plainTextFormattedCitation":"(Xiao et al., 2019)","previouslyFormattedCitation":"(Xiao et al., 2019)"},"properties":{"noteIndex":0},"schema":"https://github.com/citation-style-language/schema/raw/master/csl-citation.json"}</w:instrText>
      </w:r>
      <w:r w:rsidRPr="0096280E">
        <w:fldChar w:fldCharType="separate"/>
      </w:r>
      <w:r w:rsidRPr="0096280E">
        <w:rPr>
          <w:noProof/>
        </w:rPr>
        <w:t xml:space="preserve">Xiao </w:t>
      </w:r>
      <w:r w:rsidRPr="0096280E">
        <w:rPr>
          <w:i/>
          <w:noProof/>
        </w:rPr>
        <w:t>et al.</w:t>
      </w:r>
      <w:r w:rsidRPr="0096280E">
        <w:rPr>
          <w:noProof/>
        </w:rPr>
        <w:t xml:space="preserve"> (2019)</w:t>
      </w:r>
      <w:r w:rsidRPr="0096280E">
        <w:fldChar w:fldCharType="end"/>
      </w:r>
      <w:r w:rsidRPr="0096280E">
        <w:t>, AM fungal diversity was influenced by phosphorous limitation while total nitrogen affected the relative abundance of AM fungi. We show that in the context of naturally occurring AM fungal communities in the Sonoran Desert, that phosphorous content in the rhizosphere microhabitat plays a substantial role in structuring the compositional spread of AM fungal communities and that nitrate content did not contribute to the variation in the effective number of AM fungal ASVs based on model selection. This suggests that as precipitation becomes more infrequent, that AM fungal communities may be more dependent on specific, limiting soil abiotic factors in dry, arid climates.</w:t>
      </w:r>
    </w:p>
    <w:p w14:paraId="77F71A4B" w14:textId="3C193F9B" w:rsidR="0096280E" w:rsidRPr="0096280E" w:rsidRDefault="0096280E" w:rsidP="0096280E">
      <w:pPr>
        <w:spacing w:line="360" w:lineRule="auto"/>
      </w:pPr>
      <w:r w:rsidRPr="0096280E">
        <w:tab/>
        <w:t xml:space="preserve">The effects of sampling date on plant communities have been well studied and supported, providing some foundation to examine temporal aspects of microbial communities </w:t>
      </w:r>
      <w:r w:rsidRPr="0096280E">
        <w:fldChar w:fldCharType="begin" w:fldLock="1"/>
      </w:r>
      <w:r w:rsidR="006E1F09">
        <w:instrText>ADDIN CSL_CITATION {"citationItems":[{"id":"ITEM-1","itemData":{"DOI":"10.1007/BF00333950","ISSN":"00298549","abstract":"In the Chihuahuan Desert of the southwestern United States we monitored responses of both winter and summer annual plant communities to natural environmental variation and to experimental removal of seed eating rodents and ants for 13 years. Analyses of data on population densities of the species by principal component analysis (PCA) followed by repeated measures analysis of variance (rmANOVA) on PCA scores showed that: (1) composition of both winter and summer annual communities varied substantially from year to year, presumably in response to interannual climatic variation, and (2) community composition of winter annuals was also significantly affected by the experimental manipulations of seed-eating animals, but the composition of the summer annual community showed no significant response to these experimental treatments. Canonical discriminant analysis (CDA) was then applied to the data for winter annuals to more clearly identify the responses to the different classes of experimental manipulations. This analysis showed that removing rodents or ants or both taxa caused distinctive changes in species composition. There was a tendency for large-seeded species to increase on rodent removal plots and to decrease on ant removal plots, and for small-seeded species to change in the opposite direction. In the winter annual community there was a significant time x treatment interaction: certain combinations of species that responded differently to removal of granivores also showed opposite fluctuations in response to long-term climatic variation. The large year-to-year variation in the summer annual community was closely and positively correlated across all experimental treatments. The use of multivariate analysis in conjunction with long-term monitoring and experimental manipulation shows how biotic interactions interact with variation in abiotic conditions to affect community dynamics.","author":[{"dropping-particle":"","family":"Guo","given":"Qinfeng","non-dropping-particle":"","parse-names":false,"suffix":""},{"dropping-particle":"","family":"Brown","given":"James H.","non-dropping-particle":"","parse-names":false,"suffix":""}],"container-title":"Oecologia","id":"ITEM-1","issue":"4","issued":{"date-parts":[["1996"]]},"page":"568-577","title":"Temporal fluctuations and experimental effects in desert plant communities","type":"article-journal","volume":"107"},"uris":["http://www.mendeley.com/documents/?uuid=75ffb2cd-f54c-4392-9e02-83913caff94e"]},{"id":"ITEM-2","itemData":{"author":[{"dropping-particle":"","family":"Smith","given":"Thomas","non-dropping-particle":"","parse-names":false,"suffix":""},{"dropping-particle":"","family":"Huston","given":"Michael","non-dropping-particle":"","parse-names":false,"suffix":""}],"container-title":"Progress in theoretical vegetation science","id":"ITEM-2","issued":{"date-parts":[["1990"]]},"page":"49-69","publisher":"Springer","title":"A theory of the spatial and temporal dynamics of plant communities","type":"chapter"},"uris":["http://www.mendeley.com/documents/?uuid=75a3bd4b-a550-43ee-b215-ab344fd92abf"]}],"mendeley":{"formattedCitation":"(Smith and Huston, 1990; Guo and Brown, 1996)","plainTextFormattedCitation":"(Smith and Huston, 1990; Guo and Brown, 1996)","previouslyFormattedCitation":"(Smith and Huston, 1990; Guo and Brown, 1996)"},"properties":{"noteIndex":0},"schema":"https://github.com/citation-style-language/schema/raw/master/csl-citation.json"}</w:instrText>
      </w:r>
      <w:r w:rsidRPr="0096280E">
        <w:fldChar w:fldCharType="separate"/>
      </w:r>
      <w:r w:rsidR="00CE6085" w:rsidRPr="00CE6085">
        <w:rPr>
          <w:noProof/>
        </w:rPr>
        <w:t>(Smith and Huston, 1990; Guo and Brown, 1996)</w:t>
      </w:r>
      <w:r w:rsidRPr="0096280E">
        <w:fldChar w:fldCharType="end"/>
      </w:r>
      <w:r w:rsidRPr="0096280E">
        <w:t xml:space="preserve">. Temporal effects on the maintenance of AM fungal communities have been studied in a variety of ecological contexts ranging from volcanic ash fields </w:t>
      </w:r>
      <w:r w:rsidRPr="0096280E">
        <w:fldChar w:fldCharType="begin" w:fldLock="1"/>
      </w:r>
      <w:r w:rsidR="006E1F09">
        <w:instrText>ADDIN CSL_CITATION {"citationItems":[{"id":"ITEM-1","itemData":{"DOI":"10.1007/s00374-014-0945-4","ISSN":"14320789","abstract":"A clear understanding of the significance of arbuscular mycorrhizal fungi (AMF) to phosphorus (P) nutrition in intensively managed cover crop rotational systems with soybean [Glycine max (L.) Merr.] will impact how we currently manage these systems, particularly crop rotation decisions. We investigated the impact of wheat (Triticum aestivum L.), rapeseed (Brassica napus L.), or fallow on composition of AMF communities in soil over 2 years of a consecutive soybean rotational system. The composition of AMF communities was characterized on the basis of the large subunit (LSU) ribosomal DNA (rDNA). AMF spore abundance in soil after cultivation of wheat was higher than that after rapeseed or fallow for the all sampling years. Phylogenetic analysis identified 19 AMF phylotypes, including five Glomus; three Gigaspora; two of Acaulospora, Funneliformis, and Rhizophagus; one of Racocetra, Claroideoglomus, Diversispora, and Sclerocystis; and an unknown glomeromycete in soil. Dominant phylotypes of Glomerales occurred widely across the winter cover crop rotations. However, the phylotype richness and diversity of AMF communities were unchanged among crop rotations and years. Redundancy analysis (RDA) demonstrated that AMF communities within a crop rotation were not significantly different. However, when analyzed over a 2-year period, the composition of AMF communities was clearly influenced by year where the distribution of specific AMF phylotypes responded to the winter cover crop management. Thus, diversity of AMF communities in soil was clearly shifted by rotation year, which indicated that other abiotic environmental factors may impact composition AMF communities more than winter cover crop rotational systems","author":[{"dropping-particle":"","family":"Higo","given":"Masao","non-dropping-particle":"","parse-names":false,"suffix":""},{"dropping-particle":"","family":"Isobe","given":"Katsunori","non-dropping-particle":"","parse-names":false,"suffix":""},{"dropping-particle":"","family":"Kondo","given":"Takuya","non-dropping-particle":"","parse-names":false,"suffix":""},{"dropping-particle":"","family":"Yamaguchi","given":"Moe","non-dropping-particle":"","parse-names":false,"suffix":""},{"dropping-particle":"","family":"Takeyama","given":"Saki","non-dropping-particle":"","parse-names":false,"suffix":""},{"dropping-particle":"","family":"Drijber","given":"Rhae A.","non-dropping-particle":"","parse-names":false,"suffix":""},{"dropping-particle":"","family":"Torigoe","given":"Yoichi","non-dropping-particle":"","parse-names":false,"suffix":""}],"container-title":"Biology and Fertility of Soils","id":"ITEM-1","issue":"1","issued":{"date-parts":[["2015"]]},"page":"21-32","title":"Temporal variation of the molecular diversity of arbuscular mycorrhizal communities in three different winter cover crop rotational systems","type":"article-journal","volume":"51"},"uris":["http://www.mendeley.com/documents/?uuid=15d7c204-7665-4b7d-9836-274a54d6a469"]}],"mendeley":{"formattedCitation":"(Higo et al., 2015)","plainTextFormattedCitation":"(Higo et al., 2015)","previouslyFormattedCitation":"(Higo et al., 2015)"},"properties":{"noteIndex":0},"schema":"https://github.com/citation-style-language/schema/raw/master/csl-citation.json"}</w:instrText>
      </w:r>
      <w:r w:rsidRPr="0096280E">
        <w:fldChar w:fldCharType="separate"/>
      </w:r>
      <w:r w:rsidR="00CE6085" w:rsidRPr="00CE6085">
        <w:rPr>
          <w:noProof/>
        </w:rPr>
        <w:t>(Higo et al., 2015)</w:t>
      </w:r>
      <w:r w:rsidRPr="0096280E">
        <w:fldChar w:fldCharType="end"/>
      </w:r>
      <w:r w:rsidRPr="0096280E">
        <w:t xml:space="preserve">, mixed hardwood forests </w:t>
      </w:r>
      <w:r w:rsidRPr="0096280E">
        <w:fldChar w:fldCharType="begin" w:fldLock="1"/>
      </w:r>
      <w:r w:rsidR="006E1F09">
        <w:instrText>ADDIN CSL_CITATION {"citationItems":[{"id":"ITEM-1","itemData":{"DOI":"10.1371/journal.pone.0041938","ISSN":"19326203","PMID":"22879900","abstract":"Despite the important ecosystem role played by arbuscular mycorrhizal fungi (AMF), little is known about spatial and temporal variation in soil AMF communities. We used pyrosequencing to characterise AMF communities in soil samples (n = 44) from a natural forest ecosystem. Fungal taxa were identified by BLAST matching of reads against the MaarjAM database of AMF SSU rRNA gene diversity. Sub-sampling within our dataset and experimental shortening of a set of long reads indicated that our approaches to taxonomic identification and diversity analysis were robust to variations in pyrosequencing read length and numbers of reads per sample. Different forest plots (each 10×10 m and separated from one another by 30 m) contained significantly different soil AMF communities, and the pairwise similarity of communities decreased with distance up to 50 m. However, there were no significant changes in community composition between different time points in the growing season (May-September). Spatial structure in soil AMF communities may be related to the heterogeneous vegetation of the natural forest study system, while the temporal stability of communities suggests that AMF in soil represent a fairly constant local species pool from which mycorrhizae form and disband during the season. © 2012 Davison et al.","author":[{"dropping-particle":"","family":"Davison","given":"John","non-dropping-particle":"","parse-names":false,"suffix":""},{"dropping-particle":"","family":"Öpik","given":"Maarja","non-dropping-particle":"","parse-names":false,"suffix":""},{"dropping-particle":"","family":"Zobel","given":"Martin","non-dropping-particle":"","parse-names":false,"suffix":""},{"dropping-particle":"","family":"Vasar","given":"Martti","non-dropping-particle":"","parse-names":false,"suffix":""},{"dropping-particle":"","family":"Metsis","given":"Madis","non-dropping-particle":"","parse-names":false,"suffix":""},{"dropping-particle":"","family":"Moora","given":"Mari","non-dropping-particle":"","parse-names":false,"suffix":""}],"container-title":"PLoS ONE","id":"ITEM-1","issue":"8","issued":{"date-parts":[["2012"]]},"title":"Communities of arbuscular mycorrhizal fungi detected in forest soil are spatially heterogeneous but do not vary throughout the growing season","type":"article-journal","volume":"7"},"uris":["http://www.mendeley.com/documents/?uuid=6c27629a-b013-4fbb-9e5a-aad4d8541d3a"]}],"mendeley":{"formattedCitation":"(Davison et al., 2012)","plainTextFormattedCitation":"(Davison et al., 2012)","previouslyFormattedCitation":"(Davison et al., 2012)"},"properties":{"noteIndex":0},"schema":"https://github.com/citation-style-language/schema/raw/master/csl-citation.json"}</w:instrText>
      </w:r>
      <w:r w:rsidRPr="0096280E">
        <w:fldChar w:fldCharType="separate"/>
      </w:r>
      <w:r w:rsidR="00CE6085" w:rsidRPr="00CE6085">
        <w:rPr>
          <w:noProof/>
        </w:rPr>
        <w:t>(Davison et al., 2012)</w:t>
      </w:r>
      <w:r w:rsidRPr="0096280E">
        <w:fldChar w:fldCharType="end"/>
      </w:r>
      <w:r w:rsidRPr="0096280E">
        <w:t xml:space="preserve">, to grasslands </w:t>
      </w:r>
      <w:r w:rsidRPr="0096280E">
        <w:fldChar w:fldCharType="begin" w:fldLock="1"/>
      </w:r>
      <w:r w:rsidR="006E1F09">
        <w:instrText>ADDIN CSL_CITATION {"citationItems":[{"id":"ITEM-1","itemData":{"DOI":"10.1111/1365-2745.13267","ISSN":"13652745","abstract":"Climate models project overall a reduction in rainfall amounts and shifts in the timing of rainfall events in mid-latitudes and sub-tropical dry regions, which threatens the productivity and diversity of grasslands. Arbuscular mycorrhizal (AM) fungi may help plants to cope with expected changes but may also be impacted by changing rainfall, either via the direct effects of low soil moisture on survival and function or indirectly via changes in the plant community. In an Australian mesic grassland (former pasture) system, we characterized plant and AM fungal communities every 6 months for nearly 4 years to two altered rainfall regimes: (a) ambient, (b) rainfall reduced by 50% relative to ambient over the entire year and (c) total summer rainfall exclusion. Using Illumina sequencing, we assessed the response of AM fungal communities sampled from contrasting rainfall treatments and evaluated whether variation in AM fungal communities was associated with variation in plant community richness and composition. We found that rainfall reduction influenced the fungal communities, with the nature of the response depending on the type of manipulation, but that consistent results were only observed after more than 2 years of rainfall manipulation. We observed significant co-associations between plant and AM fungal communities on multiple dates. Predictive co-correspondence analyses indicated more support for the hypothesis that fungal community composition influenced plant community composition than vice versa. However, we found no evidence that altered rainfall regimes were leading to distinct co-associations between plants and AM fungi. Overall, our results provide evidence that grassland plant communities are intricately tied to variation in AM fungal communities. However, in this system, plant responses to climate change may not be directly related to impacts of altered rainfall regimes on AM fungal communities. Synthesis. Our study shows that arbuscular mycorrhizal (AM) fungal communities respond to changes in rainfall but that this effect was not immediate. The AM fungal community may influence the composition of the plant community. However, our results suggest that plant responses to altered rainfall regimes at our site may not be resulting via changes in the AM fungal communities.","author":[{"dropping-particle":"","family":"Deveautour","given":"Coline","non-dropping-particle":"","parse-names":false,"suffix":""},{"dropping-particle":"","family":"Power","given":"Sally A.","non-dropping-particle":"","parse-names":false,"suffix":""},{"dropping-particle":"","family":"Barnett","given":"Kirk L.","non-dropping-particle":"","parse-names":false,"suffix":""},{"dropping-particle":"","family":"Ochoa-Hueso","given":"Raul","non-dropping-particle":"","parse-names":false,"suffix":""},{"dropping-particle":"","family":"Donn","given":"Suzanne","non-dropping-particle":"","parse-names":false,"suffix":""},{"dropping-particle":"","family":"Bennett","given":"Alison E.","non-dropping-particle":"","parse-names":false,"suffix":""},{"dropping-particle":"","family":"Powell","given":"Jeff R.","non-dropping-particle":"","parse-names":false,"suffix":""}],"container-title":"Journal of Ecology","id":"ITEM-1","issue":"2","issued":{"date-parts":[["2020"]]},"page":"515-527","title":"Temporal dynamics of mycorrhizal fungal communities and co-associations with grassland plant communities following experimental manipulation of rainfall","type":"article-journal","volume":"108"},"uris":["http://www.mendeley.com/documents/?uuid=84626156-b562-446d-abc2-e85bd7ce9a08"]}],"mendeley":{"formattedCitation":"(Deveautour et al., 2020)","plainTextFormattedCitation":"(Deveautour et al., 2020)","previouslyFormattedCitation":"(Deveautour et al., 2020)"},"properties":{"noteIndex":0},"schema":"https://github.com/citation-style-language/schema/raw/master/csl-citation.json"}</w:instrText>
      </w:r>
      <w:r w:rsidRPr="0096280E">
        <w:fldChar w:fldCharType="separate"/>
      </w:r>
      <w:r w:rsidR="00CE6085" w:rsidRPr="00CE6085">
        <w:rPr>
          <w:noProof/>
        </w:rPr>
        <w:t>(Deveautour et al., 2020)</w:t>
      </w:r>
      <w:r w:rsidRPr="0096280E">
        <w:fldChar w:fldCharType="end"/>
      </w:r>
      <w:r w:rsidRPr="0096280E">
        <w:t xml:space="preserve">. There is mixed evidence showing that AM fungal community composition is temporally dynamic. For example, in mixed hardwood forests, AM fungal communities have been shown to be spatially distinct but temporally stable across the growing season, perhaps due to the heterogenous plant community and a consistent AM fungal species pool over their two-year sampling scheme </w:t>
      </w:r>
      <w:r w:rsidRPr="0096280E">
        <w:fldChar w:fldCharType="begin" w:fldLock="1"/>
      </w:r>
      <w:r w:rsidR="006E1F09">
        <w:instrText>ADDIN CSL_CITATION {"citationItems":[{"id":"ITEM-1","itemData":{"DOI":"10.1371/journal.pone.0041938","ISSN":"19326203","PMID":"22879900","abstract":"Despite the important ecosystem role played by arbuscular mycorrhizal fungi (AMF), little is known about spatial and temporal variation in soil AMF communities. We used pyrosequencing to characterise AMF communities in soil samples (n = 44) from a natural forest ecosystem. Fungal taxa were identified by BLAST matching of reads against the MaarjAM database of AMF SSU rRNA gene diversity. Sub-sampling within our dataset and experimental shortening of a set of long reads indicated that our approaches to taxonomic identification and diversity analysis were robust to variations in pyrosequencing read length and numbers of reads per sample. Different forest plots (each 10×10 m and separated from one another by 30 m) contained significantly different soil AMF communities, and the pairwise similarity of communities decreased with distance up to 50 m. However, there were no significant changes in community composition between different time points in the growing season (May-September). Spatial structure in soil AMF communities may be related to the heterogeneous vegetation of the natural forest study system, while the temporal stability of communities suggests that AMF in soil represent a fairly constant local species pool from which mycorrhizae form and disband during the season. © 2012 Davison et al.","author":[{"dropping-particle":"","family":"Davison","given":"John","non-dropping-particle":"","parse-names":false,"suffix":""},{"dropping-particle":"","family":"Öpik","given":"Maarja","non-dropping-particle":"","parse-names":false,"suffix":""},{"dropping-particle":"","family":"Zobel","given":"Martin","non-dropping-particle":"","parse-names":false,"suffix":""},{"dropping-particle":"","family":"Vasar","given":"Martti","non-dropping-particle":"","parse-names":false,"suffix":""},{"dropping-particle":"","family":"Metsis","given":"Madis","non-dropping-particle":"","parse-names":false,"suffix":""},{"dropping-particle":"","family":"Moora","given":"Mari","non-dropping-particle":"","parse-names":false,"suffix":""}],"container-title":"PLoS ONE","id":"ITEM-1","issue":"8","issued":{"date-parts":[["2012"]]},"title":"Communities of arbuscular mycorrhizal fungi detected in forest soil are spatially heterogeneous but do not vary throughout the growing season","type":"article-journal","volume":"7"},"uris":["http://www.mendeley.com/documents/?uuid=6c27629a-b013-4fbb-9e5a-aad4d8541d3a"]}],"mendeley":{"formattedCitation":"(Davison et al., 2012)","plainTextFormattedCitation":"(Davison et al., 2012)","previouslyFormattedCitation":"(Davison et al., 2012)"},"properties":{"noteIndex":0},"schema":"https://github.com/citation-style-language/schema/raw/master/csl-citation.json"}</w:instrText>
      </w:r>
      <w:r w:rsidRPr="0096280E">
        <w:fldChar w:fldCharType="separate"/>
      </w:r>
      <w:r w:rsidR="00CE6085" w:rsidRPr="00CE6085">
        <w:rPr>
          <w:noProof/>
        </w:rPr>
        <w:t>(Davison et al., 2012)</w:t>
      </w:r>
      <w:r w:rsidRPr="0096280E">
        <w:fldChar w:fldCharType="end"/>
      </w:r>
      <w:r w:rsidRPr="0096280E">
        <w:t xml:space="preserve">. Yet, on the same time scale, </w:t>
      </w:r>
      <w:r w:rsidRPr="0096280E">
        <w:fldChar w:fldCharType="begin" w:fldLock="1"/>
      </w:r>
      <w:r w:rsidR="006E1F09">
        <w:instrText>ADDIN CSL_CITATION {"citationItems":[{"id":"ITEM-1","itemData":{"DOI":"10.1007/s00374-014-0945-4","ISSN":"14320789","abstract":"A clear understanding of the significance of arbuscular mycorrhizal fungi (AMF) to phosphorus (P) nutrition in intensively managed cover crop rotational systems with soybean [Glycine max (L.) Merr.] will impact how we currently manage these systems, particularly crop rotation decisions. We investigated the impact of wheat (Triticum aestivum L.), rapeseed (Brassica napus L.), or fallow on composition of AMF communities in soil over 2 years of a consecutive soybean rotational system. The composition of AMF communities was characterized on the basis of the large subunit (LSU) ribosomal DNA (rDNA). AMF spore abundance in soil after cultivation of wheat was higher than that after rapeseed or fallow for the all sampling years. Phylogenetic analysis identified 19 AMF phylotypes, including five Glomus; three Gigaspora; two of Acaulospora, Funneliformis, and Rhizophagus; one of Racocetra, Claroideoglomus, Diversispora, and Sclerocystis; and an unknown glomeromycete in soil. Dominant phylotypes of Glomerales occurred widely across the winter cover crop rotations. However, the phylotype richness and diversity of AMF communities were unchanged among crop rotations and years. Redundancy analysis (RDA) demonstrated that AMF communities within a crop rotation were not significantly different. However, when analyzed over a 2-year period, the composition of AMF communities was clearly influenced by year where the distribution of specific AMF phylotypes responded to the winter cover crop management. Thus, diversity of AMF communities in soil was clearly shifted by rotation year, which indicated that other abiotic environmental factors may impact composition AMF communities more than winter cover crop rotational systems","author":[{"dropping-particle":"","family":"Higo","given":"Masao","non-dropping-particle":"","parse-names":false,"suffix":""},{"dropping-particle":"","family":"Isobe","given":"Katsunori","non-dropping-particle":"","parse-names":false,"suffix":""},{"dropping-particle":"","family":"Kondo","given":"Takuya","non-dropping-particle":"","parse-names":false,"suffix":""},{"dropping-particle":"","family":"Yamaguchi","given":"Moe","non-dropping-particle":"","parse-names":false,"suffix":""},{"dropping-particle":"","family":"Takeyama","given":"Saki","non-dropping-particle":"","parse-names":false,"suffix":""},{"dropping-particle":"","family":"Drijber","given":"Rhae A.","non-dropping-particle":"","parse-names":false,"suffix":""},{"dropping-particle":"","family":"Torigoe","given":"Yoichi","non-dropping-particle":"","parse-names":false,"suffix":""}],"container-title":"Biology and Fertility of Soils","id":"ITEM-1","issue":"1","issued":{"date-parts":[["2015"]]},"page":"21-32","title":"Temporal variation of the molecular diversity of arbuscular mycorrhizal communities in three different winter cover crop rotational systems","type":"article-journal","volume":"51"},"uris":["http://www.mendeley.com/documents/?uuid=15d7c204-7665-4b7d-9836-274a54d6a469"]}],"mendeley":{"formattedCitation":"(Higo et al., 2015)","manualFormatting":"Higo et al. (2015)","plainTextFormattedCitation":"(Higo et al., 2015)","previouslyFormattedCitation":"(Higo et al., 2015)"},"properties":{"noteIndex":0},"schema":"https://github.com/citation-style-language/schema/raw/master/csl-citation.json"}</w:instrText>
      </w:r>
      <w:r w:rsidRPr="0096280E">
        <w:fldChar w:fldCharType="separate"/>
      </w:r>
      <w:r w:rsidRPr="0096280E">
        <w:rPr>
          <w:noProof/>
        </w:rPr>
        <w:t xml:space="preserve">Higo </w:t>
      </w:r>
      <w:r w:rsidRPr="0096280E">
        <w:rPr>
          <w:i/>
          <w:noProof/>
        </w:rPr>
        <w:t>et al.</w:t>
      </w:r>
      <w:r w:rsidRPr="0096280E">
        <w:rPr>
          <w:noProof/>
        </w:rPr>
        <w:t xml:space="preserve"> (2015)</w:t>
      </w:r>
      <w:r w:rsidRPr="0096280E">
        <w:fldChar w:fldCharType="end"/>
      </w:r>
      <w:r w:rsidRPr="0096280E">
        <w:t xml:space="preserve"> states that differences in AM fungal composition are dependent on plant cover from the previous year, thus contributing to fungal community turnover year to year. Temporal effects have also been observed on much smaller time scales, such as over one season in a wet tropical forest </w:t>
      </w:r>
      <w:r w:rsidRPr="0096280E">
        <w:fldChar w:fldCharType="begin" w:fldLock="1"/>
      </w:r>
      <w:r w:rsidR="006E1F09">
        <w:instrText>ADDIN CSL_CITATION {"citationItems":[{"id":"ITEM-1","itemData":{"DOI":"10.1007/s00248-014-0436-z","ISSN":"00953628","abstract":"Many wet tropical forests, which contain a quarter of global terrestrial biomass carbon stocks, will experience changes in precipitation regime over the next century. Soil microbial responses to altered rainfall are likely to be an important feedback on ecosystem carbon cycling, but the ecological mechanisms underpinning these responses are poorly understood. We examined how reduced rainfall affected soil microbial abundance, activity, and community composition using a 6-month precipitation exclusion experiment at La Selva Biological Station, Costa Rica. Thereafter, we addressed the persistent effects of field moisture treatments by exposing soils to a controlled soil moisture gradient in the lab for 4 weeks. In the field, compositional and functional responses to reduced rainfall were dependent on initial conditions, consistent with a large degree of spatial heterogeneity in tropical forests. However, the precipitation manipulation significantly altered microbial functional responses to soil moisture. Communities with prior drought exposure exhibited higher respiration rates per unit microbial biomass under all conditions and respired significantly more CO2 than control soils at low soil moisture. These functional patterns suggest that changes in microbial physiology may drive positive feedbacks to rising atmospheric CO2 concentrations if wet tropical forests experience longer or more intense dry seasons in the future.","author":[{"dropping-particle":"","family":"Waring","given":"Bonnie G.","non-dropping-particle":"","parse-names":false,"suffix":""},{"dropping-particle":"V.","family":"Hawkes","given":"Christine","non-dropping-particle":"","parse-names":false,"suffix":""}],"container-title":"Microbial Ecology","id":"ITEM-1","issue":"4","issued":{"date-parts":[["2015"]]},"page":"843-854","title":"Short-Term Precipitation Exclusion Alters Microbial Responses to Soil Moisture in a Wet Tropical Forest","type":"article-journal","volume":"69"},"uris":["http://www.mendeley.com/documents/?uuid=d949d78c-b431-4366-8e55-192d2fea17e6"]}],"mendeley":{"formattedCitation":"(Waring and Hawkes, 2015)","plainTextFormattedCitation":"(Waring and Hawkes, 2015)","previouslyFormattedCitation":"(Waring and Hawkes, 2015)"},"properties":{"noteIndex":0},"schema":"https://github.com/citation-style-language/schema/raw/master/csl-citation.json"}</w:instrText>
      </w:r>
      <w:r w:rsidRPr="0096280E">
        <w:fldChar w:fldCharType="separate"/>
      </w:r>
      <w:r w:rsidR="00CE6085" w:rsidRPr="00CE6085">
        <w:rPr>
          <w:noProof/>
        </w:rPr>
        <w:t>(Waring and Hawkes, 2015)</w:t>
      </w:r>
      <w:r w:rsidRPr="0096280E">
        <w:fldChar w:fldCharType="end"/>
      </w:r>
      <w:r w:rsidRPr="0096280E">
        <w:t xml:space="preserve">. Our multivariate models show distinct clustering for the composition of AM fungal communities over the North American Monsoon season and by rainfall exclusion treatment. Additionally, we show that AM fungal community turnover responds to rainfall exclusion treatments from </w:t>
      </w:r>
      <w:r w:rsidRPr="0096280E">
        <w:rPr>
          <w:i/>
          <w:iCs/>
        </w:rPr>
        <w:t>q</w:t>
      </w:r>
      <w:r w:rsidRPr="0096280E">
        <w:t xml:space="preserve">=0 to </w:t>
      </w:r>
      <w:r w:rsidRPr="0096280E">
        <w:rPr>
          <w:i/>
          <w:iCs/>
        </w:rPr>
        <w:t>q</w:t>
      </w:r>
      <w:r w:rsidRPr="0096280E">
        <w:t xml:space="preserve">=2. The effect seen here may illustrate the contribution available soil moisture has on the number of ASVs throughout the monsoon season and on the relative abundance of each ASV in a dry, arid ecosystem. Our results further highlight the interconnected relationships between regional climate and local soil abiotic factors that could </w:t>
      </w:r>
      <w:r w:rsidRPr="0096280E">
        <w:lastRenderedPageBreak/>
        <w:t xml:space="preserve">hinder a generalizable pattern consensus for the temporal or seasonal response of AM fungal community composition. </w:t>
      </w:r>
    </w:p>
    <w:p w14:paraId="4A789C19" w14:textId="3782E50D" w:rsidR="0096280E" w:rsidRPr="0096280E" w:rsidRDefault="0096280E" w:rsidP="0096280E">
      <w:pPr>
        <w:spacing w:line="360" w:lineRule="auto"/>
      </w:pPr>
      <w:r w:rsidRPr="0096280E">
        <w:tab/>
        <w:t xml:space="preserve">Here, we demonstrate that rainfall exclusion affects variation in AM fungal composition and the difference in the effective number of AM fungal ASVs, where moderate rainfall exclusion led to increased estimates in alpha diversity. Additionally, we show that AM fungal community turnover is dependent on rainfall exclusion when common and rare ASVs are weighted equally and when rare ASVs are down weighted. The work outlined in this study leaves several forward directions for AM fungal ecology. Specifically, what are the relative temporal scales needed to observe AM fungal responses to manipulative field experiments? How does temporal turnover in AM fungal communities differ between within year and among year exposure to environmental stress? AM fungi can be somewhat ubiquitous at local scales </w:t>
      </w:r>
      <w:r w:rsidRPr="0096280E">
        <w:fldChar w:fldCharType="begin" w:fldLock="1"/>
      </w:r>
      <w:r w:rsidR="006E1F09">
        <w:instrText>ADDIN CSL_CITATION {"citationItems":[{"id":"ITEM-1","itemData":{"ISSN":"0036-8075","author":[{"dropping-particle":"","family":"Davison","given":"J","non-dropping-particle":"","parse-names":false,"suffix":""},{"dropping-particle":"","family":"Moora","given":"Mari","non-dropping-particle":"","parse-names":false,"suffix":""},{"dropping-particle":"","family":"Öpik","given":"M","non-dropping-particle":"","parse-names":false,"suffix":""},{"dropping-particle":"","family":"Adholeya","given":"A","non-dropping-particle":"","parse-names":false,"suffix":""},{"dropping-particle":"","family":"Ainsaar","given":"L","non-dropping-particle":"","parse-names":false,"suffix":""},{"dropping-particle":"","family":"Bâ","given":"A","non-dropping-particle":"","parse-names":false,"suffix":""},{"dropping-particle":"","family":"Burla","given":"S","non-dropping-particle":"","parse-names":false,"suffix":""},{"dropping-particle":"","family":"Diedhiou","given":"A G","non-dropping-particle":"","parse-names":false,"suffix":""},{"dropping-particle":"","family":"Hiiesalu","given":"I","non-dropping-particle":"","parse-names":false,"suffix":""},{"dropping-particle":"","family":"Jairus","given":"T","non-dropping-particle":"","parse-names":false,"suffix":""}],"container-title":"Science","id":"ITEM-1","issue":"6251","issued":{"date-parts":[["2015"]]},"page":"970-973","publisher":"American Association for the Advancement of Science","title":"Global assessment of arbuscular mycorrhizal fungus diversity reveals very low endemism","type":"article-journal","volume":"349"},"uris":["http://www.mendeley.com/documents/?uuid=dc5f9ec8-5156-4353-95d5-7abf1a8ebaf5"]}],"mendeley":{"formattedCitation":"(Davison et al., 2015)","plainTextFormattedCitation":"(Davison et al., 2015)","previouslyFormattedCitation":"(Davison et al., 2015)"},"properties":{"noteIndex":0},"schema":"https://github.com/citation-style-language/schema/raw/master/csl-citation.json"}</w:instrText>
      </w:r>
      <w:r w:rsidRPr="0096280E">
        <w:fldChar w:fldCharType="separate"/>
      </w:r>
      <w:r w:rsidR="00CE6085" w:rsidRPr="00CE6085">
        <w:rPr>
          <w:noProof/>
        </w:rPr>
        <w:t>(Davison et al., 2015)</w:t>
      </w:r>
      <w:r w:rsidRPr="0096280E">
        <w:fldChar w:fldCharType="end"/>
      </w:r>
      <w:r w:rsidRPr="0096280E">
        <w:t xml:space="preserve"> and have been shown to be heterokaryotic (i.e., multinucleate with genetically distinct nuclei; </w:t>
      </w:r>
      <w:r w:rsidRPr="0096280E">
        <w:fldChar w:fldCharType="begin" w:fldLock="1"/>
      </w:r>
      <w:r w:rsidR="006E1F09">
        <w:instrText>ADDIN CSL_CITATION {"citationItems":[{"id":"ITEM-1","itemData":{"DOI":"10.1111/nph.14913","ISSN":"14698137","abstract":"A workshop at the recent International Conference on Mycorrhiza was focused on species recognition in Glomeromycotina and parts of their basic biology that define species. The workshop was motivated by the paradigm-shifting evidence derived from genomic data for sex and for the lack of heterokaryosis, and by published exchanges in Science that were based on different species concepts and have led to differing views of dispersal and endemism in these fungi. Although a lively discussion ensued, there was general agreement that species recognition in the group is in need of more attention, and that many basic assumptions about the biology of these important fungi including sexual or clonal reproduction, similarity or dissimilarity of nuclei within an individual, and species boundaries need to be re-examined and scrutinized with current techniques.","author":[{"dropping-particle":"","family":"Bruns","given":"Thomas D.","non-dropping-particle":"","parse-names":false,"suffix":""},{"dropping-particle":"","family":"Corradi","given":"Nicolas","non-dropping-particle":"","parse-names":false,"suffix":""},{"dropping-particle":"","family":"Redecker","given":"Dirk","non-dropping-particle":"","parse-names":false,"suffix":""},{"dropping-particle":"","family":"Taylor","given":"John W.","non-dropping-particle":"","parse-names":false,"suffix":""},{"dropping-particle":"","family":"Öpik","given":"Maarja","non-dropping-particle":"","parse-names":false,"suffix":""}],"container-title":"New Phytologist","id":"ITEM-1","issue":"4","issued":{"date-parts":[["2018"]]},"page":"963-967","title":"Glomeromycotina: what is a species and why should we care?","type":"article-journal","volume":"220"},"uris":["http://www.mendeley.com/documents/?uuid=b2a7eb46-f66a-4abe-9a29-c80b7c921792"]}],"mendeley":{"formattedCitation":"(Bruns et al., 2018)","plainTextFormattedCitation":"(Bruns et al., 2018)","previouslyFormattedCitation":"(Bruns et al., 2018)"},"properties":{"noteIndex":0},"schema":"https://github.com/citation-style-language/schema/raw/master/csl-citation.json"}</w:instrText>
      </w:r>
      <w:r w:rsidRPr="0096280E">
        <w:fldChar w:fldCharType="separate"/>
      </w:r>
      <w:r w:rsidR="00CE6085" w:rsidRPr="00CE6085">
        <w:rPr>
          <w:noProof/>
        </w:rPr>
        <w:t>(Bruns et al., 2018)</w:t>
      </w:r>
      <w:r w:rsidRPr="0096280E">
        <w:fldChar w:fldCharType="end"/>
      </w:r>
      <w:r w:rsidRPr="0096280E">
        <w:t>). This could lead to lack of agreement in empirical biodiversity studies, as species richness estimates might be dependent on spatial scale, temporal scale, and the weight of rare ASVs. Therefore, while we did find that AM fungal communities respond to changes in seasonal monsoon precipitation, more studies across a wider range of ecological contexts could further uncover the direction and magnitude of changing climate conditions on plant-host AM fungal interactions.</w:t>
      </w:r>
    </w:p>
    <w:p w14:paraId="71F13A11" w14:textId="1C19CB4A" w:rsidR="001E4901" w:rsidRPr="0096280E" w:rsidRDefault="0022321D" w:rsidP="0096280E">
      <w:pPr>
        <w:spacing w:line="360" w:lineRule="auto"/>
      </w:pPr>
      <w:r w:rsidRPr="0096280E">
        <w:br w:type="page"/>
      </w:r>
      <w:bookmarkStart w:id="88" w:name="_Toc82439009"/>
      <w:bookmarkStart w:id="89" w:name="_Toc82439010"/>
      <w:bookmarkStart w:id="90" w:name="_Toc82439011"/>
      <w:bookmarkStart w:id="91" w:name="_Toc82439012"/>
      <w:bookmarkStart w:id="92" w:name="_Toc82439013"/>
      <w:bookmarkStart w:id="93" w:name="_Toc82439126"/>
      <w:bookmarkStart w:id="94" w:name="_Toc82439127"/>
      <w:bookmarkStart w:id="95" w:name="_Toc82439128"/>
      <w:bookmarkEnd w:id="88"/>
      <w:bookmarkEnd w:id="89"/>
      <w:bookmarkEnd w:id="90"/>
      <w:bookmarkEnd w:id="91"/>
      <w:bookmarkEnd w:id="92"/>
      <w:bookmarkEnd w:id="93"/>
      <w:bookmarkEnd w:id="94"/>
      <w:bookmarkEnd w:id="95"/>
    </w:p>
    <w:p w14:paraId="597B866D" w14:textId="7CAB9B9E" w:rsidR="0062430E" w:rsidRPr="0062430E" w:rsidRDefault="001E4901" w:rsidP="0062430E">
      <w:pPr>
        <w:pStyle w:val="Heading1"/>
        <w:rPr>
          <w:sz w:val="24"/>
        </w:rPr>
      </w:pPr>
      <w:bookmarkStart w:id="96" w:name="_Toc102048038"/>
      <w:r>
        <w:lastRenderedPageBreak/>
        <w:t>C</w:t>
      </w:r>
      <w:r w:rsidR="0062430E">
        <w:t>HAPTER FOUR</w:t>
      </w:r>
      <w:r w:rsidR="00A938E6">
        <w:t>:</w:t>
      </w:r>
      <w:r w:rsidR="00A938E6" w:rsidRPr="001E4901">
        <w:br/>
      </w:r>
      <w:r w:rsidR="0062430E">
        <w:rPr>
          <w:sz w:val="24"/>
        </w:rPr>
        <w:t>SUITABLE HABITAT DECLINES FOR AN ECTOMYCORRHIZAL FUNGUS (</w:t>
      </w:r>
      <w:r w:rsidR="0062430E" w:rsidRPr="0062430E">
        <w:rPr>
          <w:i/>
          <w:iCs/>
          <w:sz w:val="24"/>
        </w:rPr>
        <w:t>SUILLUS SPRAGUEI</w:t>
      </w:r>
      <w:r w:rsidR="0062430E">
        <w:rPr>
          <w:sz w:val="24"/>
        </w:rPr>
        <w:t>) UNDER FUTURE CLIMATE SCENARIOS</w:t>
      </w:r>
      <w:bookmarkEnd w:id="96"/>
    </w:p>
    <w:p w14:paraId="31CFFC81" w14:textId="1316AF18" w:rsidR="000B6437" w:rsidRPr="000B6437" w:rsidRDefault="000B6437" w:rsidP="000B6437">
      <w:r>
        <w:br w:type="page"/>
      </w:r>
    </w:p>
    <w:p w14:paraId="006DAA1C" w14:textId="375E922A" w:rsidR="00236E6D" w:rsidRPr="00EA205E" w:rsidRDefault="00EA205E" w:rsidP="00B50F5D">
      <w:pPr>
        <w:pStyle w:val="Heading2"/>
        <w:spacing w:line="360" w:lineRule="auto"/>
      </w:pPr>
      <w:bookmarkStart w:id="97" w:name="_Toc102048039"/>
      <w:r w:rsidRPr="00EA205E">
        <w:lastRenderedPageBreak/>
        <w:t>A</w:t>
      </w:r>
      <w:r w:rsidR="007E3466">
        <w:t>bstract</w:t>
      </w:r>
      <w:bookmarkEnd w:id="97"/>
    </w:p>
    <w:p w14:paraId="3EA3D67F" w14:textId="6608F173" w:rsidR="00EA205E" w:rsidRPr="00EA205E" w:rsidRDefault="00EA205E" w:rsidP="00B50F5D">
      <w:pPr>
        <w:spacing w:line="360" w:lineRule="auto"/>
      </w:pPr>
      <w:bookmarkStart w:id="98" w:name="_Toc420995908"/>
      <w:bookmarkStart w:id="99" w:name="_Toc422997495"/>
      <w:r>
        <w:rPr>
          <w:rFonts w:eastAsia="Arial"/>
        </w:rPr>
        <w:tab/>
      </w:r>
      <w:r w:rsidRPr="00EA205E">
        <w:rPr>
          <w:rFonts w:eastAsia="Arial"/>
        </w:rPr>
        <w:t>Ecological niche models rely on abiotic (e</w:t>
      </w:r>
      <w:r w:rsidR="00011D89">
        <w:rPr>
          <w:rFonts w:eastAsia="Arial"/>
        </w:rPr>
        <w:t>.</w:t>
      </w:r>
      <w:r w:rsidRPr="00EA205E">
        <w:rPr>
          <w:rFonts w:eastAsia="Arial"/>
        </w:rPr>
        <w:t>g</w:t>
      </w:r>
      <w:r w:rsidR="00011D89">
        <w:rPr>
          <w:rFonts w:eastAsia="Arial"/>
        </w:rPr>
        <w:t>.</w:t>
      </w:r>
      <w:r w:rsidR="00EB660C">
        <w:rPr>
          <w:rFonts w:eastAsia="Arial"/>
        </w:rPr>
        <w:t>,</w:t>
      </w:r>
      <w:r w:rsidRPr="00EA205E">
        <w:rPr>
          <w:rFonts w:eastAsia="Arial"/>
        </w:rPr>
        <w:t xml:space="preserve"> climatic and soil) and biotic (e</w:t>
      </w:r>
      <w:r w:rsidR="00913C8C">
        <w:rPr>
          <w:rFonts w:eastAsia="Arial"/>
        </w:rPr>
        <w:t>.</w:t>
      </w:r>
      <w:r w:rsidRPr="00EA205E">
        <w:rPr>
          <w:rFonts w:eastAsia="Arial"/>
        </w:rPr>
        <w:t>g</w:t>
      </w:r>
      <w:r w:rsidR="00913C8C">
        <w:rPr>
          <w:rFonts w:eastAsia="Arial"/>
        </w:rPr>
        <w:t>.</w:t>
      </w:r>
      <w:r w:rsidRPr="00EA205E">
        <w:rPr>
          <w:rFonts w:eastAsia="Arial"/>
        </w:rPr>
        <w:t xml:space="preserve">, species occurrence) data to estimate suitable environmental space that is likely to sustain members of a given species. Niche modeling of fungi can clarify species distributions and predict suitable habitat under present and future climate. </w:t>
      </w:r>
      <w:r w:rsidRPr="00EA205E">
        <w:t xml:space="preserve">We applied </w:t>
      </w:r>
      <w:r w:rsidR="00A04B29">
        <w:t xml:space="preserve">maximum entropy </w:t>
      </w:r>
      <w:r w:rsidRPr="00EA205E">
        <w:t>niche modeling</w:t>
      </w:r>
      <w:r w:rsidR="00A04B29">
        <w:t xml:space="preserve"> (</w:t>
      </w:r>
      <w:proofErr w:type="spellStart"/>
      <w:r w:rsidR="00A04B29" w:rsidRPr="00EA205E">
        <w:t>MaxEnt</w:t>
      </w:r>
      <w:proofErr w:type="spellEnd"/>
      <w:r w:rsidR="00A04B29">
        <w:t>)</w:t>
      </w:r>
      <w:r w:rsidRPr="00EA205E">
        <w:t xml:space="preserve"> to an ectomycorrhizal fungus, </w:t>
      </w:r>
      <w:proofErr w:type="spellStart"/>
      <w:r w:rsidRPr="00EA205E">
        <w:rPr>
          <w:i/>
          <w:iCs/>
        </w:rPr>
        <w:t>Suillus</w:t>
      </w:r>
      <w:proofErr w:type="spellEnd"/>
      <w:r w:rsidRPr="00EA205E">
        <w:rPr>
          <w:i/>
          <w:iCs/>
        </w:rPr>
        <w:t xml:space="preserve"> </w:t>
      </w:r>
      <w:proofErr w:type="spellStart"/>
      <w:r w:rsidRPr="00EA205E">
        <w:rPr>
          <w:i/>
          <w:iCs/>
        </w:rPr>
        <w:t>spraguei</w:t>
      </w:r>
      <w:proofErr w:type="spellEnd"/>
      <w:r w:rsidRPr="00EA205E">
        <w:t xml:space="preserve">, and its tree symbiont, </w:t>
      </w:r>
      <w:r w:rsidRPr="00EA205E">
        <w:rPr>
          <w:i/>
          <w:iCs/>
        </w:rPr>
        <w:t xml:space="preserve">Pinus </w:t>
      </w:r>
      <w:proofErr w:type="spellStart"/>
      <w:r w:rsidRPr="00EA205E">
        <w:rPr>
          <w:i/>
          <w:iCs/>
        </w:rPr>
        <w:t>strobus</w:t>
      </w:r>
      <w:proofErr w:type="spellEnd"/>
      <w:r w:rsidRPr="00EA205E">
        <w:t xml:space="preserve">, under current and future climate scenarios to determine which climate variables best predict these distributions, and whether species ranges and niche overlap change for these symbionts across current and future climate. The most important climate variables for the fungal species niche are related to precipitation and temperature, which is </w:t>
      </w:r>
      <w:proofErr w:type="gramStart"/>
      <w:r w:rsidRPr="00EA205E">
        <w:t>similar to</w:t>
      </w:r>
      <w:proofErr w:type="gramEnd"/>
      <w:r w:rsidRPr="00EA205E">
        <w:t xml:space="preserve"> most plant and animal distributions. The most important climate variables remained largely the same between fungus and tree symbiont in each climate scenario. Niche overlap for the species pair did not change significantly between current and future climates except in one extreme warming scenario, suggesting the two species will continue to rely on similar environmental variables. However, we found a 36.3% mean decrease in suitable habitat area for the fungal species and a 9.59% mean decrease for the tree under future climate conditions compared to current climate conditions, indicating that </w:t>
      </w:r>
      <w:proofErr w:type="spellStart"/>
      <w:r w:rsidRPr="00EA205E">
        <w:rPr>
          <w:i/>
          <w:iCs/>
        </w:rPr>
        <w:t>Suillus</w:t>
      </w:r>
      <w:proofErr w:type="spellEnd"/>
      <w:r w:rsidRPr="00EA205E">
        <w:rPr>
          <w:i/>
          <w:iCs/>
        </w:rPr>
        <w:t xml:space="preserve"> </w:t>
      </w:r>
      <w:proofErr w:type="spellStart"/>
      <w:r w:rsidRPr="00EA205E">
        <w:rPr>
          <w:i/>
          <w:iCs/>
        </w:rPr>
        <w:t>spraguei</w:t>
      </w:r>
      <w:proofErr w:type="spellEnd"/>
      <w:r w:rsidRPr="00EA205E">
        <w:t xml:space="preserve"> is at greater risk of habitat loss due to</w:t>
      </w:r>
      <w:r w:rsidRPr="00EA205E">
        <w:rPr>
          <w:rFonts w:eastAsia="Arial"/>
          <w:color w:val="000000"/>
        </w:rPr>
        <w:t xml:space="preserve"> increased carbon emissions and climate warming.</w:t>
      </w:r>
    </w:p>
    <w:p w14:paraId="3C3CDEB4" w14:textId="5A28561B" w:rsidR="00236E6D" w:rsidRDefault="00EA205E" w:rsidP="00B50F5D">
      <w:pPr>
        <w:pStyle w:val="Heading2"/>
        <w:spacing w:line="360" w:lineRule="auto"/>
      </w:pPr>
      <w:bookmarkStart w:id="100" w:name="_Toc102048040"/>
      <w:bookmarkEnd w:id="98"/>
      <w:bookmarkEnd w:id="99"/>
      <w:r>
        <w:t>I</w:t>
      </w:r>
      <w:r w:rsidR="007E3466">
        <w:t>ntroduction</w:t>
      </w:r>
      <w:bookmarkEnd w:id="100"/>
    </w:p>
    <w:p w14:paraId="72FCBD26" w14:textId="271D943B" w:rsidR="00E51E8B" w:rsidRPr="00BC723B" w:rsidRDefault="00E51E8B" w:rsidP="00E51E8B">
      <w:pPr>
        <w:spacing w:line="360" w:lineRule="auto"/>
      </w:pPr>
      <w:r>
        <w:rPr>
          <w:rFonts w:eastAsia="Arial"/>
          <w:color w:val="000000"/>
        </w:rPr>
        <w:tab/>
      </w:r>
      <w:r w:rsidRPr="006370E0">
        <w:rPr>
          <w:rFonts w:eastAsia="Arial"/>
          <w:color w:val="000000"/>
        </w:rPr>
        <w:t xml:space="preserve">Ecological niche models, also known as species distribution models, are a common method for incorporating occurrence data and climate variables to predict the potential distribution of a </w:t>
      </w:r>
      <w:r w:rsidRPr="006370E0">
        <w:rPr>
          <w:rFonts w:eastAsia="Arial"/>
          <w:color w:val="000000" w:themeColor="text1"/>
        </w:rPr>
        <w:t xml:space="preserve">species </w:t>
      </w:r>
      <w:r w:rsidRPr="00BC723B">
        <w:rPr>
          <w:rFonts w:eastAsia="Arial"/>
          <w:color w:val="000000" w:themeColor="text1"/>
        </w:rPr>
        <w:fldChar w:fldCharType="begin" w:fldLock="1"/>
      </w:r>
      <w:r w:rsidR="006E1F09">
        <w:rPr>
          <w:rFonts w:eastAsia="Arial"/>
          <w:color w:val="000000" w:themeColor="text1"/>
        </w:rPr>
        <w:instrText>ADDIN CSL_CITATION {"citationItems":[{"id":"ITEM-1","itemData":{"DOI":"10.1086/378926","ISSN":"00335770","PMID":"14737826","abstract":"Species' invasions have long been regarded as enormously complex processes, so complex as to defy predictivity. Phases of this process, however, are emerging as highly predictable: the potential geographic course of an invasion can be anticipated with high precision based on the ecological niche characteristics of a species in its native geographic distributional area. This predictivity depends on the premise that ecological niches constitute long-term stable constraints on the potential geographic distributions of species, for which a sizeable body of evidence is accumulating. Hence, although the entire invasion process is indeed complex, the geographic course that invasions are able to take can be anticipated with considerable confidence.","author":[{"dropping-particle":"","family":"Peterson","given":"A. Townsend","non-dropping-particle":"","parse-names":false,"suffix":""}],"container-title":"Quarterly Review of Biology","id":"ITEM-1","issue":"4","issued":{"date-parts":[["2003"]]},"page":"419-433","title":"Predicting the geography of species' invasions via ecological niche modeling","type":"article-journal","volume":"78"},"uris":["http://www.mendeley.com/documents/?uuid=dbdbc3e4-700f-46a3-96ef-2a2425464d9c"]},{"id":"ITEM-2","itemData":{"DOI":"10.1016/j.ecolmodel.2005.03.026","ISSN":"14666650","abstract":"The United States Environmental Protection Agency's Community Multiscale Air Quality (CMAQ) regional-scale model is used to study concentrations and dry deposition of nitrogen species in North Carolina (NC) during the summer season. Each modelled and measured species featured a similar diurnal trend. A process budget analysis (production and removal evaluation) of NO, NO2, and NOY depicted the model's capability to evaluate various process contributions. Dry deposition of NH3 contributed 34.2 ± 57.9 μg N m-2 hr-1; whereas HNO3 contributed slightly larger dry deposition of nitrogen, 35.2 ± 16.0 μg N m -2 hr-1, in NC. NH4+ and NO 3 hourly-averaged wet deposition fluxes were calculated as 37.3 ± 19.7 μg N m-2 hr-1 and 40.6 ± 11.8 μg N m-2 hr-1, respectively. Examination of total nitrogen deposition during the summer season in NC found that NH3 contributes approximately 50% of the dry deposition and NO3- contributes approximately 50% of the wet deposition. Copyright © 2006 Inderscience Enterprises Ltd.","author":[{"dropping-particle":"","family":"Phillips","given":"Sharon B.","non-dropping-particle":"","parse-names":false,"suffix":""},{"dropping-particle":"","family":"Aneja","given":"Viney P.","non-dropping-particle":"","parse-names":false,"suffix":""},{"dropping-particle":"","family":"Kang","given":"Daiwen","non-dropping-particle":"","parse-names":false,"suffix":""},{"dropping-particle":"","family":"Arya","given":"S. Pal","non-dropping-particle":"","parse-names":false,"suffix":""}],"container-title":"International Journal of Global Environmental Issues","id":"ITEM-2","issue":"2-3","issued":{"date-parts":[["2006"]]},"page":"231-252","title":"Modelling and analysis of the atmospheric nitrogen deposition in North Carolina","type":"article-journal","volume":"6"},"uris":["http://www.mendeley.com/documents/?uuid=b2fb8c9c-9cef-4a3a-a606-b1d7ae0d4e40"]}],"mendeley":{"formattedCitation":"(Peterson, 2003; Phillips et al., 2006)","plainTextFormattedCitation":"(Peterson, 2003; Phillips et al., 2006)","previouslyFormattedCitation":"(Peterson, 2003; Phillips et al., 2006)"},"properties":{"noteIndex":0},"schema":"https://github.com/citation-style-language/schema/raw/master/csl-citation.json"}</w:instrText>
      </w:r>
      <w:r w:rsidRPr="00BC723B">
        <w:rPr>
          <w:rFonts w:eastAsia="Arial"/>
          <w:color w:val="000000" w:themeColor="text1"/>
        </w:rPr>
        <w:fldChar w:fldCharType="separate"/>
      </w:r>
      <w:r w:rsidR="00CE6085" w:rsidRPr="00CE6085">
        <w:rPr>
          <w:rFonts w:eastAsia="Arial"/>
          <w:noProof/>
          <w:color w:val="000000" w:themeColor="text1"/>
        </w:rPr>
        <w:t>(Peterson, 2003; Phillips et al., 2006)</w:t>
      </w:r>
      <w:r w:rsidRPr="00BC723B">
        <w:rPr>
          <w:rFonts w:eastAsia="Arial"/>
          <w:color w:val="000000" w:themeColor="text1"/>
        </w:rPr>
        <w:fldChar w:fldCharType="end"/>
      </w:r>
      <w:r w:rsidRPr="00BC723B">
        <w:rPr>
          <w:rFonts w:eastAsia="Arial"/>
          <w:color w:val="000000" w:themeColor="text1"/>
        </w:rPr>
        <w:t xml:space="preserve">. Due </w:t>
      </w:r>
      <w:r w:rsidRPr="00BC723B">
        <w:rPr>
          <w:rFonts w:eastAsia="Arial"/>
          <w:color w:val="000000"/>
        </w:rPr>
        <w:t xml:space="preserve">to the </w:t>
      </w:r>
      <w:r w:rsidRPr="00833AD0">
        <w:rPr>
          <w:rFonts w:eastAsia="Arial"/>
          <w:color w:val="000000"/>
        </w:rPr>
        <w:t>growing</w:t>
      </w:r>
      <w:r w:rsidRPr="00495CA3">
        <w:rPr>
          <w:rFonts w:eastAsia="Arial"/>
          <w:color w:val="000000"/>
        </w:rPr>
        <w:t xml:space="preserve"> amount of biological and climatic data available through open source databases</w:t>
      </w:r>
      <w:r w:rsidRPr="00317D28">
        <w:rPr>
          <w:rFonts w:eastAsia="Arial"/>
          <w:color w:val="000000"/>
        </w:rPr>
        <w:t xml:space="preserve"> (e.g.</w:t>
      </w:r>
      <w:r w:rsidR="000A0D44">
        <w:rPr>
          <w:rFonts w:eastAsia="Arial"/>
          <w:color w:val="000000"/>
        </w:rPr>
        <w:t>,</w:t>
      </w:r>
      <w:r w:rsidRPr="00317D28">
        <w:rPr>
          <w:rFonts w:eastAsia="Arial"/>
          <w:color w:val="000000"/>
        </w:rPr>
        <w:t xml:space="preserve"> </w:t>
      </w:r>
      <w:r w:rsidRPr="00D02948">
        <w:rPr>
          <w:rFonts w:eastAsia="Arial"/>
          <w:color w:val="000000"/>
        </w:rPr>
        <w:t xml:space="preserve">GBIF (http://www.gbif.org), </w:t>
      </w:r>
      <w:proofErr w:type="spellStart"/>
      <w:r w:rsidRPr="00D02948">
        <w:rPr>
          <w:rFonts w:eastAsia="Arial"/>
        </w:rPr>
        <w:t>WorldClim</w:t>
      </w:r>
      <w:proofErr w:type="spellEnd"/>
      <w:r w:rsidRPr="00CE1D29">
        <w:rPr>
          <w:rFonts w:eastAsia="Arial"/>
        </w:rPr>
        <w:t xml:space="preserve"> (</w:t>
      </w:r>
      <w:r w:rsidRPr="00CE1D29">
        <w:t>http://www.worldclim.org)</w:t>
      </w:r>
      <w:r w:rsidRPr="00CE1D29">
        <w:rPr>
          <w:rFonts w:eastAsia="Arial"/>
        </w:rPr>
        <w:t xml:space="preserve">), ecological </w:t>
      </w:r>
      <w:r w:rsidRPr="00CE1D29">
        <w:rPr>
          <w:rFonts w:eastAsia="Arial"/>
          <w:color w:val="000000"/>
        </w:rPr>
        <w:t xml:space="preserve">niche models incorporating presence-only </w:t>
      </w:r>
      <w:r w:rsidRPr="006370E0">
        <w:rPr>
          <w:rFonts w:eastAsia="Arial"/>
          <w:color w:val="000000"/>
        </w:rPr>
        <w:t xml:space="preserve">occurrence data have become more popular </w:t>
      </w:r>
      <w:r w:rsidRPr="00BC723B">
        <w:rPr>
          <w:rFonts w:eastAsia="Arial"/>
          <w:color w:val="000000"/>
        </w:rPr>
        <w:fldChar w:fldCharType="begin" w:fldLock="1"/>
      </w:r>
      <w:r w:rsidR="006E1F09">
        <w:rPr>
          <w:rFonts w:eastAsia="Arial"/>
          <w:color w:val="000000"/>
        </w:rPr>
        <w:instrText>ADDIN CSL_CITATION {"citationItems":[{"id":"ITEM-1","itemData":{"DOI":"10.1093/condor/103.3.599","ISSN":"0010-5422","abstract":"Recent developments in geographic information systems and their application to conservation biology open doors to exciting new synthetic analyses. Exploration of these possibilities, however, is limited by the quality of information available: most biodiversity data are incomplete and characterized by biased sampling. Inferential procedures that provide robust and reliable predictions of species' geographic distributions thus become critical to biodiversity analyses. In this contribution, models of species' ecological niches are developed using an artificial-intelligence algorithm, and projected onto geography to predict species' distributions. To test the validity of this approach, I used North American Breeding Bird Survey data, with large sample sizes for many species. I omitted randomly selected states from model building, and tested models using the omitted states. For the 34 species tested, all predictions were highly statistically significant (all P &lt; 0.001), indicating excellent predictive ability. This inferential capacity opens doors to many synthetic analyses based on primary point occurrence data.Predicción de Áreas de Distribución de Especies con Pase en Modelaje de Nichos EcológicosResumen. Avances recientes en los sistemas de información geográfica y su aplicación en la biología de conservación presentan la posibilidad de analisis nuevos y sintéticos. La exploración de estas posibilidades, de todas formas, se limita por la calidad de información disponible: la gran mayoria de datos respecto a la diversidad biológica son incompletos y sesgados. Por eso, procedimientos de inferencia que proveen predicciones robustas y confiables de distribuciones de especies se hacen importantes para los análisis de la biodiversidad. En esta contribución, se desarrollan modelos de los nichos ecológicos por medio de un algoritmo de inteligencia artificial, y los proyeccionamos en la geografía para predecir las distribuciones geográficas de especies. Para probar el método, se usan los datos del North American Breeding Bird Survey, con tamaños de muestra grande. Se construyeron modelos con base en 30 estados unidenses seleccionados al azar, y se probaron los modelos con base en los 20 estados restantes. De las 34 especies que se analizaron, todos mostraron un alto grado de significanza estadística (todos P &lt; 0.001), lo cual indica un alto grado de predictividad. Esta capacidad de inferencia abre la puerta a varios analisis sintéticos con base en puntos conocid…","author":[{"dropping-particle":"","family":"Peterson","given":"A. Townsend","non-dropping-particle":"","parse-names":false,"suffix":""}],"container-title":"The Condor","id":"ITEM-1","issue":"3","issued":{"date-parts":[["2001"]]},"page":"599-605","title":"Predicting Species' Geographic Distributions Based on Ecological Niche Modeling","type":"article-journal","volume":"103"},"uris":["http://www.mendeley.com/documents/?uuid=56600458-4185-427b-922a-b41ca554c218"]}],"mendeley":{"formattedCitation":"(Peterson, 2001)","plainTextFormattedCitation":"(Peterson, 2001)","previouslyFormattedCitation":"(Peterson, 2001)"},"properties":{"noteIndex":0},"schema":"https://github.com/citation-style-language/schema/raw/master/csl-citation.json"}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(Peterson, 2001)</w:t>
      </w:r>
      <w:r w:rsidRPr="00BC723B">
        <w:rPr>
          <w:rFonts w:eastAsia="Arial"/>
          <w:color w:val="000000"/>
        </w:rPr>
        <w:fldChar w:fldCharType="end"/>
      </w:r>
      <w:r w:rsidRPr="00BC723B">
        <w:rPr>
          <w:rFonts w:eastAsia="Arial"/>
          <w:color w:val="000000"/>
        </w:rPr>
        <w:t>. So far, ecological niche models have</w:t>
      </w:r>
      <w:r w:rsidRPr="00833AD0">
        <w:rPr>
          <w:rFonts w:eastAsia="Arial"/>
          <w:color w:val="000000"/>
        </w:rPr>
        <w:t xml:space="preserve"> largely been used to circumscribe plant and animal species distributions</w:t>
      </w:r>
      <w:r w:rsidRPr="00495CA3">
        <w:rPr>
          <w:rFonts w:eastAsia="Arial"/>
          <w:color w:val="000000"/>
        </w:rPr>
        <w:t xml:space="preserve">, with </w:t>
      </w:r>
      <w:r w:rsidRPr="00317D28">
        <w:rPr>
          <w:rFonts w:eastAsia="Arial"/>
          <w:color w:val="000000"/>
        </w:rPr>
        <w:t xml:space="preserve">temperature and precipitation </w:t>
      </w:r>
      <w:r w:rsidRPr="00713426">
        <w:rPr>
          <w:rFonts w:eastAsia="Arial"/>
          <w:color w:val="000000"/>
        </w:rPr>
        <w:t xml:space="preserve">being </w:t>
      </w:r>
      <w:r w:rsidRPr="00D708A2">
        <w:rPr>
          <w:rFonts w:eastAsia="Arial"/>
          <w:color w:val="000000"/>
        </w:rPr>
        <w:t>the prim</w:t>
      </w:r>
      <w:r w:rsidRPr="00AC1C7E">
        <w:rPr>
          <w:rFonts w:eastAsia="Arial"/>
          <w:color w:val="000000"/>
        </w:rPr>
        <w:t xml:space="preserve">ary </w:t>
      </w:r>
      <w:r w:rsidRPr="00D02948">
        <w:rPr>
          <w:rFonts w:eastAsia="Arial"/>
          <w:color w:val="000000"/>
        </w:rPr>
        <w:t xml:space="preserve">abiotic drivers of these distributions </w:t>
      </w:r>
      <w:r w:rsidRPr="00BC723B">
        <w:rPr>
          <w:rFonts w:eastAsia="Arial"/>
          <w:color w:val="000000"/>
        </w:rPr>
        <w:fldChar w:fldCharType="begin" w:fldLock="1"/>
      </w:r>
      <w:r w:rsidR="006E1F09">
        <w:rPr>
          <w:rFonts w:eastAsia="Arial"/>
          <w:color w:val="000000"/>
        </w:rPr>
        <w:instrText>ADDIN CSL_CITATION {"citationItems":[{"id":"ITEM-1","itemData":{"DOI":"10.1111/jbi.12894","ISSN":"13652699","abstract":"Aim: To synthesize the species distribution modelling (SDM) literature to inform which variables have been used in MaxEnt models for different taxa and to quantify how frequently they have been important for species’ distributions. Location: Global. Methods: We conducted a quantitative synthesis analysing the contribution of over 400 distinct environmental variables to 2040 MaxEnt SDMs for nearly 1900 species representing over 300 families. Environmental variables were grouped into 24 related factors and results were analysed by examining the frequency with which variables were found to be most important, the mean contribution of each variable (at various taxonomic levels), and using TrueSkill™, a Bayesian skill rating system. Results: Precipitation, temperature, bathymetry, distance to water and habitat patch characteristics were the most important variables overall. Precipitation and temperature were analysed most frequently and one of these variables was often the most important predictor in the model (nearly 80% of models, when tested). Notably, distance to water was the most important variable in the highest proportion of models in which it was tested (42% of 225 models). For terrestrial species, precipitation, temperature and distance to water had the highest overall contributions, whereas for aquatic species, bathymetry, precipitation and temperature were most important. Main conclusions: Over all MaxEnt models published, the ability to discriminate occurrence from reference sites was high (average AUC = 0.92). Much of this discriminatory ability was due to temperature and precipitation variables. Further, variability (temperature) and extremes (minimum precipitation) were the most predictive. More generally, the most commonly tested variables were not always the most predictive, with, for instance, ‘distance to water’ infrequently tested, but found to be very important when it was. Thus, the results from this study summarize the MaxEnt SDM literature, and can aid in variable selection by identifying underutilized, but potentially important variables, which could be incorporated in future modelling efforts.","author":[{"dropping-particle":"","family":"Bradie","given":"Johanna","non-dropping-particle":"","parse-names":false,"suffix":""},{"dropping-particle":"","family":"Leung","given":"Brian","non-dropping-particle":"","parse-names":false,"suffix":""}],"container-title":"Journal of Biogeography","id":"ITEM-1","issue":"6","issued":{"date-parts":[["2017"]]},"page":"1344-1361","title":"A quantitative synthesis of the importance of variables used in MaxEnt species distribution models","type":"article-journal","volume":"44"},"uris":["http://www.mendeley.com/documents/?uuid=dc7b9b05-77b9-409a-adeb-dfc1062c8e57"]}],"mendeley":{"formattedCitation":"(Bradie and Leung, 2017)","plainTextFormattedCitation":"(Bradie and Leung, 2017)","previouslyFormattedCitation":"(Bradie and Leung, 2017)"},"properties":{"noteIndex":0},"schema":"https://github.com/citation-style-language/schema/raw/master/csl-citation.json"}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(Bradie and Leung, 2017)</w:t>
      </w:r>
      <w:r w:rsidRPr="00BC723B">
        <w:rPr>
          <w:rFonts w:eastAsia="Arial"/>
          <w:color w:val="000000"/>
        </w:rPr>
        <w:fldChar w:fldCharType="end"/>
      </w:r>
      <w:r w:rsidRPr="00BC723B">
        <w:rPr>
          <w:rFonts w:eastAsia="Arial"/>
          <w:color w:val="000000"/>
        </w:rPr>
        <w:t xml:space="preserve">. </w:t>
      </w:r>
      <w:r w:rsidRPr="00833AD0">
        <w:rPr>
          <w:rFonts w:eastAsia="Arial"/>
          <w:color w:val="000000"/>
        </w:rPr>
        <w:t>However,</w:t>
      </w:r>
      <w:r w:rsidRPr="00495CA3">
        <w:rPr>
          <w:rFonts w:eastAsia="Arial"/>
          <w:color w:val="000000"/>
        </w:rPr>
        <w:t xml:space="preserve"> little modeling has been done to elucidate which climatic variables</w:t>
      </w:r>
      <w:r w:rsidRPr="00317D28">
        <w:rPr>
          <w:rFonts w:eastAsia="Arial"/>
          <w:color w:val="000000"/>
        </w:rPr>
        <w:t xml:space="preserve"> </w:t>
      </w:r>
      <w:r w:rsidRPr="00D02948">
        <w:rPr>
          <w:rFonts w:eastAsia="Arial"/>
          <w:color w:val="000000"/>
        </w:rPr>
        <w:t>presently restrict fungal distributions. Additionally, d</w:t>
      </w:r>
      <w:r w:rsidRPr="00CE1D29">
        <w:rPr>
          <w:rFonts w:eastAsia="Arial"/>
          <w:color w:val="000000"/>
        </w:rPr>
        <w:t>espite understanding the role fungi play in varying forest ecosystems</w:t>
      </w:r>
      <w:r w:rsidRPr="006370E0">
        <w:rPr>
          <w:rFonts w:eastAsia="Arial"/>
          <w:color w:val="000000"/>
        </w:rPr>
        <w:t xml:space="preserve">, it remains unknown how fungal </w:t>
      </w:r>
      <w:r w:rsidRPr="006370E0">
        <w:rPr>
          <w:rFonts w:eastAsia="Arial"/>
          <w:color w:val="000000"/>
        </w:rPr>
        <w:lastRenderedPageBreak/>
        <w:t xml:space="preserve">distributions are expected to change under future climate scenarios, especially in the context of mutualisms </w:t>
      </w:r>
      <w:r w:rsidRPr="00BC723B">
        <w:rPr>
          <w:rFonts w:eastAsia="Arial"/>
          <w:color w:val="000000"/>
        </w:rPr>
        <w:fldChar w:fldCharType="begin" w:fldLock="1"/>
      </w:r>
      <w:r w:rsidR="006E1F09">
        <w:rPr>
          <w:rFonts w:eastAsia="Arial"/>
          <w:color w:val="000000"/>
        </w:rPr>
        <w:instrText>ADDIN CSL_CITATION {"citationItems":[{"id":"ITEM-1","itemData":{"DOI":"10.1023/B:MITI.0000029922.31110.97","ISSN":"13812386","abstract":"All plants studied in natural ecosystems are symbiotic with fungi that either reside entirely (endophytes) or partially (mycorrhizae) within plants. These symbioses appear to adapt to biotic and abiotic stresses and may be responsible for the survival of both plant hosts and fungal symbionts in high stress habitats. Here we describe the role of symbiotic fungi in plant stress tolerance and present a strategy based on adaptive symbiosis to potentially mitigate the impacts of global change on plant communities.","author":[{"dropping-particle":"","family":"Rodriguez","given":"Russell J.","non-dropping-particle":"","parse-names":false,"suffix":""},{"dropping-particle":"","family":"Redman","given":"Regina S.","non-dropping-particle":"","parse-names":false,"suffix":""},{"dropping-particle":"","family":"Henson","given":"Joan M.","non-dropping-particle":"","parse-names":false,"suffix":""}],"container-title":"Mitigation and Adaptation Strategies for Global Change","id":"ITEM-1","issue":"3","issued":{"date-parts":[["2004"]]},"page":"261-272","title":"The role of fungal symbioses in the adaptation of plants to high stress environments","type":"article-journal","volume":"9"},"uris":["http://www.mendeley.com/documents/?uuid=7deae51b-be18-4f1c-b1b2-a186d4335906"]},{"id":"ITEM-2","itemData":{"DOI":"10.4161/psb.6.2.14146","ISSN":"15592316","abstract":"Fungal symbionts have been found associated with every plant studied in natural ecosystem, where they colonize and reside entirely in the internal tissues of their host plant or partially. Fungal endophytes can express/form a range of different lifestyle/relationships with different host including symbiotic, mutualistic, commensalistic and parasitic in response to host genotype and environmental factors. in mutualistic association fungal endophyte can enhance growth, increase reproductive success and confer biotic and abiotic stress tolerance to its host plant. Since abiotic stress such as, drought, high soil salinity, heat, cold, oxidative stress, heavy metal toxicity is the common adverse environmental conditions that affect and limit crop productivity worldwide. it may be a promising alternative strategy to exploit fungal endophytes to overcome the limitations to crop production brought by abiotic stress. There is increasing interest in developing the potential biotechnological applications of fungal endophytes for improving plant stress tolerance and sustainable production of food crops. Here we have described the fungal symbioses, fungal symbionts and their role in abiotic stress tolerance. A putative mechanism of stress tolerance by symbionts has also been covered. © 2011 Landes Bioscience.","author":[{"dropping-particle":"","family":"Singh","given":"Lamabam Peter","non-dropping-particle":"","parse-names":false,"suffix":""},{"dropping-particle":"","family":"Gill","given":"Sarvajeet Singh","non-dropping-particle":"","parse-names":false,"suffix":""},{"dropping-particle":"","family":"Tuteja","given":"Narendra","non-dropping-particle":"","parse-names":false,"suffix":""}],"container-title":"Plant Signaling and Behavior","id":"ITEM-2","issue":"2","issued":{"date-parts":[["2011"]]},"page":"175-191","title":"Unraveling the role of fungal symbionts in plant abiotic stress tolerance","type":"article-journal","volume":"6"},"uris":["http://www.mendeley.com/documents/?uuid=5c76182b-63cd-41df-90d9-cdb5e63fcbb6"]},{"id":"ITEM-3","itemData":{"DOI":"10.1038/srep46221","ISSN":"20452322","abstract":"Effective conservation and utilization strategies for natural biological resources require a clear understanding of the geographic distribution of the target species. Tricholoma matsutake is an ectomycorrhizal (ECM) mushroom with high ecological and economic value. In this study, the potential geographic distribution of T. matsutake under current conditions in China was simulated using MaxEnt software based on species presence data and 24 environmental variables. The future distributions of T. matsutake in the 2050s and 2070s were also projected under the RCP 8.5, RCP 6, RCP 4.5 and RCP 2.6 climate change emission scenarios described in the Special Report on Emissions Scenarios (SRES) by the Intergovernmental Panel on Climate Change (IPCC). The areas of marginally suitable, suitable and highly suitable habitats for T. matsutake in China were approximately 0.22 × 106 km2, 0.14 × 106 km2, and 0.11 × 106 km2, respectively. The model simulations indicated that the area of marginally suitable habitats would undergo a relatively small change under all four climate change scenarios; however, suitable habitats would significantly decrease, and highly suitable habitat would nearly disappear. Our results will be influential in the future ecological conservation and management of T. matsutake and can be used as a reference for studies on other ectomycorrhizal mushroom species.","author":[{"dropping-particle":"","family":"Guo","given":"Yanlong","non-dropping-particle":"","parse-names":false,"suffix":""},{"dropping-particle":"","family":"Li","given":"Xin","non-dropping-particle":"","parse-names":false,"suffix":""},{"dropping-particle":"","family":"Zhao","given":"Zefang","non-dropping-particle":"","parse-names":false,"suffix":""},{"dropping-particle":"","family":"Wei","given":"Haiyan","non-dropping-particle":"","parse-names":false,"suffix":""},{"dropping-particle":"","family":"Gao","given":"Bei","non-dropping-particle":"","parse-names":false,"suffix":""},{"dropping-particle":"","family":"Gu","given":"Wei","non-dropping-particle":"","parse-names":false,"suffix":""}],"container-title":"Scientific Reports","id":"ITEM-3","issue":"April","issued":{"date-parts":[["2017"]]},"page":"1-11","publisher":"Nature Publishing Group","title":"Prediction of the potential geographic distribution of the ectomycorrhizal mushroom Tricholoma matsutake under multiple climate change scenarios","type":"article-journal","volume":"7"},"uris":["http://www.mendeley.com/documents/?uuid=539241ee-c90a-4f47-b486-03b0478149aa"]}],"mendeley":{"formattedCitation":"(Rodriguez et al., 2004; Singh et al., 2011; Guo et al., 2017)","plainTextFormattedCitation":"(Rodriguez et al., 2004; Singh et al., 2011; Guo et al., 2017)","previouslyFormattedCitation":"(Rodriguez et al., 2004; Singh et al., 2011; Guo et al., 2017)"},"properties":{"noteIndex":0},"schema":"https://github.com/citation-style-language/schema/raw/master/csl-citation.json"}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(Rodriguez et al., 2004; Singh et al., 2011; Guo et al., 2017)</w:t>
      </w:r>
      <w:r w:rsidRPr="00BC723B">
        <w:rPr>
          <w:rFonts w:eastAsia="Arial"/>
          <w:color w:val="000000"/>
        </w:rPr>
        <w:fldChar w:fldCharType="end"/>
      </w:r>
      <w:r w:rsidRPr="00BC723B">
        <w:rPr>
          <w:color w:val="000000" w:themeColor="text1"/>
        </w:rPr>
        <w:t>.</w:t>
      </w:r>
    </w:p>
    <w:p w14:paraId="64F1529D" w14:textId="53A16847" w:rsidR="00E51E8B" w:rsidRPr="00BC723B" w:rsidRDefault="00E51E8B" w:rsidP="00E51E8B">
      <w:pPr>
        <w:pBdr>
          <w:top w:val="nil"/>
          <w:left w:val="nil"/>
          <w:bottom w:val="nil"/>
          <w:right w:val="nil"/>
          <w:between w:val="nil"/>
        </w:pBdr>
        <w:spacing w:line="360" w:lineRule="auto"/>
        <w:rPr>
          <w:rFonts w:eastAsia="Arial"/>
          <w:color w:val="000000"/>
        </w:rPr>
      </w:pPr>
      <w:r w:rsidRPr="00833AD0">
        <w:rPr>
          <w:rFonts w:eastAsia="Arial"/>
          <w:color w:val="FF0000"/>
        </w:rPr>
        <w:tab/>
      </w:r>
      <w:r w:rsidRPr="00495CA3">
        <w:rPr>
          <w:rFonts w:eastAsia="Arial"/>
          <w:color w:val="000000" w:themeColor="text1"/>
        </w:rPr>
        <w:t>Herbarium records</w:t>
      </w:r>
      <w:r w:rsidRPr="00317D28">
        <w:rPr>
          <w:rFonts w:eastAsia="Arial"/>
          <w:color w:val="000000" w:themeColor="text1"/>
        </w:rPr>
        <w:t xml:space="preserve"> </w:t>
      </w:r>
      <w:r w:rsidRPr="00D02948">
        <w:rPr>
          <w:rFonts w:eastAsia="Arial"/>
          <w:color w:val="000000" w:themeColor="text1"/>
        </w:rPr>
        <w:t xml:space="preserve">for plants are a </w:t>
      </w:r>
      <w:r w:rsidRPr="00CE1D29">
        <w:rPr>
          <w:rFonts w:eastAsia="Arial"/>
          <w:color w:val="000000" w:themeColor="text1"/>
        </w:rPr>
        <w:t>commonly used source for occurrence data used in</w:t>
      </w:r>
      <w:r w:rsidRPr="006370E0">
        <w:rPr>
          <w:rFonts w:eastAsia="Arial"/>
          <w:color w:val="000000" w:themeColor="text1"/>
        </w:rPr>
        <w:t xml:space="preserve"> ecological niche models </w:t>
      </w:r>
      <w:r w:rsidRPr="00BC723B">
        <w:rPr>
          <w:rFonts w:eastAsia="Arial"/>
          <w:color w:val="000000" w:themeColor="text1"/>
        </w:rPr>
        <w:fldChar w:fldCharType="begin" w:fldLock="1"/>
      </w:r>
      <w:r w:rsidR="006E1F09">
        <w:rPr>
          <w:rFonts w:eastAsia="Arial"/>
          <w:color w:val="000000" w:themeColor="text1"/>
        </w:rPr>
        <w:instrText>ADDIN CSL_CITATION {"citationItems":[{"id":"ITEM-1","itemData":{"DOI":"10.1111/j.1365-2699.2008.01965.x","ISSN":"03050270","abstract":"Aim: The main aims of this study are: (1) to test if temperature and related parameters are the primary determinants of the regional distribution of macrofungi (as is commonly recognized for plants); (2) to test if the success of modelling fungal distribution patterns depends on species and distribution characteristics; and (3) to explore the potential of using herbarium data for modelling and predicting fungal species' distributions. Location: The study area, Norway, spans 58-71° N latitude and 4-32° E longitude, and embraces extensive ecological gradients in a small area. Methods: The study is based on 1020 herbarium collections of nine selected species of macrofungi and a set of 75 environmental predictor variables, all recorded in a 5 x 5-km grid covering Norway. Primarily, generalized linear model (GLM; logistic regression) analyses were used to identify the environmental variables that best accounted for the species' recorded distributions in Norway. Second, Maxent analyses (using variables identified by GLM) were used to produce predictive potential distribution maps for these species. Results: Variables relating to temperature and radiation were most frequently included in the GLMs, and between 24.8% and 59.8% of the variation in single-species occurrence was accounted for. The fraction of variation explained by the GLMs ranged from 41.6% to 59.8% for species with restricted distributions, and from 24.8% to 39.3% for species with widespread/scattered and intermediate distributions. The two-step procedure of GLM followed by Maxent gave predictions with very high values for the area under the curve (0.927-0.997), and maps of potential distribution were generally credible. Main conclusions: We show that temperature is a key factor governing the distribution of macrofungi in Norway, indicating that fungi may respond strongly to global warming. We confirm that modelling success depends partly on species and distribution characteristics, notably on how the distribution relates to the extent of the study area. Our study demonstrates that the combination of GLM and Maxent may be a fruitful approach for biogeography. We conclude that herbarium data improve insight into factors that control the distributions of fungi, of particular value for research on fleshy fungi (mushrooms), which have largely cryptic life cycles. © 2008 University of Oslo.","author":[{"dropping-particle":"","family":"Wollan","given":"Anders K.","non-dropping-particle":"","parse-names":false,"suffix":""},{"dropping-particle":"","family":"Bakkestuen","given":"Vegar","non-dropping-particle":"","parse-names":false,"suffix":""},{"dropping-particle":"","family":"Kauserud","given":"Håvard","non-dropping-particle":"","parse-names":false,"suffix":""},{"dropping-particle":"","family":"Gulden","given":"Gro","non-dropping-particle":"","parse-names":false,"suffix":""},{"dropping-particle":"","family":"Halvorsen","given":"Rune","non-dropping-particle":"","parse-names":false,"suffix":""}],"container-title":"Journal of Biogeography","id":"ITEM-1","issue":"12","issued":{"date-parts":[["2008"]]},"page":"2298-2310","title":"Modelling and predicting fungal distribution patterns using herbarium data","type":"article-journal","volume":"35"},"uris":["http://www.mendeley.com/documents/?uuid=30b85c27-8afa-45d8-9de7-8e7abae1007f"]},{"id":"ITEM-2","itemData":{"DOI":"10.3390/f5112773","ISSN":"19994907","abstract":"Black locust (Robinia pseudoacacia L.) is a tree species of high economic and ecological value, but is also considered to be highly invasive. Understanding the global potential distribution and ecological characteristics of this species is a prerequisite for its practical exploitation as a resource. Here, a maximum entropy modeling (MaxEnt) was used to simulate the potential distribution of this species around the world, and the dominant climatic factors affecting its distribution were selected by using a jackknife test and the regularized gain change during each iteration of the training algorithm. The results show that the MaxEnt model performs better than random, with an average test AUC value of 0.9165 (±0.0088). The coldness index, annual mean temperature and warmth index were the most important climatic factors affecting the species distribution, explaining 65.79% of the variability in the geographical distribution. Species response curves showed unimodal relationships with the annual mean temperature and warmth index, whereas there was a linear relationship with the coldness index. The dominant climatic conditions in the core of the black locust distribution are a coldness index of -9.8 °C-0 °C, an annual mean temperature of 5.8 °C-14.5 °C, a warmth index of 66 °C-168 °C and an annual precipitation of 508-1867 mm. The potential distribution of black locust is located mainly in the United States, the United Kingdom, Germany, France, the Netherlands, Belgium, Italy, Switzerland, Australia, New Zealand, China, Japan, South Korea, South Africa, Chile and Argentina. The predictive map of black locust, climatic thresholds and species response curves can provide globally applicable guidelines and valuable information for policymakers and planners involved in the introduction, planting and invasion control of this species around the world.","author":[{"dropping-particle":"","family":"Li","given":"Guoqing","non-dropping-particle":"","parse-names":false,"suffix":""},{"dropping-particle":"","family":"Xu","given":"Guanghua","non-dropping-particle":"","parse-names":false,"suffix":""},{"dropping-particle":"","family":"Guo","given":"Ke","non-dropping-particle":"","parse-names":false,"suffix":""},{"dropping-particle":"","family":"Du","given":"Sheng","non-dropping-particle":"","parse-names":false,"suffix":""}],"container-title":"Forests","id":"ITEM-2","issue":"11","issued":{"date-parts":[["2014"]]},"page":"2773-2792","title":"Mapping the global potential geographical distribution of black locust (Robinia Pseudoacacia L.) using herbarium data and a maximum entropy model","type":"article-journal","volume":"5"},"uris":["http://www.mendeley.com/documents/?uuid=3f742b19-eb00-4653-ad8f-5a44794571f0"]}],"mendeley":{"formattedCitation":"(Wollan et al., 2008; Li et al., 2014)","plainTextFormattedCitation":"(Wollan et al., 2008; Li et al., 2014)","previouslyFormattedCitation":"(Wollan et al., 2008; Li et al., 2014)"},"properties":{"noteIndex":0},"schema":"https://github.com/citation-style-language/schema/raw/master/csl-citation.json"}</w:instrText>
      </w:r>
      <w:r w:rsidRPr="00BC723B">
        <w:rPr>
          <w:rFonts w:eastAsia="Arial"/>
          <w:color w:val="000000" w:themeColor="text1"/>
        </w:rPr>
        <w:fldChar w:fldCharType="separate"/>
      </w:r>
      <w:r w:rsidR="00CE6085" w:rsidRPr="00CE6085">
        <w:rPr>
          <w:rFonts w:eastAsia="Arial"/>
          <w:noProof/>
          <w:color w:val="000000" w:themeColor="text1"/>
        </w:rPr>
        <w:t>(Wollan et al., 2008; Li et al., 2014)</w:t>
      </w:r>
      <w:r w:rsidRPr="00BC723B">
        <w:rPr>
          <w:rFonts w:eastAsia="Arial"/>
          <w:color w:val="000000" w:themeColor="text1"/>
        </w:rPr>
        <w:fldChar w:fldCharType="end"/>
      </w:r>
      <w:r w:rsidRPr="00BC723B">
        <w:rPr>
          <w:rFonts w:eastAsia="Arial"/>
          <w:color w:val="000000" w:themeColor="text1"/>
        </w:rPr>
        <w:t xml:space="preserve">. Similarly, upwards of seven million fungal herbarium records are currently accessible through </w:t>
      </w:r>
      <w:proofErr w:type="spellStart"/>
      <w:r w:rsidRPr="00BC723B">
        <w:rPr>
          <w:rFonts w:eastAsia="Arial"/>
          <w:color w:val="000000" w:themeColor="text1"/>
        </w:rPr>
        <w:t>MycoPortal</w:t>
      </w:r>
      <w:proofErr w:type="spellEnd"/>
      <w:r w:rsidRPr="00BC723B">
        <w:rPr>
          <w:rFonts w:eastAsia="Arial"/>
          <w:color w:val="000000" w:themeColor="text1"/>
        </w:rPr>
        <w:t xml:space="preserve"> (http://mycoportal.org). </w:t>
      </w:r>
      <w:r w:rsidRPr="00D02948">
        <w:rPr>
          <w:rFonts w:eastAsia="Arial"/>
          <w:color w:val="000000"/>
        </w:rPr>
        <w:t xml:space="preserve">Given that most fungal occurrences can only be recorded as presence-only data, </w:t>
      </w:r>
      <w:proofErr w:type="spellStart"/>
      <w:r w:rsidRPr="00D02948">
        <w:rPr>
          <w:rFonts w:eastAsia="Arial"/>
          <w:color w:val="000000"/>
        </w:rPr>
        <w:t>MaxEnt</w:t>
      </w:r>
      <w:proofErr w:type="spellEnd"/>
      <w:r w:rsidRPr="00D02948">
        <w:rPr>
          <w:rFonts w:eastAsia="Arial"/>
          <w:color w:val="000000"/>
        </w:rPr>
        <w:t xml:space="preserve"> has served as the best predictive tool for fungi to date. The </w:t>
      </w:r>
      <w:proofErr w:type="spellStart"/>
      <w:r w:rsidRPr="00D02948">
        <w:rPr>
          <w:rFonts w:eastAsia="Arial"/>
          <w:color w:val="000000"/>
        </w:rPr>
        <w:t>MaxEnt</w:t>
      </w:r>
      <w:proofErr w:type="spellEnd"/>
      <w:r w:rsidRPr="00D02948">
        <w:rPr>
          <w:rFonts w:eastAsia="Arial"/>
          <w:color w:val="000000"/>
        </w:rPr>
        <w:t xml:space="preserve"> algorithm has been used to model distributions of parasitic fungi </w:t>
      </w:r>
      <w:r w:rsidRPr="00BC723B">
        <w:rPr>
          <w:rFonts w:eastAsia="Arial"/>
          <w:color w:val="000000"/>
        </w:rPr>
        <w:fldChar w:fldCharType="begin" w:fldLock="1"/>
      </w:r>
      <w:r w:rsidR="006E1F09">
        <w:rPr>
          <w:rFonts w:eastAsia="Arial"/>
          <w:color w:val="000000"/>
        </w:rPr>
        <w:instrText>ADDIN CSL_CITATION {"citationItems":[{"id":"ITEM-1","itemData":{"DOI":"10.1371/journal.pone.0064479","ISSN":"19326203","abstract":"Puccinia psidii sensu lato (s.l.) is an invasive rust fungus threatening a wide range of plant species in the family Myrtaceae. Originating from Central and South America, it has invaded mainland USA and Hawai'i, parts of Asia and Australia. We used CLIMEX to develop a semi-mechanistic global climatic niche model based on new data on the distribution and biology of P. psidii s.l. The model was validated using independent distribution data from recently invaded areas in Australia, China and Japan. We combined this model with distribution data of its potential Myrtaceae host plant species present in Australia to identify areas and ecosystems most at risk. Myrtaceaeous species richness, threatened Myrtaceae and eucalypt plantations within the climatically suitable envelope for P. psidii s.l in Australia were mapped. Globally the model identifies climatically suitable areas for P. psidii s.l. throughout the wet tropics and sub-tropics where moist conditions with moderate temperatures prevail, and also into some cool regions with a mild Mediterranean climate. In Australia, the map of species richness of Myrtaceae within the P. psidii s.l. climatic envelope shows areas where epidemics are hypothetically more likely to be frequent and severe. These hotspots for epidemics are along the eastern coast of New South Wales, including the Sydney Basin, in the Brisbane and Cairns areas in Queensland, and in the coastal region from the south of Bunbury to Esperance in Western Australia. This new climatic niche model for P. psidii s.l. indicates a higher degree of cold tolerance; and hence a potential range that extends into higher altitudes and latitudes than has been indicated previously. The methods demonstrated here provide some insight into the impacts an invasive species might have within its climatically suited range, and can help inform biosecurity policies regarding the management of its spread and protection of valued threatened assets. © 2013 Kriticos et al.","author":[{"dropping-particle":"","family":"Kriticos","given":"Darren J.","non-dropping-particle":"","parse-names":false,"suffix":""},{"dropping-particle":"","family":"Morin","given":"Louise","non-dropping-particle":"","parse-names":false,"suffix":""},{"dropping-particle":"","family":"Leriche","given":"Agathe","non-dropping-particle":"","parse-names":false,"suffix":""},{"dropping-particle":"","family":"Anderson","given":"Robert C.","non-dropping-particle":"","parse-names":false,"suffix":""},{"dropping-particle":"","family":"Caley","given":"Peter","non-dropping-particle":"","parse-names":false,"suffix":""}],"container-title":"PLoS ONE","id":"ITEM-1","issue":"5","issued":{"date-parts":[["2013"]]},"title":"Combining a Climatic Niche Model of an Invasive Fungus with Its Host Species Distributions to Identify Risks to Natural Assets: Puccinia psidii Sensu Lato in Australia","type":"article-journal","volume":"8"},"uris":["http://www.mendeley.com/documents/?uuid=d04631cc-fb1e-4f27-b15e-dfe35782b1fb"]}],"mendeley":{"formattedCitation":"(Kriticos et al., 2013)","plainTextFormattedCitation":"(Kriticos et al., 2013)","previouslyFormattedCitation":"(Kriticos et al., 2013)"},"properties":{"noteIndex":0},"schema":"https://github.com/citation-style-language/schema/raw/master/csl-citation.json"}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(Kriticos et al., 2013)</w:t>
      </w:r>
      <w:r w:rsidRPr="00BC723B">
        <w:rPr>
          <w:rFonts w:eastAsia="Arial"/>
          <w:color w:val="000000"/>
        </w:rPr>
        <w:fldChar w:fldCharType="end"/>
      </w:r>
      <w:r w:rsidRPr="00BC723B">
        <w:rPr>
          <w:rFonts w:eastAsia="Arial"/>
          <w:color w:val="000000"/>
        </w:rPr>
        <w:t xml:space="preserve"> and medicinal fungi </w:t>
      </w:r>
      <w:r w:rsidRPr="00BC723B">
        <w:rPr>
          <w:rFonts w:eastAsia="Arial"/>
          <w:color w:val="000000"/>
        </w:rPr>
        <w:fldChar w:fldCharType="begin" w:fldLock="1"/>
      </w:r>
      <w:r w:rsidR="006E1F09">
        <w:rPr>
          <w:rFonts w:eastAsia="Arial"/>
          <w:color w:val="000000"/>
        </w:rPr>
        <w:instrText>ADDIN CSL_CITATION {"citationItems":[{"id":"ITEM-1","itemData":{"DOI":"10.1016/j.funeco.2015.06.001","ISSN":"17545048","abstract":"The ability to identify the spatial distribution of economically important fungal species is crucial for understanding the environmental factors that affect them and for conservation management. A potentially valuable approach for this is maximum entropy (Maxent) spatial distribution modeling, which was applied here to map the potential distribution of three \"Sanghuang\" mushrooms in China, which include Phellinus baumii, Phellinus igniarius and Phellinus vaninii. Nineteen WorldClim bioclimatic variables, with corresponding altitude data, and 89 spatially well-dispersed species occurrence records were used in the modeling. The relative importance of the environmental variables was evaluated by Jackknife tests in the modeling analysis. The maximum entropy models obtained have high Area Under Receiver Operating Characteristic Curve (AUC) values: 0.956, 0.967 and 0.960, for P. baumii, P. igniarius and P. vaninii, respectively. The bioclimatic variable that most strongly affected distributions of P. baumii and P. vaninii was precipitation in the warmest quarter, while the mean temperature in the warmest quarter affected the distribution of P. igniarius most strongly. Overall, these models could provide valuable help in searching for the target species in areas where it is hitherto unknown, and be the reference of conservation measures for these medicinal fungal species.","author":[{"dropping-particle":"","family":"Yuan","given":"Hai Sheng","non-dropping-particle":"","parse-names":false,"suffix":""},{"dropping-particle":"","family":"Wei","given":"Yu Lian","non-dropping-particle":"","parse-names":false,"suffix":""},{"dropping-particle":"","family":"Wang","given":"Xu Gao","non-dropping-particle":"","parse-names":false,"suffix":""}],"container-title":"Fungal Ecology","id":"ITEM-1","issued":{"date-parts":[["2015"]]},"page":"140-145","publisher":"Elsevier Ltd","title":"Maxent modeling for predicting the potential distribution of Sanghuang, an important group of medicinal fungi in China","type":"article-journal","volume":"17"},"uris":["http://www.mendeley.com/documents/?uuid=c1112a47-36c7-453b-8892-255c21d0ee09"]}],"mendeley":{"formattedCitation":"(Yuan et al., 2015)","plainTextFormattedCitation":"(Yuan et al., 2015)","previouslyFormattedCitation":"(Yuan et al., 2015)"},"properties":{"noteIndex":0},"schema":"https://github.com/citation-style-language/schema/raw/master/csl-citation.json"}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(Yuan et al., 2015)</w:t>
      </w:r>
      <w:r w:rsidRPr="00BC723B">
        <w:rPr>
          <w:rFonts w:eastAsia="Arial"/>
          <w:color w:val="000000"/>
        </w:rPr>
        <w:fldChar w:fldCharType="end"/>
      </w:r>
      <w:r w:rsidRPr="00BC723B">
        <w:rPr>
          <w:rFonts w:eastAsia="Arial"/>
          <w:color w:val="000000"/>
        </w:rPr>
        <w:t xml:space="preserve">. Additionally, </w:t>
      </w:r>
      <w:proofErr w:type="spellStart"/>
      <w:r w:rsidRPr="00BC723B">
        <w:rPr>
          <w:rFonts w:eastAsia="Arial"/>
          <w:color w:val="000000"/>
        </w:rPr>
        <w:t>MaxEnt</w:t>
      </w:r>
      <w:proofErr w:type="spellEnd"/>
      <w:r w:rsidRPr="00BC723B">
        <w:rPr>
          <w:rFonts w:eastAsia="Arial"/>
          <w:color w:val="000000"/>
        </w:rPr>
        <w:t xml:space="preserve"> modeling has also been used </w:t>
      </w:r>
      <w:r w:rsidRPr="00833AD0">
        <w:rPr>
          <w:rFonts w:eastAsia="Arial"/>
          <w:color w:val="000000"/>
        </w:rPr>
        <w:t xml:space="preserve">to understand which climate variables shape </w:t>
      </w:r>
      <w:r w:rsidRPr="00495CA3">
        <w:rPr>
          <w:rFonts w:eastAsia="Arial"/>
          <w:color w:val="000000"/>
        </w:rPr>
        <w:t xml:space="preserve">global distributions of </w:t>
      </w:r>
      <w:r w:rsidRPr="00317D28">
        <w:rPr>
          <w:rFonts w:eastAsia="Arial"/>
          <w:color w:val="000000"/>
        </w:rPr>
        <w:t xml:space="preserve">arbuscular mycorrhizal </w:t>
      </w:r>
      <w:r w:rsidRPr="00713426">
        <w:rPr>
          <w:rFonts w:eastAsia="Arial"/>
          <w:color w:val="000000"/>
        </w:rPr>
        <w:t xml:space="preserve">fungal taxa </w:t>
      </w:r>
      <w:r w:rsidRPr="00BC723B">
        <w:rPr>
          <w:rFonts w:eastAsia="Arial"/>
          <w:color w:val="000000"/>
        </w:rPr>
        <w:fldChar w:fldCharType="begin" w:fldLock="1"/>
      </w:r>
      <w:r w:rsidR="006E1F09">
        <w:rPr>
          <w:rFonts w:eastAsia="Arial"/>
          <w:color w:val="000000"/>
        </w:rPr>
        <w:instrText>ADDIN CSL_CITATION {"citationItems":[{"id":"ITEM-1","itemData":{"DOI":"10.1007/978-3-319-56363-3","ISBN":"9783319563633","author":[{"dropping-particle":"","family":"Kivlin","given":"Stephanie N.","non-dropping-particle":"","parse-names":false,"suffix":""},{"dropping-particle":"","family":"Muscarella","given":"Robert","non-dropping-particle":"","parse-names":false,"suffix":""},{"dropping-particle":"V.","family":"Hawkes","given":"Christine","non-dropping-particle":"","parse-names":false,"suffix":""},{"dropping-particle":"","family":"Treseder","given":"Kathleen K.","non-dropping-particle":"","parse-names":false,"suffix":""}],"container-title":"Ecological Studies","id":"ITEM-1","issued":{"date-parts":[["2017"]]},"page":"143-158","title":"The Predictive Power of Ecological Niche Modeling for Global Arbuscular Mycorrhizal Fungal Biogeography","type":"article-journal","volume":"230"},"uris":["http://www.mendeley.com/documents/?uuid=05aa6756-a3c1-481a-96a8-e696e71ad532"]}],"mendeley":{"formattedCitation":"(Kivlin et al., 2017)","plainTextFormattedCitation":"(Kivlin et al., 2017)","previouslyFormattedCitation":"(Kivlin et al., 2017)"},"properties":{"noteIndex":0},"schema":"https://github.com/citation-style-language/schema/raw/master/csl-citation.json"}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(Kivlin et al., 2017)</w:t>
      </w:r>
      <w:r w:rsidRPr="00BC723B">
        <w:rPr>
          <w:rFonts w:eastAsia="Arial"/>
          <w:color w:val="000000"/>
        </w:rPr>
        <w:fldChar w:fldCharType="end"/>
      </w:r>
      <w:r w:rsidRPr="00BC723B">
        <w:rPr>
          <w:rFonts w:eastAsia="Arial"/>
          <w:color w:val="000000"/>
        </w:rPr>
        <w:t xml:space="preserve">. </w:t>
      </w:r>
    </w:p>
    <w:p w14:paraId="18FB3BF6" w14:textId="34284B12" w:rsidR="00E51E8B" w:rsidRPr="00CE1D29" w:rsidRDefault="00E51E8B" w:rsidP="00E51E8B">
      <w:pPr>
        <w:pBdr>
          <w:top w:val="nil"/>
          <w:left w:val="nil"/>
          <w:bottom w:val="nil"/>
          <w:right w:val="nil"/>
          <w:between w:val="nil"/>
        </w:pBdr>
        <w:spacing w:line="360" w:lineRule="auto"/>
        <w:rPr>
          <w:rFonts w:eastAsia="Arial"/>
          <w:color w:val="000000"/>
        </w:rPr>
      </w:pPr>
      <w:r>
        <w:rPr>
          <w:rFonts w:eastAsia="Arial"/>
          <w:color w:val="000000"/>
        </w:rPr>
        <w:tab/>
      </w:r>
      <w:r w:rsidRPr="00833AD0">
        <w:rPr>
          <w:rFonts w:eastAsia="Arial"/>
          <w:color w:val="000000"/>
        </w:rPr>
        <w:t>Fungal mutualisms provide an interesting op</w:t>
      </w:r>
      <w:r w:rsidRPr="00495CA3">
        <w:rPr>
          <w:rFonts w:eastAsia="Arial"/>
          <w:color w:val="000000"/>
        </w:rPr>
        <w:t xml:space="preserve">portunity to examine the benefits and limits of </w:t>
      </w:r>
      <w:r w:rsidRPr="00D02948">
        <w:rPr>
          <w:rFonts w:eastAsia="Arial"/>
          <w:color w:val="000000"/>
        </w:rPr>
        <w:t>incorporating fine scale biotic interactions into the context of ecological niche modeling. For example, e</w:t>
      </w:r>
      <w:r w:rsidRPr="00CE1D29">
        <w:rPr>
          <w:rFonts w:eastAsia="Arial"/>
          <w:color w:val="000000"/>
        </w:rPr>
        <w:t xml:space="preserve">ctomycorrhizal fungi (EMF), which comprise at least 20,000-25,000 species worldwide, are obligate mutualists of many economically important forest trees </w:t>
      </w:r>
      <w:r w:rsidRPr="00BC723B">
        <w:rPr>
          <w:rFonts w:eastAsia="Arial"/>
          <w:color w:val="000000"/>
        </w:rPr>
        <w:fldChar w:fldCharType="begin" w:fldLock="1"/>
      </w:r>
      <w:r w:rsidR="006E1F09">
        <w:rPr>
          <w:rFonts w:eastAsia="Arial"/>
          <w:color w:val="000000"/>
        </w:rPr>
        <w:instrText>ADDIN CSL_CITATION {"citationItems":[{"id":"ITEM-1","itemData":{"author":[{"dropping-particle":"","family":"Rinaldi","given":"A.C.","non-dropping-particle":"","parse-names":false,"suffix":""},{"dropping-particle":"","family":"Comandini","given":"O.","non-dropping-particle":"","parse-names":false,"suffix":""},{"dropping-particle":"","family":"Kuyper","given":"Thomas W.","non-dropping-particle":"","parse-names":false,"suffix":""}],"container-title":"Fungal Diversity","id":"ITEM-1","issued":{"date-parts":[["2008"]]},"page":"37-39","title":"Ectomycorrhizal fungal diversity: seperating the wheat from the chaff","type":"article-journal","volume":"66"},"uris":["http://www.mendeley.com/documents/?uuid=d5f7c81f-5ae1-4e2e-a83c-238d9c3e79e4"]},{"id":"ITEM-2","itemData":{"DOI":"10.1007/s00572-009-0274-x","ISSN":"09406360","abstract":"The ectomycorrhizal (EcM) symbiosis involves a large number of plant and fungal taxa worldwide. During studies on EcM diversity, numerous misidentifications, and contradictory reports on EcM status have been published. This review aims to: (1) critically assess the current knowledge of the fungi involved in the EcM by integrating data from axenic synthesis trials, anatomical, molecular, and isotope studies; (2) group these taxa into monophyletic lineages based on molecular sequence data and published phylogenies; (3) investigate the trophic status of sister taxa to EcM lineages; (4) highlight other potentially EcM taxa that lack both information on EcM status and DNA sequence data; (5) recover the main distribution patterns of the EcM fungal lineages in the world. Based on critically examining original reports, EcM lifestyle is proven in 162 fungal genera that are supplemented by two genera based on isotopic evidence and 52 genera based on phylogenetic data. Additionally, 33 genera are highlighted as potentially EcM based on habitat, although their EcM records and DNA sequence data are lacking. Molecular phylogenetic and identification studies suggest that EcM symbiosis has arisen independently and persisted at least 66 times in fungi, in the Basidiomycota, Ascomycota, and Zygomycota. The orders Pezizales, Agaricales, Helotiales, Boletales, and Cantharellales include the largest number of EcM fungal lineages. Regular updates of the EcM lineages and genera therein can be found at the UNITE homepage http://unite. ut. ee/EcM_lineages. The vast majority of EcM fungi evolved from humus and wood saprotrophic ancestors without any obvious reversals. Herbarium records from 11 major biogeographic regions revealed three main patterns in distribution of EcM lineages: (1) Austral; (2) Panglobal; (3) Holarctic (with or without some reports from the Austral or tropical realms). The holarctic regions host the largest number of EcM lineages; none are restricted to a tropical distribution with Dipterocarpaceae and Caesalpiniaceae hosts. We caution that EcM-dominated habitats and hosts in South America, Southeast Asia, Africa, and Australia remain undersampled relative to the north temperate regions. In conclusion, EcM fungi are phylogenetically highly diverse, and molecular surveys particularly in tropical and south temperate habitats are likely to supplement to the present figures. Due to great risk of contamination, future reports on EcM status of previously unstudied…","author":[{"dropping-particle":"","family":"Tedersoo","given":"Leho","non-dropping-particle":"","parse-names":false,"suffix":""},{"dropping-particle":"","family":"May","given":"Tom W.","non-dropping-particle":"","parse-names":false,"suffix":""},{"dropping-particle":"","family":"Smith","given":"Matthew E.","non-dropping-particle":"","parse-names":false,"suffix":""}],"container-title":"Mycorrhiza","id":"ITEM-2","issue":"4","issued":{"date-parts":[["2010"]]},"page":"217-263","title":"Ectomycorrhizal lifestyle in fungi: Global diversity, distribution, and evolution of phylogenetic lineages","type":"article-journal","volume":"20"},"uris":["http://www.mendeley.com/documents/?uuid=b81ae777-900d-430c-84f6-07421ebbc654"]}],"mendeley":{"formattedCitation":"(Rinaldi et al., 2008; Tedersoo et al., 2010)","plainTextFormattedCitation":"(Rinaldi et al., 2008; Tedersoo et al., 2010)","previouslyFormattedCitation":"(Rinaldi et al., 2008; Tedersoo et al., 2010)"},"properties":{"noteIndex":0},"schema":"https://github.com/citation-style-language/schema/raw/master/csl-citation.json"}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(Rinaldi et al., 2008; Tedersoo et al., 2010)</w:t>
      </w:r>
      <w:r w:rsidRPr="00BC723B">
        <w:rPr>
          <w:rFonts w:eastAsia="Arial"/>
          <w:color w:val="000000"/>
        </w:rPr>
        <w:fldChar w:fldCharType="end"/>
      </w:r>
      <w:r w:rsidRPr="00BC723B">
        <w:rPr>
          <w:rFonts w:eastAsia="Arial"/>
          <w:color w:val="000000"/>
        </w:rPr>
        <w:t>. These relationships are often host</w:t>
      </w:r>
      <w:r w:rsidRPr="00833AD0">
        <w:rPr>
          <w:rFonts w:eastAsia="Arial"/>
          <w:color w:val="000000"/>
        </w:rPr>
        <w:t>-</w:t>
      </w:r>
      <w:r w:rsidRPr="00495CA3">
        <w:rPr>
          <w:rFonts w:eastAsia="Arial"/>
          <w:color w:val="000000"/>
        </w:rPr>
        <w:t>specific and asymmetrical in that the tree partner can coexist with many EMF symbionts.</w:t>
      </w:r>
      <w:r w:rsidRPr="00317D28">
        <w:rPr>
          <w:rFonts w:eastAsia="Arial"/>
          <w:color w:val="000000"/>
        </w:rPr>
        <w:t xml:space="preserve"> Only</w:t>
      </w:r>
      <w:r w:rsidRPr="00713426">
        <w:rPr>
          <w:rFonts w:eastAsia="Arial"/>
          <w:color w:val="000000"/>
        </w:rPr>
        <w:t xml:space="preserve"> a handful of studies to date have focused on niche modeling </w:t>
      </w:r>
      <w:r w:rsidRPr="00D708A2">
        <w:rPr>
          <w:rFonts w:eastAsia="Arial"/>
          <w:color w:val="000000"/>
        </w:rPr>
        <w:t>EMF</w:t>
      </w:r>
      <w:r w:rsidRPr="00AC1C7E">
        <w:rPr>
          <w:rFonts w:eastAsia="Arial"/>
          <w:color w:val="000000"/>
        </w:rPr>
        <w:t xml:space="preserve"> spec</w:t>
      </w:r>
      <w:r w:rsidRPr="00D02948">
        <w:rPr>
          <w:rFonts w:eastAsia="Arial"/>
          <w:color w:val="000000"/>
        </w:rPr>
        <w:t xml:space="preserve">ies (see </w:t>
      </w:r>
      <w:r w:rsidRPr="00BC723B">
        <w:rPr>
          <w:rFonts w:eastAsia="Arial"/>
          <w:color w:val="000000"/>
        </w:rPr>
        <w:fldChar w:fldCharType="begin" w:fldLock="1"/>
      </w:r>
      <w:r w:rsidR="006E1F09">
        <w:rPr>
          <w:rFonts w:eastAsia="Arial"/>
          <w:color w:val="000000"/>
        </w:rPr>
        <w:instrText>ADDIN CSL_CITATION {"citationItems":[{"id":"ITEM-1","itemData":{"DOI":"10.1111/j.1469-8137.2009.03097.x","ISSN":"0028646X","abstract":"Despite a growing awareness of the global reach of ectomycorrhizal (EM) fungal introductions, little is known about the fate of introduced EM fungi in novel ranges. Using herbarium specimens, species distribution models, and field collections of sporocarps, root tips and extramatrical mycelia, we assessed the distribution and abundance of the European species Amanita phalloides in North America. There are two distinct ranges of the fungus, one along the West Coast (California to British Columbia) and the second on the East Coast (Maryland to Maine). As predicted by a species distribution model, the West Coast range is larger. Amanita phalloides is more frequently found in native forests on the West Coast than on the East Coast. At Point Reyes Peninsula in California, A. phalloides dominates community sporocarp biomass, and is frequent as root tips. In individual soil cores at Point Reyes, root tips of A. phalloides make up 50% of total root tip biomass. Hyphae of A. phalloides are frequent, but make up only 2% of total hyphal biomass. The contrasting patterns of the distribution and abundance of A. phalloides on the East and West Coasts of North America may influence both its future spread and its impacts. © 2009 New Phytologist.","author":[{"dropping-particle":"","family":"Wolfe","given":"Benjamin E.","non-dropping-particle":"","parse-names":false,"suffix":""},{"dropping-particle":"","family":"Richard","given":"Franck","non-dropping-particle":"","parse-names":false,"suffix":""},{"dropping-particle":"","family":"Cross","given":"Hugh B.","non-dropping-particle":"","parse-names":false,"suffix":""},{"dropping-particle":"","family":"Pringle","given":"Anne","non-dropping-particle":"","parse-names":false,"suffix":""}],"container-title":"New Phytologist","id":"ITEM-1","issue":"3","issued":{"date-parts":[["2010"]]},"page":"803-816","title":"Distribution and abundance of the introduced ectomycorrhizal fungus Amanita phalloides in North America","type":"article-journal","volume":"185"},"uris":["http://www.mendeley.com/documents/?uuid=2be118a0-04c9-481c-b287-c0f52ef4fbc5"]},{"id":"ITEM-2","itemData":{"DOI":"10.1038/srep46221","ISSN":"20452322","abstract":"Effective conservation and utilization strategies for natural biological resources require a clear understanding of the geographic distribution of the target species. Tricholoma matsutake is an ectomycorrhizal (ECM) mushroom with high ecological and economic value. In this study, the potential geographic distribution of T. matsutake under current conditions in China was simulated using MaxEnt software based on species presence data and 24 environmental variables. The future distributions of T. matsutake in the 2050s and 2070s were also projected under the RCP 8.5, RCP 6, RCP 4.5 and RCP 2.6 climate change emission scenarios described in the Special Report on Emissions Scenarios (SRES) by the Intergovernmental Panel on Climate Change (IPCC). The areas of marginally suitable, suitable and highly suitable habitats for T. matsutake in China were approximately 0.22 × 106 km2, 0.14 × 106 km2, and 0.11 × 106 km2, respectively. The model simulations indicated that the area of marginally suitable habitats would undergo a relatively small change under all four climate change scenarios; however, suitable habitats would significantly decrease, and highly suitable habitat would nearly disappear. Our results will be influential in the future ecological conservation and management of T. matsutake and can be used as a reference for studies on other ectomycorrhizal mushroom species.","author":[{"dropping-particle":"","family":"Guo","given":"Yanlong","non-dropping-particle":"","parse-names":false,"suffix":""},{"dropping-particle":"","family":"Li","given":"Xin","non-dropping-particle":"","parse-names":false,"suffix":""},{"dropping-particle":"","family":"Zhao","given":"Zefang","non-dropping-particle":"","parse-names":false,"suffix":""},{"dropping-particle":"","family":"Wei","given":"Haiyan","non-dropping-particle":"","parse-names":false,"suffix":""},{"dropping-particle":"","family":"Gao","given":"Bei","non-dropping-particle":"","parse-names":false,"suffix":""},{"dropping-particle":"","family":"Gu","given":"Wei","non-dropping-particle":"","parse-names":false,"suffix":""}],"container-title":"Scientific Reports","id":"ITEM-2","issue":"April","issued":{"date-parts":[["2017"]]},"page":"1-11","publisher":"Nature Publishing Group","title":"Prediction of the potential geographic distribution of the ectomycorrhizal mushroom Tricholoma matsutake under multiple climate change scenarios","type":"article-journal","volume":"7"},"uris":["http://www.mendeley.com/documents/?uuid=539241ee-c90a-4f47-b486-03b0478149aa"]},{"id":"ITEM-3","itemData":{"DOI":"10.1111/mec.13413","ISSN":"1365294X","abstract":"Some of the effects of past climate dynamics on plant and animal diversity make-up have been relatively well studied, but to less extent in fungi. Pleistocene refugia are thought to harbour high biological diversity (i.e. phylogenetic lineages and genetic diversity), mainly as a product of increased reproductive isolation and allele conservation. In addition, high extinction rates and genetic erosion are expected in previously glaciated regions. Some of the consequences of past climate dynamics might involve changes in range and population size that can result in divergence and incipient or cryptic speciation. Many of these dynamic processes and patterns can be inferred through phylogenetic and coalescent methods. In this study, we first delimit species within a group of closely related edible ectomycorrhizal Amanita from North America (the American Caesar's mushrooms species complex) using multilocus coalescent-based approaches; and then address questions related to effects of Pleistocene climate change on the diversity and genetics of the group. Our study includes extensive geographical sampling throughout the distribution range, and DNA sequences from three nuclear protein-coding genes. Results reveal cryptic diversity and high speciation rates in refugia. Population sizes and expansions seem to be larger at midrange latitudes (Mexican highlands and SE USA). Range shifts are proportional to population size expansions, which were overall more common during the Pleistocene. This study documents responses to past climate change in fungi and also highlights the applicability of the multispecies coalescent in comparative phylogeographical analyses and diversity assessments that include ancestral species.","author":[{"dropping-particle":"","family":"Sánchez-Ramírez","given":"Santiago","non-dropping-particle":"","parse-names":false,"suffix":""},{"dropping-particle":"","family":"Tulloss","given":"Rodham E.","non-dropping-particle":"","parse-names":false,"suffix":""},{"dropping-particle":"","family":"Guzmán-Dávalos","given":"Laura","non-dropping-particle":"","parse-names":false,"suffix":""},{"dropping-particle":"","family":"Cifuentes-Blanco","given":"Joaquín","non-dropping-particle":"","parse-names":false,"suffix":""},{"dropping-particle":"","family":"Valenzuela","given":"Ricardo","non-dropping-particle":"","parse-names":false,"suffix":""},{"dropping-particle":"","family":"Estrada-Torres","given":"Arturo","non-dropping-particle":"","parse-names":false,"suffix":""},{"dropping-particle":"","family":"Ruán-Soto","given":"Felipe","non-dropping-particle":"","parse-names":false,"suffix":""},{"dropping-particle":"","family":"Díaz-Moreno","given":"Raúl","non-dropping-particle":"","parse-names":false,"suffix":""},{"dropping-particle":"","family":"Hernández-Rico","given":"Nallely","non-dropping-particle":"","parse-names":false,"suffix":""},{"dropping-particle":"","family":"Torres-Gómez","given":"Mariano","non-dropping-particle":"","parse-names":false,"suffix":""},{"dropping-particle":"","family":"León","given":"Hugo","non-dropping-particle":"","parse-names":false,"suffix":""},{"dropping-particle":"","family":"Moncalvo","given":"Jean Marc","non-dropping-particle":"","parse-names":false,"suffix":""}],"container-title":"Molecular Ecology","id":"ITEM-3","issue":"23","issued":{"date-parts":[["2015"]]},"page":"5938-5956","title":"In and out of refugia: Historical patterns of diversity and demography in the North American Caesar's mushroom species complex","type":"article-journal","volume":"24"},"uris":["http://www.mendeley.com/documents/?uuid=907a404a-631a-46e5-8b3c-beffb860ca70"]},{"id":"ITEM-4","itemData":{"DOI":"10.1007/s00572-018-0836-x","ISSN":"09406360","abstract":"Suillus lakei is an ectomycorrhizal fungus native to North America and known in Europe, South America, and New Zealand. This contribution aims to illustrate the worldwide biogeography of S. lakei based on sporocarp records. Species distribution modeling was used to assess the suitable niche distribution of S. lakei, based on the climatic variables as well as distribution of its ectomycorrhizal partner, Douglas fir. In general, distribution of suitable niches of S. lakei greatly overlaps with the distribution of Douglas fir in North America. By spatial distribution modeling, we found that the precipitation of the coldest quarters, isothermality, and annual mean temperature are important factors influencing the potential distribution of S. lakei. Nevertheless, the most crucial factor limiting expansion of S. lakei in its invasion range is Douglas fir occurrence. This factor reached an 86.4% contribution for the S. lakei species distribution model. Additionally, we compare the aboveground and belowground presence of S. lakei based on surveys in the field. Our study shows that even extremely low abundance of ectomycorrhizas can open the possibility of using an ectomycorrhiza survey for their quantification as a good indicator of the presence of S. lakei in field conditions. Both sporocarps and ectomycorrhizas occurred only in gardens, where Douglas fir seedlings were outplanted at the beginning of the 1990s as an ornamental plant. Presumably, international trade of ornamental plants was one possible route of introduction of S. lakei to Poland.","author":[{"dropping-particle":"","family":"Pietras","given":"Marcin","non-dropping-particle":"","parse-names":false,"suffix":""},{"dropping-particle":"","family":"Litkowiec","given":"Monika","non-dropping-particle":"","parse-names":false,"suffix":""},{"dropping-particle":"","family":"Gołębiewska","given":"Joanna","non-dropping-particle":"","parse-names":false,"suffix":""}],"container-title":"Mycorrhiza","id":"ITEM-4","issue":"5-6","issued":{"date-parts":[["2018"]]},"page":"467-475","title":"Current and potential distribution of the ectomycorrhizal fungus Suillus lakei ((Murrill) A.H. Sm. &amp; Thiers) in its invasion range","type":"article-journal","volume":"28"},"uris":["http://www.mendeley.com/documents/?uuid=88626f87-63a3-416c-bdca-059fe31a0cfc"]},{"id":"ITEM-5","itemData":{"DOI":"10.1007/s00572-019-00899-x","ISBN":"0057201900899","ISSN":"14321890","PMID":"31175441","abstract":"In 2017 a North American fungus, Rhizopogon pseudoroseolus (Boletales, Basidiomycota), formerly known in Oceania as only occurring in New Zealand, was found for the first time in South Australia. The morphological identification of collected specimens was confirmed using an internal transcribed spacer barcoding approach. In this study, the biogeography of R. pseudoroseolus is also presented, based on sporocarp and ectomycorrhiza records. Species distribution modeling implemented in MaxEnt was used to estimate the distribution of the potential range of R. pseudoroseolus in Australia and New Zealand. The obtained model illustrates, in the background of climatic variables and distribution of a symbiotic partner, its wide range of suitable habitats in New Zealand, South-East Australia, and Tasmania. Precipitation of the coldest quarters and annual mean temperature are important factors influencing the potential distribution of the fungus. The occurrence of Pinus radiata, the ectomycorrhizal partner of R. pseudoroseolus, is also an important factor limiting expansion of the fungus’ invasion range.","author":[{"dropping-particle":"","family":"Pietras","given":"Marcin","non-dropping-particle":"","parse-names":false,"suffix":""}],"container-title":"Mycorrhiza","id":"ITEM-5","issue":"4","issued":{"date-parts":[["2019"]]},"page":"397-401","publisher":"Mycorrhiza","title":"First record of North American fungus Rhizopogon pseudoroseolus in Australia and prediction of its occurrence based on climatic niche and symbiotic partner preferences","type":"article-journal","volume":"29"},"uris":["http://www.mendeley.com/documents/?uuid=4dbd7a0f-88b6-41dd-99c7-29ee23a2523d"]}],"mendeley":{"formattedCitation":"(Wolfe et al., 2010; Sánchez-Ramírez et al., 2015; Guo et al., 2017; Pietras et al., 2018; Pietras, 2019)","manualFormatting":"Wolfe, Richard, Cross, &amp; Pringle, 2010; Sánchez-Ramírez et al., 2015; Guo et al., 2017; Pietras, Litkowiec, &amp; Gołębiewska, 2018; Pietras, 2019)","plainTextFormattedCitation":"(Wolfe et al., 2010; Sánchez-Ramírez et al., 2015; Guo et al., 2017; Pietras et al., 2018; Pietras, 2019)","previouslyFormattedCitation":"(Wolfe et al., 2010; Sánchez-Ramírez et al., 2015; Guo et al., 2017; Pietras et al., 2018; Pietras, 2019)"},"properties":{"noteIndex":0},"schema":"https://github.com/citation-style-language/schema/raw/master/csl-citation.json"}</w:instrText>
      </w:r>
      <w:r w:rsidRPr="00BC723B">
        <w:rPr>
          <w:rFonts w:eastAsia="Arial"/>
          <w:color w:val="000000"/>
        </w:rPr>
        <w:fldChar w:fldCharType="separate"/>
      </w:r>
      <w:r w:rsidRPr="00BC723B">
        <w:rPr>
          <w:rFonts w:eastAsia="Arial"/>
          <w:noProof/>
          <w:color w:val="000000"/>
        </w:rPr>
        <w:t>Wolfe, Richard, Cross, &amp; Pringle, 2010; Sánchez-Ramírez et al., 2015; Guo et al., 2017; Pietras, Litkowiec, &amp; Gołębiewska, 2018; Pietras, 2019)</w:t>
      </w:r>
      <w:r w:rsidRPr="00BC723B">
        <w:rPr>
          <w:rFonts w:eastAsia="Arial"/>
          <w:color w:val="000000"/>
        </w:rPr>
        <w:fldChar w:fldCharType="end"/>
      </w:r>
      <w:r w:rsidRPr="00BC723B">
        <w:rPr>
          <w:rFonts w:eastAsia="Arial"/>
          <w:color w:val="000000"/>
        </w:rPr>
        <w:t xml:space="preserve">. </w:t>
      </w:r>
      <w:r w:rsidRPr="00BC723B">
        <w:t xml:space="preserve">Despite the growing interest in using ecological niche models as a tool for fungi </w:t>
      </w:r>
      <w:r w:rsidRPr="00BC723B">
        <w:fldChar w:fldCharType="begin" w:fldLock="1"/>
      </w:r>
      <w:r w:rsidR="006E1F09">
        <w:instrText>ADDIN CSL_CITATION {"citationItems":[{"id":"ITEM-1","itemData":{"DOI":"10.1016/j.fbr.2020.01.002","ISSN":"17494613","abstract":"Species distribution models (SDMs) are an emerging tool in the study of fungi, and their use is expanding across species and research topics. To summarise progress to date and to highlight important considerations for future users, we review 283 studies that apply SDMs to fungi. We found that macrofungi, lichens, and pathogenic microfungi are most often studied. While many studies only aim to model species response to environmental covariates, the use of SDMs for explicitly predicting fungal occurrence in space and time is growing. Many studies collect fungal occurrence data, but the use of pre-collected records from reference collections and citizen science programs is increasing. Challenges of applying SDMs to fungi include detection and sampling biases, and uncertainties in identification and taxonomy. Further, finding environmental covariates at appropriate spatial and temporal scales is important, as fungi can respond to fine-scale environmental patterns. Fine-scale covariate data can be difficult to gather across space, but we show remote-sensing measurements are viable for fungi SDMs. For those fungi interacting with host species, host information is also important, and can be used as covariates in SDMs. We also highlight that competition among fungi, and dispersal, can affect observed distributions, with the latter particularly prominent for invasive fungi. We show how one can account for these processes in models, when suitable data are available. Finally, we note that environmental DNA records create new opportunities and challenges for future modelling efforts, and discuss the difficulties in predicting invasions and climate change impacts. The application of SDMs to fungi has already provided interesting lessons on how to adapt modelling tools for specific questions, and fungi will continue to be relevant test subjects for further technical development of SDMs.","author":[{"dropping-particle":"","family":"Hao","given":"Tianxiao","non-dropping-particle":"","parse-names":false,"suffix":""},{"dropping-particle":"","family":"Guillera-Arroita","given":"Gurutzeta","non-dropping-particle":"","parse-names":false,"suffix":""},{"dropping-particle":"","family":"May","given":"Tom W.","non-dropping-particle":"","parse-names":false,"suffix":""},{"dropping-particle":"","family":"Lahoz-Monfort","given":"José J.","non-dropping-particle":"","parse-names":false,"suffix":""},{"dropping-particle":"","family":"Elith","given":"Jane","non-dropping-particle":"","parse-names":false,"suffix":""}],"container-title":"Fungal Biology Reviews","id":"ITEM-1","issue":"2","issued":{"date-parts":[["2020"]]},"page":"74-88","title":"Using Species Distribution Models For Fungi","type":"article-journal","volume":"34"},"uris":["http://www.mendeley.com/documents/?uuid=a630536f-6b5f-4730-88c8-a738cb2648de"]}],"mendeley":{"formattedCitation":"(Hao et al., 2020)","plainTextFormattedCitation":"(Hao et al., 2020)","previouslyFormattedCitation":"(Hao et al., 2020)"},"properties":{"noteIndex":0},"schema":"https://github.com/citation-style-language/schema/raw/master/csl-citation.json"}</w:instrText>
      </w:r>
      <w:r w:rsidRPr="00BC723B">
        <w:fldChar w:fldCharType="separate"/>
      </w:r>
      <w:r w:rsidR="00CE6085" w:rsidRPr="00CE6085">
        <w:rPr>
          <w:noProof/>
        </w:rPr>
        <w:t>(Hao et al., 2020)</w:t>
      </w:r>
      <w:r w:rsidRPr="00BC723B">
        <w:fldChar w:fldCharType="end"/>
      </w:r>
      <w:r w:rsidRPr="00BC723B">
        <w:t>,</w:t>
      </w:r>
      <w:r w:rsidRPr="00BC723B">
        <w:rPr>
          <w:rFonts w:eastAsia="Arial"/>
          <w:color w:val="000000"/>
        </w:rPr>
        <w:t xml:space="preserve"> there is </w:t>
      </w:r>
      <w:r>
        <w:rPr>
          <w:rFonts w:eastAsia="Arial"/>
          <w:color w:val="000000"/>
        </w:rPr>
        <w:t>no</w:t>
      </w:r>
      <w:r w:rsidRPr="00BC723B">
        <w:rPr>
          <w:rFonts w:eastAsia="Arial"/>
          <w:color w:val="000000"/>
        </w:rPr>
        <w:t xml:space="preserve"> consensus on</w:t>
      </w:r>
      <w:r w:rsidRPr="00833AD0">
        <w:rPr>
          <w:rFonts w:eastAsia="Arial"/>
          <w:color w:val="000000"/>
        </w:rPr>
        <w:t xml:space="preserve"> </w:t>
      </w:r>
      <w:r w:rsidRPr="00495CA3">
        <w:rPr>
          <w:rFonts w:eastAsia="Arial"/>
          <w:color w:val="000000"/>
        </w:rPr>
        <w:t>which climate variables best predict EMF distributions</w:t>
      </w:r>
      <w:r w:rsidRPr="00CE1D29">
        <w:rPr>
          <w:rFonts w:eastAsia="Arial"/>
          <w:color w:val="000000"/>
        </w:rPr>
        <w:t xml:space="preserve">. </w:t>
      </w:r>
    </w:p>
    <w:p w14:paraId="7938078F" w14:textId="12AC6233" w:rsidR="00E51E8B" w:rsidRPr="00BC723B" w:rsidRDefault="00E51E8B" w:rsidP="00E51E8B">
      <w:pPr>
        <w:pBdr>
          <w:top w:val="nil"/>
          <w:left w:val="nil"/>
          <w:bottom w:val="nil"/>
          <w:right w:val="nil"/>
          <w:between w:val="nil"/>
        </w:pBdr>
        <w:spacing w:line="360" w:lineRule="auto"/>
        <w:ind w:firstLine="720"/>
        <w:rPr>
          <w:rFonts w:eastAsia="Arial"/>
          <w:color w:val="000000"/>
        </w:rPr>
      </w:pPr>
      <w:proofErr w:type="spellStart"/>
      <w:r w:rsidRPr="006370E0">
        <w:rPr>
          <w:rFonts w:eastAsia="Arial"/>
          <w:i/>
          <w:color w:val="000000"/>
        </w:rPr>
        <w:t>Suillus</w:t>
      </w:r>
      <w:proofErr w:type="spellEnd"/>
      <w:r w:rsidRPr="006370E0">
        <w:rPr>
          <w:rFonts w:eastAsia="Arial"/>
          <w:i/>
          <w:color w:val="000000"/>
        </w:rPr>
        <w:t xml:space="preserve"> </w:t>
      </w:r>
      <w:r w:rsidRPr="006370E0">
        <w:rPr>
          <w:rFonts w:eastAsia="Arial"/>
          <w:color w:val="000000"/>
        </w:rPr>
        <w:t xml:space="preserve">is perhaps the most well-studied genus of EMF with species displaying clear host specificity </w:t>
      </w:r>
      <w:r w:rsidRPr="00BC723B">
        <w:rPr>
          <w:rFonts w:eastAsia="Arial"/>
          <w:color w:val="000000"/>
        </w:rPr>
        <w:fldChar w:fldCharType="begin" w:fldLock="1"/>
      </w:r>
      <w:r w:rsidR="006E1F09">
        <w:rPr>
          <w:rFonts w:eastAsia="Arial"/>
          <w:color w:val="000000"/>
        </w:rPr>
        <w:instrText>ADDIN CSL_CITATION {"citationItems":[{"id":"ITEM-1","itemData":{"author":[{"dropping-particle":"","family":"Kretzer","given":"Annette","non-dropping-particle":"","parse-names":false,"suffix":""},{"dropping-particle":"","family":"Li","given":"Yunan","non-dropping-particle":"","parse-names":false,"suffix":""},{"dropping-particle":"","family":"Szaro","given":"Timothy","non-dropping-particle":"","parse-names":false,"suffix":""},{"dropping-particle":"","family":"Bruns","given":"Thomas D.","non-dropping-particle":"","parse-names":false,"suffix":""}],"container-title":"Mycologia","id":"ITEM-1","issue":"5","issued":{"date-parts":[["1996"]]},"page":"776-785","title":"Internal Transcribed Spacer Sequences from 38 Recognized Species of Suillus sensu lato : Phylogenetic and Taxonomic Implications","type":"article-journal","volume":"88"},"uris":["http://www.mendeley.com/documents/?uuid=ac296038-ac83-4c20-80a8-af74df31861f"]},{"id":"ITEM-2","itemData":{"DOI":"10.1371/journal.pgen.1006348","ISSN":"15537404","abstract":"Ectomycorrhizal fungi (EMF) represent one of the major guilds of symbiotic fungi associated with roots of forest trees, where they function to improve plant nutrition and fitness in exchange for plant carbon. Many groups of EMF exhibit preference or specificity for different plant host genera; a good example is the genus Suillus, which grows in association with the conifer family Pinaceae. We investigated genetics of EMF host-specificity by cross-inoculating basidiospores of five species of Suillus onto ten species of Pinus, and screened them for their ability to form ectomycorrhizae. Several Suillus spp. including S. granulatus, S. spraguei, and S. americanus readily formed ectomycorrhizae (compatible reaction) with white pine hosts (subgenus Strobus), but were incompatible with other pine hosts (subgenus Pinus). Metatranscriptomic analysis of inoculated roots reveals that plant and fungus each express unique gene sets during incompatible vs. compatible pairings. The Suillus-Pinus metatranscriptomes utilize highly conserved gene regulatory pathways, including fungal G-protein signaling, secretory pathways, leucine-rich repeat and pathogen resistance proteins that are similar to those associated with host-pathogen interactions in other plant-fungal systems. Metatranscriptomic study of the combined Suillus-Pinus transcriptome has provided new insight into mechanisms of adaptation and coevolution of forest trees with their microbial community, and revealed that genetic regulation of ectomycorrhizal symbiosis utilizes universal gene regulatory pathways used by other types of fungal-plant interactions including pathogenic fungal-host interactions.","author":[{"dropping-particle":"","family":"Liao","given":"Hui Ling","non-dropping-particle":"","parse-names":false,"suffix":""},{"dropping-particle":"","family":"Chen","given":"Yuan","non-dropping-particle":"","parse-names":false,"suffix":""},{"dropping-particle":"","family":"Vilgalys","given":"Rytas","non-dropping-particle":"","parse-names":false,"suffix":""}],"container-title":"PLoS Genetics","id":"ITEM-2","issue":"10","issued":{"date-parts":[["2016"]]},"page":"1-24","title":"Metatranscriptomic Study of Common and Host-Specific Patterns of Gene Expression between Pines and Their Symbiotic Ectomycorrhizal Fungi in the Genus Suillus","type":"article-journal","volume":"12"},"uris":["http://www.mendeley.com/documents/?uuid=6602e864-2fe0-48b3-8074-f550837fd1de"]},{"id":"ITEM-3","itemData":{"DOI":"10.3852/16-106","ISSN":"00275514","abstract":"The genus Suillus represents one of the most recognizable groups of mushrooms in conifer forests throughout the Northern Hemisphere. Although for decades the genus has been relatively well defined morphologically, previous molecular phylogenetic assessments have provided important yet preliminary insights into its evolutionary history. We present the first large-scale phylogenetic study of the boundaries of each species in the genus Suillus based on the most current internal transcribed spacer (ITS) barcode sequences available inPUBLIC databases, as well as sequencing of 224 vouchered specimens and cultures, 15 of which were type specimens from North America. We found that species boundaries delimited by morphological data are broadly congruent with those based on ITS sequences. However, some species appear to have been described several times under different names, several species groups cannot be resolved by ITS sequences alone, and undescribed taxa are apparent, especially in Asia. Therefore, we elevated S. tomentosus var. discolor to S. discolor; proposed synonymies of S. neoalbidipes with S. glandulosipes, S. borealis with S. brunnescens, Boletus serotinus and B. solidipes with Suillus elbensis, S. lactifluus with S. granulatus, S. himalayensis with S. americanus; and proposed usage of the names S. clintonianus in the place of the North American S. grevillei, S. weaverae for North American S. granulatus, S. ampliporus in the place of the North American S. cavipes, and S. elbensis in place of the North American S. viscidus. We showed that the majority of Suillus species have strong affinities for particular host genera. Although deep node support was low, geographic differentiation was apparent, with species from North America, Eurasia, and Asia often forming their own clades. Collectively, this comprehensive genus-level phylogenetic integration of currently available Suillus ITS molecular data and metadata will aid future taxonomic and ecological work on an important group of ectomycorrhizal fungi.","author":[{"dropping-particle":"","family":"Nguyen","given":"Nhu H.","non-dropping-particle":"","parse-names":false,"suffix":""},{"dropping-particle":"","family":"Vellinga","given":"Else C.","non-dropping-particle":"","parse-names":false,"suffix":""},{"dropping-particle":"","family":"Bruns","given":"Thomas D.","non-dropping-particle":"","parse-names":false,"suffix":""},{"dropping-particle":"","family":"Kennedy","given":"Peter G.","non-dropping-particle":"","parse-names":false,"suffix":""}],"container-title":"Mycologia","id":"ITEM-3","issue":"6","issued":{"date-parts":[["2016"]]},"page":"1216-1228","title":"Phylogenetic assessment of global Suillus ITS sequences supports morphologically defined species and reveals synonymous and undescribed taxa","type":"article-journal","volume":"108"},"uris":["http://www.mendeley.com/documents/?uuid=b5a43ec2-d82d-4c66-875f-0e7c1252b3f1"]}],"mendeley":{"formattedCitation":"(Kretzer et al., 1996; Liao et al., 2016; Nguyen et al., 2016)","plainTextFormattedCitation":"(Kretzer et al., 1996; Liao et al., 2016; Nguyen et al., 2016)","previouslyFormattedCitation":"(Kretzer et al., 1996; Liao et al., 2016; Nguyen et al., 2016)"},"properties":{"noteIndex":0},"schema":"https://github.com/citation-style-language/schema/raw/master/csl-citation.json"}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(Kretzer et al., 1996; Liao et al., 2016; Nguyen et al., 2016)</w:t>
      </w:r>
      <w:r w:rsidRPr="00BC723B">
        <w:rPr>
          <w:rFonts w:eastAsia="Arial"/>
          <w:color w:val="000000"/>
        </w:rPr>
        <w:fldChar w:fldCharType="end"/>
      </w:r>
      <w:r w:rsidRPr="00BC723B">
        <w:rPr>
          <w:rFonts w:eastAsia="Arial"/>
          <w:color w:val="000000"/>
        </w:rPr>
        <w:t>. Herbarium collections of</w:t>
      </w:r>
      <w:r>
        <w:rPr>
          <w:rFonts w:eastAsia="Arial"/>
          <w:color w:val="000000"/>
        </w:rPr>
        <w:t xml:space="preserve"> Painted </w:t>
      </w:r>
      <w:proofErr w:type="spellStart"/>
      <w:r>
        <w:rPr>
          <w:rFonts w:eastAsia="Arial"/>
          <w:color w:val="000000"/>
        </w:rPr>
        <w:t>Suillus</w:t>
      </w:r>
      <w:proofErr w:type="spellEnd"/>
      <w:r w:rsidRPr="00BC723B">
        <w:rPr>
          <w:rFonts w:eastAsia="Arial"/>
          <w:color w:val="000000"/>
        </w:rPr>
        <w:t xml:space="preserve"> </w:t>
      </w:r>
      <w:r>
        <w:rPr>
          <w:rFonts w:eastAsia="Arial"/>
          <w:color w:val="000000"/>
        </w:rPr>
        <w:t>(</w:t>
      </w:r>
      <w:proofErr w:type="spellStart"/>
      <w:r w:rsidRPr="00BC723B">
        <w:rPr>
          <w:rFonts w:eastAsia="Arial"/>
          <w:i/>
          <w:color w:val="000000"/>
        </w:rPr>
        <w:t>Suillus</w:t>
      </w:r>
      <w:proofErr w:type="spellEnd"/>
      <w:r w:rsidRPr="00BC723B">
        <w:rPr>
          <w:rFonts w:eastAsia="Arial"/>
          <w:i/>
          <w:color w:val="000000"/>
        </w:rPr>
        <w:t xml:space="preserve"> </w:t>
      </w:r>
      <w:proofErr w:type="spellStart"/>
      <w:r w:rsidRPr="00BC723B">
        <w:rPr>
          <w:rFonts w:eastAsia="Arial"/>
          <w:i/>
          <w:color w:val="000000"/>
        </w:rPr>
        <w:t>spraguei</w:t>
      </w:r>
      <w:proofErr w:type="spellEnd"/>
      <w:r>
        <w:rPr>
          <w:rFonts w:eastAsia="Arial"/>
          <w:iCs/>
          <w:color w:val="000000"/>
        </w:rPr>
        <w:t xml:space="preserve">; </w:t>
      </w:r>
      <w:r w:rsidRPr="00D67004">
        <w:rPr>
          <w:rFonts w:eastAsia="Arial"/>
          <w:i/>
          <w:color w:val="000000"/>
        </w:rPr>
        <w:t>S. pictus</w:t>
      </w:r>
      <w:r w:rsidRPr="00D67004">
        <w:rPr>
          <w:rFonts w:eastAsia="Arial"/>
          <w:iCs/>
          <w:color w:val="000000"/>
        </w:rPr>
        <w:t xml:space="preserve"> is a synonym</w:t>
      </w:r>
      <w:r w:rsidRPr="00BC723B">
        <w:rPr>
          <w:rFonts w:eastAsia="Arial"/>
          <w:iCs/>
          <w:color w:val="000000"/>
        </w:rPr>
        <w:t>)</w:t>
      </w:r>
      <w:r w:rsidRPr="00BC723B">
        <w:rPr>
          <w:rFonts w:eastAsia="Arial"/>
          <w:i/>
          <w:color w:val="000000"/>
        </w:rPr>
        <w:t xml:space="preserve"> </w:t>
      </w:r>
      <w:r w:rsidRPr="00BC723B">
        <w:rPr>
          <w:rFonts w:eastAsia="Arial"/>
          <w:color w:val="000000"/>
        </w:rPr>
        <w:t xml:space="preserve">from the eastern United States and Canada form a well-supported monophyletic clade </w:t>
      </w:r>
      <w:r w:rsidRPr="00BC723B">
        <w:rPr>
          <w:rFonts w:eastAsia="Arial"/>
          <w:color w:val="000000"/>
        </w:rPr>
        <w:fldChar w:fldCharType="begin" w:fldLock="1"/>
      </w:r>
      <w:r w:rsidR="006E1F09">
        <w:rPr>
          <w:rFonts w:eastAsia="Arial"/>
          <w:color w:val="000000"/>
        </w:rPr>
        <w:instrText>ADDIN CSL_CITATION {"citationItems":[{"id":"ITEM-1","itemData":{"author":[{"dropping-particle":"","family":"Kretzer","given":"Annette","non-dropping-particle":"","parse-names":false,"suffix":""},{"dropping-particle":"","family":"Li","given":"Yunan","non-dropping-particle":"","parse-names":false,"suffix":""},{"dropping-particle":"","family":"Szaro","given":"Timothy","non-dropping-particle":"","parse-names":false,"suffix":""},{"dropping-particle":"","family":"Bruns","given":"Thomas D.","non-dropping-particle":"","parse-names":false,"suffix":""}],"container-title":"Mycologia","id":"ITEM-1","issue":"5","issued":{"date-parts":[["1996"]]},"page":"776-785","title":"Internal Transcribed Spacer Sequences from 38 Recognized Species of Suillus sensu lato : Phylogenetic and Taxonomic Implications","type":"article-journal","volume":"88"},"uris":["http://www.mendeley.com/documents/?uuid=ac296038-ac83-4c20-80a8-af74df31861f"]},{"id":"ITEM-2","itemData":{"DOI":"10.3852/16-106","ISSN":"00275514","abstract":"The genus Suillus represents one of the most recognizable groups of mushrooms in conifer forests throughout the Northern Hemisphere. Although for decades the genus has been relatively well defined morphologically, previous molecular phylogenetic assessments have provided important yet preliminary insights into its evolutionary history. We present the first large-scale phylogenetic study of the boundaries of each species in the genus Suillus based on the most current internal transcribed spacer (ITS) barcode sequences available inPUBLIC databases, as well as sequencing of 224 vouchered specimens and cultures, 15 of which were type specimens from North America. We found that species boundaries delimited by morphological data are broadly congruent with those based on ITS sequences. However, some species appear to have been described several times under different names, several species groups cannot be resolved by ITS sequences alone, and undescribed taxa are apparent, especially in Asia. Therefore, we elevated S. tomentosus var. discolor to S. discolor; proposed synonymies of S. neoalbidipes with S. glandulosipes, S. borealis with S. brunnescens, Boletus serotinus and B. solidipes with Suillus elbensis, S. lactifluus with S. granulatus, S. himalayensis with S. americanus; and proposed usage of the names S. clintonianus in the place of the North American S. grevillei, S. weaverae for North American S. granulatus, S. ampliporus in the place of the North American S. cavipes, and S. elbensis in place of the North American S. viscidus. We showed that the majority of Suillus species have strong affinities for particular host genera. Although deep node support was low, geographic differentiation was apparent, with species from North America, Eurasia, and Asia often forming their own clades. Collectively, this comprehensive genus-level phylogenetic integration of currently available Suillus ITS molecular data and metadata will aid future taxonomic and ecological work on an important group of ectomycorrhizal fungi.","author":[{"dropping-particle":"","family":"Nguyen","given":"Nhu H.","non-dropping-particle":"","parse-names":false,"suffix":""},{"dropping-particle":"","family":"Vellinga","given":"Else C.","non-dropping-particle":"","parse-names":false,"suffix":""},{"dropping-particle":"","family":"Bruns","given":"Thomas D.","non-dropping-particle":"","parse-names":false,"suffix":""},{"dropping-particle":"","family":"Kennedy","given":"Peter G.","non-dropping-particle":"","parse-names":false,"suffix":""}],"container-title":"Mycologia","id":"ITEM-2","issue":"6","issued":{"date-parts":[["2016"]]},"page":"1216-1228","title":"Phylogenetic assessment of global Suillus ITS sequences supports morphologically defined species and reveals synonymous and undescribed taxa","type":"article-journal","volume":"108"},"uris":["http://www.mendeley.com/documents/?uuid=b5a43ec2-d82d-4c66-875f-0e7c1252b3f1"]}],"mendeley":{"formattedCitation":"(Kretzer et al., 1996; Nguyen et al., 2016)","plainTextFormattedCitation":"(Kretzer et al., 1996; Nguyen et al., 2016)","previouslyFormattedCitation":"(Kretzer et al., 1996; Nguyen et al., 2016)"},"properties":{"noteIndex":0},"schema":"https://github.com/citation-style-language/schema/raw/master/csl-citation.json"}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(Kretzer et al., 1996; Nguyen et al., 2016)</w:t>
      </w:r>
      <w:r w:rsidRPr="00BC723B">
        <w:rPr>
          <w:rFonts w:eastAsia="Arial"/>
          <w:color w:val="000000"/>
        </w:rPr>
        <w:fldChar w:fldCharType="end"/>
      </w:r>
      <w:r w:rsidRPr="00BC723B">
        <w:rPr>
          <w:rFonts w:eastAsia="Arial"/>
          <w:color w:val="000000"/>
        </w:rPr>
        <w:t xml:space="preserve">. Recent phylogenetic and transcriptomic studies </w:t>
      </w:r>
      <w:r>
        <w:rPr>
          <w:rFonts w:eastAsia="Arial"/>
          <w:color w:val="000000"/>
        </w:rPr>
        <w:t>indicate</w:t>
      </w:r>
      <w:r w:rsidRPr="00BC723B">
        <w:rPr>
          <w:rFonts w:eastAsia="Arial"/>
          <w:color w:val="000000"/>
        </w:rPr>
        <w:t xml:space="preserve"> </w:t>
      </w:r>
      <w:r w:rsidRPr="00BC723B">
        <w:rPr>
          <w:rFonts w:eastAsia="Arial"/>
          <w:i/>
          <w:iCs/>
          <w:color w:val="000000"/>
        </w:rPr>
        <w:t xml:space="preserve">S. </w:t>
      </w:r>
      <w:proofErr w:type="spellStart"/>
      <w:r w:rsidRPr="00BC723B">
        <w:rPr>
          <w:rFonts w:eastAsia="Arial"/>
          <w:i/>
          <w:iCs/>
          <w:color w:val="000000"/>
        </w:rPr>
        <w:t>spraguei</w:t>
      </w:r>
      <w:proofErr w:type="spellEnd"/>
      <w:r w:rsidRPr="00BC723B">
        <w:rPr>
          <w:rFonts w:eastAsia="Arial"/>
          <w:i/>
          <w:iCs/>
          <w:color w:val="000000"/>
        </w:rPr>
        <w:t xml:space="preserve"> </w:t>
      </w:r>
      <w:r w:rsidRPr="00BC723B">
        <w:rPr>
          <w:rFonts w:eastAsia="Arial"/>
          <w:color w:val="000000"/>
        </w:rPr>
        <w:t xml:space="preserve">only grows in association with the North American tree species </w:t>
      </w:r>
      <w:r>
        <w:rPr>
          <w:rFonts w:eastAsia="Arial"/>
          <w:color w:val="000000"/>
        </w:rPr>
        <w:t xml:space="preserve">Eastern White Pine </w:t>
      </w:r>
      <w:r w:rsidRPr="00BC723B">
        <w:rPr>
          <w:rFonts w:eastAsia="Arial"/>
          <w:color w:val="000000"/>
        </w:rPr>
        <w:fldChar w:fldCharType="begin" w:fldLock="1"/>
      </w:r>
      <w:r w:rsidR="006E1F09">
        <w:rPr>
          <w:rFonts w:eastAsia="Arial"/>
          <w:color w:val="000000"/>
        </w:rPr>
        <w:instrText>ADDIN CSL_CITATION {"citationItems":[{"id":"ITEM-1","itemData":{"DOI":"10.3852/16-106","ISSN":"00275514","abstract":"The genus Suillus represents one of the most recognizable groups of mushrooms in conifer forests throughout the Northern Hemisphere. Although for decades the genus has been relatively well defined morphologically, previous molecular phylogenetic assessments have provided important yet preliminary insights into its evolutionary history. We present the first large-scale phylogenetic study of the boundaries of each species in the genus Suillus based on the most current internal transcribed spacer (ITS) barcode sequences available inPUBLIC databases, as well as sequencing of 224 vouchered specimens and cultures, 15 of which were type specimens from North America. We found that species boundaries delimited by morphological data are broadly congruent with those based on ITS sequences. However, some species appear to have been described several times under different names, several species groups cannot be resolved by ITS sequences alone, and undescribed taxa are apparent, especially in Asia. Therefore, we elevated S. tomentosus var. discolor to S. discolor; proposed synonymies of S. neoalbidipes with S. glandulosipes, S. borealis with S. brunnescens, Boletus serotinus and B. solidipes with Suillus elbensis, S. lactifluus with S. granulatus, S. himalayensis with S. americanus; and proposed usage of the names S. clintonianus in the place of the North American S. grevillei, S. weaverae for North American S. granulatus, S. ampliporus in the place of the North American S. cavipes, and S. elbensis in place of the North American S. viscidus. We showed that the majority of Suillus species have strong affinities for particular host genera. Although deep node support was low, geographic differentiation was apparent, with species from North America, Eurasia, and Asia often forming their own clades. Collectively, this comprehensive genus-level phylogenetic integration of currently available Suillus ITS molecular data and metadata will aid future taxonomic and ecological work on an important group of ectomycorrhizal fungi.","author":[{"dropping-particle":"","family":"Nguyen","given":"Nhu H.","non-dropping-particle":"","parse-names":false,"suffix":""},{"dropping-particle":"","family":"Vellinga","given":"Else C.","non-dropping-particle":"","parse-names":false,"suffix":""},{"dropping-particle":"","family":"Bruns","given":"Thomas D.","non-dropping-particle":"","parse-names":false,"suffix":""},{"dropping-particle":"","family":"Kennedy","given":"Peter G.","non-dropping-particle":"","parse-names":false,"suffix":""}],"container-title":"Mycologia","id":"ITEM-1","issue":"6","issued":{"date-parts":[["2016"]]},"page":"1216-1228","title":"Phylogenetic assessment of global Suillus ITS sequences supports morphologically defined species and reveals synonymous and undescribed taxa","type":"article-journal","volume":"108"},"uris":["http://www.mendeley.com/documents/?uuid=b5a43ec2-d82d-4c66-875f-0e7c1252b3f1"]},{"id":"ITEM-2","itemData":{"DOI":"10.1371/journal.pgen.1006348","ISSN":"15537404","abstract":"Ectomycorrhizal fungi (EMF) represent one of the major guilds of symbiotic fungi associated with roots of forest trees, where they function to improve plant nutrition and fitness in exchange for plant carbon. Many groups of EMF exhibit preference or specificity for different plant host genera; a good example is the genus Suillus, which grows in association with the conifer family Pinaceae. We investigated genetics of EMF host-specificity by cross-inoculating basidiospores of five species of Suillus onto ten species of Pinus, and screened them for their ability to form ectomycorrhizae. Several Suillus spp. including S. granulatus, S. spraguei, and S. americanus readily formed ectomycorrhizae (compatible reaction) with white pine hosts (subgenus Strobus), but were incompatible with other pine hosts (subgenus Pinus). Metatranscriptomic analysis of inoculated roots reveals that plant and fungus each express unique gene sets during incompatible vs. compatible pairings. The Suillus-Pinus metatranscriptomes utilize highly conserved gene regulatory pathways, including fungal G-protein signaling, secretory pathways, leucine-rich repeat and pathogen resistance proteins that are similar to those associated with host-pathogen interactions in other plant-fungal systems. Metatranscriptomic study of the combined Suillus-Pinus transcriptome has provided new insight into mechanisms of adaptation and coevolution of forest trees with their microbial community, and revealed that genetic regulation of ectomycorrhizal symbiosis utilizes universal gene regulatory pathways used by other types of fungal-plant interactions including pathogenic fungal-host interactions.","author":[{"dropping-particle":"","family":"Liao","given":"Hui Ling","non-dropping-particle":"","parse-names":false,"suffix":""},{"dropping-particle":"","family":"Chen","given":"Yuan","non-dropping-particle":"","parse-names":false,"suffix":""},{"dropping-particle":"","family":"Vilgalys","given":"Rytas","non-dropping-particle":"","parse-names":false,"suffix":""}],"container-title":"PLoS Genetics","id":"ITEM-2","issue":"10","issued":{"date-parts":[["2016"]]},"page":"1-24","title":"Metatranscriptomic Study of Common and Host-Specific Patterns of Gene Expression between Pines and Their Symbiotic Ectomycorrhizal Fungi in the Genus Suillus","type":"article-journal","volume":"12"},"uris":["http://www.mendeley.com/documents/?uuid=6602e864-2fe0-48b3-8074-f550837fd1de"]}],"mendeley":{"formattedCitation":"(Liao et al., 2016; Nguyen et al., 2016)","manualFormatting":"(Pinus strobus; Liao et al., 2016; Nguyen et al., 2016)","plainTextFormattedCitation":"(Liao et al., 2016; Nguyen et al., 2016)","previouslyFormattedCitation":"(Liao et al., 2016; Nguyen et al., 2016)"},"properties":{"noteIndex":0},"schema":"https://github.com/citation-style-language/schema/raw/master/csl-citation.json"}</w:instrText>
      </w:r>
      <w:r w:rsidRPr="00BC723B">
        <w:rPr>
          <w:rFonts w:eastAsia="Arial"/>
          <w:color w:val="000000"/>
        </w:rPr>
        <w:fldChar w:fldCharType="separate"/>
      </w:r>
      <w:r w:rsidRPr="00BC723B">
        <w:rPr>
          <w:rFonts w:eastAsia="Arial"/>
          <w:noProof/>
          <w:color w:val="000000"/>
        </w:rPr>
        <w:t>(</w:t>
      </w:r>
      <w:r w:rsidRPr="00BC723B">
        <w:rPr>
          <w:rFonts w:eastAsia="Arial"/>
          <w:i/>
          <w:noProof/>
          <w:color w:val="000000"/>
        </w:rPr>
        <w:t>Pinus</w:t>
      </w:r>
      <w:r w:rsidRPr="00BC723B">
        <w:rPr>
          <w:rFonts w:eastAsia="Arial"/>
          <w:noProof/>
          <w:color w:val="000000"/>
        </w:rPr>
        <w:t xml:space="preserve"> </w:t>
      </w:r>
      <w:r w:rsidRPr="00BC723B">
        <w:rPr>
          <w:rFonts w:eastAsia="Arial"/>
          <w:i/>
          <w:noProof/>
          <w:color w:val="000000"/>
        </w:rPr>
        <w:t>strobus</w:t>
      </w:r>
      <w:r>
        <w:rPr>
          <w:rFonts w:eastAsia="Arial"/>
          <w:i/>
          <w:noProof/>
          <w:color w:val="000000"/>
        </w:rPr>
        <w:t>;</w:t>
      </w:r>
      <w:r w:rsidRPr="00BC723B">
        <w:rPr>
          <w:rFonts w:eastAsia="Arial"/>
          <w:i/>
          <w:noProof/>
          <w:color w:val="000000"/>
        </w:rPr>
        <w:t xml:space="preserve"> </w:t>
      </w:r>
      <w:r w:rsidRPr="00BC723B">
        <w:rPr>
          <w:rFonts w:eastAsia="Arial"/>
          <w:noProof/>
          <w:color w:val="000000"/>
        </w:rPr>
        <w:t>Liao et al., 2016; Nguyen et al., 2016)</w:t>
      </w:r>
      <w:r w:rsidRPr="00BC723B">
        <w:rPr>
          <w:rFonts w:eastAsia="Arial"/>
          <w:color w:val="000000"/>
        </w:rPr>
        <w:fldChar w:fldCharType="end"/>
      </w:r>
      <w:r w:rsidRPr="00BC723B">
        <w:rPr>
          <w:rFonts w:eastAsia="Arial"/>
          <w:color w:val="000000"/>
        </w:rPr>
        <w:t xml:space="preserve">. </w:t>
      </w:r>
      <w:r w:rsidRPr="00BC723B">
        <w:rPr>
          <w:rFonts w:eastAsia="Arial"/>
          <w:i/>
          <w:iCs/>
          <w:color w:val="000000"/>
        </w:rPr>
        <w:t>P</w:t>
      </w:r>
      <w:r>
        <w:rPr>
          <w:rFonts w:eastAsia="Arial"/>
          <w:i/>
          <w:iCs/>
          <w:color w:val="000000"/>
        </w:rPr>
        <w:t>.</w:t>
      </w:r>
      <w:r w:rsidRPr="00BC723B">
        <w:rPr>
          <w:rFonts w:eastAsia="Arial"/>
          <w:i/>
          <w:iCs/>
          <w:color w:val="000000"/>
        </w:rPr>
        <w:t xml:space="preserve"> </w:t>
      </w:r>
      <w:proofErr w:type="spellStart"/>
      <w:r w:rsidRPr="00BC723B">
        <w:rPr>
          <w:rFonts w:eastAsia="Arial"/>
          <w:i/>
          <w:iCs/>
          <w:color w:val="000000"/>
        </w:rPr>
        <w:t>strobus</w:t>
      </w:r>
      <w:proofErr w:type="spellEnd"/>
      <w:r>
        <w:rPr>
          <w:rFonts w:eastAsia="Arial"/>
          <w:color w:val="000000"/>
        </w:rPr>
        <w:t xml:space="preserve"> </w:t>
      </w:r>
      <w:r w:rsidRPr="006370E0">
        <w:rPr>
          <w:rFonts w:eastAsia="Arial"/>
          <w:color w:val="000000"/>
        </w:rPr>
        <w:t xml:space="preserve">was historically sought for its timber and remains of high economic importance </w:t>
      </w:r>
      <w:r w:rsidRPr="00BC723B">
        <w:rPr>
          <w:rFonts w:eastAsia="Arial"/>
          <w:color w:val="000000"/>
        </w:rPr>
        <w:fldChar w:fldCharType="begin" w:fldLock="1"/>
      </w:r>
      <w:r w:rsidR="006E1F09">
        <w:rPr>
          <w:rFonts w:eastAsia="Arial"/>
          <w:color w:val="000000"/>
        </w:rPr>
        <w:instrText>ADDIN CSL_CITATION {"citationItems":[{"id":"ITEM-1","itemData":{"DOI":"10.5558/tfc70427-4","ISSN":"0015-7546","abstract":"The processes which generate and maintain genetic variabil-Les processus qui gCn2rent et maintiennent la diversite gCnC-ity in natural forest tree populations are reviewed in relation to tique dans les populations naturelles d'arbres forestiers sont genetic management of naturally regenerating white pine (Pinus CtudiCs en relation de la gestion ii des fins gCn6tiques des peuplements strobus L.) stands. Genetic consequences of inbreeding and de pin blanc (Pinus strobus L.) se rCg6nCrant naturellement. Les silvicultural selection on natural regeneration are discussed, consCquences gCnCtiques de l'interfkcondation et de la sClection with special reference to old-growth stand management. sylvicole sur la r6gCnbtion naturelle sont discutks, tout en rCfCrant Ontario's old-growth white pine forests provide a unique sptcialement I'amCnagement des vieux peuplements. opportunity to manage, utilize and conserve pristine gene pools Les vieilles for&amp; de pin blanc de I'Ontario constituent une oppor-in situ. However, fragmentation of white pine populations in other tunit6 unique pour amCnager, utiliser et conserver des rCser-areas may require ex situ methods to preserve remnants of local voirs gCnCtiques originaux in situ. Cependant, la fragmentation genetic variation for future use. des populations de pin blanc dans d'autres rigions requiert des mtthodes ex situ de prkservation pour utilisation future des","author":[{"dropping-particle":"","family":"Buchert","given":"G. P.","non-dropping-particle":"","parse-names":false,"suffix":""}],"container-title":"The Forestry Chronicle","id":"ITEM-1","issue":"4","issued":{"date-parts":[["1994"]]},"page":"427-434","title":"Genetics of white pine and implications for management and conservation","type":"article-journal","volume":"70"},"uris":["http://www.mendeley.com/documents/?uuid=51b2a723-af3e-4fc5-ae71-f5c04d9276ee"]}],"mendeley":{"formattedCitation":"(Buchert, 1994)","plainTextFormattedCitation":"(Buchert, 1994)","previouslyFormattedCitation":"(Buchert, 1994)"},"properties":{"noteIndex":0},"schema":"https://github.com/citation-style-language/schema/raw/master/csl-citation.json"}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(Buchert, 1994)</w:t>
      </w:r>
      <w:r w:rsidRPr="00BC723B">
        <w:rPr>
          <w:rFonts w:eastAsia="Arial"/>
          <w:color w:val="000000"/>
        </w:rPr>
        <w:fldChar w:fldCharType="end"/>
      </w:r>
      <w:r w:rsidRPr="00BC723B">
        <w:rPr>
          <w:rFonts w:eastAsia="Arial"/>
          <w:color w:val="000000"/>
        </w:rPr>
        <w:t xml:space="preserve">. Forested ecosystems threatened by changing abiotic and biotic interactions can have ongoing effects on the colonization and persistence of mycorrhizal populations </w:t>
      </w:r>
      <w:r w:rsidRPr="00BC723B">
        <w:rPr>
          <w:rFonts w:eastAsia="Arial"/>
          <w:color w:val="000000"/>
        </w:rPr>
        <w:fldChar w:fldCharType="begin" w:fldLock="1"/>
      </w:r>
      <w:r w:rsidR="006E1F09">
        <w:rPr>
          <w:rFonts w:eastAsia="Arial"/>
          <w:color w:val="000000"/>
        </w:rPr>
        <w:instrText>ADDIN CSL_CITATION {"citationItems":[{"id":"ITEM-1","itemData":{"DOI":"10.1016/j.pedobi.2019.150611","ISSN":"00314056","abstract":"Aims: Anthropogenic activities disturb forests and their associated mycorrhizal fungi. The combination of climate change and habitat fragmentation are linked to increased incidence of a canker disease in a Mediterranean-type forest tree in Western Australia. As changes in communities of mycorrhizal fungi could predispose these Mediterranean-type forest trees to decline, we investigated how two aspects of mycorrhizal fungal community structure, soil propagules and resident communities on mature trees, respond to habitat fragmentation. Methods: Roots were collected from a forest tree (Corymbia calophylla) across a disturbance gradient. Soil collected from the same disturbance gradient was used in a glasshouse bioassay with C. calophylla as the bioassay host (i.e., soil propagule community). After four months, we harvested the seedlings and collected roots. DNA was extracted from the field roots (resident community) and glasshouse roots (propagule community), amplified with fungal specific primers, labelled with specific barcodes and subjected to 454 pyrosequencing. Results: Mycorrhizal fungal community composition overlapped substantially between the soil propagule and resident communities. However, the resident community had greater mycorrhizal fungal richness than the soil propagule community. Habitat fragmentation had a similar effect on each community structure: communities along highly fragmented areas had different community compositions than communities in a healthy forest. Conclusion: With the increased mortality of C. calophylla forest trees in recent years along edge habitats, understanding the effects habitat fragmentation has on communities of mycorrhizal fungi will further elucidate host-mutualist interactions in these forest ecosystems. The changes in community composition of mycorrhizal fungal species in both propagule and resident pools can have cascading effects on future tree establishment and health by predisposing forest trees to other abiotic or biotic factors.","author":[{"dropping-particle":"","family":"Sapsford","given":"Sarah J.","non-dropping-particle":"","parse-names":false,"suffix":""},{"dropping-particle":"","family":"Paap","given":"Trudy","non-dropping-particle":"","parse-names":false,"suffix":""},{"dropping-particle":"","family":"Hopkins","given":"Anna J.M.","non-dropping-particle":"","parse-names":false,"suffix":""},{"dropping-particle":"","family":"Hardy","given":"Giles E.St J.","non-dropping-particle":"","parse-names":false,"suffix":""},{"dropping-particle":"","family":"Burgess","given":"Treena I.","non-dropping-particle":"","parse-names":false,"suffix":""}],"container-title":"Pedobiologia","id":"ITEM-1","issue":"November 2019","issued":{"date-parts":[["2020"]]},"page":"150611","publisher":"Elsevier","title":"Habitat fragmentation in a Mediterranean-type forest alters resident and propagule mycorrhizal fungal communities","type":"article-journal","volume":"78"},"uris":["http://www.mendeley.com/documents/?uuid=978c8c1c-5859-45ce-9292-fc8257e776ca"]}],"mendeley":{"formattedCitation":"(Sapsford et al., 2020)","plainTextFormattedCitation":"(Sapsford et al., 2020)","previouslyFormattedCitation":"(Sapsford et al., 2020)"},"properties":{"noteIndex":0},"schema":"https://github.com/citation-style-language/schema/raw/master/csl-citation.json"}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(Sapsford et al., 2020)</w:t>
      </w:r>
      <w:r w:rsidRPr="00BC723B">
        <w:rPr>
          <w:rFonts w:eastAsia="Arial"/>
          <w:color w:val="000000"/>
        </w:rPr>
        <w:fldChar w:fldCharType="end"/>
      </w:r>
      <w:r w:rsidRPr="00BC723B">
        <w:rPr>
          <w:rFonts w:eastAsia="Arial"/>
          <w:color w:val="000000"/>
        </w:rPr>
        <w:t xml:space="preserve">. Hence, ecological niche modeling serves as a unique </w:t>
      </w:r>
      <w:r w:rsidRPr="00BC723B">
        <w:rPr>
          <w:rFonts w:eastAsia="Arial"/>
          <w:color w:val="000000"/>
        </w:rPr>
        <w:lastRenderedPageBreak/>
        <w:t xml:space="preserve">opportunity to address which climatic drivers shape EMF ecology and distributions in current climate conditions. Further, modeling both species across future climate scenarios will illuminate how the geographic range of an obligate, single-host mutualist will respond </w:t>
      </w:r>
      <w:proofErr w:type="gramStart"/>
      <w:r w:rsidRPr="00BC723B">
        <w:rPr>
          <w:rFonts w:eastAsia="Arial"/>
          <w:color w:val="000000"/>
        </w:rPr>
        <w:t>in light of</w:t>
      </w:r>
      <w:proofErr w:type="gramEnd"/>
      <w:r w:rsidRPr="00BC723B">
        <w:rPr>
          <w:rFonts w:eastAsia="Arial"/>
          <w:color w:val="000000"/>
        </w:rPr>
        <w:t xml:space="preserve"> climate change. </w:t>
      </w:r>
    </w:p>
    <w:p w14:paraId="224EC648" w14:textId="052017CF" w:rsidR="00EA205E" w:rsidRPr="00E51E8B" w:rsidRDefault="00E51E8B" w:rsidP="00E51E8B">
      <w:pPr>
        <w:pBdr>
          <w:top w:val="nil"/>
          <w:left w:val="nil"/>
          <w:bottom w:val="nil"/>
          <w:right w:val="nil"/>
          <w:between w:val="nil"/>
        </w:pBdr>
        <w:spacing w:line="360" w:lineRule="auto"/>
        <w:ind w:firstLine="720"/>
        <w:rPr>
          <w:rFonts w:eastAsia="Arial"/>
          <w:color w:val="000000"/>
        </w:rPr>
      </w:pPr>
      <w:r w:rsidRPr="00833AD0">
        <w:rPr>
          <w:rFonts w:eastAsia="Arial"/>
          <w:color w:val="000000"/>
        </w:rPr>
        <w:t xml:space="preserve">Here we apply the </w:t>
      </w:r>
      <w:proofErr w:type="spellStart"/>
      <w:r w:rsidRPr="00833AD0">
        <w:rPr>
          <w:rFonts w:eastAsia="Arial"/>
          <w:color w:val="000000"/>
        </w:rPr>
        <w:t>MaxEnt</w:t>
      </w:r>
      <w:proofErr w:type="spellEnd"/>
      <w:r w:rsidRPr="00833AD0">
        <w:rPr>
          <w:rFonts w:eastAsia="Arial"/>
          <w:color w:val="000000"/>
        </w:rPr>
        <w:t xml:space="preserve"> algorithm </w:t>
      </w:r>
      <w:r w:rsidRPr="00495CA3">
        <w:rPr>
          <w:rFonts w:eastAsia="Arial"/>
          <w:color w:val="000000"/>
        </w:rPr>
        <w:t xml:space="preserve">to </w:t>
      </w:r>
      <w:r w:rsidRPr="00495CA3">
        <w:rPr>
          <w:rFonts w:eastAsia="Arial"/>
          <w:i/>
          <w:color w:val="000000"/>
        </w:rPr>
        <w:t xml:space="preserve">S. </w:t>
      </w:r>
      <w:proofErr w:type="spellStart"/>
      <w:r w:rsidRPr="00495CA3">
        <w:rPr>
          <w:rFonts w:eastAsia="Arial"/>
          <w:i/>
          <w:color w:val="000000"/>
        </w:rPr>
        <w:t>spraguei</w:t>
      </w:r>
      <w:proofErr w:type="spellEnd"/>
      <w:r w:rsidRPr="00495CA3">
        <w:rPr>
          <w:rFonts w:eastAsia="Arial"/>
          <w:color w:val="000000"/>
        </w:rPr>
        <w:t xml:space="preserve"> and </w:t>
      </w:r>
      <w:r w:rsidRPr="00317D28">
        <w:rPr>
          <w:rFonts w:eastAsia="Arial"/>
          <w:color w:val="000000"/>
        </w:rPr>
        <w:t>its</w:t>
      </w:r>
      <w:r w:rsidRPr="00713426">
        <w:rPr>
          <w:rFonts w:eastAsia="Arial"/>
          <w:color w:val="000000"/>
        </w:rPr>
        <w:t xml:space="preserve"> </w:t>
      </w:r>
      <w:r w:rsidRPr="00D02948">
        <w:rPr>
          <w:rFonts w:eastAsia="Arial"/>
          <w:color w:val="000000"/>
        </w:rPr>
        <w:t xml:space="preserve">tree symbiont, </w:t>
      </w:r>
      <w:r w:rsidRPr="00D02948">
        <w:rPr>
          <w:rFonts w:eastAsia="Arial"/>
          <w:i/>
          <w:color w:val="000000"/>
        </w:rPr>
        <w:t xml:space="preserve">P. </w:t>
      </w:r>
      <w:proofErr w:type="spellStart"/>
      <w:r w:rsidRPr="00D02948">
        <w:rPr>
          <w:rFonts w:eastAsia="Arial"/>
          <w:i/>
          <w:color w:val="000000"/>
        </w:rPr>
        <w:t>strobus</w:t>
      </w:r>
      <w:proofErr w:type="spellEnd"/>
      <w:r w:rsidRPr="00D02948">
        <w:rPr>
          <w:rFonts w:eastAsia="Arial"/>
          <w:i/>
          <w:color w:val="000000"/>
        </w:rPr>
        <w:t>,</w:t>
      </w:r>
      <w:r w:rsidRPr="00D02948">
        <w:rPr>
          <w:rFonts w:eastAsia="Arial"/>
          <w:color w:val="000000"/>
        </w:rPr>
        <w:t xml:space="preserve"> to ask: (1) which </w:t>
      </w:r>
      <w:r w:rsidRPr="00CE1D29">
        <w:rPr>
          <w:rFonts w:eastAsia="Arial"/>
          <w:color w:val="000000"/>
        </w:rPr>
        <w:t>climate variables are the best predictors for each symbiont under climate normal (current baseline) and future climate conditions? (2) to what e</w:t>
      </w:r>
      <w:r w:rsidRPr="006370E0">
        <w:rPr>
          <w:rFonts w:eastAsia="Arial"/>
          <w:color w:val="000000"/>
        </w:rPr>
        <w:t xml:space="preserve">xtent does niche overlap change in future climate scenarios in comparison to the current baseline model? </w:t>
      </w:r>
      <w:r>
        <w:rPr>
          <w:rFonts w:eastAsia="Arial"/>
          <w:color w:val="000000"/>
        </w:rPr>
        <w:t xml:space="preserve">(3) How much does the suitable habitat for each species change under future climate scenarios? </w:t>
      </w:r>
      <w:r w:rsidRPr="006370E0">
        <w:rPr>
          <w:rFonts w:eastAsia="Arial"/>
          <w:color w:val="000000"/>
        </w:rPr>
        <w:t xml:space="preserve">Since these two symbionts share a tight mutualism, we predict </w:t>
      </w:r>
      <w:r>
        <w:rPr>
          <w:rFonts w:eastAsia="Arial"/>
          <w:color w:val="000000"/>
        </w:rPr>
        <w:t>they</w:t>
      </w:r>
      <w:r w:rsidRPr="006370E0">
        <w:rPr>
          <w:rFonts w:eastAsia="Arial"/>
          <w:color w:val="000000"/>
        </w:rPr>
        <w:t xml:space="preserve"> will share similar climatic variables </w:t>
      </w:r>
      <w:r>
        <w:rPr>
          <w:rFonts w:eastAsia="Arial"/>
          <w:color w:val="000000"/>
        </w:rPr>
        <w:t>predicting</w:t>
      </w:r>
      <w:r w:rsidRPr="006370E0">
        <w:rPr>
          <w:rFonts w:eastAsia="Arial"/>
          <w:color w:val="000000"/>
        </w:rPr>
        <w:t xml:space="preserve"> their distributions in current baseline scenarios, such as mean annual temperature and precipitation. </w:t>
      </w:r>
      <w:r>
        <w:rPr>
          <w:rFonts w:eastAsia="Arial"/>
          <w:color w:val="000000"/>
        </w:rPr>
        <w:t xml:space="preserve">Since </w:t>
      </w:r>
      <w:r w:rsidRPr="00FB3121">
        <w:rPr>
          <w:rFonts w:eastAsia="Arial"/>
          <w:i/>
          <w:iCs/>
          <w:color w:val="000000"/>
        </w:rPr>
        <w:t xml:space="preserve">S. </w:t>
      </w:r>
      <w:proofErr w:type="spellStart"/>
      <w:r w:rsidRPr="00FB3121">
        <w:rPr>
          <w:rFonts w:eastAsia="Arial"/>
          <w:i/>
          <w:iCs/>
          <w:color w:val="000000"/>
        </w:rPr>
        <w:t>spraguei</w:t>
      </w:r>
      <w:proofErr w:type="spellEnd"/>
      <w:r>
        <w:rPr>
          <w:rFonts w:eastAsia="Arial"/>
          <w:color w:val="000000"/>
        </w:rPr>
        <w:t xml:space="preserve"> is an </w:t>
      </w:r>
      <w:proofErr w:type="spellStart"/>
      <w:r>
        <w:rPr>
          <w:rFonts w:eastAsia="Arial"/>
          <w:color w:val="000000"/>
        </w:rPr>
        <w:t>obligant</w:t>
      </w:r>
      <w:proofErr w:type="spellEnd"/>
      <w:r>
        <w:rPr>
          <w:rFonts w:eastAsia="Arial"/>
          <w:color w:val="000000"/>
        </w:rPr>
        <w:t xml:space="preserve"> symbiont of </w:t>
      </w:r>
      <w:r w:rsidRPr="00FB3121">
        <w:rPr>
          <w:rFonts w:eastAsia="Arial"/>
          <w:i/>
          <w:iCs/>
          <w:color w:val="000000"/>
        </w:rPr>
        <w:t xml:space="preserve">P. </w:t>
      </w:r>
      <w:proofErr w:type="spellStart"/>
      <w:r w:rsidRPr="00FB3121">
        <w:rPr>
          <w:rFonts w:eastAsia="Arial"/>
          <w:i/>
          <w:iCs/>
          <w:color w:val="000000"/>
        </w:rPr>
        <w:t>strobus</w:t>
      </w:r>
      <w:proofErr w:type="spellEnd"/>
      <w:r>
        <w:rPr>
          <w:rFonts w:eastAsia="Arial"/>
          <w:color w:val="000000"/>
        </w:rPr>
        <w:t>, w</w:t>
      </w:r>
      <w:r w:rsidRPr="00317D28">
        <w:rPr>
          <w:rFonts w:eastAsia="Arial"/>
          <w:color w:val="000000"/>
        </w:rPr>
        <w:t>e expect to see high niche overlap in our current baseline model due to existing co-occurring species records</w:t>
      </w:r>
      <w:r w:rsidRPr="00BC723B">
        <w:rPr>
          <w:rFonts w:eastAsia="Arial"/>
          <w:color w:val="000000"/>
        </w:rPr>
        <w:t xml:space="preserve">. If this is the case, then we anticipate similar niche overlap between the species pair </w:t>
      </w:r>
      <w:r>
        <w:rPr>
          <w:rFonts w:eastAsia="Arial"/>
          <w:color w:val="000000"/>
        </w:rPr>
        <w:t xml:space="preserve">under more </w:t>
      </w:r>
      <w:r w:rsidRPr="00BC723B">
        <w:rPr>
          <w:rFonts w:eastAsia="Arial"/>
          <w:color w:val="000000"/>
        </w:rPr>
        <w:t>conservative, moderate</w:t>
      </w:r>
      <w:r>
        <w:rPr>
          <w:rFonts w:eastAsia="Arial"/>
          <w:color w:val="000000"/>
        </w:rPr>
        <w:t xml:space="preserve"> change </w:t>
      </w:r>
      <w:r w:rsidRPr="00BC723B">
        <w:rPr>
          <w:rFonts w:eastAsia="Arial"/>
          <w:color w:val="000000"/>
        </w:rPr>
        <w:t xml:space="preserve">future climate scenarios. </w:t>
      </w:r>
      <w:r>
        <w:rPr>
          <w:rFonts w:eastAsia="Arial"/>
          <w:color w:val="000000"/>
        </w:rPr>
        <w:t>Under more</w:t>
      </w:r>
      <w:r w:rsidRPr="00BC723B">
        <w:rPr>
          <w:rFonts w:eastAsia="Arial"/>
          <w:color w:val="000000"/>
        </w:rPr>
        <w:t xml:space="preserve"> extreme </w:t>
      </w:r>
      <w:r w:rsidRPr="00833AD0">
        <w:rPr>
          <w:rFonts w:eastAsia="Arial"/>
          <w:color w:val="000000"/>
        </w:rPr>
        <w:t xml:space="preserve">future climate scenarios we predict that these symbionts will rely on fewer shared climate variables than our </w:t>
      </w:r>
      <w:r w:rsidRPr="00495CA3">
        <w:rPr>
          <w:rFonts w:eastAsia="Arial"/>
          <w:color w:val="000000"/>
        </w:rPr>
        <w:t>current baseline and therefore have less predicted overlap.</w:t>
      </w:r>
      <w:r>
        <w:rPr>
          <w:rFonts w:eastAsia="Arial"/>
          <w:color w:val="000000"/>
        </w:rPr>
        <w:t xml:space="preserve"> We also expect that suitable habitat will decline for both species under the most extreme climate scenarios.</w:t>
      </w:r>
    </w:p>
    <w:p w14:paraId="41026D6C" w14:textId="77000A10" w:rsidR="00236E6D" w:rsidRDefault="0034643A" w:rsidP="00DC13B5">
      <w:pPr>
        <w:pStyle w:val="Heading2"/>
        <w:spacing w:line="360" w:lineRule="auto"/>
      </w:pPr>
      <w:bookmarkStart w:id="101" w:name="_Toc102048041"/>
      <w:r>
        <w:t>Methods</w:t>
      </w:r>
      <w:bookmarkEnd w:id="101"/>
    </w:p>
    <w:p w14:paraId="445AD2D4" w14:textId="5D67C939" w:rsidR="00DC13B5" w:rsidRPr="00317D28" w:rsidRDefault="00DC13B5" w:rsidP="00DC13B5">
      <w:pPr>
        <w:pBdr>
          <w:top w:val="nil"/>
          <w:left w:val="nil"/>
          <w:bottom w:val="nil"/>
          <w:right w:val="nil"/>
          <w:between w:val="nil"/>
        </w:pBdr>
        <w:spacing w:line="360" w:lineRule="auto"/>
      </w:pPr>
      <w:r>
        <w:rPr>
          <w:rFonts w:eastAsia="Arial"/>
          <w:color w:val="000000"/>
        </w:rPr>
        <w:tab/>
      </w:r>
      <w:r w:rsidRPr="00BC723B">
        <w:rPr>
          <w:rFonts w:eastAsia="Arial"/>
          <w:color w:val="000000"/>
        </w:rPr>
        <w:t xml:space="preserve">All occurrence data available </w:t>
      </w:r>
      <w:r w:rsidRPr="00C34E6C">
        <w:rPr>
          <w:rFonts w:eastAsia="Arial"/>
          <w:color w:val="000000" w:themeColor="text1"/>
        </w:rPr>
        <w:t xml:space="preserve">for </w:t>
      </w:r>
      <w:r w:rsidRPr="00C34E6C">
        <w:rPr>
          <w:rFonts w:eastAsia="Arial"/>
          <w:i/>
          <w:color w:val="000000" w:themeColor="text1"/>
        </w:rPr>
        <w:t xml:space="preserve">S. </w:t>
      </w:r>
      <w:proofErr w:type="spellStart"/>
      <w:r w:rsidRPr="00C34E6C">
        <w:rPr>
          <w:rFonts w:eastAsia="Arial"/>
          <w:i/>
          <w:color w:val="000000" w:themeColor="text1"/>
        </w:rPr>
        <w:t>spraguei</w:t>
      </w:r>
      <w:proofErr w:type="spellEnd"/>
      <w:r w:rsidRPr="00C34E6C">
        <w:rPr>
          <w:rFonts w:eastAsia="Arial"/>
          <w:color w:val="000000" w:themeColor="text1"/>
        </w:rPr>
        <w:t xml:space="preserve"> from eastern North America </w:t>
      </w:r>
      <w:sdt>
        <w:sdtPr>
          <w:rPr>
            <w:color w:val="000000" w:themeColor="text1"/>
          </w:rPr>
          <w:tag w:val="goog_rdk_18"/>
          <w:id w:val="2047640947"/>
        </w:sdtPr>
        <w:sdtEndPr/>
        <w:sdtContent/>
      </w:sdt>
      <w:r w:rsidRPr="00C34E6C">
        <w:rPr>
          <w:rFonts w:eastAsia="Arial"/>
          <w:color w:val="000000" w:themeColor="text1"/>
        </w:rPr>
        <w:t xml:space="preserve">were compiled from herbarium records on </w:t>
      </w:r>
      <w:proofErr w:type="spellStart"/>
      <w:r w:rsidRPr="00C34E6C">
        <w:rPr>
          <w:rFonts w:eastAsia="Arial"/>
          <w:color w:val="000000" w:themeColor="text1"/>
        </w:rPr>
        <w:t>MyCoPortal</w:t>
      </w:r>
      <w:proofErr w:type="spellEnd"/>
      <w:r w:rsidRPr="00C34E6C">
        <w:rPr>
          <w:rFonts w:eastAsia="Arial"/>
          <w:color w:val="000000" w:themeColor="text1"/>
        </w:rPr>
        <w:t xml:space="preserve"> (</w:t>
      </w:r>
      <w:r w:rsidRPr="00C34E6C">
        <w:rPr>
          <w:rFonts w:eastAsia="Arial"/>
          <w:color w:val="000000" w:themeColor="text1"/>
          <w:u w:val="single"/>
        </w:rPr>
        <w:t>http://mycoportal.org/portal/index.php</w:t>
      </w:r>
      <w:r w:rsidRPr="00C34E6C">
        <w:rPr>
          <w:rFonts w:eastAsia="Arial"/>
          <w:color w:val="000000" w:themeColor="text1"/>
        </w:rPr>
        <w:t xml:space="preserve">) and occurrence records (n=50) were randomly selected for incorporation into our </w:t>
      </w:r>
      <w:proofErr w:type="spellStart"/>
      <w:r w:rsidRPr="00C34E6C">
        <w:rPr>
          <w:rFonts w:eastAsia="Arial"/>
          <w:color w:val="000000" w:themeColor="text1"/>
        </w:rPr>
        <w:t>MaxEnt</w:t>
      </w:r>
      <w:proofErr w:type="spellEnd"/>
      <w:r w:rsidRPr="00C34E6C">
        <w:rPr>
          <w:rFonts w:eastAsia="Arial"/>
          <w:color w:val="000000" w:themeColor="text1"/>
        </w:rPr>
        <w:t xml:space="preserve"> models. Similarly, occurrence records of </w:t>
      </w:r>
      <w:r w:rsidRPr="00C34E6C">
        <w:rPr>
          <w:rFonts w:eastAsia="Arial"/>
          <w:i/>
          <w:color w:val="000000" w:themeColor="text1"/>
        </w:rPr>
        <w:t xml:space="preserve">P. </w:t>
      </w:r>
      <w:proofErr w:type="spellStart"/>
      <w:r w:rsidRPr="00C34E6C">
        <w:rPr>
          <w:rFonts w:eastAsia="Arial"/>
          <w:i/>
          <w:color w:val="000000" w:themeColor="text1"/>
        </w:rPr>
        <w:t>strobus</w:t>
      </w:r>
      <w:proofErr w:type="spellEnd"/>
      <w:r w:rsidRPr="00C34E6C">
        <w:rPr>
          <w:rFonts w:eastAsia="Arial"/>
          <w:i/>
          <w:color w:val="000000" w:themeColor="text1"/>
        </w:rPr>
        <w:t xml:space="preserve"> </w:t>
      </w:r>
      <w:r w:rsidRPr="00C34E6C">
        <w:rPr>
          <w:rFonts w:eastAsia="Arial"/>
          <w:color w:val="000000" w:themeColor="text1"/>
        </w:rPr>
        <w:t>were downloaded from SERNEC (</w:t>
      </w:r>
      <w:hyperlink r:id="rId32">
        <w:r w:rsidRPr="00C34E6C">
          <w:rPr>
            <w:rFonts w:eastAsia="Arial"/>
            <w:color w:val="000000" w:themeColor="text1"/>
            <w:u w:val="single"/>
          </w:rPr>
          <w:t>http://sernecportal.org/portal/</w:t>
        </w:r>
      </w:hyperlink>
      <w:r w:rsidRPr="00C34E6C">
        <w:rPr>
          <w:rFonts w:eastAsia="Arial"/>
          <w:color w:val="000000" w:themeColor="text1"/>
        </w:rPr>
        <w:t xml:space="preserve">) and 50 were randomly sampled (n=50). For both species, random sampling and data analysis was performed in R. Climate </w:t>
      </w:r>
      <w:proofErr w:type="spellStart"/>
      <w:r w:rsidRPr="00C34E6C">
        <w:rPr>
          <w:rFonts w:eastAsia="Arial"/>
          <w:color w:val="000000" w:themeColor="text1"/>
        </w:rPr>
        <w:t>rasters</w:t>
      </w:r>
      <w:proofErr w:type="spellEnd"/>
      <w:r w:rsidRPr="00C34E6C">
        <w:rPr>
          <w:rFonts w:eastAsia="Arial"/>
          <w:color w:val="000000" w:themeColor="text1"/>
        </w:rPr>
        <w:t xml:space="preserve"> for North America were sourced from </w:t>
      </w:r>
      <w:proofErr w:type="spellStart"/>
      <w:r w:rsidRPr="00C34E6C">
        <w:rPr>
          <w:rFonts w:eastAsia="Arial"/>
          <w:color w:val="000000" w:themeColor="text1"/>
        </w:rPr>
        <w:t>AdaptWest</w:t>
      </w:r>
      <w:proofErr w:type="spellEnd"/>
      <w:r w:rsidRPr="00C34E6C">
        <w:rPr>
          <w:rFonts w:eastAsia="Arial"/>
          <w:color w:val="000000" w:themeColor="text1"/>
        </w:rPr>
        <w:t xml:space="preserve"> at 1km resolution (</w:t>
      </w:r>
      <w:r w:rsidRPr="00C34E6C">
        <w:rPr>
          <w:color w:val="000000" w:themeColor="text1"/>
          <w:u w:val="single"/>
        </w:rPr>
        <w:t>https://adaptwest.databasin.org/pages/adaptwest-climatena</w:t>
      </w:r>
      <w:r w:rsidRPr="00C34E6C">
        <w:rPr>
          <w:rFonts w:eastAsia="Arial"/>
          <w:color w:val="000000" w:themeColor="text1"/>
        </w:rPr>
        <w:t xml:space="preserve">;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{"citationItems":[{"id":"ITEM-1","itemData":{"DOI":"10.1371/journal.pone.0156720","ISSN":"19326203","abstract":"Large volumes of gridded climate data have become available in recent years including interpolated historical data from weather stations and future predictions from general circulation models. These datasets, however, are at various spatial resolutions that need to be converted to scales meaningful for applications such as climate change risk and impact assessments or sample-based ecological research. Extracting climate data for specific locations from large datasets is not a trivial task and typically requires advanced GIS and data management skills. In this study, we developed a software package, ClimateNA, that facilitates this task and provides a user-friendly interface suitable for resource managers and decision makers as well as scientists. The software locally downscales historical and future monthly climate data layers into scale-free point estimates of climate values for the entire North American continent. The software also calculates a large number of biologically relevant climate variables that are usually derived from daily weather data. ClimateNA covers 1) 104 years of historical data (1901-2014) in monthly, annual, decadal and 30-year time steps; 2) three paleoclimatic periods (Last Glacial Maximum, Mid Holocene and Last Millennium); 3) three future periods (2020s, 2050s and 2080s); and 4) annual time-series of model projections for 2011-2100. Multiple general circulation models (GCMs) were included for both paleo and future periods, and two representative concentration pathways (RCP4.5 and 8.5) were chosen for future climate data.","author":[{"dropping-particle":"","family":"Wang","given":"Tongli","non-dropping-particle":"","parse-names":false,"suffix":""},{"dropping-particle":"","family":"Hamann","given":"Andreas","non-dropping-particle":"","parse-names":false,"suffix":""},{"dropping-particle":"","family":"Spittlehouse","given":"Dave","non-dropping-particle":"","parse-names":false,"suffix":""},{"dropping-particle":"","family":"Carroll","given":"Carlos","non-dropping-particle":"","parse-names":false,"suffix":""}],"container-title":"PLoS ONE","id":"ITEM-1","issue":"6","issued":{"date-parts":[["2016"]]},"page":"1-17","title":"Locally downscaled and spatially customizable climate data for historical and future periods for North America","type":"article-journal","volume":"11"},"uris":["http://www.mendeley.com/documents/?uuid=9588b98a-9630-45b9-934a-a46f40b2a3df"]}],"mendeley":{"formattedCitation":"(Wang et al., 2016)","manualFormatting":"Wang, Hamann, Spittlehouse, &amp; Carroll, 2016)","plainTextFormattedCitation":"(Wang et al., 2016)","previouslyFormattedCitation":"(Wang et al., 2016)"},"properties":{"noteIndex":0},"schema":"https://github.com/citation-style-language/schema/raw/master/csl-citation.json"}</w:instrText>
      </w:r>
      <w:r w:rsidRPr="00C34E6C">
        <w:rPr>
          <w:rFonts w:eastAsia="Arial"/>
          <w:color w:val="000000" w:themeColor="text1"/>
        </w:rPr>
        <w:fldChar w:fldCharType="separate"/>
      </w:r>
      <w:r w:rsidRPr="00C34E6C">
        <w:rPr>
          <w:rFonts w:eastAsia="Arial"/>
          <w:noProof/>
          <w:color w:val="000000" w:themeColor="text1"/>
        </w:rPr>
        <w:t>Wang, Hamann, Spittlehouse, &amp; Carroll, 2016)</w:t>
      </w:r>
      <w:r w:rsidRPr="00C34E6C">
        <w:rPr>
          <w:rFonts w:eastAsia="Arial"/>
          <w:color w:val="000000" w:themeColor="text1"/>
        </w:rPr>
        <w:fldChar w:fldCharType="end"/>
      </w:r>
      <w:r w:rsidRPr="00C34E6C">
        <w:rPr>
          <w:rFonts w:eastAsia="Arial"/>
          <w:color w:val="000000" w:themeColor="text1"/>
        </w:rPr>
        <w:t xml:space="preserve">. </w:t>
      </w:r>
      <w:sdt>
        <w:sdtPr>
          <w:rPr>
            <w:color w:val="000000" w:themeColor="text1"/>
          </w:rPr>
          <w:tag w:val="goog_rdk_19"/>
          <w:id w:val="-167705535"/>
        </w:sdtPr>
        <w:sdtEndPr/>
        <w:sdtContent/>
      </w:sdt>
      <w:sdt>
        <w:sdtPr>
          <w:rPr>
            <w:color w:val="000000" w:themeColor="text1"/>
          </w:rPr>
          <w:tag w:val="goog_rdk_20"/>
          <w:id w:val="-1937666542"/>
        </w:sdtPr>
        <w:sdtEndPr/>
        <w:sdtContent/>
      </w:sdt>
      <w:r w:rsidRPr="00C34E6C">
        <w:rPr>
          <w:rFonts w:eastAsia="Arial"/>
          <w:color w:val="000000" w:themeColor="text1"/>
        </w:rPr>
        <w:t xml:space="preserve">We selected the 1961-1990 </w:t>
      </w:r>
      <w:proofErr w:type="gramStart"/>
      <w:r w:rsidRPr="00C34E6C">
        <w:rPr>
          <w:rFonts w:eastAsia="Arial"/>
          <w:color w:val="000000" w:themeColor="text1"/>
        </w:rPr>
        <w:t>time period</w:t>
      </w:r>
      <w:proofErr w:type="gramEnd"/>
      <w:r w:rsidRPr="00C34E6C">
        <w:rPr>
          <w:rFonts w:eastAsia="Arial"/>
          <w:color w:val="000000" w:themeColor="text1"/>
        </w:rPr>
        <w:t xml:space="preserve"> to </w:t>
      </w:r>
      <w:r w:rsidRPr="00BC723B">
        <w:rPr>
          <w:rFonts w:eastAsia="Arial"/>
          <w:color w:val="000000"/>
        </w:rPr>
        <w:t>represent the c</w:t>
      </w:r>
      <w:r w:rsidRPr="00833AD0">
        <w:rPr>
          <w:rFonts w:eastAsia="Arial"/>
          <w:color w:val="000000"/>
        </w:rPr>
        <w:t>urren</w:t>
      </w:r>
      <w:r w:rsidRPr="00495CA3">
        <w:rPr>
          <w:rFonts w:eastAsia="Arial"/>
          <w:color w:val="000000"/>
        </w:rPr>
        <w:t xml:space="preserve">t baseline </w:t>
      </w:r>
      <w:r w:rsidRPr="00317D28">
        <w:rPr>
          <w:rFonts w:eastAsia="Arial"/>
          <w:color w:val="000000"/>
        </w:rPr>
        <w:t xml:space="preserve">scenario. For future model projections, we chose both a moderate, stabilizing (RCP4.5) and an extreme, rising (RCP8.5) representative climate pathway to integrate possible model outcomes for the years 2055 and 2085 </w:t>
      </w:r>
      <w:r w:rsidRPr="00BC723B">
        <w:rPr>
          <w:rFonts w:eastAsia="Arial"/>
          <w:color w:val="000000"/>
        </w:rPr>
        <w:fldChar w:fldCharType="begin" w:fldLock="1"/>
      </w:r>
      <w:r w:rsidR="006E1F09">
        <w:rPr>
          <w:rFonts w:eastAsia="Arial"/>
          <w:color w:val="000000"/>
        </w:rPr>
        <w:instrText>ADDIN CSL_CITATION {"citationItems":[{"id":"ITEM-1","itemData":{"DOI":"10.1007/s10584-011-0148-z","ISSN":"01650009","abstract":"This paper summarizes the development process and main characteristics of the Representative Concentration Pathways (RCPs), a set of four new pathways developed for the climate modeling community as a basis for long-term and near-term modeling experiments. The four RCPs together span the range of year 2100 radiative forcing values found in the open literature, i. e. from 2.6 to 8.5 W/m2. The RCPs are the product of an innovative collaboration between integrated assessment modelers, climate modelers, terrestrial ecosystem modelers and emission inventory experts. The resulting product forms a comprehensive data set with high spatial and sectoral resolutions for the period extending to 2100. Land use and emissions of air pollutants and greenhouse gases are reported mostly at a 0.5 × 0.5 degree spatial resolution, with air pollutants also provided per sector (for well-mixed gases, a coarser resolution is used). The underlying integrated assessment model outputs for land use, atmospheric emissions and concentration data were harmonized across models and scenarios to ensure consistency with historical observations while preserving individual scenario trends. For most variables, the RCPs cover a wide range of the existing literature. The RCPs are supplemented with extensions (Extended Concentration Pathways, ECPs), which allow climate modeling experiments through the year 2300. The RCPs are an important development in climate research and provide a potential foundation for further research and assessment, including emissions mitigation and impact analysis. © 2011 The Author(s).","author":[{"dropping-particle":"","family":"Vuuren","given":"Detlef P.","non-dropping-particle":"van","parse-names":false,"suffix":""},{"dropping-particle":"","family":"Edmonds","given":"Jae","non-dropping-particle":"","parse-names":false,"suffix":""},{"dropping-particle":"","family":"Kainuma","given":"Mikiko","non-dropping-particle":"","parse-names":false,"suffix":""},{"dropping-particle":"","family":"Riahi","given":"Keywan","non-dropping-particle":"","parse-names":false,"suffix":""},{"dropping-particle":"","family":"Thomson","given":"Allison","non-dropping-particle":"","parse-names":false,"suffix":""},{"dropping-particle":"","family":"Hibbard","given":"Kathy","non-dropping-particle":"","parse-names":false,"suffix":""},{"dropping-particle":"","family":"Hurtt","given":"George C.","non-dropping-particle":"","parse-names":false,"suffix":""},{"dropping-particle":"","family":"Kram","given":"Tom","non-dropping-particle":"","parse-names":false,"suffix":""},{"dropping-particle":"","family":"Krey","given":"Volker","non-dropping-particle":"","parse-names":false,"suffix":""},{"dropping-particle":"","family":"Lamarque","given":"Jean Francois","non-dropping-particle":"","parse-names":false,"suffix":""},{"dropping-particle":"","family":"Masui","given":"Toshihiko","non-dropping-particle":"","parse-names":false,"suffix":""},{"dropping-particle":"","family":"Meinshausen","given":"Malte","non-dropping-particle":"","parse-names":false,"suffix":""},{"dropping-particle":"","family":"Nakicenovic","given":"Nebojsa","non-dropping-particle":"","parse-names":false,"suffix":""},{"dropping-particle":"","family":"Smith","given":"Steven J.","non-dropping-particle":"","parse-names":false,"suffix":""},{"dropping-particle":"","family":"Rose","given":"Steven K.","non-dropping-particle":"","parse-names":false,"suffix":""}],"container-title":"Climatic Change","id":"ITEM-1","issue":"1","issued":{"date-parts":[["2011"]]},"page":"5-31","title":"The representative concentration pathways: An overview","type":"article-journal","volume":"109"},"uris":["http://www.mendeley.com/documents/?uuid=2cb11ca0-690c-409a-99bf-8404c25212dd"]}],"mendeley":{"formattedCitation":"(van Vuuren et al., 2011)","plainTextFormattedCitation":"(van Vuuren et al., 2011)","previouslyFormattedCitation":"(van Vuuren et al., 2011)"},"properties":{"noteIndex":0},"schema":"https://github.com/citation-style-language/schema/raw/master/csl-citation.json"}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(van Vuuren et al., 2011)</w:t>
      </w:r>
      <w:r w:rsidRPr="00BC723B">
        <w:rPr>
          <w:rFonts w:eastAsia="Arial"/>
          <w:color w:val="000000"/>
        </w:rPr>
        <w:fldChar w:fldCharType="end"/>
      </w:r>
      <w:r w:rsidRPr="00BC723B">
        <w:rPr>
          <w:rFonts w:eastAsia="Arial"/>
          <w:color w:val="000000"/>
        </w:rPr>
        <w:t xml:space="preserve">. For each </w:t>
      </w:r>
      <w:r w:rsidRPr="00BC723B">
        <w:rPr>
          <w:rFonts w:eastAsia="Arial"/>
          <w:color w:val="000000"/>
        </w:rPr>
        <w:lastRenderedPageBreak/>
        <w:t>representative climate pathway an</w:t>
      </w:r>
      <w:r w:rsidRPr="00833AD0">
        <w:rPr>
          <w:rFonts w:eastAsia="Arial"/>
          <w:color w:val="000000"/>
        </w:rPr>
        <w:t>d year, we selected three General Circulatio</w:t>
      </w:r>
      <w:r w:rsidRPr="00495CA3">
        <w:rPr>
          <w:rFonts w:eastAsia="Arial"/>
          <w:color w:val="000000"/>
        </w:rPr>
        <w:t>n Models (GCMs) to represent conservative, moderate, and extreme future climate scenarios for Eastern North America (INM-CM4, C</w:t>
      </w:r>
      <w:r w:rsidRPr="00317D28">
        <w:rPr>
          <w:rFonts w:eastAsia="Arial"/>
          <w:color w:val="000000"/>
        </w:rPr>
        <w:t xml:space="preserve">CSM4, and GFDL-CM3, respectively). </w:t>
      </w:r>
    </w:p>
    <w:p w14:paraId="6B56DF7D" w14:textId="1BD704C3" w:rsidR="00DC13B5" w:rsidRPr="00833AD0" w:rsidRDefault="00DC13B5" w:rsidP="00DC13B5">
      <w:pPr>
        <w:pBdr>
          <w:top w:val="nil"/>
          <w:left w:val="nil"/>
          <w:bottom w:val="nil"/>
          <w:right w:val="nil"/>
          <w:between w:val="nil"/>
        </w:pBdr>
        <w:spacing w:line="360" w:lineRule="auto"/>
        <w:ind w:firstLine="720"/>
        <w:rPr>
          <w:rFonts w:eastAsia="Arial"/>
          <w:color w:val="000000"/>
        </w:rPr>
      </w:pPr>
      <w:r w:rsidRPr="00317D28">
        <w:rPr>
          <w:rFonts w:eastAsia="Arial"/>
          <w:color w:val="000000"/>
        </w:rPr>
        <w:t>The coordinate system for all downloaded raster layers was defined to Lambert Conformal Conic</w:t>
      </w:r>
      <w:r w:rsidRPr="00D02948">
        <w:rPr>
          <w:rFonts w:eastAsia="Arial"/>
          <w:color w:val="000000"/>
        </w:rPr>
        <w:t xml:space="preserve"> with a central meridian at -95.0</w:t>
      </w:r>
      <w:r w:rsidRPr="00D02948">
        <w:rPr>
          <w:rFonts w:eastAsia="Symbol"/>
          <w:color w:val="000000"/>
        </w:rPr>
        <w:t>°</w:t>
      </w:r>
      <w:r w:rsidRPr="00D02948">
        <w:rPr>
          <w:rFonts w:eastAsia="Arial"/>
          <w:color w:val="000000"/>
        </w:rPr>
        <w:t xml:space="preserve"> with two standard parallels at 49.0</w:t>
      </w:r>
      <w:r w:rsidRPr="00D02948">
        <w:rPr>
          <w:rFonts w:eastAsia="Symbol"/>
          <w:color w:val="000000"/>
        </w:rPr>
        <w:t>°</w:t>
      </w:r>
      <w:r w:rsidRPr="00D02948">
        <w:rPr>
          <w:rFonts w:eastAsia="Arial"/>
          <w:color w:val="000000"/>
        </w:rPr>
        <w:t xml:space="preserve"> and 77.0</w:t>
      </w:r>
      <w:r w:rsidRPr="00D02948">
        <w:rPr>
          <w:rFonts w:eastAsia="Symbol"/>
          <w:color w:val="000000"/>
        </w:rPr>
        <w:t>°</w:t>
      </w:r>
      <w:r w:rsidRPr="00D02948">
        <w:rPr>
          <w:rFonts w:eastAsia="Arial"/>
          <w:color w:val="000000"/>
        </w:rPr>
        <w:t xml:space="preserve"> and a latitude of origin at 0.0</w:t>
      </w:r>
      <w:r w:rsidRPr="00D02948">
        <w:rPr>
          <w:rFonts w:eastAsia="Symbol"/>
          <w:color w:val="000000"/>
        </w:rPr>
        <w:t>°</w:t>
      </w:r>
      <w:r w:rsidRPr="00D02948">
        <w:rPr>
          <w:rFonts w:eastAsia="Arial"/>
          <w:color w:val="000000"/>
        </w:rPr>
        <w:t>. The datum associated with these files remained at WGS 1984 throughout the analyses.</w:t>
      </w:r>
      <w:r w:rsidRPr="00CE1D29">
        <w:rPr>
          <w:rFonts w:eastAsia="Arial"/>
          <w:color w:val="000000"/>
        </w:rPr>
        <w:t xml:space="preserve"> We limited our study to the eastern US and Canada by clipping the extent using the crop function in the raster package </w:t>
      </w:r>
      <w:r w:rsidRPr="00BC723B">
        <w:rPr>
          <w:rFonts w:eastAsia="Arial"/>
          <w:color w:val="000000"/>
        </w:rPr>
        <w:fldChar w:fldCharType="begin" w:fldLock="1"/>
      </w:r>
      <w:r w:rsidR="006E1F09">
        <w:rPr>
          <w:rFonts w:eastAsia="Arial"/>
          <w:color w:val="000000"/>
        </w:rPr>
        <w:instrText>ADDIN CSL_CITATION {"citationItems":[{"id":"ITEM-1","itemData":{"author":[{"dropping-particle":"","family":"Hijmans","given":"Robert J.","non-dropping-particle":"","parse-names":false,"suffix":""},{"dropping-particle":"Van","family":"Etten","given":"Jacob","non-dropping-particle":"","parse-names":false,"suffix":""},{"dropping-particle":"","family":"Sumner","given":"Michael","non-dropping-particle":"","parse-names":false,"suffix":""},{"dropping-particle":"","family":"Cheng","given":"Joe","non-dropping-particle":"","parse-names":false,"suffix":""},{"dropping-particle":"","family":"Bevan","given":"Andrew","non-dropping-particle":"","parse-names":false,"suffix":""},{"dropping-particle":"","family":"Bivand","given":"Roger","non-dropping-particle":"","parse-names":false,"suffix":""},{"dropping-particle":"","family":"Busetto","given":"Lorenzo","non-dropping-particle":"","parse-names":false,"suffix":""},{"dropping-particle":"","family":"Canty","given":"Mort","non-dropping-particle":"","parse-names":false,"suffix":""},{"dropping-particle":"","family":"Forrest","given":"David","non-dropping-particle":"","parse-names":false,"suffix":""},{"dropping-particle":"","family":"Golicher","given":"Duncan","non-dropping-particle":"","parse-names":false,"suffix":""},{"dropping-particle":"","family":"Gray","given":"Josh","non-dropping-particle":"","parse-names":false,"suffix":""},{"dropping-particle":"","family":"Greenberg","given":"Jonathan A","non-dropping-particle":"","parse-names":false,"suffix":""},{"dropping-particle":"","family":"Hiemstra","given":"Paul","non-dropping-particle":"","parse-names":false,"suffix":""},{"dropping-particle":"","family":"Karney","given":"Charles","non-dropping-particle":"","parse-names":false,"suffix":""},{"dropping-particle":"","family":"Mosher","given":"Steven","non-dropping-particle":"","parse-names":false,"suffix":""},{"dropping-particle":"","family":"Shortridge","given":"Ashton","non-dropping-particle":"","parse-names":false,"suffix":""},{"dropping-particle":"","family":"Venables","given":"Bill","non-dropping-particle":"","parse-names":false,"suffix":""},{"dropping-particle":"","family":"Wueest","given":"Rafael","non-dropping-particle":"","parse-names":false,"suffix":""}],"container-title":"CRAN","id":"ITEM-1","issued":{"date-parts":[["2019"]]},"title":"Package ‘ raster ’","type":"article-journal","volume":"3.0-7"},"uris":["http://www.mendeley.com/documents/?uuid=4aab019a-88dd-43a6-b5a1-b93f9876f53b"]}],"mendeley":{"formattedCitation":"(Hijmans et al., 2019)","plainTextFormattedCitation":"(Hijmans et al., 2019)","previouslyFormattedCitation":"(Hijmans et al., 2019)"},"properties":{"noteIndex":0},"schema":"https://github.com/citation-style-language/schema/raw/master/csl-citation.json"}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(Hijmans et al., 2019)</w:t>
      </w:r>
      <w:r w:rsidRPr="00BC723B">
        <w:rPr>
          <w:rFonts w:eastAsia="Arial"/>
          <w:color w:val="000000"/>
        </w:rPr>
        <w:fldChar w:fldCharType="end"/>
      </w:r>
      <w:r w:rsidRPr="00BC723B">
        <w:rPr>
          <w:rFonts w:eastAsia="Arial"/>
          <w:color w:val="000000"/>
        </w:rPr>
        <w:t xml:space="preserve">. To test for collinearity between soil and </w:t>
      </w:r>
      <w:r w:rsidRPr="00833AD0">
        <w:rPr>
          <w:rFonts w:eastAsia="Arial"/>
          <w:color w:val="000000"/>
        </w:rPr>
        <w:t>clima</w:t>
      </w:r>
      <w:r w:rsidRPr="00495CA3">
        <w:rPr>
          <w:rFonts w:eastAsia="Arial"/>
          <w:color w:val="000000"/>
        </w:rPr>
        <w:t xml:space="preserve">tic layers we used the </w:t>
      </w:r>
      <w:proofErr w:type="spellStart"/>
      <w:r w:rsidRPr="00495CA3">
        <w:rPr>
          <w:rFonts w:eastAsia="Arial"/>
          <w:color w:val="000000"/>
        </w:rPr>
        <w:t>vif</w:t>
      </w:r>
      <w:proofErr w:type="spellEnd"/>
      <w:r w:rsidRPr="00495CA3">
        <w:rPr>
          <w:rFonts w:eastAsia="Arial"/>
          <w:color w:val="000000"/>
        </w:rPr>
        <w:t xml:space="preserve"> and </w:t>
      </w:r>
      <w:proofErr w:type="spellStart"/>
      <w:r w:rsidRPr="00495CA3">
        <w:rPr>
          <w:rFonts w:eastAsia="Arial"/>
          <w:color w:val="000000"/>
        </w:rPr>
        <w:t>vifstep</w:t>
      </w:r>
      <w:proofErr w:type="spellEnd"/>
      <w:r w:rsidRPr="00495CA3">
        <w:rPr>
          <w:rFonts w:eastAsia="Arial"/>
          <w:color w:val="000000"/>
        </w:rPr>
        <w:t xml:space="preserve"> functions of the </w:t>
      </w:r>
      <w:proofErr w:type="spellStart"/>
      <w:r w:rsidRPr="00495CA3">
        <w:rPr>
          <w:rFonts w:eastAsia="Arial"/>
          <w:color w:val="000000"/>
        </w:rPr>
        <w:t>usdm</w:t>
      </w:r>
      <w:proofErr w:type="spellEnd"/>
      <w:r w:rsidRPr="00495CA3">
        <w:rPr>
          <w:rFonts w:eastAsia="Arial"/>
          <w:color w:val="000000"/>
        </w:rPr>
        <w:t xml:space="preserve"> package </w:t>
      </w:r>
      <w:r w:rsidRPr="00BC723B">
        <w:rPr>
          <w:rFonts w:eastAsia="Arial"/>
          <w:color w:val="000000"/>
        </w:rPr>
        <w:fldChar w:fldCharType="begin" w:fldLock="1"/>
      </w:r>
      <w:r w:rsidR="006E1F09">
        <w:rPr>
          <w:rFonts w:eastAsia="Arial"/>
          <w:color w:val="000000"/>
        </w:rPr>
        <w:instrText>ADDIN CSL_CITATION {"citationItems":[{"id":"ITEM-1","itemData":{"DOI":"10.1111/j.1600-0587.2013.00205.x","ISSN":"09067590","abstract":"Species data held in museum and herbaria, survey data and opportunistically observed data are a substantial information resource. A key challenge in using these data is the uncertainty about where an observation is located. This is important when the data are used for species distribution modelling (SDM), because the coordinates are used to extract the environmental variables and thus, positional error may lead to inaccurate estimation of the species-environment relationship. The magnitude of this effect is related to the level of spatial autocorrelation in the environmental variables. Using local spatial association can be relevant because it can lead to the identification of the specific occurrence records that cause the largest drop in SDM accuracy. Therefore, in this study, we tested whether the SDM predictions are more affected by positional uncertainty originating from locations that have lower local spatial association in their predictors. We performed this experiment for Spain and the Netherlands, using simulated datasets derived from well known species distribution models (SDMs). We used the K statistic to quantify the local spatial association in the predictors at each species occurrence location. A probabilistic approach using Monte Carlo simulations was employed to introduce the error in the species locations. The results revealed that positional uncertainty in species occurrence data at locations with low local spatial association in predictors reduced the prediction accuracy of the SDMs. We propose that local spatial association is a way to identify the species occurrence records that require treatment for positional uncertainty. We also developed and present a tool in the R environment to target observations that are likely to create error in the output from SDMs as a result of positional uncertainty. © 2013 The Authors.","author":[{"dropping-particle":"","family":"Naimi","given":"Babak","non-dropping-particle":"","parse-names":false,"suffix":""},{"dropping-particle":"","family":"Hamm","given":"Nicholas A.S.","non-dropping-particle":"","parse-names":false,"suffix":""},{"dropping-particle":"","family":"Groen","given":"Thomas A.","non-dropping-particle":"","parse-names":false,"suffix":""},{"dropping-particle":"","family":"Skidmore","given":"Andrew K.","non-dropping-particle":"","parse-names":false,"suffix":""},{"dropping-particle":"","family":"Toxopeus","given":"Albertus G.","non-dropping-particle":"","parse-names":false,"suffix":""}],"container-title":"Ecography","id":"ITEM-1","issue":"2","issued":{"date-parts":[["2014"]]},"page":"191-203","title":"Where is positional uncertainty a problem for species distribution modelling?","type":"article-journal","volume":"37"},"uris":["http://www.mendeley.com/documents/?uuid=ff2c5aae-cf38-4362-bfdb-019193a4ab2c"]}],"mendeley":{"formattedCitation":"(Naimi et al., 2014)","plainTextFormattedCitation":"(Naimi et al., 2014)","previouslyFormattedCitation":"(Naimi et al., 2014)"},"properties":{"noteIndex":0},"schema":"https://github.com/citation-style-language/schema/raw/master/csl-citation.json"}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(Naimi et al., 2014)</w:t>
      </w:r>
      <w:r w:rsidRPr="00BC723B">
        <w:rPr>
          <w:rFonts w:eastAsia="Arial"/>
          <w:color w:val="000000"/>
        </w:rPr>
        <w:fldChar w:fldCharType="end"/>
      </w:r>
      <w:r w:rsidRPr="00BC723B">
        <w:rPr>
          <w:rFonts w:eastAsia="Arial"/>
          <w:color w:val="000000"/>
        </w:rPr>
        <w:t>; layers that were strongly correlated above a 0.7 threshold were subsequently discarded.</w:t>
      </w:r>
    </w:p>
    <w:p w14:paraId="5756856A" w14:textId="16C71B6C" w:rsidR="00EA205E" w:rsidRPr="00C34E6C" w:rsidRDefault="00DC13B5" w:rsidP="00DC13B5">
      <w:pPr>
        <w:spacing w:line="360" w:lineRule="auto"/>
        <w:rPr>
          <w:rFonts w:eastAsia="Arial"/>
          <w:color w:val="000000" w:themeColor="text1"/>
        </w:rPr>
      </w:pPr>
      <w:r w:rsidRPr="00317D28">
        <w:rPr>
          <w:rFonts w:eastAsia="Arial"/>
          <w:color w:val="000000"/>
        </w:rPr>
        <w:tab/>
        <w:t xml:space="preserve">We ran </w:t>
      </w:r>
      <w:proofErr w:type="spellStart"/>
      <w:r w:rsidRPr="00317D28">
        <w:rPr>
          <w:rFonts w:eastAsia="Arial"/>
          <w:color w:val="000000"/>
        </w:rPr>
        <w:t>MaxEnt</w:t>
      </w:r>
      <w:proofErr w:type="spellEnd"/>
      <w:r w:rsidRPr="00317D28">
        <w:rPr>
          <w:rFonts w:eastAsia="Arial"/>
          <w:color w:val="000000"/>
        </w:rPr>
        <w:t xml:space="preserve"> models individually for both </w:t>
      </w:r>
      <w:proofErr w:type="spellStart"/>
      <w:r w:rsidRPr="00317D28">
        <w:rPr>
          <w:rFonts w:eastAsia="Arial"/>
          <w:i/>
          <w:color w:val="000000"/>
        </w:rPr>
        <w:t>Suillus</w:t>
      </w:r>
      <w:proofErr w:type="spellEnd"/>
      <w:r w:rsidRPr="00317D28">
        <w:rPr>
          <w:rFonts w:eastAsia="Arial"/>
          <w:i/>
          <w:color w:val="000000"/>
        </w:rPr>
        <w:t xml:space="preserve"> </w:t>
      </w:r>
      <w:proofErr w:type="spellStart"/>
      <w:r w:rsidRPr="00317D28">
        <w:rPr>
          <w:rFonts w:eastAsia="Arial"/>
          <w:i/>
          <w:color w:val="000000"/>
        </w:rPr>
        <w:t>spraguei</w:t>
      </w:r>
      <w:proofErr w:type="spellEnd"/>
      <w:r w:rsidRPr="00317D28">
        <w:rPr>
          <w:rFonts w:eastAsia="Arial"/>
          <w:color w:val="000000"/>
        </w:rPr>
        <w:t xml:space="preserve"> and </w:t>
      </w:r>
      <w:r w:rsidRPr="00713426">
        <w:rPr>
          <w:rFonts w:eastAsia="Arial"/>
          <w:i/>
          <w:color w:val="000000"/>
        </w:rPr>
        <w:t xml:space="preserve">Pinus </w:t>
      </w:r>
      <w:proofErr w:type="spellStart"/>
      <w:r w:rsidRPr="00713426">
        <w:rPr>
          <w:rFonts w:eastAsia="Arial"/>
          <w:i/>
          <w:color w:val="000000"/>
        </w:rPr>
        <w:t>strobus</w:t>
      </w:r>
      <w:proofErr w:type="spellEnd"/>
      <w:r w:rsidRPr="00713426">
        <w:rPr>
          <w:rFonts w:eastAsia="Arial"/>
          <w:i/>
          <w:color w:val="000000"/>
        </w:rPr>
        <w:t xml:space="preserve"> </w:t>
      </w:r>
      <w:r w:rsidRPr="00713426">
        <w:rPr>
          <w:rFonts w:eastAsia="Arial"/>
          <w:color w:val="000000"/>
        </w:rPr>
        <w:t xml:space="preserve">using R version </w:t>
      </w:r>
      <w:sdt>
        <w:sdtPr>
          <w:tag w:val="goog_rdk_21"/>
          <w:id w:val="-1054843322"/>
        </w:sdtPr>
        <w:sdtEndPr/>
        <w:sdtContent/>
      </w:sdt>
      <w:r w:rsidRPr="00BC723B">
        <w:rPr>
          <w:rFonts w:eastAsia="Arial"/>
          <w:color w:val="000000"/>
        </w:rPr>
        <w:t>3.</w:t>
      </w:r>
      <w:r w:rsidRPr="00C34E6C">
        <w:rPr>
          <w:rFonts w:eastAsia="Arial"/>
          <w:color w:val="000000" w:themeColor="text1"/>
        </w:rPr>
        <w:t>5.2 (</w:t>
      </w:r>
      <w:hyperlink r:id="rId33">
        <w:r w:rsidRPr="00C34E6C">
          <w:rPr>
            <w:rFonts w:eastAsia="Arial"/>
            <w:color w:val="000000" w:themeColor="text1"/>
            <w:u w:val="single"/>
          </w:rPr>
          <w:t>https://www.r-project.org/</w:t>
        </w:r>
      </w:hyperlink>
      <w:r w:rsidRPr="00C34E6C">
        <w:rPr>
          <w:rFonts w:eastAsia="Arial"/>
          <w:i/>
          <w:color w:val="000000" w:themeColor="text1"/>
        </w:rPr>
        <w:t xml:space="preserve">) </w:t>
      </w:r>
      <w:r w:rsidRPr="00C34E6C">
        <w:rPr>
          <w:rFonts w:eastAsia="Arial"/>
          <w:color w:val="000000" w:themeColor="text1"/>
        </w:rPr>
        <w:t xml:space="preserve">using </w:t>
      </w:r>
      <w:proofErr w:type="spellStart"/>
      <w:r w:rsidRPr="00C34E6C">
        <w:rPr>
          <w:rFonts w:eastAsia="Arial"/>
          <w:color w:val="000000" w:themeColor="text1"/>
        </w:rPr>
        <w:t>MaxEnt</w:t>
      </w:r>
      <w:proofErr w:type="spellEnd"/>
      <w:r w:rsidRPr="00C34E6C">
        <w:rPr>
          <w:rFonts w:eastAsia="Arial"/>
          <w:color w:val="000000" w:themeColor="text1"/>
        </w:rPr>
        <w:t xml:space="preserve"> version 3.3.3k in the </w:t>
      </w:r>
      <w:proofErr w:type="spellStart"/>
      <w:r w:rsidRPr="00C34E6C">
        <w:rPr>
          <w:rFonts w:eastAsia="Arial"/>
          <w:color w:val="000000" w:themeColor="text1"/>
        </w:rPr>
        <w:t>dismo</w:t>
      </w:r>
      <w:proofErr w:type="spellEnd"/>
      <w:r w:rsidRPr="00C34E6C">
        <w:rPr>
          <w:rFonts w:eastAsia="Arial"/>
          <w:color w:val="000000" w:themeColor="text1"/>
        </w:rPr>
        <w:t xml:space="preserve"> package version 1.1-4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{"citationItems":[{"id":"ITEM-1","itemData":{"DOI":"10.1016/j.jhydrol.2011.07.022.","ISBN":"0471252182","abstract":"User guide for R package \"Dismo\": This package implements a few species distribution models, including an R link to the ’maxent’ model, and native implementations of Bioclim and Domain. It also provides a number of functions that can assist in using Boosted Regresssion Trees. A good place to start is the vignette, which you can access by typing vignette(’sdm’, ’dismo’) In addition there are a number of functions, such sampling background points, k-fold sampling, and for model evaluation (AUC) that are useful for these and for other species distribution modeling methods available in R (e.g. GLM, GAM, and RandomForest).","author":[{"dropping-particle":"","family":"Hijmans","given":"Robert J.","non-dropping-particle":"","parse-names":false,"suffix":""},{"dropping-particle":"","family":"Phillips","given":"Steven","non-dropping-particle":"","parse-names":false,"suffix":""},{"dropping-particle":"","family":"Leathwick","given":"John R.","non-dropping-particle":"","parse-names":false,"suffix":""},{"dropping-particle":"","family":"Elith","given":"Jane","non-dropping-particle":"","parse-names":false,"suffix":""}],"container-title":"CRAN","id":"ITEM-1","issued":{"date-parts":[["2017"]]},"title":"Package 'dismo'","type":"article-journal","volume":"1.1-4"},"uris":["http://www.mendeley.com/documents/?uuid=80296553-a06a-44a1-9990-8be366933625"]},{"id":"ITEM-2","itemData":{"DOI":"10.1111/ecog.03049","ISSN":"16000587","abstract":"This software note announces a new open-source release of the Maxent software for modeling species distributions from occurrence records and environmental data, and describes a new R package for fitting such models. The new release (ver. 3.4.0) will be hosted online by the American Museum of Natural History, along with future versions. It contains small functional changes, most notably use of a complementary log-log (cloglog) transform to produce an estimate of occurrence probability. The cloglog transform derives from the recently-published interpretation of Maxent as an inhomogeneous Poisson process (IPP), giving it a stronger theoretical justification than the logistic transform which it replaces by default. In addition, the new R package, maxnet, fits Maxent models using the glmnet package for regularized generalized linear models. We discuss the implications of the IPP formulation in terms of model inputs and outputs, treating occurrence records as points rather than grid cells and interpreting the exponential Maxent model (raw output) as as an estimate of relative abundance. With these two open-source developments, we invite others to freely use and contribute to the software.","author":[{"dropping-particle":"","family":"Phillips","given":"Steven J.","non-dropping-particle":"","parse-names":false,"suffix":""},{"dropping-particle":"","family":"Anderson","given":"Robert P.","non-dropping-particle":"","parse-names":false,"suffix":""},{"dropping-particle":"","family":"Dudík","given":"Miroslav","non-dropping-particle":"","parse-names":false,"suffix":""},{"dropping-particle":"","family":"Schapire","given":"Robert E.","non-dropping-particle":"","parse-names":false,"suffix":""},{"dropping-particle":"","family":"Blair","given":"Mary E.","non-dropping-particle":"","parse-names":false,"suffix":""}],"container-title":"Ecography","id":"ITEM-2","issue":"7","issued":{"date-parts":[["2017"]]},"page":"887-893","title":"Opening the black box: an open-source release of Maxent","type":"article-journal","volume":"40"},"uris":["http://www.mendeley.com/documents/?uuid=f13365be-5e78-4b3a-bb63-895cd19f8f78"]}],"mendeley":{"formattedCitation":"(Hijmans et al., 2017; Phillips et al., 2017)","plainTextFormattedCitation":"(Hijmans et al., 2017; Phillips et al., 2017)","previouslyFormattedCitation":"(Hijmans et al., 2017; Phillips et al., 2017)"},"properties":{"noteIndex":0},"schema":"https://github.com/citation-style-language/schema/raw/master/csl-citation.json"}</w:instrText>
      </w:r>
      <w:r w:rsidRPr="00C34E6C">
        <w:rPr>
          <w:rFonts w:eastAsia="Arial"/>
          <w:color w:val="000000" w:themeColor="text1"/>
        </w:rPr>
        <w:fldChar w:fldCharType="separate"/>
      </w:r>
      <w:r w:rsidR="00CE6085" w:rsidRPr="00C34E6C">
        <w:rPr>
          <w:rFonts w:eastAsia="Arial"/>
          <w:noProof/>
          <w:color w:val="000000" w:themeColor="text1"/>
        </w:rPr>
        <w:t>(Hijmans et al., 2017; Phillips et al., 2017)</w:t>
      </w:r>
      <w:r w:rsidRPr="00C34E6C">
        <w:rPr>
          <w:rFonts w:eastAsia="Arial"/>
          <w:color w:val="000000" w:themeColor="text1"/>
        </w:rPr>
        <w:fldChar w:fldCharType="end"/>
      </w:r>
      <w:r w:rsidRPr="00C34E6C">
        <w:rPr>
          <w:rFonts w:eastAsia="Arial"/>
          <w:color w:val="000000" w:themeColor="text1"/>
        </w:rPr>
        <w:t xml:space="preserve">. We used similar test and training techniques for each species in order to avoid biases unique to each species occurrence records following suggestions by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{"citationItems":[{"id":"ITEM-1","itemData":{"DOI":"10.1111/j.1472-4642.2010.00725.x","ISSN":"13669516","abstract":"MaxEnt is a program for modelling species distributions from presence-only species records. This paper is written for ecologists and describes the MaxEnt model from a statistical perspective, making explicit links between the structure of the model, decisions required in producing a modelled distribution, and knowledge about the species and the data that might affect those decisions. To begin we discuss the characteristics of presence-only data, highlighting implications for modelling distributions. We particularly focus on the problems of sample bias and lack of information on species prevalence. The keystone of the paper is a new statistical explanation of MaxEnt which shows that the model minimizes the relative entropy between two probability densities (one estimated from the presence data and one, from the landscape) defined in covariate space. For many users, this viewpoint is likely to be a more accessible way to understand the model than previous ones that rely on machine learning concepts. We then step through a detailed explanation of MaxEnt describing key components (e.g. covariates and features, and definition of the landscape extent), the mechanics of model fitting (e.g. feature selection, constraints and regularization) and outputs. Using case studies for a Banksia species native to south-west Australia and a riverine fish, we fit models and interpret them, exploring why certain choices affect the result and what this means. The fish example illustrates use of the model with vector data for linear river segments rather than raster (gridded) data. Appropriate treatments for survey bias, unprojected data, locally restricted species, and predicting to environments outside the range of the training data are demonstrated, and new capabilities discussed. Online appendices include additional details of the model and the mathematical links between previous explanations and this one, example code and data, and further information on the case studies. © 2010 Blackwell Publishing Ltd.","author":[{"dropping-particle":"","family":"Elith","given":"Jane","non-dropping-particle":"","parse-names":false,"suffix":""},{"dropping-particle":"","family":"Phillips","given":"Steven J.","non-dropping-particle":"","parse-names":false,"suffix":""},{"dropping-particle":"","family":"Hastie","given":"Trevor","non-dropping-particle":"","parse-names":false,"suffix":""},{"dropping-particle":"","family":"Dudík","given":"Miroslav","non-dropping-particle":"","parse-names":false,"suffix":""},{"dropping-particle":"","family":"Chee","given":"Yung En","non-dropping-particle":"","parse-names":false,"suffix":""},{"dropping-particle":"","family":"Yates","given":"Colin J.","non-dropping-particle":"","parse-names":false,"suffix":""}],"container-title":"Diversity and Distributions","id":"ITEM-1","issue":"1","issued":{"date-parts":[["2011"]]},"page":"43-57","title":"A statistical explanation of MaxEnt for ecologists","type":"article-journal","volume":"17"},"uris":["http://www.mendeley.com/documents/?uuid=dcaca7a1-e3e7-4db3-a524-75dafd97ea96"]}],"mendeley":{"formattedCitation":"(Elith et al., 2011)","manualFormatting":"Elith et al. (2011)","plainTextFormattedCitation":"(Elith et al., 2011)","previouslyFormattedCitation":"(Elith et al., 2011)"},"properties":{"noteIndex":0},"schema":"https://github.com/citation-style-language/schema/raw/master/csl-citation.json"}</w:instrText>
      </w:r>
      <w:r w:rsidRPr="00C34E6C">
        <w:rPr>
          <w:rFonts w:eastAsia="Arial"/>
          <w:color w:val="000000" w:themeColor="text1"/>
        </w:rPr>
        <w:fldChar w:fldCharType="separate"/>
      </w:r>
      <w:r w:rsidRPr="00C34E6C">
        <w:rPr>
          <w:rFonts w:eastAsia="Arial"/>
          <w:noProof/>
          <w:color w:val="000000" w:themeColor="text1"/>
        </w:rPr>
        <w:t>Elith et al. (2011)</w:t>
      </w:r>
      <w:r w:rsidRPr="00C34E6C">
        <w:rPr>
          <w:rFonts w:eastAsia="Arial"/>
          <w:color w:val="000000" w:themeColor="text1"/>
        </w:rPr>
        <w:fldChar w:fldCharType="end"/>
      </w:r>
      <w:r w:rsidRPr="00C34E6C">
        <w:rPr>
          <w:rFonts w:eastAsia="Arial"/>
          <w:color w:val="000000" w:themeColor="text1"/>
        </w:rPr>
        <w:t xml:space="preserve">. For each species and climate scenario, </w:t>
      </w:r>
      <w:proofErr w:type="spellStart"/>
      <w:r w:rsidRPr="00C34E6C">
        <w:rPr>
          <w:rFonts w:eastAsia="Arial"/>
          <w:color w:val="000000" w:themeColor="text1"/>
        </w:rPr>
        <w:t>MaxEnt</w:t>
      </w:r>
      <w:proofErr w:type="spellEnd"/>
      <w:r w:rsidRPr="00C34E6C">
        <w:rPr>
          <w:rFonts w:eastAsia="Arial"/>
          <w:color w:val="000000" w:themeColor="text1"/>
        </w:rPr>
        <w:t xml:space="preserve"> models were designed to use all the occurrence data to train n=50 points for 500 iterations with roughly 10,000 background points. We evaluated model accuracy using the R package </w:t>
      </w:r>
      <w:proofErr w:type="spellStart"/>
      <w:r w:rsidRPr="00C34E6C">
        <w:rPr>
          <w:rFonts w:eastAsia="Arial"/>
          <w:color w:val="000000" w:themeColor="text1"/>
        </w:rPr>
        <w:t>ENMeval</w:t>
      </w:r>
      <w:proofErr w:type="spellEnd"/>
      <w:r w:rsidRPr="00C34E6C">
        <w:rPr>
          <w:rFonts w:eastAsia="Arial"/>
          <w:color w:val="000000" w:themeColor="text1"/>
        </w:rPr>
        <w:t xml:space="preserve"> version 0.2.0 (</w:t>
      </w:r>
      <w:hyperlink r:id="rId34">
        <w:r w:rsidRPr="00C34E6C">
          <w:rPr>
            <w:rFonts w:eastAsia="Arial"/>
            <w:color w:val="000000" w:themeColor="text1"/>
            <w:u w:val="single"/>
          </w:rPr>
          <w:t>https://github.com/bobmuscarella/ENMeval</w:t>
        </w:r>
      </w:hyperlink>
      <w:r w:rsidRPr="00C34E6C">
        <w:rPr>
          <w:rFonts w:eastAsia="Arial"/>
          <w:color w:val="000000" w:themeColor="text1"/>
        </w:rPr>
        <w:t xml:space="preserve">) and compared niches between EMF and tree species following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{"citationItems":[{"id":"ITEM-1","itemData":{"DOI":"10.1371/journal.pone.0015297","ISSN":"19326203","abstract":"Determining the degree to which climate niches are conserved across plant species' native and introduced ranges is valuable to developing successful strategies to limit the introduction and spread of invasive plants, and also has important ecological and evolutionary implications. Here, we test whether climate niches differ between native and introduced populations of Impatiens walleriana, globally one of the most popular horticultural species. We use approaches based on both raw climate data associated with occurrence points and ecological niche models (ENMs) developed with Maxent. We include comparisons of climate niche breadth in both geographic and environmental spaces, taking into account differences in available habitats between the distributional areas. We find significant differences in climate envelopes between native and introduced populations when comparing raw climate variables, with introduced populations appearing to expand into wetter and cooler climates. However, analyses controlling for differences in available habitat in each region do not indicate expansion of climate niches. We therefore cannot reject the hypothesis that observed differences in climate envelopes reflect only the limited environments available within the species' native range in East Africa. Our results suggest that models built from only native range occurrence data will not provide an accurate prediction of the potential for invasiveness if applied to areas containing a greater range of environmental combinations, and that tests of niche expansion may overestimate shifts in climate niches if they do not control carefully for environmental differences between distributional areas. © 2010 Mandle et al.","author":[{"dropping-particle":"","family":"Mandle","given":"Lisa","non-dropping-particle":"","parse-names":false,"suffix":""},{"dropping-particle":"","family":"Warren","given":"Dan L.","non-dropping-particle":"","parse-names":false,"suffix":""},{"dropping-particle":"","family":"Hoffmann","given":"Matthias H.","non-dropping-particle":"","parse-names":false,"suffix":""},{"dropping-particle":"","family":"Peterson","given":"A. Townsend","non-dropping-particle":"","parse-names":false,"suffix":""},{"dropping-particle":"","family":"Schmitt","given":"Johanna","non-dropping-particle":"","parse-names":false,"suffix":""},{"dropping-particle":"","family":"Wettberg","given":"Eric J.","non-dropping-particle":"von","parse-names":false,"suffix":""}],"container-title":"PLoS ONE","id":"ITEM-1","issue":"12","issued":{"date-parts":[["2010"]]},"title":"Conclusions about niche expansion in introduced Impatiens walleriana populations depend on method of analysis","type":"article-journal","volume":"5"},"uris":["http://www.mendeley.com/documents/?uuid=92f4084f-9e76-457e-8225-e5b6447fc1ea"]}],"mendeley":{"formattedCitation":"(Mandle et al., 2010)","manualFormatting":"Mandle et al. (2010)","plainTextFormattedCitation":"(Mandle et al., 2010)","previouslyFormattedCitation":"(Mandle et al., 2010)"},"properties":{"noteIndex":0},"schema":"https://github.com/citation-style-language/schema/raw/master/csl-citation.json"}</w:instrText>
      </w:r>
      <w:r w:rsidRPr="00C34E6C">
        <w:rPr>
          <w:rFonts w:eastAsia="Arial"/>
          <w:color w:val="000000" w:themeColor="text1"/>
        </w:rPr>
        <w:fldChar w:fldCharType="separate"/>
      </w:r>
      <w:r w:rsidRPr="00C34E6C">
        <w:rPr>
          <w:rFonts w:eastAsia="Arial"/>
          <w:noProof/>
          <w:color w:val="000000" w:themeColor="text1"/>
        </w:rPr>
        <w:t>Mandle et al. (2010)</w:t>
      </w:r>
      <w:r w:rsidRPr="00C34E6C">
        <w:rPr>
          <w:rFonts w:eastAsia="Arial"/>
          <w:color w:val="000000" w:themeColor="text1"/>
        </w:rPr>
        <w:fldChar w:fldCharType="end"/>
      </w:r>
      <w:r w:rsidRPr="00C34E6C">
        <w:rPr>
          <w:rFonts w:eastAsia="Arial"/>
          <w:color w:val="000000" w:themeColor="text1"/>
        </w:rPr>
        <w:t xml:space="preserve">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{"citationItems":[{"id":"ITEM-1","itemData":{"DOI":"10.1111/2041-210x.12261","ISSN":"2041-210X","abstract":"* Recent studies have demonstrated a need for increased rigour in building and evaluating ecological niche models (ENMs) based on presence-only occurrence data. Two major goals are to balance goodness-of-fit with model complexity (e.g. by ‘tuning’ model settings) and to evaluate models with spatially independent data. These issues are especially critical for data sets suffering from sampling bias, and for studies that require transferring models across space or time (e.g. responses to climate change or spread of invasive species). Efficient implementation of procedures to accomplish these goals, however, requires automation. * We developed ENMeval, an R package that: (i) creates data sets for k-fold cross-validation using one of several methods for partitioning occurrence data (including options for spatially independent partitions), (ii) builds a series of candidate models using Maxent with a variety of user-defined settings and (iii) provides multiple evaluation metrics to aid in selecting optimal model settings. The six methods for partitioning data are n−1 jackknife, random k-folds ( = bins), user-specified folds and three methods of masked geographically structured folds. ENMeval quantifies six evaluation metrics: the area under the curve of the receiver-operating characteristic plot for test localities (AUCTEST), the difference between training and testing AUC (AUCDIFF), two different threshold-based omission rates for test localities and the Akaike information criterion corrected for small sample sizes (AICc). * We demonstrate ENMeval by tuning model settings for eight tree species of the genus Coccoloba in Puerto Rico based on AICc. Evaluation metrics varied substantially across model settings, and models selected with AICc differed from default ones. * In summary, ENMeval facilitates the production of better ENMs and should promote future methodological research on many outstanding issues.","author":[{"dropping-particle":"","family":"Muscarella","given":"Robert","non-dropping-particle":"","parse-names":false,"suffix":""},{"dropping-particle":"","family":"Galante","given":"Peter J.","non-dropping-particle":"","parse-names":false,"suffix":""},{"dropping-particle":"","family":"Soley-Guardia","given":"Mariano","non-dropping-particle":"","parse-names":false,"suffix":""},{"dropping-particle":"","family":"Boria","given":"Robert A.","non-dropping-particle":"","parse-names":false,"suffix":""},{"dropping-particle":"","family":"Kass","given":"Jamie M.","non-dropping-particle":"","parse-names":false,"suffix":""},{"dropping-particle":"","family":"Uriarte","given":"María","non-dropping-particle":"","parse-names":false,"suffix":""},{"dropping-particle":"","family":"Anderson","given":"Robert P.","non-dropping-particle":"","parse-names":false,"suffix":""}],"container-title":"Methods in Ecology and Evolution","id":"ITEM-1","issue":"11","issued":{"date-parts":[["2014"]]},"page":"1198-1205","title":" ENMeval: An R package for conducting spatially independent evaluations and estimating optimal model complexity for Maxent ecological niche models ","type":"article-journal","volume":"5"},"uris":["http://www.mendeley.com/documents/?uuid=ef19665d-9392-4475-95a7-1e40b833ed6f"]}],"mendeley":{"formattedCitation":"(Muscarella et al., 2014)","plainTextFormattedCitation":"(Muscarella et al., 2014)","previouslyFormattedCitation":"(Muscarella et al., 2014)"},"properties":{"noteIndex":0},"schema":"https://github.com/citation-style-language/schema/raw/master/csl-citation.json"}</w:instrText>
      </w:r>
      <w:r w:rsidRPr="00C34E6C">
        <w:rPr>
          <w:rFonts w:eastAsia="Arial"/>
          <w:color w:val="000000" w:themeColor="text1"/>
        </w:rPr>
        <w:fldChar w:fldCharType="separate"/>
      </w:r>
      <w:r w:rsidR="00CE6085" w:rsidRPr="00C34E6C">
        <w:rPr>
          <w:rFonts w:eastAsia="Arial"/>
          <w:noProof/>
          <w:color w:val="000000" w:themeColor="text1"/>
        </w:rPr>
        <w:t>(Muscarella et al., 2014)</w:t>
      </w:r>
      <w:r w:rsidRPr="00C34E6C">
        <w:rPr>
          <w:rFonts w:eastAsia="Arial"/>
          <w:color w:val="000000" w:themeColor="text1"/>
        </w:rPr>
        <w:fldChar w:fldCharType="end"/>
      </w:r>
      <w:r w:rsidRPr="00C34E6C">
        <w:rPr>
          <w:rFonts w:eastAsia="Arial"/>
          <w:color w:val="000000" w:themeColor="text1"/>
        </w:rPr>
        <w:t xml:space="preserve">. </w:t>
      </w:r>
      <w:r>
        <w:rPr>
          <w:rFonts w:eastAsia="Arial"/>
          <w:color w:val="000000"/>
        </w:rPr>
        <w:t xml:space="preserve">To calculate suitable habitat in </w:t>
      </w:r>
      <w:r w:rsidRPr="00317D28">
        <w:rPr>
          <w:rFonts w:eastAsia="Arial"/>
          <w:color w:val="000000"/>
        </w:rPr>
        <w:t>km</w:t>
      </w:r>
      <w:r w:rsidRPr="006370E0">
        <w:rPr>
          <w:rFonts w:eastAsia="Arial"/>
          <w:color w:val="000000"/>
          <w:vertAlign w:val="superscript"/>
        </w:rPr>
        <w:t>2</w:t>
      </w:r>
      <w:r>
        <w:rPr>
          <w:rFonts w:eastAsia="Arial"/>
          <w:color w:val="000000"/>
        </w:rPr>
        <w:t xml:space="preserve">, we filtered out all raster cells under 0.7 in suitable habitat and then multiplied by our cell resolution. </w:t>
      </w:r>
      <w:r w:rsidRPr="00317D28">
        <w:rPr>
          <w:rFonts w:eastAsia="Arial"/>
          <w:color w:val="000000"/>
        </w:rPr>
        <w:t>In</w:t>
      </w:r>
      <w:r w:rsidRPr="00BC723B">
        <w:rPr>
          <w:rFonts w:eastAsia="Arial"/>
          <w:color w:val="000000"/>
        </w:rPr>
        <w:t xml:space="preserve"> order to obtain the best fit model, we evaluated our models by running four </w:t>
      </w:r>
      <w:proofErr w:type="spellStart"/>
      <w:r w:rsidRPr="00BC723B">
        <w:rPr>
          <w:rFonts w:eastAsia="Arial"/>
          <w:color w:val="000000"/>
        </w:rPr>
        <w:t>MaxEnt</w:t>
      </w:r>
      <w:proofErr w:type="spellEnd"/>
      <w:r w:rsidRPr="00BC723B">
        <w:rPr>
          <w:rFonts w:eastAsia="Arial"/>
          <w:color w:val="000000"/>
        </w:rPr>
        <w:t xml:space="preserve"> parametrization scenarios using</w:t>
      </w:r>
      <w:r w:rsidRPr="00833AD0">
        <w:rPr>
          <w:rFonts w:eastAsia="Arial"/>
          <w:color w:val="000000"/>
        </w:rPr>
        <w:t xml:space="preserve"> the feature classes L (linear), LQ (linear-quadratic)</w:t>
      </w:r>
      <w:r w:rsidRPr="00317D28">
        <w:rPr>
          <w:rFonts w:eastAsia="Arial"/>
          <w:color w:val="000000"/>
        </w:rPr>
        <w:t xml:space="preserve"> and regularization multipliers of 1 and 2 </w:t>
      </w:r>
      <w:r w:rsidRPr="00BC723B">
        <w:rPr>
          <w:rFonts w:eastAsia="Arial"/>
          <w:color w:val="000000"/>
        </w:rPr>
        <w:fldChar w:fldCharType="begin" w:fldLock="1"/>
      </w:r>
      <w:r w:rsidR="006E1F09">
        <w:rPr>
          <w:rFonts w:eastAsia="Arial"/>
          <w:color w:val="000000"/>
        </w:rPr>
        <w:instrText>ADDIN CSL_CITATION {"citationItems":[{"id":"ITEM-1","itemData":{"DOI":"10.1111/j.2007.0906-7590.05203.x","author":[{"dropping-particle":"","family":"Phillips","given":"Steven J","non-dropping-particle":"","parse-names":false,"suffix":""},{"dropping-particle":"","family":"Dudík","given":"Miroslav","non-dropping-particle":"","parse-names":false,"suffix":""}],"container-title":"Ecography","id":"ITEM-1","issue":"2","issued":{"date-parts":[["2008"]]},"page":"161-175","title":"Modeling of Species Distributions with Maxent : New Extensions and a Comprehensive Evaluation","type":"article-journal","volume":"31"},"uris":["http://www.mendeley.com/documents/?uuid=2b78acc3-ac0f-4b74-96bf-875c7266a40b"]},{"id":"ITEM-2","itemData":{"DOI":"10.1111/2041-210x.12261","ISSN":"2041-210X","abstract":"* Recent studies have demonstrated a need for increased rigour in building and evaluating ecological niche models (ENMs) based on presence-only occurrence data. Two major goals are to balance goodness-of-fit with model complexity (e.g. by ‘tuning’ model settings) and to evaluate models with spatially independent data. These issues are especially critical for data sets suffering from sampling bias, and for studies that require transferring models across space or time (e.g. responses to climate change or spread of invasive species). Efficient implementation of procedures to accomplish these goals, however, requires automation. * We developed ENMeval, an R package that: (i) creates data sets for k-fold cross-validation using one of several methods for partitioning occurrence data (including options for spatially independent partitions), (ii) builds a series of candidate models using Maxent with a variety of user-defined settings and (iii) provides multiple evaluation metrics to aid in selecting optimal model settings. The six methods for partitioning data are n−1 jackknife, random k-folds ( = bins), user-specified folds and three methods of masked geographically structured folds. ENMeval quantifies six evaluation metrics: the area under the curve of the receiver-operating characteristic plot for test localities (AUCTEST), the difference between training and testing AUC (AUCDIFF), two different threshold-based omission rates for test localities and the Akaike information criterion corrected for small sample sizes (AICc). * We demonstrate ENMeval by tuning model settings for eight tree species of the genus Coccoloba in Puerto Rico based on AICc. Evaluation metrics varied substantially across model settings, and models selected with AICc differed from default ones. * In summary, ENMeval facilitates the production of better ENMs and should promote future methodological research on many outstanding issues.","author":[{"dropping-particle":"","family":"Muscarella","given":"Robert","non-dropping-particle":"","parse-names":false,"suffix":""},{"dropping-particle":"","family":"Galante","given":"Peter J.","non-dropping-particle":"","parse-names":false,"suffix":""},{"dropping-particle":"","family":"Soley-Guardia","given":"Mariano","non-dropping-particle":"","parse-names":false,"suffix":""},{"dropping-particle":"","family":"Boria","given":"Robert A.","non-dropping-particle":"","parse-names":false,"suffix":""},{"dropping-particle":"","family":"Kass","given":"Jamie M.","non-dropping-particle":"","parse-names":false,"suffix":""},{"dropping-particle":"","family":"Uriarte","given":"María","non-dropping-particle":"","parse-names":false,"suffix":""},{"dropping-particle":"","family":"Anderson","given":"Robert P.","non-dropping-particle":"","parse-names":false,"suffix":""}],"container-title":"Methods in Ecology and Evolution","id":"ITEM-2","issue":"11","issued":{"date-parts":[["2014"]]},"page":"1198-1205","title":" ENMeval: An R package for conducting spatially independent evaluations and estimating optimal model complexity for Maxent ecological niche models ","type":"article-journal","volume":"5"},"uris":["http://www.mendeley.com/documents/?uuid=ef19665d-9392-4475-95a7-1e40b833ed6f"]}],"mendeley":{"formattedCitation":"(Phillips and Dudík, 2008; Muscarella et al., 2014)","plainTextFormattedCitation":"(Phillips and Dudík, 2008; Muscarella et al., 2014)","previouslyFormattedCitation":"(Phillips and Dudík, 2008; Muscarella et al., 2014)"},"properties":{"noteIndex":0},"schema":"https://github.com/citation-style-language/schema/raw/master/csl-citation.json"}</w:instrText>
      </w:r>
      <w:r w:rsidRPr="00BC723B">
        <w:rPr>
          <w:rFonts w:eastAsia="Arial"/>
          <w:color w:val="000000"/>
        </w:rPr>
        <w:fldChar w:fldCharType="separate"/>
      </w:r>
      <w:r w:rsidR="00CE6085" w:rsidRPr="00CE6085">
        <w:rPr>
          <w:rFonts w:eastAsia="Arial"/>
          <w:noProof/>
          <w:color w:val="000000"/>
        </w:rPr>
        <w:t>(Phillips and Dudík, 2008; Muscarella et al., 2014)</w:t>
      </w:r>
      <w:r w:rsidRPr="00BC723B">
        <w:rPr>
          <w:rFonts w:eastAsia="Arial"/>
          <w:color w:val="000000"/>
        </w:rPr>
        <w:fldChar w:fldCharType="end"/>
      </w:r>
      <w:r w:rsidRPr="00BC723B">
        <w:rPr>
          <w:rFonts w:eastAsia="Arial"/>
          <w:color w:val="000000"/>
        </w:rPr>
        <w:t xml:space="preserve">. The best fit models were chosen by lowest </w:t>
      </w:r>
      <w:r w:rsidRPr="00833AD0">
        <w:rPr>
          <w:rFonts w:eastAsia="Arial"/>
          <w:color w:val="000000"/>
        </w:rPr>
        <w:t>corrected Akaike Information Criteria (</w:t>
      </w:r>
      <w:proofErr w:type="spellStart"/>
      <w:r w:rsidRPr="00833AD0">
        <w:rPr>
          <w:rFonts w:eastAsia="Arial"/>
          <w:color w:val="000000"/>
        </w:rPr>
        <w:t>AICc</w:t>
      </w:r>
      <w:proofErr w:type="spellEnd"/>
      <w:r w:rsidRPr="00833AD0">
        <w:rPr>
          <w:rFonts w:eastAsia="Arial"/>
          <w:color w:val="000000"/>
        </w:rPr>
        <w:t>)</w:t>
      </w:r>
      <w:r w:rsidRPr="00495CA3">
        <w:rPr>
          <w:rFonts w:eastAsia="Arial"/>
          <w:color w:val="000000"/>
        </w:rPr>
        <w:t xml:space="preserve"> score. The </w:t>
      </w:r>
      <w:r w:rsidRPr="00495CA3">
        <w:rPr>
          <w:rFonts w:eastAsia="Arial"/>
          <w:i/>
          <w:color w:val="000000"/>
        </w:rPr>
        <w:t xml:space="preserve">P. </w:t>
      </w:r>
      <w:proofErr w:type="spellStart"/>
      <w:r w:rsidRPr="00495CA3">
        <w:rPr>
          <w:rFonts w:eastAsia="Arial"/>
          <w:i/>
          <w:color w:val="000000"/>
        </w:rPr>
        <w:t>strobus</w:t>
      </w:r>
      <w:proofErr w:type="spellEnd"/>
      <w:r w:rsidRPr="00317D28">
        <w:rPr>
          <w:rFonts w:eastAsia="Arial"/>
          <w:color w:val="000000"/>
        </w:rPr>
        <w:t xml:space="preserve"> and </w:t>
      </w:r>
      <w:r w:rsidRPr="00317D28">
        <w:rPr>
          <w:rFonts w:eastAsia="Arial"/>
          <w:i/>
          <w:color w:val="000000"/>
        </w:rPr>
        <w:t xml:space="preserve">S. </w:t>
      </w:r>
      <w:proofErr w:type="spellStart"/>
      <w:r w:rsidRPr="00317D28">
        <w:rPr>
          <w:rFonts w:eastAsia="Arial"/>
          <w:i/>
          <w:color w:val="000000"/>
        </w:rPr>
        <w:t>spraguei</w:t>
      </w:r>
      <w:proofErr w:type="spellEnd"/>
      <w:r w:rsidRPr="00317D28">
        <w:rPr>
          <w:rFonts w:eastAsia="Arial"/>
          <w:color w:val="000000"/>
        </w:rPr>
        <w:t xml:space="preserve"> models were evaluated </w:t>
      </w:r>
      <w:r w:rsidRPr="00317D28">
        <w:rPr>
          <w:color w:val="000000"/>
        </w:rPr>
        <w:t xml:space="preserve">with the 'checkerboard 2' argument </w:t>
      </w:r>
      <w:r w:rsidRPr="00317D28">
        <w:rPr>
          <w:rFonts w:eastAsia="Arial"/>
          <w:color w:val="000000"/>
        </w:rPr>
        <w:t>in the</w:t>
      </w:r>
      <w:r w:rsidRPr="00317D28">
        <w:rPr>
          <w:color w:val="000000"/>
        </w:rPr>
        <w:t xml:space="preserve"> </w:t>
      </w:r>
      <w:proofErr w:type="spellStart"/>
      <w:r w:rsidRPr="00317D28">
        <w:rPr>
          <w:color w:val="000000"/>
        </w:rPr>
        <w:t>ENMevaluate</w:t>
      </w:r>
      <w:proofErr w:type="spellEnd"/>
      <w:r w:rsidRPr="00317D28">
        <w:rPr>
          <w:color w:val="000000"/>
        </w:rPr>
        <w:t xml:space="preserve"> function</w:t>
      </w:r>
      <w:r w:rsidRPr="00317D28">
        <w:rPr>
          <w:rFonts w:eastAsia="Arial"/>
          <w:color w:val="000000"/>
        </w:rPr>
        <w:t xml:space="preserve"> and area under the curve (AUC) was used to assess model performance, with a score of 0.5 indicating poor performance and 1.0 perfect model performance. We performed a Principal Component Analysis (PCA) to reduce </w:t>
      </w:r>
      <w:r w:rsidRPr="00BC723B">
        <w:rPr>
          <w:rFonts w:eastAsia="Arial"/>
          <w:color w:val="000000"/>
        </w:rPr>
        <w:t xml:space="preserve">dimensionality via a correlation matrix and compared variance between models using </w:t>
      </w:r>
      <w:r w:rsidRPr="00833AD0">
        <w:rPr>
          <w:rFonts w:eastAsia="Arial"/>
          <w:color w:val="000000"/>
        </w:rPr>
        <w:t xml:space="preserve">the </w:t>
      </w:r>
      <w:proofErr w:type="spellStart"/>
      <w:r w:rsidRPr="00833AD0">
        <w:rPr>
          <w:rFonts w:eastAsia="Arial"/>
          <w:color w:val="000000"/>
        </w:rPr>
        <w:t>prcomp</w:t>
      </w:r>
      <w:proofErr w:type="spellEnd"/>
      <w:r w:rsidRPr="00833AD0">
        <w:rPr>
          <w:rFonts w:eastAsia="Arial"/>
          <w:color w:val="000000"/>
        </w:rPr>
        <w:t xml:space="preserve"> function in the vegan package </w:t>
      </w:r>
      <w:r w:rsidRPr="00BC723B">
        <w:rPr>
          <w:rFonts w:eastAsia="Arial"/>
          <w:color w:val="000000" w:themeColor="text1"/>
        </w:rPr>
        <w:fldChar w:fldCharType="begin" w:fldLock="1"/>
      </w:r>
      <w:r w:rsidR="006E1F09">
        <w:rPr>
          <w:rFonts w:eastAsia="Arial"/>
          <w:color w:val="000000" w:themeColor="text1"/>
        </w:rPr>
        <w:instrText>ADDIN CSL_CITATION {"citationItems":[{"id":"ITEM-1","itemData":{"author":[{"dropping-particle":"","family":"Oksanen","given":"Author Jari","non-dropping-particle":"","parse-names":false,"suffix":""},{"dropping-particle":"","family":"Blanchet","given":"F Guillaume","non-dropping-particle":"","parse-names":false,"suffix":""},{"dropping-particle":"","family":"Friendly","given":"Michael","non-dropping-particle":"","parse-names":false,"suffix":""},{"dropping-particle":"","family":"Kindt","given":"Roeland","non-dropping-particle":"","parse-names":false,"suffix":""},{"dropping-particle":"","family":"Legendre","given":"Pierre","non-dropping-particle":"","parse-names":false,"suffix":""},{"dropping-particle":"","family":"Mcglinn","given":"Dan","non-dropping-particle":"","parse-names":false,"suffix":""},{"dropping-particle":"","family":"Minchin","given":"Peter R","non-dropping-particle":"","parse-names":false,"suffix":""},{"dropping-particle":"","family":"Hara","given":"R B O","non-dropping-particle":"","parse-names":false,"suffix":""},{"dropping-particle":"","family":"Simpson","given":"Gavin L","non-dropping-particle":"","parse-names":false,"suffix":""},{"dropping-particle":"","family":"Solymos","given":"Peter","non-dropping-particle":"","parse-names":false,"suffix":""},{"dropping-particle":"","family":"Stevens","given":"M Henry H","non-dropping-particle":"","parse-names":false,"suffix":""},{"dropping-particle":"","family":"Szoecs","given":"Eduard","non-dropping-particle":"","parse-names":false,"suffix":""}],"id":"ITEM-1","issued":{"date-parts":[["2019"]]},"page":"https://cran.r-project.org, https://github.com/veg","title":"Package ‘ vegan ’","type":"article-journal"},"uris":["http://www.mendeley.com/documents/?uuid=02212a4b-a9c3-47e3-8645-4da24e7bb704"]}],"mendeley":{"formattedCitation":"(Oksanen et al., 2019)","plainTextFormattedCitation":"(Oksanen et al., 2019)","previouslyFormattedCitation":"(Oksanen et al., 2019)"},"properties":{"noteIndex":0},"schema":"https://github.com/citation-style-language/schema/raw/master/csl-citation.json"}</w:instrText>
      </w:r>
      <w:r w:rsidRPr="00BC723B">
        <w:rPr>
          <w:rFonts w:eastAsia="Arial"/>
          <w:color w:val="000000" w:themeColor="text1"/>
        </w:rPr>
        <w:fldChar w:fldCharType="separate"/>
      </w:r>
      <w:r w:rsidR="00CE6085" w:rsidRPr="00CE6085">
        <w:rPr>
          <w:rFonts w:eastAsia="Arial"/>
          <w:noProof/>
          <w:color w:val="000000" w:themeColor="text1"/>
        </w:rPr>
        <w:t>(Oksanen et al., 2019)</w:t>
      </w:r>
      <w:r w:rsidRPr="00BC723B">
        <w:rPr>
          <w:rFonts w:eastAsia="Arial"/>
          <w:color w:val="000000" w:themeColor="text1"/>
        </w:rPr>
        <w:fldChar w:fldCharType="end"/>
      </w:r>
      <w:r w:rsidRPr="00BC723B">
        <w:rPr>
          <w:rFonts w:eastAsia="Arial"/>
          <w:color w:val="000000"/>
        </w:rPr>
        <w:t xml:space="preserve"> </w:t>
      </w:r>
      <w:r>
        <w:rPr>
          <w:rFonts w:eastAsia="Arial"/>
          <w:color w:val="000000"/>
        </w:rPr>
        <w:t>with</w:t>
      </w:r>
      <w:r w:rsidRPr="00BC723B">
        <w:rPr>
          <w:rFonts w:eastAsia="Arial"/>
          <w:color w:val="000000"/>
        </w:rPr>
        <w:t xml:space="preserve"> </w:t>
      </w:r>
      <w:proofErr w:type="spellStart"/>
      <w:r w:rsidRPr="00BC723B">
        <w:rPr>
          <w:rFonts w:eastAsia="Arial"/>
          <w:color w:val="000000"/>
        </w:rPr>
        <w:t>MaxEnt</w:t>
      </w:r>
      <w:proofErr w:type="spellEnd"/>
      <w:r w:rsidRPr="00BC723B">
        <w:rPr>
          <w:rFonts w:eastAsia="Arial"/>
          <w:color w:val="000000"/>
        </w:rPr>
        <w:t xml:space="preserve"> output metrics as variables. </w:t>
      </w:r>
      <w:r w:rsidRPr="00833AD0">
        <w:rPr>
          <w:color w:val="000000"/>
        </w:rPr>
        <w:t>We</w:t>
      </w:r>
      <w:r w:rsidRPr="00495CA3">
        <w:rPr>
          <w:color w:val="000000"/>
        </w:rPr>
        <w:t xml:space="preserve"> also</w:t>
      </w:r>
      <w:r w:rsidRPr="00495CA3">
        <w:rPr>
          <w:rFonts w:eastAsia="Arial"/>
          <w:color w:val="000000"/>
        </w:rPr>
        <w:t xml:space="preserve"> tested niche identity </w:t>
      </w:r>
      <w:r w:rsidRPr="00495CA3">
        <w:rPr>
          <w:rFonts w:eastAsia="Arial"/>
          <w:color w:val="000000"/>
        </w:rPr>
        <w:lastRenderedPageBreak/>
        <w:t xml:space="preserve">under </w:t>
      </w:r>
      <w:r w:rsidRPr="00C34E6C">
        <w:rPr>
          <w:rFonts w:eastAsia="Arial"/>
          <w:color w:val="000000" w:themeColor="text1"/>
        </w:rPr>
        <w:t xml:space="preserve">the null hypothesis that two species occur in space given random draws from a similar distribution of environmental variables using the </w:t>
      </w:r>
      <w:proofErr w:type="spellStart"/>
      <w:r w:rsidRPr="00C34E6C">
        <w:rPr>
          <w:rFonts w:eastAsia="Arial"/>
          <w:color w:val="000000" w:themeColor="text1"/>
        </w:rPr>
        <w:t>ENMtools</w:t>
      </w:r>
      <w:proofErr w:type="spellEnd"/>
      <w:r w:rsidRPr="00C34E6C">
        <w:rPr>
          <w:rFonts w:eastAsia="Arial"/>
          <w:color w:val="000000" w:themeColor="text1"/>
        </w:rPr>
        <w:t xml:space="preserve"> package (</w:t>
      </w:r>
      <w:hyperlink r:id="rId35">
        <w:r w:rsidRPr="00C34E6C">
          <w:rPr>
            <w:rFonts w:eastAsia="Arial"/>
            <w:color w:val="000000" w:themeColor="text1"/>
            <w:u w:val="single"/>
          </w:rPr>
          <w:t>https://github.com/danlwarren/ENMTools</w:t>
        </w:r>
      </w:hyperlink>
      <w:r w:rsidRPr="00C34E6C">
        <w:rPr>
          <w:rFonts w:eastAsia="Arial"/>
          <w:color w:val="000000" w:themeColor="text1"/>
        </w:rPr>
        <w:t xml:space="preserve">). This test estimated niche overlap with </w:t>
      </w:r>
      <w:proofErr w:type="spellStart"/>
      <w:r w:rsidRPr="00C34E6C">
        <w:rPr>
          <w:rFonts w:eastAsia="Arial"/>
          <w:color w:val="000000" w:themeColor="text1"/>
        </w:rPr>
        <w:t>Schoener’s</w:t>
      </w:r>
      <w:proofErr w:type="spellEnd"/>
      <w:r w:rsidRPr="00C34E6C">
        <w:rPr>
          <w:rFonts w:eastAsia="Arial"/>
          <w:color w:val="000000" w:themeColor="text1"/>
        </w:rPr>
        <w:t xml:space="preserve"> </w:t>
      </w:r>
      <w:r w:rsidRPr="00C34E6C">
        <w:rPr>
          <w:rFonts w:eastAsia="Arial"/>
          <w:i/>
          <w:iCs/>
          <w:color w:val="000000" w:themeColor="text1"/>
        </w:rPr>
        <w:t>D</w:t>
      </w:r>
      <w:r w:rsidRPr="00C34E6C">
        <w:rPr>
          <w:rFonts w:eastAsia="Arial"/>
          <w:color w:val="000000" w:themeColor="text1"/>
        </w:rPr>
        <w:t xml:space="preserve"> statistic and the similarity statistic </w:t>
      </w:r>
      <w:r w:rsidRPr="00C34E6C">
        <w:rPr>
          <w:rFonts w:eastAsia="Arial"/>
          <w:i/>
          <w:iCs/>
          <w:color w:val="000000" w:themeColor="text1"/>
        </w:rPr>
        <w:t>I</w:t>
      </w:r>
      <w:r w:rsidRPr="00C34E6C">
        <w:rPr>
          <w:rFonts w:eastAsia="Arial"/>
          <w:color w:val="000000" w:themeColor="text1"/>
        </w:rPr>
        <w:t xml:space="preserve"> outlined by </w:t>
      </w:r>
      <w:r w:rsidRPr="00C34E6C">
        <w:rPr>
          <w:rFonts w:eastAsia="Arial"/>
          <w:color w:val="000000" w:themeColor="text1"/>
        </w:rPr>
        <w:fldChar w:fldCharType="begin" w:fldLock="1"/>
      </w:r>
      <w:r w:rsidR="006E1F09" w:rsidRPr="00C34E6C">
        <w:rPr>
          <w:rFonts w:eastAsia="Arial"/>
          <w:color w:val="000000" w:themeColor="text1"/>
        </w:rPr>
        <w:instrText>ADDIN CSL_CITATION {"citationItems":[{"id":"ITEM-1","itemData":{"DOI":"10.1111/j.1558-5646.2008.00482.x","ISSN":"00143820","abstract":"Environmental niche models, which are generated by combining species occurrence data with environmental GIS data layers, are increasingly used to answer fundamental questions about niche evolution, speciation, and the accumulation of ecological diversity within clades. The question of whether environmental niches are conserved over evolutionary time scales has attracted considerable attention, but often produced conflicting conclusions. This conflict, however, may result from differences in how niche similarity is measured and the specific null hypothesis being tested. We develop new methods for quantifying niche overlap that rely on a traditional ecological measure and a metric from mathematical statistics. We reexamine a classic study of niche conservatism between sister species in several groups of Mexican animals, and, for the first time, address alternative definitions of \"niche conservatism\" within a single framework using consistent methods. As expected, we find that environmental niches of sister species are more similar than expected under three distinct null hypotheses, but that they are rarely identical. We demonstrate how our measures can be used in phylogenetic comparative analyses by reexamining niche divergence in an adaptive radiation of Cuban anoles. Our results show that environmental niche overlap is closely tied to geographic overlap, but not to phylogenetic distances, suggesting that niche conservatism has not constrained local communities in this group to consist of closely related species. We suggest various randomization tests that may prove useful in other areas of ecology and evolutionary biology. © 2008 The Author(s).","author":[{"dropping-particle":"","family":"Warren","given":"Dan L.","non-dropping-particle":"","parse-names":false,"suffix":""},{"dropping-particle":"","family":"Glor","given":"Richard E.","non-dropping-particle":"","parse-names":false,"suffix":""},{"dropping-particle":"","family":"Turelli","given":"Michael","non-dropping-particle":"","parse-names":false,"suffix":""}],"container-title":"Evolution","id":"ITEM-1","issue":"11","issued":{"date-parts":[["2008"]]},"page":"2868-2883","title":"Environmental niche equivalency versus conservatism: Quantitative approaches to niche evolution","type":"article-journal","volume":"62"},"uris":["http://www.mendeley.com/documents/?uuid=9a6c4fed-bab1-48e7-9575-9d4200c122a7"]}],"mendeley":{"formattedCitation":"(Warren et al., 2008)","manualFormatting":"Warren, Glor, &amp; Turelli (2008)","plainTextFormattedCitation":"(Warren et al., 2008)","previouslyFormattedCitation":"(Warren et al., 2008)"},"properties":{"noteIndex":0},"schema":"https://github.com/citation-style-language/schema/raw/master/csl-citation.json"}</w:instrText>
      </w:r>
      <w:r w:rsidRPr="00C34E6C">
        <w:rPr>
          <w:rFonts w:eastAsia="Arial"/>
          <w:color w:val="000000" w:themeColor="text1"/>
        </w:rPr>
        <w:fldChar w:fldCharType="separate"/>
      </w:r>
      <w:r w:rsidRPr="00C34E6C">
        <w:rPr>
          <w:rFonts w:eastAsia="Arial"/>
          <w:noProof/>
          <w:color w:val="000000" w:themeColor="text1"/>
        </w:rPr>
        <w:t>Warren, Glor, &amp; Turelli (2008)</w:t>
      </w:r>
      <w:r w:rsidRPr="00C34E6C">
        <w:rPr>
          <w:rFonts w:eastAsia="Arial"/>
          <w:color w:val="000000" w:themeColor="text1"/>
        </w:rPr>
        <w:fldChar w:fldCharType="end"/>
      </w:r>
      <w:r w:rsidRPr="00C34E6C">
        <w:rPr>
          <w:rFonts w:eastAsia="Arial"/>
          <w:color w:val="000000" w:themeColor="text1"/>
        </w:rPr>
        <w:t xml:space="preserve"> in order to compare fungal-tree niche overlap across current and future climates. </w:t>
      </w:r>
    </w:p>
    <w:p w14:paraId="152CA719" w14:textId="46632A90" w:rsidR="00236E6D" w:rsidRPr="00C34E6C" w:rsidRDefault="00EA205E" w:rsidP="007F768A">
      <w:pPr>
        <w:pStyle w:val="Heading2"/>
        <w:spacing w:line="360" w:lineRule="auto"/>
        <w:rPr>
          <w:color w:val="000000" w:themeColor="text1"/>
        </w:rPr>
      </w:pPr>
      <w:bookmarkStart w:id="102" w:name="_Toc102048042"/>
      <w:r w:rsidRPr="00C34E6C">
        <w:rPr>
          <w:color w:val="000000" w:themeColor="text1"/>
        </w:rPr>
        <w:t>R</w:t>
      </w:r>
      <w:r w:rsidR="0034643A" w:rsidRPr="00C34E6C">
        <w:rPr>
          <w:color w:val="000000" w:themeColor="text1"/>
        </w:rPr>
        <w:t>esults</w:t>
      </w:r>
      <w:bookmarkEnd w:id="102"/>
    </w:p>
    <w:p w14:paraId="39DA681E" w14:textId="3C7EFF89" w:rsidR="007F768A" w:rsidRPr="006370E0" w:rsidRDefault="007F768A" w:rsidP="007F768A">
      <w:pPr>
        <w:pBdr>
          <w:top w:val="nil"/>
          <w:left w:val="nil"/>
          <w:bottom w:val="nil"/>
          <w:right w:val="nil"/>
          <w:between w:val="nil"/>
        </w:pBdr>
        <w:spacing w:line="360" w:lineRule="auto"/>
        <w:rPr>
          <w:rFonts w:eastAsia="Arial"/>
          <w:color w:val="000000"/>
        </w:rPr>
      </w:pPr>
      <w:r w:rsidRPr="00C34E6C">
        <w:rPr>
          <w:rFonts w:eastAsia="Arial"/>
          <w:color w:val="000000" w:themeColor="text1"/>
        </w:rPr>
        <w:tab/>
        <w:t xml:space="preserve">At a threshold of 0.7, multicollinearity tests against all 27 climate variables removed on average 22 variables from each climate scenario. For each climate scenario, this left 5-6 unique and independent combinations of climate variables for testing </w:t>
      </w:r>
      <w:r w:rsidRPr="003230D0">
        <w:rPr>
          <w:rFonts w:eastAsia="Arial"/>
          <w:color w:val="000000" w:themeColor="text1"/>
        </w:rPr>
        <w:t>(</w:t>
      </w:r>
      <w:r w:rsidR="008C31C1" w:rsidRPr="003230D0">
        <w:rPr>
          <w:rFonts w:eastAsia="Arial"/>
          <w:b/>
          <w:bCs/>
          <w:color w:val="000000" w:themeColor="text1"/>
        </w:rPr>
        <w:t>Appendix Table 3</w:t>
      </w:r>
      <w:r w:rsidRPr="003230D0">
        <w:rPr>
          <w:rFonts w:eastAsia="Arial"/>
          <w:color w:val="000000" w:themeColor="text1"/>
        </w:rPr>
        <w:t>)</w:t>
      </w:r>
      <w:r w:rsidRPr="003230D0">
        <w:rPr>
          <w:rFonts w:eastAsia="Arial"/>
          <w:color w:val="000000"/>
        </w:rPr>
        <w:t xml:space="preserve">. The most informative climate variables for </w:t>
      </w:r>
      <w:r w:rsidRPr="003230D0">
        <w:rPr>
          <w:rFonts w:eastAsia="Arial"/>
          <w:i/>
          <w:color w:val="000000"/>
        </w:rPr>
        <w:t xml:space="preserve">P. </w:t>
      </w:r>
      <w:proofErr w:type="spellStart"/>
      <w:r w:rsidRPr="003230D0">
        <w:rPr>
          <w:rFonts w:eastAsia="Arial"/>
          <w:i/>
          <w:color w:val="000000"/>
        </w:rPr>
        <w:t>strobus</w:t>
      </w:r>
      <w:proofErr w:type="spellEnd"/>
      <w:r w:rsidRPr="003230D0">
        <w:rPr>
          <w:rFonts w:eastAsia="Arial"/>
          <w:color w:val="000000"/>
        </w:rPr>
        <w:t xml:space="preserve"> under the </w:t>
      </w:r>
      <w:sdt>
        <w:sdtPr>
          <w:tag w:val="goog_rdk_25"/>
          <w:id w:val="1920515098"/>
        </w:sdtPr>
        <w:sdtEndPr/>
        <w:sdtContent/>
      </w:sdt>
      <w:sdt>
        <w:sdtPr>
          <w:tag w:val="goog_rdk_26"/>
          <w:id w:val="-1599099320"/>
        </w:sdtPr>
        <w:sdtEndPr/>
        <w:sdtContent/>
      </w:sdt>
      <w:r w:rsidRPr="003230D0">
        <w:rPr>
          <w:rFonts w:eastAsia="Arial"/>
          <w:color w:val="000000"/>
        </w:rPr>
        <w:t xml:space="preserve">current baseline scenario </w:t>
      </w:r>
      <w:r w:rsidR="00A46F4D" w:rsidRPr="003230D0">
        <w:rPr>
          <w:rFonts w:eastAsia="Arial"/>
          <w:color w:val="000000"/>
        </w:rPr>
        <w:t>was</w:t>
      </w:r>
      <w:r w:rsidRPr="003230D0">
        <w:rPr>
          <w:rFonts w:eastAsia="Arial"/>
          <w:color w:val="000000"/>
        </w:rPr>
        <w:t xml:space="preserve"> the amount (mm) of winter precipitation at 42.37%, the amount (mm) of precipitation</w:t>
      </w:r>
      <w:r w:rsidRPr="00317D28">
        <w:rPr>
          <w:rFonts w:eastAsia="Arial"/>
          <w:color w:val="000000"/>
        </w:rPr>
        <w:t xml:space="preserve"> as snow at 33.10%, and the difference between the mean temperature </w:t>
      </w:r>
      <w:r w:rsidRPr="00317D28">
        <w:rPr>
          <w:rFonts w:eastAsia="Arial"/>
        </w:rPr>
        <w:t>(</w:t>
      </w:r>
      <w:r w:rsidRPr="00713426">
        <w:rPr>
          <w:color w:val="000000"/>
        </w:rPr>
        <w:t>°C)</w:t>
      </w:r>
      <w:r w:rsidRPr="00713426">
        <w:rPr>
          <w:rFonts w:eastAsia="Arial"/>
          <w:color w:val="000000"/>
        </w:rPr>
        <w:t xml:space="preserve"> of the warmest and coldest months as a measure of continentali</w:t>
      </w:r>
      <w:r w:rsidRPr="00D02948">
        <w:rPr>
          <w:rFonts w:eastAsia="Arial"/>
          <w:color w:val="000000"/>
        </w:rPr>
        <w:t xml:space="preserve">ty (TD) at 18.29%. Similarly, for </w:t>
      </w:r>
      <w:r w:rsidRPr="00D02948">
        <w:rPr>
          <w:rFonts w:eastAsia="Arial"/>
          <w:i/>
          <w:color w:val="000000"/>
        </w:rPr>
        <w:t xml:space="preserve">S. </w:t>
      </w:r>
      <w:proofErr w:type="spellStart"/>
      <w:r w:rsidRPr="00D02948">
        <w:rPr>
          <w:rFonts w:eastAsia="Arial"/>
          <w:i/>
          <w:color w:val="000000"/>
        </w:rPr>
        <w:t>spraguei</w:t>
      </w:r>
      <w:proofErr w:type="spellEnd"/>
      <w:r w:rsidRPr="00D02948">
        <w:rPr>
          <w:rFonts w:eastAsia="Arial"/>
          <w:color w:val="000000"/>
        </w:rPr>
        <w:t xml:space="preserve"> in current baseline models the top three predicting variables are: winter precipitation</w:t>
      </w:r>
      <w:r w:rsidRPr="00CE1D29">
        <w:rPr>
          <w:rFonts w:eastAsia="Arial"/>
          <w:color w:val="000000"/>
        </w:rPr>
        <w:t xml:space="preserve"> at 37.64%, precipitation as snow at 33.76%, and TD at 22.08%. </w:t>
      </w:r>
      <w:r w:rsidRPr="00146C47">
        <w:rPr>
          <w:rFonts w:eastAsia="Arial"/>
          <w:b/>
          <w:bCs/>
          <w:color w:val="000000"/>
        </w:rPr>
        <w:t xml:space="preserve">Table </w:t>
      </w:r>
      <w:r w:rsidR="004F6B62">
        <w:rPr>
          <w:rFonts w:eastAsia="Arial"/>
          <w:b/>
          <w:bCs/>
          <w:color w:val="000000"/>
        </w:rPr>
        <w:t>6</w:t>
      </w:r>
      <w:r w:rsidRPr="00CE1D29">
        <w:rPr>
          <w:rFonts w:eastAsia="Arial"/>
          <w:color w:val="000000"/>
        </w:rPr>
        <w:t xml:space="preserve"> outlines all climate variables included in the predi</w:t>
      </w:r>
      <w:r w:rsidRPr="006370E0">
        <w:rPr>
          <w:rFonts w:eastAsia="Arial"/>
          <w:color w:val="000000"/>
        </w:rPr>
        <w:t xml:space="preserve">cted habitat range under the selected current baseline scenario for </w:t>
      </w:r>
      <w:r w:rsidRPr="006370E0">
        <w:rPr>
          <w:rFonts w:eastAsia="Arial"/>
          <w:i/>
          <w:color w:val="000000"/>
        </w:rPr>
        <w:t xml:space="preserve">S. </w:t>
      </w:r>
      <w:proofErr w:type="spellStart"/>
      <w:r w:rsidRPr="006370E0">
        <w:rPr>
          <w:rFonts w:eastAsia="Arial"/>
          <w:i/>
          <w:color w:val="000000"/>
        </w:rPr>
        <w:t>spraguei</w:t>
      </w:r>
      <w:proofErr w:type="spellEnd"/>
      <w:r w:rsidRPr="006370E0">
        <w:rPr>
          <w:rFonts w:eastAsia="Arial"/>
          <w:i/>
          <w:color w:val="000000"/>
        </w:rPr>
        <w:t xml:space="preserve"> </w:t>
      </w:r>
      <w:r w:rsidRPr="006370E0">
        <w:rPr>
          <w:rFonts w:eastAsia="Arial"/>
          <w:color w:val="000000"/>
        </w:rPr>
        <w:t xml:space="preserve">and </w:t>
      </w:r>
      <w:r w:rsidRPr="006370E0">
        <w:rPr>
          <w:rFonts w:eastAsia="Arial"/>
          <w:i/>
          <w:color w:val="000000"/>
        </w:rPr>
        <w:t xml:space="preserve">P. </w:t>
      </w:r>
      <w:proofErr w:type="spellStart"/>
      <w:r w:rsidRPr="006370E0">
        <w:rPr>
          <w:rFonts w:eastAsia="Arial"/>
          <w:i/>
          <w:color w:val="000000"/>
        </w:rPr>
        <w:t>strobus</w:t>
      </w:r>
      <w:proofErr w:type="spellEnd"/>
      <w:r w:rsidRPr="006370E0">
        <w:rPr>
          <w:rFonts w:eastAsia="Arial"/>
          <w:color w:val="000000"/>
        </w:rPr>
        <w:t xml:space="preserve">. </w:t>
      </w:r>
    </w:p>
    <w:p w14:paraId="6241E055" w14:textId="505E034E" w:rsidR="007A337B" w:rsidRPr="007A337B" w:rsidRDefault="007F768A" w:rsidP="007A337B">
      <w:pPr>
        <w:spacing w:line="360" w:lineRule="auto"/>
        <w:rPr>
          <w:rFonts w:eastAsia="Arial"/>
        </w:rPr>
      </w:pPr>
      <w:r w:rsidRPr="006370E0">
        <w:rPr>
          <w:rFonts w:eastAsia="Arial"/>
          <w:color w:val="000000"/>
        </w:rPr>
        <w:tab/>
      </w:r>
      <w:r w:rsidRPr="007A337B">
        <w:rPr>
          <w:rFonts w:eastAsia="Arial"/>
        </w:rPr>
        <w:t xml:space="preserve">Across all future climate scenarios, </w:t>
      </w:r>
      <w:proofErr w:type="spellStart"/>
      <w:r w:rsidRPr="007A337B">
        <w:rPr>
          <w:rFonts w:eastAsia="Arial"/>
        </w:rPr>
        <w:t>MaxEnt</w:t>
      </w:r>
      <w:proofErr w:type="spellEnd"/>
      <w:r w:rsidRPr="007A337B">
        <w:rPr>
          <w:rFonts w:eastAsia="Arial"/>
        </w:rPr>
        <w:t xml:space="preserve"> models for </w:t>
      </w:r>
      <w:r w:rsidRPr="007A337B">
        <w:rPr>
          <w:rFonts w:eastAsia="Arial"/>
          <w:i/>
          <w:iCs/>
        </w:rPr>
        <w:t xml:space="preserve">P. </w:t>
      </w:r>
      <w:proofErr w:type="spellStart"/>
      <w:r w:rsidRPr="007A337B">
        <w:rPr>
          <w:rFonts w:eastAsia="Arial"/>
          <w:i/>
          <w:iCs/>
        </w:rPr>
        <w:t>strobus</w:t>
      </w:r>
      <w:proofErr w:type="spellEnd"/>
      <w:r w:rsidRPr="007A337B">
        <w:rPr>
          <w:rFonts w:eastAsia="Arial"/>
          <w:i/>
          <w:iCs/>
        </w:rPr>
        <w:t xml:space="preserve"> </w:t>
      </w:r>
      <w:r w:rsidRPr="007A337B">
        <w:rPr>
          <w:rFonts w:eastAsia="Arial"/>
        </w:rPr>
        <w:t xml:space="preserve">suggest precipitation as snow (mean contribution=45.59%) and winter precipitation (mean contribution=35.46%) as the most informative variables for predicting its distributions across eastern North America. Similarly, in our future climate models for </w:t>
      </w:r>
      <w:r w:rsidRPr="007A337B">
        <w:rPr>
          <w:rFonts w:eastAsia="Arial"/>
          <w:i/>
          <w:iCs/>
        </w:rPr>
        <w:t xml:space="preserve">S. </w:t>
      </w:r>
      <w:proofErr w:type="spellStart"/>
      <w:r w:rsidRPr="007A337B">
        <w:rPr>
          <w:rFonts w:eastAsia="Arial"/>
          <w:i/>
          <w:iCs/>
        </w:rPr>
        <w:t>spraguei</w:t>
      </w:r>
      <w:proofErr w:type="spellEnd"/>
      <w:r w:rsidRPr="007A337B">
        <w:rPr>
          <w:rFonts w:eastAsia="Arial"/>
        </w:rPr>
        <w:t xml:space="preserve">, precipitation as snow and winter precipitation contributed </w:t>
      </w:r>
      <w:sdt>
        <w:sdtPr>
          <w:tag w:val="goog_rdk_28"/>
          <w:id w:val="1509101155"/>
        </w:sdtPr>
        <w:sdtEndPr/>
        <w:sdtContent/>
      </w:sdt>
      <w:sdt>
        <w:sdtPr>
          <w:tag w:val="goog_rdk_29"/>
          <w:id w:val="1130598234"/>
        </w:sdtPr>
        <w:sdtEndPr/>
        <w:sdtContent/>
      </w:sdt>
      <w:r w:rsidRPr="007A337B">
        <w:rPr>
          <w:rFonts w:eastAsia="Arial"/>
        </w:rPr>
        <w:t xml:space="preserve">on average a combined 73.21% to the predicted distributions with snow contributing the most at 41.26%. The next two contributors for each model were TD and relative humidity (RH). However, for the years 2055 and 2085 under the most extreme representative pathway (RCP8.5) with a conservative GCM (INM-CM4), TD contributed on average 10.67% more than winter precipitation in predicting suitable habitat of </w:t>
      </w:r>
      <w:r w:rsidRPr="007A337B">
        <w:rPr>
          <w:rFonts w:eastAsia="Arial"/>
          <w:i/>
          <w:iCs/>
        </w:rPr>
        <w:t xml:space="preserve">S. </w:t>
      </w:r>
      <w:proofErr w:type="spellStart"/>
      <w:r w:rsidRPr="007A337B">
        <w:rPr>
          <w:rFonts w:eastAsia="Arial"/>
          <w:i/>
          <w:iCs/>
        </w:rPr>
        <w:t>spraguei</w:t>
      </w:r>
      <w:proofErr w:type="spellEnd"/>
      <w:r w:rsidRPr="007A337B">
        <w:rPr>
          <w:rFonts w:eastAsia="Arial"/>
        </w:rPr>
        <w:t xml:space="preserve">. Interestingly this trend differs for </w:t>
      </w:r>
      <w:r w:rsidRPr="007A337B">
        <w:rPr>
          <w:rFonts w:eastAsia="Arial"/>
          <w:i/>
          <w:iCs/>
        </w:rPr>
        <w:t xml:space="preserve">P. </w:t>
      </w:r>
      <w:proofErr w:type="spellStart"/>
      <w:r w:rsidRPr="007A337B">
        <w:rPr>
          <w:rFonts w:eastAsia="Arial"/>
          <w:i/>
          <w:iCs/>
        </w:rPr>
        <w:t>strobus</w:t>
      </w:r>
      <w:proofErr w:type="spellEnd"/>
      <w:r w:rsidRPr="007A337B">
        <w:rPr>
          <w:rFonts w:eastAsia="Arial"/>
        </w:rPr>
        <w:t xml:space="preserve">, as winter precipitation and snow </w:t>
      </w:r>
      <w:proofErr w:type="gramStart"/>
      <w:r w:rsidRPr="007A337B">
        <w:rPr>
          <w:rFonts w:eastAsia="Arial"/>
        </w:rPr>
        <w:t>still remain</w:t>
      </w:r>
      <w:proofErr w:type="gramEnd"/>
      <w:r w:rsidRPr="007A337B">
        <w:rPr>
          <w:rFonts w:eastAsia="Arial"/>
        </w:rPr>
        <w:t xml:space="preserve"> the best predictors for suitable habitat and species distribution. </w:t>
      </w:r>
    </w:p>
    <w:p w14:paraId="4C10FD49" w14:textId="77777777" w:rsidR="00215F16" w:rsidRDefault="007F768A" w:rsidP="00215F16">
      <w:pPr>
        <w:pBdr>
          <w:top w:val="nil"/>
          <w:left w:val="nil"/>
          <w:bottom w:val="nil"/>
          <w:right w:val="nil"/>
          <w:between w:val="nil"/>
        </w:pBdr>
        <w:spacing w:line="360" w:lineRule="auto"/>
        <w:rPr>
          <w:rFonts w:eastAsia="Arial"/>
          <w:color w:val="000000"/>
        </w:rPr>
      </w:pPr>
      <w:r w:rsidRPr="006370E0">
        <w:rPr>
          <w:rFonts w:eastAsia="Arial"/>
          <w:color w:val="000000"/>
        </w:rPr>
        <w:tab/>
        <w:t xml:space="preserve">We found that models tuned under the LQ feature class with a multiplier of 1 had the lowest </w:t>
      </w:r>
      <w:proofErr w:type="spellStart"/>
      <w:r w:rsidRPr="006370E0">
        <w:rPr>
          <w:rFonts w:eastAsia="Arial"/>
          <w:color w:val="000000"/>
        </w:rPr>
        <w:t>AICc</w:t>
      </w:r>
      <w:proofErr w:type="spellEnd"/>
      <w:r w:rsidRPr="006370E0">
        <w:rPr>
          <w:rFonts w:eastAsia="Arial"/>
          <w:color w:val="000000"/>
        </w:rPr>
        <w:t xml:space="preserve"> scores for both species in the current baseline and future scenarios. The future climate scenario that best predicts suitable habitat for </w:t>
      </w:r>
      <w:r w:rsidRPr="006370E0">
        <w:rPr>
          <w:rFonts w:eastAsia="Arial"/>
          <w:i/>
          <w:color w:val="000000"/>
        </w:rPr>
        <w:t xml:space="preserve">S. </w:t>
      </w:r>
      <w:proofErr w:type="spellStart"/>
      <w:r w:rsidRPr="006370E0">
        <w:rPr>
          <w:rFonts w:eastAsia="Arial"/>
          <w:i/>
          <w:color w:val="000000"/>
        </w:rPr>
        <w:t>spraguei</w:t>
      </w:r>
      <w:proofErr w:type="spellEnd"/>
      <w:r w:rsidRPr="006370E0">
        <w:rPr>
          <w:rFonts w:eastAsia="Arial"/>
          <w:color w:val="000000"/>
        </w:rPr>
        <w:t xml:space="preserve"> is RCP4.5 INM-CM4 2055, a </w:t>
      </w:r>
    </w:p>
    <w:p w14:paraId="1381CB95" w14:textId="671FDA92" w:rsidR="00215F16" w:rsidRPr="00215F16" w:rsidRDefault="00215F16" w:rsidP="00215F16">
      <w:pPr>
        <w:pStyle w:val="Subtitle"/>
        <w:rPr>
          <w:color w:val="000000"/>
        </w:rPr>
      </w:pPr>
      <w:r>
        <w:rPr>
          <w:color w:val="000000"/>
        </w:rPr>
        <w:br w:type="page"/>
      </w:r>
      <w:bookmarkStart w:id="103" w:name="_Toc102118709"/>
      <w:r w:rsidRPr="007A337B">
        <w:lastRenderedPageBreak/>
        <w:t xml:space="preserve">Table 6. Climate variables applied to the current climate model for tree and fungal species. The most informative climate variables used for modeling (a). </w:t>
      </w:r>
      <w:r w:rsidRPr="007A337B">
        <w:rPr>
          <w:i/>
          <w:iCs/>
        </w:rPr>
        <w:t xml:space="preserve">Pinus </w:t>
      </w:r>
      <w:proofErr w:type="spellStart"/>
      <w:r w:rsidRPr="007A337B">
        <w:rPr>
          <w:i/>
          <w:iCs/>
        </w:rPr>
        <w:t>strobus</w:t>
      </w:r>
      <w:proofErr w:type="spellEnd"/>
      <w:r w:rsidRPr="007A337B">
        <w:t xml:space="preserve"> and (b). </w:t>
      </w:r>
      <w:proofErr w:type="spellStart"/>
      <w:r w:rsidRPr="007A337B">
        <w:rPr>
          <w:i/>
          <w:iCs/>
        </w:rPr>
        <w:t>Suillus</w:t>
      </w:r>
      <w:proofErr w:type="spellEnd"/>
      <w:r w:rsidRPr="007A337B">
        <w:rPr>
          <w:i/>
          <w:iCs/>
        </w:rPr>
        <w:t xml:space="preserve"> </w:t>
      </w:r>
      <w:proofErr w:type="spellStart"/>
      <w:r w:rsidRPr="007A337B">
        <w:rPr>
          <w:i/>
          <w:iCs/>
        </w:rPr>
        <w:t>spraguei</w:t>
      </w:r>
      <w:proofErr w:type="spellEnd"/>
      <w:r w:rsidRPr="007A337B">
        <w:t>, ranked by percent contribution.</w:t>
      </w:r>
      <w:bookmarkEnd w:id="103"/>
      <w:r w:rsidRPr="007A337B">
        <w:t xml:space="preserve"> </w:t>
      </w:r>
    </w:p>
    <w:p w14:paraId="756BC58D" w14:textId="77777777" w:rsidR="00215F16" w:rsidRPr="00BC723B" w:rsidRDefault="00215F16" w:rsidP="00215F16">
      <w:pPr>
        <w:spacing w:line="360" w:lineRule="auto"/>
        <w:rPr>
          <w:rFonts w:eastAsia="Arial"/>
        </w:rPr>
      </w:pPr>
      <w:r>
        <w:rPr>
          <w:rFonts w:eastAsia="Arial"/>
        </w:rPr>
        <w:t>a).</w:t>
      </w:r>
    </w:p>
    <w:tbl>
      <w:tblPr>
        <w:tblW w:w="3900" w:type="dxa"/>
        <w:tblLook w:val="04A0" w:firstRow="1" w:lastRow="0" w:firstColumn="1" w:lastColumn="0" w:noHBand="0" w:noVBand="1"/>
      </w:tblPr>
      <w:tblGrid>
        <w:gridCol w:w="1145"/>
        <w:gridCol w:w="2755"/>
      </w:tblGrid>
      <w:tr w:rsidR="00215F16" w14:paraId="45DF211B" w14:textId="77777777" w:rsidTr="00D20AC1">
        <w:trPr>
          <w:trHeight w:val="320"/>
        </w:trPr>
        <w:tc>
          <w:tcPr>
            <w:tcW w:w="3900" w:type="dxa"/>
            <w:gridSpan w:val="2"/>
            <w:tcBorders>
              <w:top w:val="single" w:sz="4" w:space="0" w:color="auto"/>
              <w:left w:val="nil"/>
              <w:bottom w:val="single" w:sz="4" w:space="0" w:color="auto"/>
              <w:right w:val="nil"/>
            </w:tcBorders>
            <w:shd w:val="clear" w:color="auto" w:fill="auto"/>
            <w:noWrap/>
            <w:vAlign w:val="center"/>
            <w:hideMark/>
          </w:tcPr>
          <w:p w14:paraId="4286BBCB" w14:textId="77777777" w:rsidR="00215F16" w:rsidRDefault="00215F16" w:rsidP="00D20AC1">
            <w:pPr>
              <w:jc w:val="center"/>
              <w:rPr>
                <w:i/>
                <w:iCs/>
                <w:color w:val="000000"/>
              </w:rPr>
            </w:pPr>
            <w:r>
              <w:rPr>
                <w:i/>
                <w:iCs/>
                <w:color w:val="000000"/>
              </w:rPr>
              <w:t xml:space="preserve">Pinus </w:t>
            </w:r>
            <w:proofErr w:type="spellStart"/>
            <w:r>
              <w:rPr>
                <w:i/>
                <w:iCs/>
                <w:color w:val="000000"/>
              </w:rPr>
              <w:t>strobus</w:t>
            </w:r>
            <w:proofErr w:type="spellEnd"/>
          </w:p>
        </w:tc>
      </w:tr>
      <w:tr w:rsidR="00215F16" w14:paraId="1ABEFDD0"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1C05D1CB" w14:textId="77777777" w:rsidR="00215F16" w:rsidRDefault="00215F16" w:rsidP="00D20AC1">
            <w:pPr>
              <w:jc w:val="center"/>
              <w:rPr>
                <w:b/>
                <w:bCs/>
                <w:color w:val="000000"/>
              </w:rPr>
            </w:pPr>
            <w:r>
              <w:rPr>
                <w:b/>
                <w:bCs/>
                <w:color w:val="000000"/>
              </w:rPr>
              <w:t>Variable</w:t>
            </w:r>
          </w:p>
        </w:tc>
        <w:tc>
          <w:tcPr>
            <w:tcW w:w="2755" w:type="dxa"/>
            <w:tcBorders>
              <w:top w:val="single" w:sz="4" w:space="0" w:color="auto"/>
              <w:left w:val="nil"/>
              <w:bottom w:val="single" w:sz="4" w:space="0" w:color="auto"/>
              <w:right w:val="nil"/>
            </w:tcBorders>
            <w:shd w:val="clear" w:color="auto" w:fill="auto"/>
            <w:noWrap/>
            <w:vAlign w:val="center"/>
            <w:hideMark/>
          </w:tcPr>
          <w:p w14:paraId="264E0914" w14:textId="77777777" w:rsidR="00215F16" w:rsidRDefault="00215F16" w:rsidP="00D20AC1">
            <w:pPr>
              <w:jc w:val="center"/>
              <w:rPr>
                <w:b/>
                <w:bCs/>
                <w:color w:val="000000"/>
              </w:rPr>
            </w:pPr>
            <w:r>
              <w:rPr>
                <w:b/>
                <w:bCs/>
                <w:color w:val="000000"/>
              </w:rPr>
              <w:t>Percent Contribution</w:t>
            </w:r>
          </w:p>
        </w:tc>
      </w:tr>
      <w:tr w:rsidR="00215F16" w14:paraId="3233E2BC"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2C1BDB39" w14:textId="77777777" w:rsidR="00215F16" w:rsidRDefault="00215F16" w:rsidP="00D20AC1">
            <w:pPr>
              <w:jc w:val="center"/>
              <w:rPr>
                <w:color w:val="000000"/>
              </w:rPr>
            </w:pPr>
            <w:proofErr w:type="spellStart"/>
            <w:r>
              <w:rPr>
                <w:color w:val="000000"/>
              </w:rPr>
              <w:t>PPT_wt</w:t>
            </w:r>
            <w:proofErr w:type="spellEnd"/>
          </w:p>
        </w:tc>
        <w:tc>
          <w:tcPr>
            <w:tcW w:w="2755" w:type="dxa"/>
            <w:tcBorders>
              <w:top w:val="single" w:sz="4" w:space="0" w:color="auto"/>
              <w:left w:val="nil"/>
              <w:bottom w:val="single" w:sz="4" w:space="0" w:color="auto"/>
              <w:right w:val="nil"/>
            </w:tcBorders>
            <w:shd w:val="clear" w:color="auto" w:fill="auto"/>
            <w:noWrap/>
            <w:vAlign w:val="center"/>
            <w:hideMark/>
          </w:tcPr>
          <w:p w14:paraId="43B5D833" w14:textId="77777777" w:rsidR="00215F16" w:rsidRDefault="00215F16" w:rsidP="00D20AC1">
            <w:pPr>
              <w:jc w:val="center"/>
              <w:rPr>
                <w:color w:val="000000"/>
              </w:rPr>
            </w:pPr>
            <w:r>
              <w:rPr>
                <w:color w:val="000000"/>
              </w:rPr>
              <w:t>42.3687</w:t>
            </w:r>
          </w:p>
        </w:tc>
      </w:tr>
      <w:tr w:rsidR="00215F16" w14:paraId="010A6651"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0B8E27B5" w14:textId="77777777" w:rsidR="00215F16" w:rsidRDefault="00215F16" w:rsidP="00D20AC1">
            <w:pPr>
              <w:jc w:val="center"/>
              <w:rPr>
                <w:color w:val="000000"/>
              </w:rPr>
            </w:pPr>
            <w:r>
              <w:rPr>
                <w:color w:val="000000"/>
              </w:rPr>
              <w:t>PAS</w:t>
            </w:r>
          </w:p>
        </w:tc>
        <w:tc>
          <w:tcPr>
            <w:tcW w:w="2755" w:type="dxa"/>
            <w:tcBorders>
              <w:top w:val="single" w:sz="4" w:space="0" w:color="auto"/>
              <w:left w:val="nil"/>
              <w:bottom w:val="single" w:sz="4" w:space="0" w:color="auto"/>
              <w:right w:val="nil"/>
            </w:tcBorders>
            <w:shd w:val="clear" w:color="auto" w:fill="auto"/>
            <w:noWrap/>
            <w:vAlign w:val="center"/>
            <w:hideMark/>
          </w:tcPr>
          <w:p w14:paraId="67960353" w14:textId="77777777" w:rsidR="00215F16" w:rsidRDefault="00215F16" w:rsidP="00D20AC1">
            <w:pPr>
              <w:jc w:val="center"/>
              <w:rPr>
                <w:color w:val="000000"/>
              </w:rPr>
            </w:pPr>
            <w:r>
              <w:rPr>
                <w:color w:val="000000"/>
              </w:rPr>
              <w:t>33.102</w:t>
            </w:r>
          </w:p>
        </w:tc>
      </w:tr>
      <w:tr w:rsidR="00215F16" w14:paraId="3AABDA76"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0703D8C4" w14:textId="77777777" w:rsidR="00215F16" w:rsidRDefault="00215F16" w:rsidP="00D20AC1">
            <w:pPr>
              <w:jc w:val="center"/>
              <w:rPr>
                <w:color w:val="000000"/>
              </w:rPr>
            </w:pPr>
            <w:r>
              <w:rPr>
                <w:color w:val="000000"/>
              </w:rPr>
              <w:t>TD</w:t>
            </w:r>
          </w:p>
        </w:tc>
        <w:tc>
          <w:tcPr>
            <w:tcW w:w="2755" w:type="dxa"/>
            <w:tcBorders>
              <w:top w:val="single" w:sz="4" w:space="0" w:color="auto"/>
              <w:left w:val="nil"/>
              <w:bottom w:val="single" w:sz="4" w:space="0" w:color="auto"/>
              <w:right w:val="nil"/>
            </w:tcBorders>
            <w:shd w:val="clear" w:color="auto" w:fill="auto"/>
            <w:noWrap/>
            <w:vAlign w:val="center"/>
            <w:hideMark/>
          </w:tcPr>
          <w:p w14:paraId="399F988B" w14:textId="77777777" w:rsidR="00215F16" w:rsidRDefault="00215F16" w:rsidP="00D20AC1">
            <w:pPr>
              <w:jc w:val="center"/>
              <w:rPr>
                <w:color w:val="000000"/>
              </w:rPr>
            </w:pPr>
            <w:r>
              <w:rPr>
                <w:color w:val="000000"/>
              </w:rPr>
              <w:t>18.2914</w:t>
            </w:r>
          </w:p>
        </w:tc>
      </w:tr>
      <w:tr w:rsidR="00215F16" w14:paraId="14C1782A"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6DE8A772" w14:textId="77777777" w:rsidR="00215F16" w:rsidRDefault="00215F16" w:rsidP="00D20AC1">
            <w:pPr>
              <w:jc w:val="center"/>
              <w:rPr>
                <w:color w:val="000000"/>
              </w:rPr>
            </w:pPr>
            <w:r>
              <w:rPr>
                <w:color w:val="000000"/>
              </w:rPr>
              <w:t>RH</w:t>
            </w:r>
          </w:p>
        </w:tc>
        <w:tc>
          <w:tcPr>
            <w:tcW w:w="2755" w:type="dxa"/>
            <w:tcBorders>
              <w:top w:val="single" w:sz="4" w:space="0" w:color="auto"/>
              <w:left w:val="nil"/>
              <w:bottom w:val="single" w:sz="4" w:space="0" w:color="auto"/>
              <w:right w:val="nil"/>
            </w:tcBorders>
            <w:shd w:val="clear" w:color="auto" w:fill="auto"/>
            <w:noWrap/>
            <w:vAlign w:val="center"/>
            <w:hideMark/>
          </w:tcPr>
          <w:p w14:paraId="116CC4AA" w14:textId="77777777" w:rsidR="00215F16" w:rsidRDefault="00215F16" w:rsidP="00D20AC1">
            <w:pPr>
              <w:jc w:val="center"/>
              <w:rPr>
                <w:color w:val="000000"/>
              </w:rPr>
            </w:pPr>
            <w:r>
              <w:rPr>
                <w:color w:val="000000"/>
              </w:rPr>
              <w:t>3.1873</w:t>
            </w:r>
          </w:p>
        </w:tc>
      </w:tr>
      <w:tr w:rsidR="00215F16" w14:paraId="3796DFD2"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5D2BA4E5" w14:textId="77777777" w:rsidR="00215F16" w:rsidRDefault="00215F16" w:rsidP="00D20AC1">
            <w:pPr>
              <w:jc w:val="center"/>
              <w:rPr>
                <w:color w:val="000000"/>
              </w:rPr>
            </w:pPr>
            <w:r>
              <w:rPr>
                <w:color w:val="000000"/>
              </w:rPr>
              <w:t>CMD</w:t>
            </w:r>
          </w:p>
        </w:tc>
        <w:tc>
          <w:tcPr>
            <w:tcW w:w="2755" w:type="dxa"/>
            <w:tcBorders>
              <w:top w:val="single" w:sz="4" w:space="0" w:color="auto"/>
              <w:left w:val="nil"/>
              <w:bottom w:val="single" w:sz="4" w:space="0" w:color="auto"/>
              <w:right w:val="nil"/>
            </w:tcBorders>
            <w:shd w:val="clear" w:color="auto" w:fill="auto"/>
            <w:noWrap/>
            <w:vAlign w:val="center"/>
            <w:hideMark/>
          </w:tcPr>
          <w:p w14:paraId="6E61C386" w14:textId="77777777" w:rsidR="00215F16" w:rsidRDefault="00215F16" w:rsidP="00D20AC1">
            <w:pPr>
              <w:jc w:val="center"/>
              <w:rPr>
                <w:color w:val="000000"/>
              </w:rPr>
            </w:pPr>
            <w:r>
              <w:rPr>
                <w:color w:val="000000"/>
              </w:rPr>
              <w:t>3.0506</w:t>
            </w:r>
          </w:p>
        </w:tc>
      </w:tr>
    </w:tbl>
    <w:p w14:paraId="321543BF" w14:textId="77777777" w:rsidR="00215F16" w:rsidRDefault="00215F16" w:rsidP="00215F16">
      <w:pPr>
        <w:spacing w:line="360" w:lineRule="auto"/>
        <w:rPr>
          <w:rFonts w:eastAsia="Arial"/>
        </w:rPr>
      </w:pPr>
    </w:p>
    <w:p w14:paraId="74D4C2A9" w14:textId="77777777" w:rsidR="00215F16" w:rsidRDefault="00215F16" w:rsidP="00215F16">
      <w:pPr>
        <w:spacing w:line="360" w:lineRule="auto"/>
        <w:rPr>
          <w:rFonts w:eastAsia="Arial"/>
        </w:rPr>
      </w:pPr>
      <w:r>
        <w:rPr>
          <w:rFonts w:eastAsia="Arial"/>
        </w:rPr>
        <w:t>b).</w:t>
      </w:r>
    </w:p>
    <w:tbl>
      <w:tblPr>
        <w:tblW w:w="3900" w:type="dxa"/>
        <w:tblLook w:val="04A0" w:firstRow="1" w:lastRow="0" w:firstColumn="1" w:lastColumn="0" w:noHBand="0" w:noVBand="1"/>
      </w:tblPr>
      <w:tblGrid>
        <w:gridCol w:w="1145"/>
        <w:gridCol w:w="2755"/>
      </w:tblGrid>
      <w:tr w:rsidR="00215F16" w14:paraId="3423FE47" w14:textId="77777777" w:rsidTr="00D20AC1">
        <w:trPr>
          <w:trHeight w:val="320"/>
        </w:trPr>
        <w:tc>
          <w:tcPr>
            <w:tcW w:w="3900" w:type="dxa"/>
            <w:gridSpan w:val="2"/>
            <w:tcBorders>
              <w:top w:val="single" w:sz="4" w:space="0" w:color="auto"/>
              <w:left w:val="nil"/>
              <w:bottom w:val="single" w:sz="4" w:space="0" w:color="auto"/>
              <w:right w:val="nil"/>
            </w:tcBorders>
            <w:shd w:val="clear" w:color="auto" w:fill="auto"/>
            <w:noWrap/>
            <w:vAlign w:val="center"/>
            <w:hideMark/>
          </w:tcPr>
          <w:p w14:paraId="213CCA27" w14:textId="77777777" w:rsidR="00215F16" w:rsidRDefault="00215F16" w:rsidP="00D20AC1">
            <w:pPr>
              <w:jc w:val="center"/>
              <w:rPr>
                <w:i/>
                <w:iCs/>
                <w:color w:val="000000"/>
              </w:rPr>
            </w:pPr>
            <w:proofErr w:type="spellStart"/>
            <w:r>
              <w:rPr>
                <w:i/>
                <w:iCs/>
                <w:color w:val="000000"/>
              </w:rPr>
              <w:t>Suillus</w:t>
            </w:r>
            <w:proofErr w:type="spellEnd"/>
            <w:r>
              <w:rPr>
                <w:i/>
                <w:iCs/>
                <w:color w:val="000000"/>
              </w:rPr>
              <w:t xml:space="preserve"> </w:t>
            </w:r>
            <w:proofErr w:type="spellStart"/>
            <w:r>
              <w:rPr>
                <w:i/>
                <w:iCs/>
                <w:color w:val="000000"/>
              </w:rPr>
              <w:t>spraguei</w:t>
            </w:r>
            <w:proofErr w:type="spellEnd"/>
          </w:p>
        </w:tc>
      </w:tr>
      <w:tr w:rsidR="00215F16" w14:paraId="63B654D6"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63DEC7E7" w14:textId="77777777" w:rsidR="00215F16" w:rsidRDefault="00215F16" w:rsidP="00D20AC1">
            <w:pPr>
              <w:jc w:val="center"/>
              <w:rPr>
                <w:b/>
                <w:bCs/>
                <w:color w:val="000000"/>
              </w:rPr>
            </w:pPr>
            <w:r>
              <w:rPr>
                <w:b/>
                <w:bCs/>
                <w:color w:val="000000"/>
              </w:rPr>
              <w:t>Variable</w:t>
            </w:r>
          </w:p>
        </w:tc>
        <w:tc>
          <w:tcPr>
            <w:tcW w:w="2755" w:type="dxa"/>
            <w:tcBorders>
              <w:top w:val="single" w:sz="4" w:space="0" w:color="auto"/>
              <w:left w:val="nil"/>
              <w:bottom w:val="single" w:sz="4" w:space="0" w:color="auto"/>
              <w:right w:val="nil"/>
            </w:tcBorders>
            <w:shd w:val="clear" w:color="auto" w:fill="auto"/>
            <w:noWrap/>
            <w:vAlign w:val="center"/>
            <w:hideMark/>
          </w:tcPr>
          <w:p w14:paraId="74A7C826" w14:textId="77777777" w:rsidR="00215F16" w:rsidRDefault="00215F16" w:rsidP="00D20AC1">
            <w:pPr>
              <w:jc w:val="center"/>
              <w:rPr>
                <w:b/>
                <w:bCs/>
                <w:color w:val="000000"/>
              </w:rPr>
            </w:pPr>
            <w:r>
              <w:rPr>
                <w:b/>
                <w:bCs/>
                <w:color w:val="000000"/>
              </w:rPr>
              <w:t>Percent Contribution</w:t>
            </w:r>
          </w:p>
        </w:tc>
      </w:tr>
      <w:tr w:rsidR="00215F16" w14:paraId="7FAFC36D"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64E17978" w14:textId="77777777" w:rsidR="00215F16" w:rsidRDefault="00215F16" w:rsidP="00D20AC1">
            <w:pPr>
              <w:jc w:val="center"/>
              <w:rPr>
                <w:color w:val="000000"/>
              </w:rPr>
            </w:pPr>
            <w:proofErr w:type="spellStart"/>
            <w:r>
              <w:rPr>
                <w:color w:val="000000"/>
              </w:rPr>
              <w:t>PPT_wt</w:t>
            </w:r>
            <w:proofErr w:type="spellEnd"/>
          </w:p>
        </w:tc>
        <w:tc>
          <w:tcPr>
            <w:tcW w:w="2755" w:type="dxa"/>
            <w:tcBorders>
              <w:top w:val="single" w:sz="4" w:space="0" w:color="auto"/>
              <w:left w:val="nil"/>
              <w:bottom w:val="single" w:sz="4" w:space="0" w:color="auto"/>
              <w:right w:val="nil"/>
            </w:tcBorders>
            <w:shd w:val="clear" w:color="auto" w:fill="auto"/>
            <w:noWrap/>
            <w:vAlign w:val="center"/>
            <w:hideMark/>
          </w:tcPr>
          <w:p w14:paraId="38FDE7BB" w14:textId="77777777" w:rsidR="00215F16" w:rsidRDefault="00215F16" w:rsidP="00D20AC1">
            <w:pPr>
              <w:jc w:val="center"/>
              <w:rPr>
                <w:color w:val="000000"/>
              </w:rPr>
            </w:pPr>
            <w:r>
              <w:rPr>
                <w:color w:val="000000"/>
              </w:rPr>
              <w:t>37.6432</w:t>
            </w:r>
          </w:p>
        </w:tc>
      </w:tr>
      <w:tr w:rsidR="00215F16" w14:paraId="51022D98"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14E92C47" w14:textId="77777777" w:rsidR="00215F16" w:rsidRDefault="00215F16" w:rsidP="00D20AC1">
            <w:pPr>
              <w:jc w:val="center"/>
              <w:rPr>
                <w:color w:val="000000"/>
              </w:rPr>
            </w:pPr>
            <w:r>
              <w:rPr>
                <w:color w:val="000000"/>
              </w:rPr>
              <w:t>PAS</w:t>
            </w:r>
          </w:p>
        </w:tc>
        <w:tc>
          <w:tcPr>
            <w:tcW w:w="2755" w:type="dxa"/>
            <w:tcBorders>
              <w:top w:val="single" w:sz="4" w:space="0" w:color="auto"/>
              <w:left w:val="nil"/>
              <w:bottom w:val="single" w:sz="4" w:space="0" w:color="auto"/>
              <w:right w:val="nil"/>
            </w:tcBorders>
            <w:shd w:val="clear" w:color="auto" w:fill="auto"/>
            <w:noWrap/>
            <w:vAlign w:val="center"/>
            <w:hideMark/>
          </w:tcPr>
          <w:p w14:paraId="5054670D" w14:textId="77777777" w:rsidR="00215F16" w:rsidRDefault="00215F16" w:rsidP="00D20AC1">
            <w:pPr>
              <w:jc w:val="center"/>
              <w:rPr>
                <w:color w:val="000000"/>
              </w:rPr>
            </w:pPr>
            <w:r>
              <w:rPr>
                <w:color w:val="000000"/>
              </w:rPr>
              <w:t>33.7642</w:t>
            </w:r>
          </w:p>
        </w:tc>
      </w:tr>
      <w:tr w:rsidR="00215F16" w14:paraId="7BAB2671"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5B9C122F" w14:textId="77777777" w:rsidR="00215F16" w:rsidRDefault="00215F16" w:rsidP="00D20AC1">
            <w:pPr>
              <w:jc w:val="center"/>
              <w:rPr>
                <w:color w:val="000000"/>
              </w:rPr>
            </w:pPr>
            <w:r>
              <w:rPr>
                <w:color w:val="000000"/>
              </w:rPr>
              <w:t>TD</w:t>
            </w:r>
          </w:p>
        </w:tc>
        <w:tc>
          <w:tcPr>
            <w:tcW w:w="2755" w:type="dxa"/>
            <w:tcBorders>
              <w:top w:val="single" w:sz="4" w:space="0" w:color="auto"/>
              <w:left w:val="nil"/>
              <w:bottom w:val="single" w:sz="4" w:space="0" w:color="auto"/>
              <w:right w:val="nil"/>
            </w:tcBorders>
            <w:shd w:val="clear" w:color="auto" w:fill="auto"/>
            <w:noWrap/>
            <w:vAlign w:val="center"/>
            <w:hideMark/>
          </w:tcPr>
          <w:p w14:paraId="0D72797B" w14:textId="77777777" w:rsidR="00215F16" w:rsidRDefault="00215F16" w:rsidP="00D20AC1">
            <w:pPr>
              <w:jc w:val="center"/>
              <w:rPr>
                <w:color w:val="000000"/>
              </w:rPr>
            </w:pPr>
            <w:r>
              <w:rPr>
                <w:color w:val="000000"/>
              </w:rPr>
              <w:t>22.0785</w:t>
            </w:r>
          </w:p>
        </w:tc>
      </w:tr>
      <w:tr w:rsidR="00215F16" w14:paraId="0E3D6096"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6FEEB72E" w14:textId="77777777" w:rsidR="00215F16" w:rsidRDefault="00215F16" w:rsidP="00D20AC1">
            <w:pPr>
              <w:jc w:val="center"/>
              <w:rPr>
                <w:color w:val="000000"/>
              </w:rPr>
            </w:pPr>
            <w:r>
              <w:rPr>
                <w:color w:val="000000"/>
              </w:rPr>
              <w:t>RH</w:t>
            </w:r>
          </w:p>
        </w:tc>
        <w:tc>
          <w:tcPr>
            <w:tcW w:w="2755" w:type="dxa"/>
            <w:tcBorders>
              <w:top w:val="single" w:sz="4" w:space="0" w:color="auto"/>
              <w:left w:val="nil"/>
              <w:bottom w:val="single" w:sz="4" w:space="0" w:color="auto"/>
              <w:right w:val="nil"/>
            </w:tcBorders>
            <w:shd w:val="clear" w:color="auto" w:fill="auto"/>
            <w:noWrap/>
            <w:vAlign w:val="center"/>
            <w:hideMark/>
          </w:tcPr>
          <w:p w14:paraId="33F662E9" w14:textId="77777777" w:rsidR="00215F16" w:rsidRDefault="00215F16" w:rsidP="00D20AC1">
            <w:pPr>
              <w:jc w:val="center"/>
              <w:rPr>
                <w:color w:val="000000"/>
              </w:rPr>
            </w:pPr>
            <w:r>
              <w:rPr>
                <w:color w:val="000000"/>
              </w:rPr>
              <w:t>5.5549</w:t>
            </w:r>
          </w:p>
        </w:tc>
      </w:tr>
      <w:tr w:rsidR="00215F16" w14:paraId="1BBDB9B4" w14:textId="77777777" w:rsidTr="00D20AC1">
        <w:trPr>
          <w:trHeight w:val="320"/>
        </w:trPr>
        <w:tc>
          <w:tcPr>
            <w:tcW w:w="1145" w:type="dxa"/>
            <w:tcBorders>
              <w:top w:val="nil"/>
              <w:left w:val="nil"/>
              <w:bottom w:val="single" w:sz="4" w:space="0" w:color="auto"/>
              <w:right w:val="nil"/>
            </w:tcBorders>
            <w:shd w:val="clear" w:color="auto" w:fill="auto"/>
            <w:noWrap/>
            <w:vAlign w:val="center"/>
            <w:hideMark/>
          </w:tcPr>
          <w:p w14:paraId="63AF0919" w14:textId="77777777" w:rsidR="00215F16" w:rsidRDefault="00215F16" w:rsidP="00D20AC1">
            <w:pPr>
              <w:jc w:val="center"/>
              <w:rPr>
                <w:color w:val="000000"/>
              </w:rPr>
            </w:pPr>
            <w:r>
              <w:rPr>
                <w:color w:val="000000"/>
              </w:rPr>
              <w:t>CMD</w:t>
            </w:r>
          </w:p>
        </w:tc>
        <w:tc>
          <w:tcPr>
            <w:tcW w:w="2755" w:type="dxa"/>
            <w:tcBorders>
              <w:top w:val="single" w:sz="4" w:space="0" w:color="auto"/>
              <w:left w:val="nil"/>
              <w:bottom w:val="single" w:sz="4" w:space="0" w:color="auto"/>
              <w:right w:val="nil"/>
            </w:tcBorders>
            <w:shd w:val="clear" w:color="auto" w:fill="auto"/>
            <w:noWrap/>
            <w:vAlign w:val="center"/>
            <w:hideMark/>
          </w:tcPr>
          <w:p w14:paraId="4CFCDD2C" w14:textId="77777777" w:rsidR="00215F16" w:rsidRDefault="00215F16" w:rsidP="00D20AC1">
            <w:pPr>
              <w:jc w:val="center"/>
              <w:rPr>
                <w:color w:val="000000"/>
              </w:rPr>
            </w:pPr>
            <w:r>
              <w:rPr>
                <w:color w:val="000000"/>
              </w:rPr>
              <w:t>0.9592</w:t>
            </w:r>
          </w:p>
        </w:tc>
      </w:tr>
    </w:tbl>
    <w:p w14:paraId="5889E443" w14:textId="77777777" w:rsidR="00215F16" w:rsidRDefault="00215F16" w:rsidP="00215F16">
      <w:pPr>
        <w:rPr>
          <w:rFonts w:eastAsia="Arial"/>
        </w:rPr>
      </w:pPr>
    </w:p>
    <w:p w14:paraId="3D06CF2F" w14:textId="77777777" w:rsidR="00215F16" w:rsidRPr="004F6B62" w:rsidRDefault="00215F16" w:rsidP="00215F16">
      <w:pPr>
        <w:rPr>
          <w:sz w:val="20"/>
          <w:szCs w:val="20"/>
        </w:rPr>
      </w:pPr>
      <w:r w:rsidRPr="004F6B62">
        <w:rPr>
          <w:rFonts w:eastAsia="Arial"/>
          <w:sz w:val="20"/>
          <w:szCs w:val="20"/>
        </w:rPr>
        <w:t>Table 6 footnote. Abbreviations are as follows: winter (Dec-Feb) precipitation in mm (</w:t>
      </w:r>
      <w:proofErr w:type="spellStart"/>
      <w:r w:rsidRPr="004F6B62">
        <w:rPr>
          <w:rFonts w:eastAsia="Arial"/>
          <w:sz w:val="20"/>
          <w:szCs w:val="20"/>
        </w:rPr>
        <w:t>PPT_wt</w:t>
      </w:r>
      <w:proofErr w:type="spellEnd"/>
      <w:r w:rsidRPr="004F6B62">
        <w:rPr>
          <w:rFonts w:eastAsia="Arial"/>
          <w:sz w:val="20"/>
          <w:szCs w:val="20"/>
        </w:rPr>
        <w:t>), precipitation as snow in mm (PAS), the difference between mean temperature of the warmest month (</w:t>
      </w:r>
      <w:r w:rsidRPr="004F6B62">
        <w:rPr>
          <w:sz w:val="20"/>
          <w:szCs w:val="20"/>
        </w:rPr>
        <w:t>°C)</w:t>
      </w:r>
      <w:r w:rsidRPr="004F6B62">
        <w:rPr>
          <w:rFonts w:eastAsia="Arial"/>
          <w:sz w:val="20"/>
          <w:szCs w:val="20"/>
        </w:rPr>
        <w:t xml:space="preserve"> and the coldest month (</w:t>
      </w:r>
      <w:r w:rsidRPr="004F6B62">
        <w:rPr>
          <w:sz w:val="20"/>
          <w:szCs w:val="20"/>
        </w:rPr>
        <w:t xml:space="preserve">°C) (TD), </w:t>
      </w:r>
      <w:r w:rsidRPr="004F6B62">
        <w:rPr>
          <w:rFonts w:eastAsia="Arial"/>
          <w:sz w:val="20"/>
          <w:szCs w:val="20"/>
        </w:rPr>
        <w:t xml:space="preserve">mean annual relative humidity (%) (RH), </w:t>
      </w:r>
      <w:proofErr w:type="spellStart"/>
      <w:r w:rsidRPr="004F6B62">
        <w:rPr>
          <w:sz w:val="20"/>
          <w:szCs w:val="20"/>
        </w:rPr>
        <w:t>Hargreave's</w:t>
      </w:r>
      <w:proofErr w:type="spellEnd"/>
      <w:r w:rsidRPr="004F6B62">
        <w:rPr>
          <w:sz w:val="20"/>
          <w:szCs w:val="20"/>
        </w:rPr>
        <w:t xml:space="preserve"> climatic moisture index (CMD).</w:t>
      </w:r>
    </w:p>
    <w:p w14:paraId="494706AE" w14:textId="77777777" w:rsidR="00215F16" w:rsidRPr="00BC723B" w:rsidRDefault="00215F16" w:rsidP="00215F16">
      <w:pPr>
        <w:rPr>
          <w:rFonts w:eastAsia="Arial"/>
        </w:rPr>
      </w:pPr>
      <w:r w:rsidRPr="00BC723B">
        <w:rPr>
          <w:rFonts w:eastAsia="Arial"/>
        </w:rPr>
        <w:br w:type="page"/>
      </w:r>
    </w:p>
    <w:p w14:paraId="433BFD4D" w14:textId="15CD7D34" w:rsidR="007F768A" w:rsidRPr="003230D0" w:rsidRDefault="007F768A" w:rsidP="007F768A">
      <w:pPr>
        <w:pBdr>
          <w:top w:val="nil"/>
          <w:left w:val="nil"/>
          <w:bottom w:val="nil"/>
          <w:right w:val="nil"/>
          <w:between w:val="nil"/>
        </w:pBdr>
        <w:spacing w:line="360" w:lineRule="auto"/>
        <w:rPr>
          <w:rFonts w:eastAsia="Arial"/>
          <w:color w:val="000000"/>
        </w:rPr>
      </w:pPr>
      <w:r w:rsidRPr="006370E0">
        <w:rPr>
          <w:rFonts w:eastAsia="Arial"/>
          <w:color w:val="000000"/>
        </w:rPr>
        <w:lastRenderedPageBreak/>
        <w:t xml:space="preserve">moderate warming scenario. In comparison, the most accurate (least overfit) predictive model amongst future climate scenarios for </w:t>
      </w:r>
      <w:r w:rsidRPr="006370E0">
        <w:rPr>
          <w:rFonts w:eastAsia="Arial"/>
          <w:i/>
          <w:color w:val="000000"/>
        </w:rPr>
        <w:t xml:space="preserve">P. </w:t>
      </w:r>
      <w:proofErr w:type="spellStart"/>
      <w:r w:rsidRPr="006370E0">
        <w:rPr>
          <w:rFonts w:eastAsia="Arial"/>
          <w:i/>
          <w:color w:val="000000"/>
        </w:rPr>
        <w:t>strobus</w:t>
      </w:r>
      <w:proofErr w:type="spellEnd"/>
      <w:r w:rsidRPr="006370E0">
        <w:rPr>
          <w:rFonts w:eastAsia="Arial"/>
          <w:color w:val="000000"/>
        </w:rPr>
        <w:t xml:space="preserve"> was RCP8.5 CCSM4 2055, a more extreme warming scenario. When evaluating model goodness-of fit, training AUC scores under the current baseline scenario yielded 0.9199 and 0.9437 for </w:t>
      </w:r>
      <w:r w:rsidRPr="006370E0">
        <w:rPr>
          <w:rFonts w:eastAsia="Arial"/>
          <w:i/>
          <w:color w:val="000000"/>
        </w:rPr>
        <w:t xml:space="preserve">Pinus </w:t>
      </w:r>
      <w:proofErr w:type="spellStart"/>
      <w:r w:rsidRPr="006370E0">
        <w:rPr>
          <w:rFonts w:eastAsia="Arial"/>
          <w:i/>
          <w:color w:val="000000"/>
        </w:rPr>
        <w:t>strobus</w:t>
      </w:r>
      <w:proofErr w:type="spellEnd"/>
      <w:r w:rsidRPr="006370E0">
        <w:rPr>
          <w:rFonts w:eastAsia="Arial"/>
          <w:color w:val="000000"/>
        </w:rPr>
        <w:t xml:space="preserve"> and </w:t>
      </w:r>
      <w:proofErr w:type="spellStart"/>
      <w:r w:rsidRPr="006370E0">
        <w:rPr>
          <w:rFonts w:eastAsia="Arial"/>
          <w:i/>
          <w:color w:val="000000"/>
        </w:rPr>
        <w:t>Suillus</w:t>
      </w:r>
      <w:proofErr w:type="spellEnd"/>
      <w:r w:rsidRPr="006370E0">
        <w:rPr>
          <w:rFonts w:eastAsia="Arial"/>
          <w:i/>
          <w:color w:val="000000"/>
        </w:rPr>
        <w:t xml:space="preserve"> </w:t>
      </w:r>
      <w:proofErr w:type="spellStart"/>
      <w:r w:rsidRPr="006370E0">
        <w:rPr>
          <w:rFonts w:eastAsia="Arial"/>
          <w:i/>
          <w:color w:val="000000"/>
        </w:rPr>
        <w:t>spraguei</w:t>
      </w:r>
      <w:proofErr w:type="spellEnd"/>
      <w:r w:rsidRPr="006370E0">
        <w:rPr>
          <w:rFonts w:eastAsia="Arial"/>
          <w:color w:val="000000"/>
        </w:rPr>
        <w:t xml:space="preserve">, respectively, indicating very high model performance. For </w:t>
      </w:r>
      <w:r w:rsidRPr="006370E0">
        <w:rPr>
          <w:rFonts w:eastAsia="Arial"/>
          <w:i/>
          <w:color w:val="000000"/>
        </w:rPr>
        <w:t xml:space="preserve">P. </w:t>
      </w:r>
      <w:proofErr w:type="spellStart"/>
      <w:r w:rsidRPr="006370E0">
        <w:rPr>
          <w:rFonts w:eastAsia="Arial"/>
          <w:i/>
          <w:color w:val="000000"/>
        </w:rPr>
        <w:t>strobus</w:t>
      </w:r>
      <w:proofErr w:type="spellEnd"/>
      <w:r w:rsidRPr="006370E0">
        <w:rPr>
          <w:rFonts w:eastAsia="Arial"/>
          <w:color w:val="000000"/>
        </w:rPr>
        <w:t>, the current baseline model (</w:t>
      </w:r>
      <w:r w:rsidR="005355D9">
        <w:rPr>
          <w:rFonts w:eastAsia="Arial"/>
          <w:b/>
          <w:bCs/>
          <w:color w:val="000000"/>
        </w:rPr>
        <w:t>Figure</w:t>
      </w:r>
      <w:r w:rsidRPr="00146C47">
        <w:rPr>
          <w:rFonts w:eastAsia="Arial"/>
          <w:b/>
          <w:bCs/>
          <w:color w:val="000000"/>
        </w:rPr>
        <w:t xml:space="preserve"> </w:t>
      </w:r>
      <w:r w:rsidR="00A04B29">
        <w:rPr>
          <w:rFonts w:eastAsia="Arial"/>
          <w:b/>
          <w:bCs/>
          <w:color w:val="000000"/>
        </w:rPr>
        <w:t>20</w:t>
      </w:r>
      <w:r w:rsidRPr="006370E0">
        <w:rPr>
          <w:rFonts w:eastAsia="Arial"/>
          <w:color w:val="000000"/>
        </w:rPr>
        <w:t xml:space="preserve">) depended primarily on precipitation of snow with a permutation importance of 36.37% in estimating training AUC. Conversely, in the current baseline model for </w:t>
      </w:r>
      <w:r w:rsidRPr="006370E0">
        <w:rPr>
          <w:rFonts w:eastAsia="Arial"/>
          <w:i/>
          <w:color w:val="000000"/>
        </w:rPr>
        <w:t xml:space="preserve">S. </w:t>
      </w:r>
      <w:proofErr w:type="spellStart"/>
      <w:r w:rsidRPr="006370E0">
        <w:rPr>
          <w:rFonts w:eastAsia="Arial"/>
          <w:i/>
          <w:color w:val="000000"/>
        </w:rPr>
        <w:t>spraguei</w:t>
      </w:r>
      <w:proofErr w:type="spellEnd"/>
      <w:r w:rsidRPr="006370E0">
        <w:rPr>
          <w:rFonts w:eastAsia="Arial"/>
          <w:color w:val="000000"/>
        </w:rPr>
        <w:t xml:space="preserve"> (</w:t>
      </w:r>
      <w:r w:rsidR="005355D9">
        <w:rPr>
          <w:rFonts w:eastAsia="Arial"/>
          <w:b/>
          <w:bCs/>
          <w:color w:val="000000"/>
        </w:rPr>
        <w:t>Figure</w:t>
      </w:r>
      <w:r w:rsidRPr="00146C47">
        <w:rPr>
          <w:rFonts w:eastAsia="Arial"/>
          <w:b/>
          <w:bCs/>
          <w:color w:val="000000"/>
        </w:rPr>
        <w:t xml:space="preserve"> </w:t>
      </w:r>
      <w:r w:rsidR="00A04B29">
        <w:rPr>
          <w:rFonts w:eastAsia="Arial"/>
          <w:b/>
          <w:bCs/>
          <w:color w:val="000000"/>
        </w:rPr>
        <w:t>20</w:t>
      </w:r>
      <w:r w:rsidRPr="006370E0">
        <w:rPr>
          <w:rFonts w:eastAsia="Arial"/>
          <w:color w:val="000000"/>
        </w:rPr>
        <w:t xml:space="preserve">), TD contributes the most permutation importance (56.466%) for predicting suitable habitat. The mean AUC value across all future models were 0.8087588 and 0.803731 for </w:t>
      </w:r>
      <w:r w:rsidRPr="006370E0">
        <w:rPr>
          <w:rFonts w:eastAsia="Arial"/>
          <w:i/>
          <w:color w:val="000000"/>
        </w:rPr>
        <w:t xml:space="preserve">P. </w:t>
      </w:r>
      <w:proofErr w:type="spellStart"/>
      <w:r w:rsidRPr="006370E0">
        <w:rPr>
          <w:rFonts w:eastAsia="Arial"/>
          <w:i/>
          <w:color w:val="000000"/>
        </w:rPr>
        <w:t>strobus</w:t>
      </w:r>
      <w:proofErr w:type="spellEnd"/>
      <w:r w:rsidRPr="006370E0">
        <w:rPr>
          <w:rFonts w:eastAsia="Arial"/>
          <w:color w:val="000000"/>
        </w:rPr>
        <w:t xml:space="preserve"> and </w:t>
      </w:r>
      <w:r w:rsidRPr="006370E0">
        <w:rPr>
          <w:rFonts w:eastAsia="Arial"/>
          <w:i/>
          <w:color w:val="000000"/>
        </w:rPr>
        <w:t xml:space="preserve">S. </w:t>
      </w:r>
      <w:proofErr w:type="spellStart"/>
      <w:r w:rsidRPr="006370E0">
        <w:rPr>
          <w:rFonts w:eastAsia="Arial"/>
          <w:i/>
          <w:color w:val="000000"/>
        </w:rPr>
        <w:t>spraguei</w:t>
      </w:r>
      <w:proofErr w:type="spellEnd"/>
      <w:r w:rsidRPr="006370E0">
        <w:rPr>
          <w:rFonts w:eastAsia="Arial"/>
          <w:i/>
          <w:color w:val="000000"/>
        </w:rPr>
        <w:t>,</w:t>
      </w:r>
      <w:r w:rsidRPr="006370E0">
        <w:rPr>
          <w:rFonts w:eastAsia="Arial"/>
          <w:color w:val="000000"/>
        </w:rPr>
        <w:t xml:space="preserve"> respectively. Like percent contribution in the future scenario models, precipitation as snow has the greatest permutation importance for both species in estimating training AUC value. </w:t>
      </w:r>
      <w:r>
        <w:rPr>
          <w:rFonts w:eastAsia="Arial"/>
          <w:color w:val="000000"/>
        </w:rPr>
        <w:t xml:space="preserve">In the best fit future climate models, suitable habitat is much greater for </w:t>
      </w:r>
      <w:r w:rsidRPr="0054745E">
        <w:rPr>
          <w:rFonts w:eastAsia="Arial"/>
          <w:i/>
          <w:iCs/>
          <w:color w:val="000000"/>
        </w:rPr>
        <w:t xml:space="preserve">P. </w:t>
      </w:r>
      <w:proofErr w:type="spellStart"/>
      <w:r w:rsidRPr="0054745E">
        <w:rPr>
          <w:rFonts w:eastAsia="Arial"/>
          <w:i/>
          <w:iCs/>
          <w:color w:val="000000"/>
        </w:rPr>
        <w:t>strobus</w:t>
      </w:r>
      <w:proofErr w:type="spellEnd"/>
      <w:r>
        <w:rPr>
          <w:rFonts w:eastAsia="Arial"/>
          <w:color w:val="000000"/>
        </w:rPr>
        <w:t xml:space="preserve"> in comparison to </w:t>
      </w:r>
      <w:r w:rsidRPr="0054745E">
        <w:rPr>
          <w:rFonts w:eastAsia="Arial"/>
          <w:i/>
          <w:iCs/>
          <w:color w:val="000000"/>
        </w:rPr>
        <w:t xml:space="preserve">S. </w:t>
      </w:r>
      <w:proofErr w:type="spellStart"/>
      <w:r w:rsidRPr="0054745E">
        <w:rPr>
          <w:rFonts w:eastAsia="Arial"/>
          <w:i/>
          <w:iCs/>
          <w:color w:val="000000"/>
        </w:rPr>
        <w:t>spraguei</w:t>
      </w:r>
      <w:proofErr w:type="spellEnd"/>
      <w:r>
        <w:rPr>
          <w:rFonts w:eastAsia="Arial"/>
          <w:color w:val="000000"/>
        </w:rPr>
        <w:t xml:space="preserve"> with few notable changes from predicted habitat in the current climate model (</w:t>
      </w:r>
      <w:r w:rsidR="005355D9">
        <w:rPr>
          <w:rFonts w:eastAsia="Arial"/>
          <w:b/>
          <w:bCs/>
          <w:color w:val="000000"/>
        </w:rPr>
        <w:t>Figure</w:t>
      </w:r>
      <w:r w:rsidRPr="00146C47">
        <w:rPr>
          <w:rFonts w:eastAsia="Arial"/>
          <w:b/>
          <w:bCs/>
          <w:color w:val="000000"/>
        </w:rPr>
        <w:t xml:space="preserve"> 2</w:t>
      </w:r>
      <w:r w:rsidR="00A04B29">
        <w:rPr>
          <w:rFonts w:eastAsia="Arial"/>
          <w:b/>
          <w:bCs/>
          <w:color w:val="000000"/>
        </w:rPr>
        <w:t>1</w:t>
      </w:r>
      <w:r>
        <w:rPr>
          <w:rFonts w:eastAsia="Arial"/>
          <w:color w:val="000000"/>
        </w:rPr>
        <w:t xml:space="preserve">). </w:t>
      </w:r>
      <w:r w:rsidRPr="006370E0">
        <w:rPr>
          <w:rFonts w:eastAsia="Arial"/>
          <w:color w:val="000000"/>
        </w:rPr>
        <w:t xml:space="preserve">The PCA revealed that PC1 explained 38.5% of the </w:t>
      </w:r>
      <w:r w:rsidRPr="003230D0">
        <w:rPr>
          <w:rFonts w:eastAsia="Arial"/>
          <w:color w:val="000000"/>
        </w:rPr>
        <w:t>variation between models, while PC2 explained 14.3% of the variation found within our models (</w:t>
      </w:r>
      <w:r w:rsidR="0027212A" w:rsidRPr="003230D0">
        <w:rPr>
          <w:rFonts w:eastAsia="Arial"/>
          <w:b/>
          <w:bCs/>
          <w:color w:val="000000"/>
        </w:rPr>
        <w:t xml:space="preserve">Appendix Table </w:t>
      </w:r>
      <w:r w:rsidR="00B6110A">
        <w:rPr>
          <w:rFonts w:eastAsia="Arial"/>
          <w:b/>
          <w:bCs/>
          <w:color w:val="000000"/>
        </w:rPr>
        <w:t>4</w:t>
      </w:r>
      <w:r w:rsidRPr="003230D0">
        <w:rPr>
          <w:rFonts w:eastAsia="Arial"/>
          <w:color w:val="000000"/>
        </w:rPr>
        <w:t>). When all models are compared in dimensional space, we see that niche models cluster largely by species (</w:t>
      </w:r>
      <w:r w:rsidR="005355D9">
        <w:rPr>
          <w:rFonts w:eastAsia="Arial"/>
          <w:b/>
          <w:bCs/>
          <w:color w:val="000000"/>
        </w:rPr>
        <w:t>Figure</w:t>
      </w:r>
      <w:r w:rsidRPr="003230D0">
        <w:rPr>
          <w:rFonts w:eastAsia="Arial"/>
          <w:b/>
          <w:bCs/>
          <w:color w:val="000000"/>
        </w:rPr>
        <w:t xml:space="preserve"> </w:t>
      </w:r>
      <w:r w:rsidR="007A1D5F" w:rsidRPr="003230D0">
        <w:rPr>
          <w:rFonts w:eastAsia="Arial"/>
          <w:b/>
          <w:bCs/>
          <w:color w:val="000000"/>
        </w:rPr>
        <w:t>2</w:t>
      </w:r>
      <w:r w:rsidR="00A04B29">
        <w:rPr>
          <w:rFonts w:eastAsia="Arial"/>
          <w:b/>
          <w:bCs/>
          <w:color w:val="000000"/>
        </w:rPr>
        <w:t>2</w:t>
      </w:r>
      <w:r w:rsidRPr="003230D0">
        <w:rPr>
          <w:rFonts w:eastAsia="Arial"/>
          <w:color w:val="000000"/>
        </w:rPr>
        <w:t xml:space="preserve">). </w:t>
      </w:r>
      <w:r w:rsidR="008072E9" w:rsidRPr="003230D0">
        <w:rPr>
          <w:rFonts w:eastAsia="Arial"/>
          <w:bCs/>
        </w:rPr>
        <w:t xml:space="preserve">Out of our best tuned models, RCP4.5 INM-CM4 2055 is relatively close to each </w:t>
      </w:r>
      <w:r w:rsidR="008072E9" w:rsidRPr="003230D0">
        <w:rPr>
          <w:rFonts w:eastAsia="Arial"/>
          <w:bCs/>
          <w:color w:val="000000"/>
        </w:rPr>
        <w:t>current baseline</w:t>
      </w:r>
      <w:r w:rsidR="008072E9" w:rsidRPr="003230D0">
        <w:rPr>
          <w:rFonts w:eastAsia="Arial"/>
          <w:bCs/>
        </w:rPr>
        <w:t xml:space="preserve"> model per species in multivariate space.</w:t>
      </w:r>
    </w:p>
    <w:p w14:paraId="724D16BB" w14:textId="77777777" w:rsidR="00215F16" w:rsidRDefault="007F768A" w:rsidP="00215F16">
      <w:pPr>
        <w:pBdr>
          <w:top w:val="nil"/>
          <w:left w:val="nil"/>
          <w:bottom w:val="nil"/>
          <w:right w:val="nil"/>
          <w:between w:val="nil"/>
        </w:pBdr>
        <w:spacing w:line="360" w:lineRule="auto"/>
        <w:ind w:firstLine="720"/>
        <w:rPr>
          <w:rFonts w:eastAsia="Arial"/>
          <w:color w:val="000000"/>
        </w:rPr>
      </w:pPr>
      <w:r w:rsidRPr="003230D0">
        <w:rPr>
          <w:rFonts w:eastAsia="Arial"/>
          <w:color w:val="000000"/>
        </w:rPr>
        <w:t>Under the current climate and moderate warming scenarios, the same set of environmental variables drive the distribution of these species. However, in models produced under more extreme future climate scenarios (GFDL-CM3), other climatic variables (</w:t>
      </w:r>
      <w:r w:rsidR="00F6432C" w:rsidRPr="003230D0">
        <w:rPr>
          <w:rFonts w:eastAsia="Arial"/>
          <w:color w:val="000000"/>
        </w:rPr>
        <w:t>e.g.,</w:t>
      </w:r>
      <w:r w:rsidRPr="003230D0">
        <w:rPr>
          <w:rFonts w:eastAsia="Arial"/>
          <w:color w:val="000000"/>
        </w:rPr>
        <w:t xml:space="preserve"> the number of days under 0°C) begin affecting suitable niche space for both the fungus and tree (</w:t>
      </w:r>
      <w:r w:rsidR="00997FEF" w:rsidRPr="003230D0">
        <w:rPr>
          <w:rFonts w:eastAsia="Arial"/>
          <w:b/>
          <w:bCs/>
          <w:color w:val="000000"/>
        </w:rPr>
        <w:t>Appendix Table 3</w:t>
      </w:r>
      <w:r w:rsidRPr="003230D0">
        <w:rPr>
          <w:rFonts w:eastAsia="Arial"/>
          <w:color w:val="000000"/>
        </w:rPr>
        <w:t xml:space="preserve">). In these scenarios, changes in climate variables and the magnitude of contribution </w:t>
      </w:r>
      <w:sdt>
        <w:sdtPr>
          <w:tag w:val="goog_rdk_45"/>
          <w:id w:val="-1084690396"/>
        </w:sdtPr>
        <w:sdtEndPr/>
        <w:sdtContent>
          <w:r w:rsidRPr="003230D0">
            <w:t xml:space="preserve">disparately </w:t>
          </w:r>
        </w:sdtContent>
      </w:sdt>
      <w:r w:rsidRPr="003230D0">
        <w:rPr>
          <w:rFonts w:eastAsia="Arial"/>
          <w:color w:val="000000"/>
        </w:rPr>
        <w:t>impact model similarity for each symbiont relative to current baseline predictions of niche</w:t>
      </w:r>
      <w:r w:rsidRPr="00BC723B">
        <w:rPr>
          <w:rFonts w:eastAsia="Arial"/>
          <w:color w:val="000000"/>
        </w:rPr>
        <w:t xml:space="preserve"> space (</w:t>
      </w:r>
      <w:r w:rsidR="005355D9">
        <w:rPr>
          <w:rFonts w:eastAsia="Arial"/>
          <w:b/>
          <w:bCs/>
          <w:color w:val="000000"/>
        </w:rPr>
        <w:t>Figure</w:t>
      </w:r>
      <w:r w:rsidRPr="00146C47">
        <w:rPr>
          <w:rFonts w:eastAsia="Arial"/>
          <w:b/>
          <w:bCs/>
          <w:color w:val="000000"/>
        </w:rPr>
        <w:t xml:space="preserve"> </w:t>
      </w:r>
      <w:r w:rsidR="007A1D5F">
        <w:rPr>
          <w:rFonts w:eastAsia="Arial"/>
          <w:b/>
          <w:bCs/>
          <w:color w:val="000000"/>
        </w:rPr>
        <w:t>2</w:t>
      </w:r>
      <w:r w:rsidR="00A04B29">
        <w:rPr>
          <w:rFonts w:eastAsia="Arial"/>
          <w:b/>
          <w:bCs/>
          <w:color w:val="000000"/>
        </w:rPr>
        <w:t>2</w:t>
      </w:r>
      <w:r w:rsidRPr="00495CA3">
        <w:rPr>
          <w:rFonts w:eastAsia="Arial"/>
          <w:color w:val="000000"/>
        </w:rPr>
        <w:t>).</w:t>
      </w:r>
      <w:r w:rsidR="00FA0CF3">
        <w:rPr>
          <w:rFonts w:eastAsia="Arial"/>
          <w:color w:val="000000"/>
        </w:rPr>
        <w:t xml:space="preserve"> </w:t>
      </w:r>
      <w:r w:rsidRPr="006370E0">
        <w:rPr>
          <w:rFonts w:eastAsia="Arial"/>
          <w:color w:val="000000"/>
        </w:rPr>
        <w:t xml:space="preserve">Niche overlap and identity calculations showed </w:t>
      </w:r>
      <w:r>
        <w:rPr>
          <w:rFonts w:eastAsia="Arial"/>
          <w:color w:val="000000"/>
        </w:rPr>
        <w:t xml:space="preserve">high </w:t>
      </w:r>
      <w:r w:rsidRPr="006370E0">
        <w:rPr>
          <w:rFonts w:eastAsia="Arial"/>
          <w:color w:val="000000"/>
        </w:rPr>
        <w:t xml:space="preserve">niche overlap </w:t>
      </w:r>
      <w:r>
        <w:rPr>
          <w:rFonts w:eastAsia="Arial"/>
          <w:color w:val="000000"/>
        </w:rPr>
        <w:t>between</w:t>
      </w:r>
      <w:r w:rsidRPr="006370E0">
        <w:rPr>
          <w:rFonts w:eastAsia="Arial"/>
          <w:color w:val="000000"/>
        </w:rPr>
        <w:t xml:space="preserve"> </w:t>
      </w:r>
      <w:r w:rsidRPr="006370E0">
        <w:rPr>
          <w:rFonts w:eastAsia="Arial"/>
          <w:i/>
          <w:iCs/>
          <w:color w:val="000000"/>
        </w:rPr>
        <w:t xml:space="preserve">P. </w:t>
      </w:r>
      <w:proofErr w:type="spellStart"/>
      <w:r w:rsidRPr="006370E0">
        <w:rPr>
          <w:rFonts w:eastAsia="Arial"/>
          <w:i/>
          <w:iCs/>
          <w:color w:val="000000"/>
        </w:rPr>
        <w:t>strobus</w:t>
      </w:r>
      <w:proofErr w:type="spellEnd"/>
      <w:r w:rsidRPr="006370E0">
        <w:rPr>
          <w:rFonts w:eastAsia="Arial"/>
          <w:color w:val="000000"/>
        </w:rPr>
        <w:t xml:space="preserve"> and </w:t>
      </w:r>
      <w:r w:rsidRPr="006370E0">
        <w:rPr>
          <w:rFonts w:eastAsia="Arial"/>
          <w:i/>
          <w:iCs/>
          <w:color w:val="000000"/>
        </w:rPr>
        <w:t xml:space="preserve">S. </w:t>
      </w:r>
      <w:proofErr w:type="spellStart"/>
      <w:r w:rsidRPr="006370E0">
        <w:rPr>
          <w:rFonts w:eastAsia="Arial"/>
          <w:i/>
          <w:iCs/>
          <w:color w:val="000000"/>
        </w:rPr>
        <w:t>spraguei</w:t>
      </w:r>
      <w:proofErr w:type="spellEnd"/>
      <w:r w:rsidRPr="006370E0">
        <w:rPr>
          <w:rFonts w:eastAsia="Arial"/>
          <w:color w:val="000000"/>
        </w:rPr>
        <w:t xml:space="preserve"> </w:t>
      </w:r>
      <w:r>
        <w:rPr>
          <w:rFonts w:eastAsia="Arial"/>
          <w:color w:val="000000"/>
        </w:rPr>
        <w:t xml:space="preserve">that is </w:t>
      </w:r>
      <w:r w:rsidRPr="006370E0">
        <w:rPr>
          <w:rFonts w:eastAsia="Arial"/>
          <w:color w:val="000000"/>
        </w:rPr>
        <w:t>unlikely to change under a future climate. Niche</w:t>
      </w:r>
      <w:r w:rsidRPr="00BC723B">
        <w:rPr>
          <w:rFonts w:eastAsia="Arial"/>
          <w:color w:val="000000"/>
        </w:rPr>
        <w:t xml:space="preserve"> overlap did not differ significantly from the current climate model except under one </w:t>
      </w:r>
      <w:r w:rsidRPr="006370E0">
        <w:rPr>
          <w:rFonts w:eastAsia="Arial"/>
          <w:color w:val="000000"/>
        </w:rPr>
        <w:t>high emissions scenario, RCP8.5 INM-CM4 2085</w:t>
      </w:r>
      <w:r w:rsidRPr="00BC723B">
        <w:rPr>
          <w:rFonts w:eastAsia="Arial"/>
          <w:color w:val="000000"/>
        </w:rPr>
        <w:t xml:space="preserve">. </w:t>
      </w:r>
      <w:r>
        <w:rPr>
          <w:rFonts w:eastAsia="Arial"/>
          <w:color w:val="000000"/>
        </w:rPr>
        <w:t>Further, n</w:t>
      </w:r>
      <w:r w:rsidRPr="00BC723B">
        <w:rPr>
          <w:rFonts w:eastAsia="Arial"/>
          <w:color w:val="000000"/>
        </w:rPr>
        <w:t xml:space="preserve">iche identity tests based on </w:t>
      </w:r>
      <w:proofErr w:type="spellStart"/>
      <w:r w:rsidRPr="00BC723B">
        <w:rPr>
          <w:rFonts w:eastAsia="Arial"/>
          <w:color w:val="000000"/>
        </w:rPr>
        <w:t>Schoener’s</w:t>
      </w:r>
      <w:proofErr w:type="spellEnd"/>
      <w:r w:rsidRPr="00BC723B">
        <w:rPr>
          <w:rFonts w:eastAsia="Arial"/>
          <w:color w:val="000000"/>
        </w:rPr>
        <w:t xml:space="preserve"> </w:t>
      </w:r>
      <w:r w:rsidRPr="00BC723B">
        <w:rPr>
          <w:rFonts w:eastAsia="Arial"/>
          <w:i/>
          <w:iCs/>
          <w:color w:val="000000"/>
        </w:rPr>
        <w:t>D</w:t>
      </w:r>
      <w:r w:rsidRPr="00BC723B">
        <w:rPr>
          <w:rFonts w:eastAsia="Arial"/>
          <w:color w:val="000000"/>
        </w:rPr>
        <w:t xml:space="preserve"> and the similarity statistic </w:t>
      </w:r>
      <w:r w:rsidRPr="00833AD0">
        <w:rPr>
          <w:rFonts w:eastAsia="Arial"/>
          <w:i/>
          <w:iCs/>
          <w:color w:val="000000"/>
        </w:rPr>
        <w:t>I</w:t>
      </w:r>
      <w:r w:rsidRPr="00495CA3">
        <w:rPr>
          <w:rFonts w:eastAsia="Arial"/>
          <w:color w:val="000000"/>
        </w:rPr>
        <w:t xml:space="preserve"> </w:t>
      </w:r>
      <w:r w:rsidRPr="00317D28">
        <w:rPr>
          <w:rFonts w:eastAsia="Arial"/>
          <w:color w:val="000000"/>
        </w:rPr>
        <w:t xml:space="preserve">did not show a significant difference </w:t>
      </w:r>
      <w:r w:rsidRPr="00713426">
        <w:rPr>
          <w:rFonts w:eastAsia="Arial"/>
          <w:color w:val="000000"/>
        </w:rPr>
        <w:t xml:space="preserve">between the niche of each species </w:t>
      </w:r>
      <w:r w:rsidRPr="00D708A2">
        <w:rPr>
          <w:rFonts w:eastAsia="Arial"/>
          <w:color w:val="000000"/>
        </w:rPr>
        <w:t>except under the most extreme warming and emissions scenarios (RCP8.5 INM-CM4 2055 and RCP8.5 CCSM4 2085</w:t>
      </w:r>
      <w:r w:rsidRPr="00AC1C7E">
        <w:rPr>
          <w:rFonts w:eastAsia="Arial"/>
          <w:color w:val="000000"/>
        </w:rPr>
        <w:t xml:space="preserve">, </w:t>
      </w:r>
      <w:r w:rsidRPr="00146C47">
        <w:rPr>
          <w:rFonts w:eastAsia="Arial"/>
          <w:b/>
          <w:bCs/>
          <w:color w:val="000000"/>
        </w:rPr>
        <w:t xml:space="preserve">Table </w:t>
      </w:r>
      <w:r w:rsidR="004F6B62">
        <w:rPr>
          <w:rFonts w:eastAsia="Arial"/>
          <w:b/>
          <w:bCs/>
          <w:color w:val="000000"/>
        </w:rPr>
        <w:t>7</w:t>
      </w:r>
      <w:r w:rsidRPr="00D02948">
        <w:rPr>
          <w:rFonts w:eastAsia="Arial"/>
          <w:color w:val="000000"/>
        </w:rPr>
        <w:t xml:space="preserve">). </w:t>
      </w:r>
      <w:r w:rsidRPr="00317D28">
        <w:rPr>
          <w:rFonts w:eastAsia="Arial"/>
          <w:color w:val="000000"/>
        </w:rPr>
        <w:t xml:space="preserve">The predicted changes in suitable niche space </w:t>
      </w:r>
    </w:p>
    <w:p w14:paraId="7DBF9D8D" w14:textId="77777777" w:rsidR="00215F16" w:rsidRPr="00FA0CF3" w:rsidRDefault="00215F16" w:rsidP="00215F16">
      <w:pPr>
        <w:pBdr>
          <w:top w:val="nil"/>
          <w:left w:val="nil"/>
          <w:bottom w:val="nil"/>
          <w:right w:val="nil"/>
          <w:between w:val="nil"/>
        </w:pBdr>
        <w:spacing w:line="360" w:lineRule="auto"/>
        <w:ind w:firstLine="720"/>
        <w:rPr>
          <w:rFonts w:eastAsia="Arial"/>
          <w:color w:val="000000"/>
        </w:rPr>
      </w:pPr>
      <w:r>
        <w:rPr>
          <w:rFonts w:eastAsia="Arial"/>
          <w:color w:val="000000"/>
        </w:rPr>
        <w:br w:type="page"/>
      </w:r>
      <w:r w:rsidRPr="00BC723B">
        <w:rPr>
          <w:rFonts w:eastAsia="Arial"/>
          <w:noProof/>
        </w:rPr>
        <w:lastRenderedPageBreak/>
        <w:drawing>
          <wp:inline distT="0" distB="0" distL="0" distR="0" wp14:anchorId="77084592" wp14:editId="1361E129">
            <wp:extent cx="5544789" cy="2752253"/>
            <wp:effectExtent l="0" t="0" r="5715" b="381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60561" cy="2760082"/>
                    </a:xfrm>
                    <a:prstGeom prst="rect">
                      <a:avLst/>
                    </a:prstGeom>
                  </pic:spPr>
                </pic:pic>
              </a:graphicData>
            </a:graphic>
          </wp:inline>
        </w:drawing>
      </w:r>
    </w:p>
    <w:p w14:paraId="3B0C2914" w14:textId="77777777" w:rsidR="00215F16" w:rsidRPr="002E3229" w:rsidRDefault="00215F16" w:rsidP="00215F16">
      <w:pPr>
        <w:pStyle w:val="Caption"/>
        <w:rPr>
          <w:rFonts w:eastAsia="Arial"/>
          <w:color w:val="auto"/>
        </w:rPr>
      </w:pPr>
      <w:bookmarkStart w:id="104" w:name="_Toc102046890"/>
      <w:r w:rsidRPr="00833AD0">
        <w:rPr>
          <w:rFonts w:eastAsia="Arial"/>
        </w:rPr>
        <w:t xml:space="preserve">Figure </w:t>
      </w:r>
      <w:r>
        <w:rPr>
          <w:rFonts w:eastAsia="Arial"/>
        </w:rPr>
        <w:t>20</w:t>
      </w:r>
      <w:r w:rsidRPr="00833AD0">
        <w:rPr>
          <w:rFonts w:eastAsia="Arial"/>
        </w:rPr>
        <w:t>.</w:t>
      </w:r>
      <w:r w:rsidRPr="00317D28">
        <w:rPr>
          <w:rFonts w:eastAsia="Arial"/>
        </w:rPr>
        <w:t xml:space="preserve"> </w:t>
      </w:r>
      <w:r w:rsidRPr="00B614AE">
        <w:rPr>
          <w:rFonts w:eastAsia="Arial"/>
        </w:rPr>
        <w:t xml:space="preserve">Projected distributions of </w:t>
      </w:r>
      <w:r w:rsidRPr="00B614AE">
        <w:rPr>
          <w:rFonts w:eastAsia="Arial"/>
          <w:i/>
        </w:rPr>
        <w:t xml:space="preserve">Pinus </w:t>
      </w:r>
      <w:proofErr w:type="spellStart"/>
      <w:r w:rsidRPr="00B614AE">
        <w:rPr>
          <w:rFonts w:eastAsia="Arial"/>
          <w:i/>
        </w:rPr>
        <w:t>strobus</w:t>
      </w:r>
      <w:proofErr w:type="spellEnd"/>
      <w:r w:rsidRPr="00B614AE">
        <w:rPr>
          <w:rFonts w:eastAsia="Arial"/>
          <w:i/>
        </w:rPr>
        <w:t xml:space="preserve"> </w:t>
      </w:r>
      <w:r w:rsidRPr="00B614AE">
        <w:rPr>
          <w:rFonts w:eastAsia="Arial"/>
        </w:rPr>
        <w:t xml:space="preserve">(left) and </w:t>
      </w:r>
      <w:proofErr w:type="spellStart"/>
      <w:r w:rsidRPr="00B614AE">
        <w:rPr>
          <w:rFonts w:eastAsia="Arial"/>
          <w:i/>
        </w:rPr>
        <w:t>Suillus</w:t>
      </w:r>
      <w:proofErr w:type="spellEnd"/>
      <w:r w:rsidRPr="00B614AE">
        <w:rPr>
          <w:rFonts w:eastAsia="Arial"/>
          <w:i/>
        </w:rPr>
        <w:t xml:space="preserve"> </w:t>
      </w:r>
      <w:proofErr w:type="spellStart"/>
      <w:r w:rsidRPr="00B614AE">
        <w:rPr>
          <w:rFonts w:eastAsia="Arial"/>
          <w:i/>
        </w:rPr>
        <w:t>spraguei</w:t>
      </w:r>
      <w:proofErr w:type="spellEnd"/>
      <w:r w:rsidRPr="00B614AE">
        <w:rPr>
          <w:rFonts w:eastAsia="Arial"/>
        </w:rPr>
        <w:t xml:space="preserve"> (right) in eastern North America under current baseline conditions. Dark green areas are more likely to be suitable habitat for either </w:t>
      </w:r>
      <w:r w:rsidRPr="00B614AE">
        <w:rPr>
          <w:rFonts w:eastAsia="Arial"/>
          <w:i/>
        </w:rPr>
        <w:t xml:space="preserve">Pinus </w:t>
      </w:r>
      <w:proofErr w:type="spellStart"/>
      <w:r w:rsidRPr="00B614AE">
        <w:rPr>
          <w:rFonts w:eastAsia="Arial"/>
          <w:i/>
        </w:rPr>
        <w:t>strobus</w:t>
      </w:r>
      <w:proofErr w:type="spellEnd"/>
      <w:r w:rsidRPr="00B614AE">
        <w:rPr>
          <w:rFonts w:eastAsia="Arial"/>
        </w:rPr>
        <w:t xml:space="preserve"> or </w:t>
      </w:r>
      <w:proofErr w:type="spellStart"/>
      <w:r w:rsidRPr="00B614AE">
        <w:rPr>
          <w:rFonts w:eastAsia="Arial"/>
          <w:i/>
        </w:rPr>
        <w:t>Suillus</w:t>
      </w:r>
      <w:proofErr w:type="spellEnd"/>
      <w:r w:rsidRPr="00B614AE">
        <w:rPr>
          <w:rFonts w:eastAsia="Arial"/>
          <w:i/>
        </w:rPr>
        <w:t xml:space="preserve"> </w:t>
      </w:r>
      <w:proofErr w:type="spellStart"/>
      <w:r w:rsidRPr="00B614AE">
        <w:rPr>
          <w:rFonts w:eastAsia="Arial"/>
          <w:i/>
        </w:rPr>
        <w:t>spraguei</w:t>
      </w:r>
      <w:proofErr w:type="spellEnd"/>
      <w:r w:rsidRPr="00B614AE">
        <w:rPr>
          <w:rFonts w:eastAsia="Arial"/>
        </w:rPr>
        <w:t>.</w:t>
      </w:r>
      <w:bookmarkEnd w:id="104"/>
      <w:r w:rsidRPr="00D708A2">
        <w:rPr>
          <w:rFonts w:eastAsia="Arial"/>
        </w:rPr>
        <w:t xml:space="preserve"> </w:t>
      </w:r>
    </w:p>
    <w:p w14:paraId="5C90ABAC" w14:textId="77777777" w:rsidR="00215F16" w:rsidRDefault="00215F16" w:rsidP="00215F16">
      <w:pPr>
        <w:rPr>
          <w:rFonts w:eastAsia="Arial"/>
          <w:color w:val="000000"/>
        </w:rPr>
      </w:pPr>
      <w:r>
        <w:rPr>
          <w:rFonts w:eastAsia="Arial"/>
          <w:color w:val="000000"/>
        </w:rPr>
        <w:br w:type="page"/>
      </w:r>
      <w:r w:rsidRPr="00BC723B">
        <w:rPr>
          <w:rFonts w:eastAsia="Arial"/>
          <w:noProof/>
        </w:rPr>
        <w:lastRenderedPageBreak/>
        <w:drawing>
          <wp:inline distT="0" distB="0" distL="0" distR="0" wp14:anchorId="2D07A3C2" wp14:editId="1922165B">
            <wp:extent cx="5209220" cy="2471596"/>
            <wp:effectExtent l="0" t="0" r="0" b="5080"/>
            <wp:docPr id="9" name="Picture 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301271" cy="2515271"/>
                    </a:xfrm>
                    <a:prstGeom prst="rect">
                      <a:avLst/>
                    </a:prstGeom>
                  </pic:spPr>
                </pic:pic>
              </a:graphicData>
            </a:graphic>
          </wp:inline>
        </w:drawing>
      </w:r>
    </w:p>
    <w:p w14:paraId="3516C34C" w14:textId="77777777" w:rsidR="00215F16" w:rsidRDefault="00215F16" w:rsidP="00215F16">
      <w:pPr>
        <w:rPr>
          <w:rFonts w:eastAsia="Arial"/>
        </w:rPr>
      </w:pPr>
      <w:r w:rsidRPr="00D02948">
        <w:rPr>
          <w:rFonts w:eastAsia="Arial"/>
        </w:rPr>
        <w:t>(a).</w:t>
      </w:r>
    </w:p>
    <w:p w14:paraId="454EFDF8" w14:textId="77777777" w:rsidR="00215F16" w:rsidRDefault="00215F16" w:rsidP="00215F16">
      <w:pPr>
        <w:rPr>
          <w:rFonts w:eastAsia="Arial"/>
        </w:rPr>
      </w:pPr>
      <w:r w:rsidRPr="00BC723B">
        <w:rPr>
          <w:rFonts w:eastAsia="Arial"/>
          <w:noProof/>
        </w:rPr>
        <w:drawing>
          <wp:inline distT="0" distB="0" distL="0" distR="0" wp14:anchorId="4BC06278" wp14:editId="2E8E8563">
            <wp:extent cx="5213576" cy="2582279"/>
            <wp:effectExtent l="0" t="0" r="0" b="0"/>
            <wp:docPr id="10" name="Picture 10"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10;&#10;Description automatically generated"/>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228198" cy="2589521"/>
                    </a:xfrm>
                    <a:prstGeom prst="rect">
                      <a:avLst/>
                    </a:prstGeom>
                  </pic:spPr>
                </pic:pic>
              </a:graphicData>
            </a:graphic>
          </wp:inline>
        </w:drawing>
      </w:r>
    </w:p>
    <w:p w14:paraId="0271F840" w14:textId="77777777" w:rsidR="00215F16" w:rsidRPr="00BC723B" w:rsidRDefault="00215F16" w:rsidP="00215F16">
      <w:pPr>
        <w:rPr>
          <w:rFonts w:eastAsia="Arial"/>
        </w:rPr>
      </w:pPr>
      <w:r w:rsidRPr="00BC723B">
        <w:rPr>
          <w:rFonts w:eastAsia="Arial"/>
        </w:rPr>
        <w:t>(b).</w:t>
      </w:r>
    </w:p>
    <w:p w14:paraId="694D6AF7" w14:textId="77777777" w:rsidR="00215F16" w:rsidRDefault="00215F16" w:rsidP="00215F16">
      <w:pPr>
        <w:pStyle w:val="Caption"/>
        <w:rPr>
          <w:rFonts w:eastAsia="Arial"/>
          <w:color w:val="000000"/>
        </w:rPr>
      </w:pPr>
      <w:bookmarkStart w:id="105" w:name="_Toc102046891"/>
      <w:r w:rsidRPr="00833AD0">
        <w:rPr>
          <w:rFonts w:eastAsia="Arial"/>
        </w:rPr>
        <w:t>Figure 2</w:t>
      </w:r>
      <w:r>
        <w:rPr>
          <w:rFonts w:eastAsia="Arial"/>
        </w:rPr>
        <w:t>1</w:t>
      </w:r>
      <w:r w:rsidRPr="00833AD0">
        <w:rPr>
          <w:rFonts w:eastAsia="Arial"/>
        </w:rPr>
        <w:t>.</w:t>
      </w:r>
      <w:r w:rsidRPr="00317D28">
        <w:rPr>
          <w:rFonts w:eastAsia="Arial"/>
        </w:rPr>
        <w:t xml:space="preserve"> </w:t>
      </w:r>
      <w:r w:rsidRPr="00B614AE">
        <w:rPr>
          <w:rFonts w:eastAsia="Arial"/>
        </w:rPr>
        <w:t xml:space="preserve">Predicted distributions of </w:t>
      </w:r>
      <w:r w:rsidRPr="00B614AE">
        <w:rPr>
          <w:rFonts w:eastAsia="Arial"/>
          <w:i/>
        </w:rPr>
        <w:t xml:space="preserve">Pinus </w:t>
      </w:r>
      <w:proofErr w:type="spellStart"/>
      <w:r w:rsidRPr="00B614AE">
        <w:rPr>
          <w:rFonts w:eastAsia="Arial"/>
          <w:i/>
        </w:rPr>
        <w:t>strobus</w:t>
      </w:r>
      <w:proofErr w:type="spellEnd"/>
      <w:r w:rsidRPr="00B614AE">
        <w:rPr>
          <w:rFonts w:eastAsia="Arial"/>
          <w:i/>
        </w:rPr>
        <w:t xml:space="preserve"> </w:t>
      </w:r>
      <w:r w:rsidRPr="00B614AE">
        <w:rPr>
          <w:rFonts w:eastAsia="Arial"/>
        </w:rPr>
        <w:t xml:space="preserve">(left) and </w:t>
      </w:r>
      <w:proofErr w:type="spellStart"/>
      <w:r w:rsidRPr="00B614AE">
        <w:rPr>
          <w:rFonts w:eastAsia="Arial"/>
          <w:i/>
        </w:rPr>
        <w:t>Suillus</w:t>
      </w:r>
      <w:proofErr w:type="spellEnd"/>
      <w:r w:rsidRPr="00B614AE">
        <w:rPr>
          <w:rFonts w:eastAsia="Arial"/>
          <w:i/>
        </w:rPr>
        <w:t xml:space="preserve"> </w:t>
      </w:r>
      <w:proofErr w:type="spellStart"/>
      <w:r w:rsidRPr="00B614AE">
        <w:rPr>
          <w:rFonts w:eastAsia="Arial"/>
          <w:i/>
        </w:rPr>
        <w:t>spraguei</w:t>
      </w:r>
      <w:proofErr w:type="spellEnd"/>
      <w:r w:rsidRPr="00B614AE">
        <w:rPr>
          <w:rFonts w:eastAsia="Arial"/>
        </w:rPr>
        <w:t xml:space="preserve"> (right) in eastern North America the future climate scenarios (a) </w:t>
      </w:r>
      <w:r w:rsidRPr="00B614AE">
        <w:rPr>
          <w:rFonts w:eastAsia="Arial"/>
          <w:color w:val="000000"/>
        </w:rPr>
        <w:t xml:space="preserve">RCP4.5 INM-CM4 2055 and (b) RCP8.5 CCSM4 2085. </w:t>
      </w:r>
      <w:r w:rsidRPr="00B614AE">
        <w:rPr>
          <w:rFonts w:eastAsia="Arial"/>
        </w:rPr>
        <w:t xml:space="preserve">Dark green areas are more likely to be suitable habitat for either </w:t>
      </w:r>
      <w:r w:rsidRPr="00B614AE">
        <w:rPr>
          <w:rFonts w:eastAsia="Arial"/>
          <w:i/>
        </w:rPr>
        <w:t xml:space="preserve">Pinus </w:t>
      </w:r>
      <w:proofErr w:type="spellStart"/>
      <w:r w:rsidRPr="00B614AE">
        <w:rPr>
          <w:rFonts w:eastAsia="Arial"/>
          <w:i/>
        </w:rPr>
        <w:t>strobus</w:t>
      </w:r>
      <w:proofErr w:type="spellEnd"/>
      <w:r w:rsidRPr="00B614AE">
        <w:rPr>
          <w:rFonts w:eastAsia="Arial"/>
        </w:rPr>
        <w:t xml:space="preserve"> or </w:t>
      </w:r>
      <w:proofErr w:type="spellStart"/>
      <w:r w:rsidRPr="00B614AE">
        <w:rPr>
          <w:rFonts w:eastAsia="Arial"/>
          <w:i/>
        </w:rPr>
        <w:t>Suillus</w:t>
      </w:r>
      <w:proofErr w:type="spellEnd"/>
      <w:r w:rsidRPr="00B614AE">
        <w:rPr>
          <w:rFonts w:eastAsia="Arial"/>
          <w:i/>
        </w:rPr>
        <w:t xml:space="preserve"> </w:t>
      </w:r>
      <w:proofErr w:type="spellStart"/>
      <w:r w:rsidRPr="00B614AE">
        <w:rPr>
          <w:rFonts w:eastAsia="Arial"/>
          <w:i/>
        </w:rPr>
        <w:t>spraguei</w:t>
      </w:r>
      <w:proofErr w:type="spellEnd"/>
      <w:r w:rsidRPr="00B614AE">
        <w:rPr>
          <w:rFonts w:eastAsia="Arial"/>
        </w:rPr>
        <w:t>.</w:t>
      </w:r>
      <w:bookmarkEnd w:id="105"/>
      <w:r>
        <w:rPr>
          <w:rFonts w:eastAsia="Arial"/>
          <w:color w:val="000000"/>
        </w:rPr>
        <w:br w:type="page"/>
      </w:r>
    </w:p>
    <w:p w14:paraId="5A0D7D04" w14:textId="77777777" w:rsidR="00215F16" w:rsidRPr="00BC723B" w:rsidRDefault="00215F16" w:rsidP="00215F16">
      <w:pPr>
        <w:rPr>
          <w:rFonts w:eastAsia="Arial"/>
        </w:rPr>
      </w:pPr>
      <w:r>
        <w:rPr>
          <w:rFonts w:eastAsia="Arial"/>
          <w:noProof/>
        </w:rPr>
        <w:lastRenderedPageBreak/>
        <w:drawing>
          <wp:inline distT="0" distB="0" distL="0" distR="0" wp14:anchorId="2CA0011B" wp14:editId="11572FFE">
            <wp:extent cx="5294496" cy="4211273"/>
            <wp:effectExtent l="0" t="0" r="1905" b="5715"/>
            <wp:docPr id="3" name="Picture 3"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iagram&#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349340" cy="4254896"/>
                    </a:xfrm>
                    <a:prstGeom prst="rect">
                      <a:avLst/>
                    </a:prstGeom>
                  </pic:spPr>
                </pic:pic>
              </a:graphicData>
            </a:graphic>
          </wp:inline>
        </w:drawing>
      </w:r>
    </w:p>
    <w:p w14:paraId="5281F9E3" w14:textId="77777777" w:rsidR="00215F16" w:rsidRDefault="00215F16" w:rsidP="00215F16">
      <w:pPr>
        <w:pStyle w:val="Caption"/>
        <w:rPr>
          <w:rFonts w:eastAsia="Arial"/>
        </w:rPr>
      </w:pPr>
      <w:bookmarkStart w:id="106" w:name="_Toc102046892"/>
      <w:r w:rsidRPr="00833AD0">
        <w:rPr>
          <w:rFonts w:eastAsia="Arial"/>
        </w:rPr>
        <w:t xml:space="preserve">Figure </w:t>
      </w:r>
      <w:r>
        <w:rPr>
          <w:rFonts w:eastAsia="Arial"/>
        </w:rPr>
        <w:t>22</w:t>
      </w:r>
      <w:r w:rsidRPr="00833AD0">
        <w:rPr>
          <w:rFonts w:eastAsia="Arial"/>
        </w:rPr>
        <w:t>.</w:t>
      </w:r>
      <w:r w:rsidRPr="00317D28">
        <w:rPr>
          <w:rFonts w:eastAsia="Arial"/>
        </w:rPr>
        <w:t xml:space="preserve"> </w:t>
      </w:r>
      <w:r w:rsidRPr="00B614AE">
        <w:rPr>
          <w:rFonts w:eastAsia="Arial"/>
        </w:rPr>
        <w:t xml:space="preserve">Principal Components Analysis for </w:t>
      </w:r>
      <w:r>
        <w:rPr>
          <w:rFonts w:eastAsia="Arial"/>
        </w:rPr>
        <w:t>the</w:t>
      </w:r>
      <w:r w:rsidRPr="00B614AE">
        <w:rPr>
          <w:rFonts w:eastAsia="Arial"/>
        </w:rPr>
        <w:t xml:space="preserve"> </w:t>
      </w:r>
      <w:r w:rsidRPr="00B614AE">
        <w:rPr>
          <w:rFonts w:eastAsia="Arial"/>
          <w:color w:val="000000"/>
        </w:rPr>
        <w:t>current baseline</w:t>
      </w:r>
      <w:r w:rsidRPr="00B614AE">
        <w:rPr>
          <w:rFonts w:eastAsia="Arial"/>
        </w:rPr>
        <w:t xml:space="preserve"> and future climate </w:t>
      </w:r>
      <w:proofErr w:type="spellStart"/>
      <w:r w:rsidRPr="00B614AE">
        <w:rPr>
          <w:rFonts w:eastAsia="Arial"/>
        </w:rPr>
        <w:t>MaxEnt</w:t>
      </w:r>
      <w:proofErr w:type="spellEnd"/>
      <w:r w:rsidRPr="00B614AE">
        <w:rPr>
          <w:rFonts w:eastAsia="Arial"/>
        </w:rPr>
        <w:t xml:space="preserve"> models in multivariate space </w:t>
      </w:r>
      <w:r>
        <w:rPr>
          <w:rFonts w:eastAsia="Arial"/>
        </w:rPr>
        <w:t>where the c</w:t>
      </w:r>
      <w:r w:rsidRPr="00B614AE">
        <w:rPr>
          <w:rFonts w:eastAsia="Arial"/>
        </w:rPr>
        <w:t>enter of the ellipses represents model averages for each species.</w:t>
      </w:r>
      <w:bookmarkEnd w:id="106"/>
      <w:r w:rsidRPr="00B614AE">
        <w:rPr>
          <w:rFonts w:eastAsia="Arial"/>
        </w:rPr>
        <w:t xml:space="preserve"> </w:t>
      </w:r>
    </w:p>
    <w:p w14:paraId="6243968A" w14:textId="77777777" w:rsidR="00CC6B36" w:rsidRPr="005504DA" w:rsidRDefault="00215F16" w:rsidP="00CC6B36">
      <w:pPr>
        <w:pStyle w:val="Subtitle"/>
        <w:rPr>
          <w:color w:val="000000"/>
        </w:rPr>
      </w:pPr>
      <w:r>
        <w:rPr>
          <w:color w:val="000000"/>
        </w:rPr>
        <w:br w:type="page"/>
      </w:r>
      <w:bookmarkStart w:id="107" w:name="_Toc102118710"/>
      <w:r w:rsidR="00CC6B36" w:rsidRPr="00BC723B">
        <w:lastRenderedPageBreak/>
        <w:t xml:space="preserve">Table </w:t>
      </w:r>
      <w:r w:rsidR="00CC6B36">
        <w:t>7</w:t>
      </w:r>
      <w:r w:rsidR="00CC6B36" w:rsidRPr="00BC723B">
        <w:t xml:space="preserve">. </w:t>
      </w:r>
      <w:r w:rsidR="00CC6B36" w:rsidRPr="004F6B62">
        <w:t xml:space="preserve">A cumulative table of empirical </w:t>
      </w:r>
      <w:proofErr w:type="spellStart"/>
      <w:r w:rsidR="00CC6B36" w:rsidRPr="004F6B62">
        <w:t>Schoener’s</w:t>
      </w:r>
      <w:proofErr w:type="spellEnd"/>
      <w:r w:rsidR="00CC6B36" w:rsidRPr="004F6B62">
        <w:t xml:space="preserve"> </w:t>
      </w:r>
      <w:r w:rsidR="00CC6B36" w:rsidRPr="004F6B62">
        <w:rPr>
          <w:i/>
        </w:rPr>
        <w:t>D</w:t>
      </w:r>
      <w:r w:rsidR="00CC6B36" w:rsidRPr="004F6B62">
        <w:t xml:space="preserve"> and </w:t>
      </w:r>
      <w:proofErr w:type="spellStart"/>
      <w:r w:rsidR="00CC6B36" w:rsidRPr="004F6B62">
        <w:t>ENMTool’s</w:t>
      </w:r>
      <w:proofErr w:type="spellEnd"/>
      <w:r w:rsidR="00CC6B36" w:rsidRPr="004F6B62">
        <w:t xml:space="preserve"> </w:t>
      </w:r>
      <w:r w:rsidR="00CC6B36" w:rsidRPr="004F6B62">
        <w:rPr>
          <w:i/>
        </w:rPr>
        <w:t>I</w:t>
      </w:r>
      <w:r w:rsidR="00CC6B36" w:rsidRPr="004F6B62">
        <w:t xml:space="preserve"> metrics from niche identity tests for the species pair per climate scenario.</w:t>
      </w:r>
      <w:bookmarkEnd w:id="107"/>
      <w:r w:rsidR="00CC6B36" w:rsidRPr="004F6B62">
        <w:t xml:space="preserve"> </w:t>
      </w:r>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875"/>
        <w:gridCol w:w="1530"/>
        <w:gridCol w:w="1440"/>
        <w:gridCol w:w="1440"/>
        <w:gridCol w:w="1530"/>
      </w:tblGrid>
      <w:tr w:rsidR="00CC6B36" w:rsidRPr="006370E0" w14:paraId="47EDB9F1" w14:textId="77777777" w:rsidTr="00D20AC1">
        <w:trPr>
          <w:trHeight w:val="320"/>
        </w:trPr>
        <w:tc>
          <w:tcPr>
            <w:tcW w:w="2875" w:type="dxa"/>
            <w:noWrap/>
            <w:hideMark/>
          </w:tcPr>
          <w:p w14:paraId="55F30645" w14:textId="77777777" w:rsidR="00CC6B36" w:rsidRPr="006370E0" w:rsidRDefault="00CC6B36" w:rsidP="00D20AC1">
            <w:pPr>
              <w:jc w:val="center"/>
              <w:rPr>
                <w:rFonts w:eastAsia="Arial"/>
                <w:bCs/>
              </w:rPr>
            </w:pPr>
          </w:p>
        </w:tc>
        <w:tc>
          <w:tcPr>
            <w:tcW w:w="5940" w:type="dxa"/>
            <w:gridSpan w:val="4"/>
            <w:noWrap/>
            <w:hideMark/>
          </w:tcPr>
          <w:p w14:paraId="6744729C" w14:textId="77777777" w:rsidR="00CC6B36" w:rsidRPr="006370E0" w:rsidRDefault="00CC6B36" w:rsidP="00D20AC1">
            <w:pPr>
              <w:jc w:val="center"/>
              <w:rPr>
                <w:rFonts w:eastAsia="Arial"/>
                <w:b/>
              </w:rPr>
            </w:pPr>
            <w:r w:rsidRPr="006370E0">
              <w:rPr>
                <w:rFonts w:eastAsia="Arial"/>
                <w:b/>
              </w:rPr>
              <w:t>Identity Test</w:t>
            </w:r>
          </w:p>
        </w:tc>
      </w:tr>
      <w:tr w:rsidR="00CC6B36" w:rsidRPr="006370E0" w14:paraId="24F03537" w14:textId="77777777" w:rsidTr="00D20AC1">
        <w:trPr>
          <w:trHeight w:val="320"/>
        </w:trPr>
        <w:tc>
          <w:tcPr>
            <w:tcW w:w="2875" w:type="dxa"/>
            <w:noWrap/>
            <w:hideMark/>
          </w:tcPr>
          <w:p w14:paraId="06032247" w14:textId="77777777" w:rsidR="00CC6B36" w:rsidRPr="006370E0" w:rsidRDefault="00CC6B36" w:rsidP="00D20AC1">
            <w:pPr>
              <w:jc w:val="center"/>
              <w:rPr>
                <w:rFonts w:eastAsia="Arial"/>
                <w:bCs/>
              </w:rPr>
            </w:pPr>
          </w:p>
        </w:tc>
        <w:tc>
          <w:tcPr>
            <w:tcW w:w="1530" w:type="dxa"/>
            <w:noWrap/>
            <w:hideMark/>
          </w:tcPr>
          <w:p w14:paraId="4146BB76" w14:textId="77777777" w:rsidR="00CC6B36" w:rsidRPr="006370E0" w:rsidRDefault="00CC6B36" w:rsidP="00D20AC1">
            <w:pPr>
              <w:jc w:val="center"/>
              <w:rPr>
                <w:rFonts w:eastAsia="Arial"/>
                <w:bCs/>
                <w:i/>
                <w:iCs/>
              </w:rPr>
            </w:pPr>
            <w:r w:rsidRPr="006370E0">
              <w:rPr>
                <w:rFonts w:eastAsia="Arial"/>
                <w:bCs/>
                <w:i/>
                <w:iCs/>
              </w:rPr>
              <w:t>D</w:t>
            </w:r>
          </w:p>
        </w:tc>
        <w:tc>
          <w:tcPr>
            <w:tcW w:w="1440" w:type="dxa"/>
            <w:noWrap/>
            <w:hideMark/>
          </w:tcPr>
          <w:p w14:paraId="51926426" w14:textId="77777777" w:rsidR="00CC6B36" w:rsidRPr="006370E0" w:rsidRDefault="00CC6B36" w:rsidP="00D20AC1">
            <w:pPr>
              <w:jc w:val="center"/>
              <w:rPr>
                <w:rFonts w:eastAsia="Arial"/>
                <w:bCs/>
                <w:i/>
                <w:iCs/>
              </w:rPr>
            </w:pPr>
            <w:r w:rsidRPr="006370E0">
              <w:rPr>
                <w:rFonts w:eastAsia="Arial"/>
                <w:bCs/>
                <w:i/>
                <w:iCs/>
              </w:rPr>
              <w:t>I</w:t>
            </w:r>
          </w:p>
        </w:tc>
        <w:tc>
          <w:tcPr>
            <w:tcW w:w="1440" w:type="dxa"/>
            <w:noWrap/>
            <w:hideMark/>
          </w:tcPr>
          <w:p w14:paraId="7818EE2D" w14:textId="77777777" w:rsidR="00CC6B36" w:rsidRPr="006370E0" w:rsidRDefault="00CC6B36" w:rsidP="00D20AC1">
            <w:pPr>
              <w:jc w:val="center"/>
              <w:rPr>
                <w:rFonts w:eastAsia="Arial"/>
                <w:bCs/>
                <w:i/>
                <w:iCs/>
              </w:rPr>
            </w:pPr>
            <w:r w:rsidRPr="006370E0">
              <w:rPr>
                <w:rFonts w:eastAsia="Arial"/>
                <w:bCs/>
                <w:i/>
                <w:iCs/>
              </w:rPr>
              <w:t>env. D</w:t>
            </w:r>
          </w:p>
        </w:tc>
        <w:tc>
          <w:tcPr>
            <w:tcW w:w="1530" w:type="dxa"/>
            <w:noWrap/>
            <w:hideMark/>
          </w:tcPr>
          <w:p w14:paraId="6F763585" w14:textId="77777777" w:rsidR="00CC6B36" w:rsidRPr="006370E0" w:rsidRDefault="00CC6B36" w:rsidP="00D20AC1">
            <w:pPr>
              <w:jc w:val="center"/>
              <w:rPr>
                <w:rFonts w:eastAsia="Arial"/>
                <w:bCs/>
                <w:i/>
                <w:iCs/>
              </w:rPr>
            </w:pPr>
            <w:r w:rsidRPr="006370E0">
              <w:rPr>
                <w:rFonts w:eastAsia="Arial"/>
                <w:bCs/>
                <w:i/>
                <w:iCs/>
              </w:rPr>
              <w:t>env. I</w:t>
            </w:r>
          </w:p>
        </w:tc>
      </w:tr>
      <w:tr w:rsidR="00CC6B36" w:rsidRPr="006370E0" w14:paraId="5AD274C5" w14:textId="77777777" w:rsidTr="00D20AC1">
        <w:trPr>
          <w:trHeight w:val="320"/>
        </w:trPr>
        <w:tc>
          <w:tcPr>
            <w:tcW w:w="2875" w:type="dxa"/>
            <w:noWrap/>
            <w:hideMark/>
          </w:tcPr>
          <w:p w14:paraId="2E36493C" w14:textId="77777777" w:rsidR="00CC6B36" w:rsidRPr="006370E0" w:rsidRDefault="00CC6B36" w:rsidP="00D20AC1">
            <w:pPr>
              <w:jc w:val="center"/>
              <w:rPr>
                <w:rFonts w:eastAsia="Arial"/>
                <w:bCs/>
              </w:rPr>
            </w:pPr>
            <w:r w:rsidRPr="006370E0">
              <w:rPr>
                <w:rFonts w:eastAsia="Arial"/>
                <w:color w:val="000000"/>
              </w:rPr>
              <w:t>Current baseline</w:t>
            </w:r>
          </w:p>
        </w:tc>
        <w:tc>
          <w:tcPr>
            <w:tcW w:w="1530" w:type="dxa"/>
            <w:noWrap/>
            <w:hideMark/>
          </w:tcPr>
          <w:p w14:paraId="73A45CDC" w14:textId="77777777" w:rsidR="00CC6B36" w:rsidRPr="006370E0" w:rsidRDefault="00CC6B36" w:rsidP="00D20AC1">
            <w:pPr>
              <w:jc w:val="center"/>
              <w:rPr>
                <w:rFonts w:eastAsia="Arial"/>
                <w:bCs/>
              </w:rPr>
            </w:pPr>
            <w:r w:rsidRPr="006370E0">
              <w:rPr>
                <w:rFonts w:eastAsia="Arial"/>
                <w:bCs/>
              </w:rPr>
              <w:t>0.844104</w:t>
            </w:r>
          </w:p>
        </w:tc>
        <w:tc>
          <w:tcPr>
            <w:tcW w:w="1440" w:type="dxa"/>
            <w:noWrap/>
            <w:hideMark/>
          </w:tcPr>
          <w:p w14:paraId="038B4A81" w14:textId="77777777" w:rsidR="00CC6B36" w:rsidRPr="006370E0" w:rsidRDefault="00CC6B36" w:rsidP="00D20AC1">
            <w:pPr>
              <w:jc w:val="center"/>
              <w:rPr>
                <w:rFonts w:eastAsia="Arial"/>
                <w:bCs/>
              </w:rPr>
            </w:pPr>
            <w:r w:rsidRPr="006370E0">
              <w:rPr>
                <w:rFonts w:eastAsia="Arial"/>
                <w:bCs/>
              </w:rPr>
              <w:t>0.9731099</w:t>
            </w:r>
          </w:p>
        </w:tc>
        <w:tc>
          <w:tcPr>
            <w:tcW w:w="1440" w:type="dxa"/>
            <w:noWrap/>
            <w:hideMark/>
          </w:tcPr>
          <w:p w14:paraId="11B5DD9B" w14:textId="77777777" w:rsidR="00CC6B36" w:rsidRPr="006370E0" w:rsidRDefault="00CC6B36" w:rsidP="00D20AC1">
            <w:pPr>
              <w:jc w:val="center"/>
              <w:rPr>
                <w:rFonts w:eastAsia="Arial"/>
                <w:bCs/>
              </w:rPr>
            </w:pPr>
            <w:r w:rsidRPr="006370E0">
              <w:rPr>
                <w:rFonts w:eastAsia="Arial"/>
                <w:bCs/>
              </w:rPr>
              <w:t>0.5250143</w:t>
            </w:r>
          </w:p>
        </w:tc>
        <w:tc>
          <w:tcPr>
            <w:tcW w:w="1530" w:type="dxa"/>
            <w:noWrap/>
            <w:hideMark/>
          </w:tcPr>
          <w:p w14:paraId="09033344" w14:textId="77777777" w:rsidR="00CC6B36" w:rsidRPr="006370E0" w:rsidRDefault="00CC6B36" w:rsidP="00D20AC1">
            <w:pPr>
              <w:jc w:val="center"/>
              <w:rPr>
                <w:rFonts w:eastAsia="Arial"/>
                <w:bCs/>
              </w:rPr>
            </w:pPr>
            <w:r w:rsidRPr="006370E0">
              <w:rPr>
                <w:rFonts w:eastAsia="Arial"/>
                <w:bCs/>
              </w:rPr>
              <w:t>0.7348693</w:t>
            </w:r>
          </w:p>
        </w:tc>
      </w:tr>
      <w:tr w:rsidR="00CC6B36" w:rsidRPr="006370E0" w14:paraId="62BAF382" w14:textId="77777777" w:rsidTr="00D20AC1">
        <w:trPr>
          <w:trHeight w:val="320"/>
        </w:trPr>
        <w:tc>
          <w:tcPr>
            <w:tcW w:w="2875" w:type="dxa"/>
            <w:noWrap/>
            <w:hideMark/>
          </w:tcPr>
          <w:p w14:paraId="56D684D4" w14:textId="77777777" w:rsidR="00CC6B36" w:rsidRPr="006370E0" w:rsidRDefault="00CC6B36" w:rsidP="00D20AC1">
            <w:pPr>
              <w:jc w:val="center"/>
              <w:rPr>
                <w:rFonts w:eastAsia="Arial"/>
                <w:bCs/>
              </w:rPr>
            </w:pPr>
            <w:r w:rsidRPr="006370E0">
              <w:rPr>
                <w:rFonts w:eastAsia="Arial"/>
                <w:bCs/>
              </w:rPr>
              <w:t>RCP4.5 INMCM4 2055</w:t>
            </w:r>
          </w:p>
        </w:tc>
        <w:tc>
          <w:tcPr>
            <w:tcW w:w="1530" w:type="dxa"/>
            <w:noWrap/>
            <w:hideMark/>
          </w:tcPr>
          <w:p w14:paraId="7EB29BFE" w14:textId="77777777" w:rsidR="00CC6B36" w:rsidRPr="006370E0" w:rsidRDefault="00CC6B36" w:rsidP="00D20AC1">
            <w:pPr>
              <w:jc w:val="center"/>
              <w:rPr>
                <w:rFonts w:eastAsia="Arial"/>
                <w:bCs/>
              </w:rPr>
            </w:pPr>
            <w:r w:rsidRPr="006370E0">
              <w:rPr>
                <w:rFonts w:eastAsia="Arial"/>
                <w:bCs/>
              </w:rPr>
              <w:t>0.8446792</w:t>
            </w:r>
          </w:p>
        </w:tc>
        <w:tc>
          <w:tcPr>
            <w:tcW w:w="1440" w:type="dxa"/>
            <w:noWrap/>
            <w:hideMark/>
          </w:tcPr>
          <w:p w14:paraId="25175D74" w14:textId="77777777" w:rsidR="00CC6B36" w:rsidRPr="006370E0" w:rsidRDefault="00CC6B36" w:rsidP="00D20AC1">
            <w:pPr>
              <w:jc w:val="center"/>
              <w:rPr>
                <w:rFonts w:eastAsia="Arial"/>
                <w:bCs/>
              </w:rPr>
            </w:pPr>
            <w:r w:rsidRPr="006370E0">
              <w:rPr>
                <w:rFonts w:eastAsia="Arial"/>
                <w:bCs/>
              </w:rPr>
              <w:t>0.9722222</w:t>
            </w:r>
          </w:p>
        </w:tc>
        <w:tc>
          <w:tcPr>
            <w:tcW w:w="1440" w:type="dxa"/>
            <w:noWrap/>
            <w:hideMark/>
          </w:tcPr>
          <w:p w14:paraId="0C69007D" w14:textId="77777777" w:rsidR="00CC6B36" w:rsidRPr="006370E0" w:rsidRDefault="00CC6B36" w:rsidP="00D20AC1">
            <w:pPr>
              <w:jc w:val="center"/>
              <w:rPr>
                <w:rFonts w:eastAsia="Arial"/>
                <w:bCs/>
              </w:rPr>
            </w:pPr>
            <w:r w:rsidRPr="006370E0">
              <w:rPr>
                <w:rFonts w:eastAsia="Arial"/>
                <w:bCs/>
              </w:rPr>
              <w:t>0.8684133</w:t>
            </w:r>
          </w:p>
        </w:tc>
        <w:tc>
          <w:tcPr>
            <w:tcW w:w="1530" w:type="dxa"/>
            <w:noWrap/>
            <w:hideMark/>
          </w:tcPr>
          <w:p w14:paraId="33446A9E" w14:textId="77777777" w:rsidR="00CC6B36" w:rsidRPr="006370E0" w:rsidRDefault="00CC6B36" w:rsidP="00D20AC1">
            <w:pPr>
              <w:jc w:val="center"/>
              <w:rPr>
                <w:rFonts w:eastAsia="Arial"/>
                <w:bCs/>
              </w:rPr>
            </w:pPr>
            <w:r w:rsidRPr="006370E0">
              <w:rPr>
                <w:rFonts w:eastAsia="Arial"/>
                <w:bCs/>
              </w:rPr>
              <w:t>0.9682271</w:t>
            </w:r>
          </w:p>
        </w:tc>
      </w:tr>
      <w:tr w:rsidR="00CC6B36" w:rsidRPr="006370E0" w14:paraId="42C7D269" w14:textId="77777777" w:rsidTr="00D20AC1">
        <w:trPr>
          <w:trHeight w:val="320"/>
        </w:trPr>
        <w:tc>
          <w:tcPr>
            <w:tcW w:w="2875" w:type="dxa"/>
            <w:noWrap/>
            <w:hideMark/>
          </w:tcPr>
          <w:p w14:paraId="391CA056" w14:textId="77777777" w:rsidR="00CC6B36" w:rsidRPr="006370E0" w:rsidRDefault="00CC6B36" w:rsidP="00D20AC1">
            <w:pPr>
              <w:jc w:val="center"/>
              <w:rPr>
                <w:rFonts w:eastAsia="Arial"/>
                <w:bCs/>
              </w:rPr>
            </w:pPr>
            <w:r w:rsidRPr="006370E0">
              <w:rPr>
                <w:rFonts w:eastAsia="Arial"/>
                <w:bCs/>
              </w:rPr>
              <w:t>RCP8.5 INMCM4 2055</w:t>
            </w:r>
          </w:p>
        </w:tc>
        <w:tc>
          <w:tcPr>
            <w:tcW w:w="1530" w:type="dxa"/>
            <w:noWrap/>
            <w:hideMark/>
          </w:tcPr>
          <w:p w14:paraId="1A3FE27B" w14:textId="77777777" w:rsidR="00CC6B36" w:rsidRPr="006370E0" w:rsidRDefault="00CC6B36" w:rsidP="00D20AC1">
            <w:pPr>
              <w:jc w:val="center"/>
              <w:rPr>
                <w:rFonts w:eastAsia="Arial"/>
                <w:bCs/>
              </w:rPr>
            </w:pPr>
            <w:r w:rsidRPr="006370E0">
              <w:rPr>
                <w:rFonts w:eastAsia="Arial"/>
                <w:bCs/>
              </w:rPr>
              <w:t>0.7760885</w:t>
            </w:r>
          </w:p>
        </w:tc>
        <w:tc>
          <w:tcPr>
            <w:tcW w:w="1440" w:type="dxa"/>
            <w:noWrap/>
            <w:hideMark/>
          </w:tcPr>
          <w:p w14:paraId="1FE036FE" w14:textId="77777777" w:rsidR="00CC6B36" w:rsidRPr="006370E0" w:rsidRDefault="00CC6B36" w:rsidP="00D20AC1">
            <w:pPr>
              <w:jc w:val="center"/>
              <w:rPr>
                <w:rFonts w:eastAsia="Arial"/>
                <w:bCs/>
              </w:rPr>
            </w:pPr>
            <w:r w:rsidRPr="006370E0">
              <w:rPr>
                <w:rFonts w:eastAsia="Arial"/>
                <w:bCs/>
              </w:rPr>
              <w:t>0.9398241*</w:t>
            </w:r>
          </w:p>
        </w:tc>
        <w:tc>
          <w:tcPr>
            <w:tcW w:w="1440" w:type="dxa"/>
            <w:noWrap/>
            <w:hideMark/>
          </w:tcPr>
          <w:p w14:paraId="77AA6B7D" w14:textId="77777777" w:rsidR="00CC6B36" w:rsidRPr="006370E0" w:rsidRDefault="00CC6B36" w:rsidP="00D20AC1">
            <w:pPr>
              <w:jc w:val="center"/>
              <w:rPr>
                <w:rFonts w:eastAsia="Arial"/>
                <w:bCs/>
              </w:rPr>
            </w:pPr>
            <w:r w:rsidRPr="006370E0">
              <w:rPr>
                <w:rFonts w:eastAsia="Arial"/>
                <w:bCs/>
              </w:rPr>
              <w:t>0.6356656</w:t>
            </w:r>
          </w:p>
        </w:tc>
        <w:tc>
          <w:tcPr>
            <w:tcW w:w="1530" w:type="dxa"/>
            <w:noWrap/>
            <w:hideMark/>
          </w:tcPr>
          <w:p w14:paraId="5FEA839C" w14:textId="77777777" w:rsidR="00CC6B36" w:rsidRPr="006370E0" w:rsidRDefault="00CC6B36" w:rsidP="00D20AC1">
            <w:pPr>
              <w:jc w:val="center"/>
              <w:rPr>
                <w:rFonts w:eastAsia="Arial"/>
                <w:bCs/>
              </w:rPr>
            </w:pPr>
            <w:r w:rsidRPr="006370E0">
              <w:rPr>
                <w:rFonts w:eastAsia="Arial"/>
                <w:bCs/>
              </w:rPr>
              <w:t>0.8533245</w:t>
            </w:r>
          </w:p>
        </w:tc>
      </w:tr>
      <w:tr w:rsidR="00CC6B36" w:rsidRPr="006370E0" w14:paraId="0D98EFE5" w14:textId="77777777" w:rsidTr="00D20AC1">
        <w:trPr>
          <w:trHeight w:val="320"/>
        </w:trPr>
        <w:tc>
          <w:tcPr>
            <w:tcW w:w="2875" w:type="dxa"/>
            <w:noWrap/>
            <w:hideMark/>
          </w:tcPr>
          <w:p w14:paraId="06DFDEB7" w14:textId="77777777" w:rsidR="00CC6B36" w:rsidRPr="006370E0" w:rsidRDefault="00CC6B36" w:rsidP="00D20AC1">
            <w:pPr>
              <w:jc w:val="center"/>
              <w:rPr>
                <w:rFonts w:eastAsia="Arial"/>
                <w:bCs/>
              </w:rPr>
            </w:pPr>
            <w:r w:rsidRPr="006370E0">
              <w:rPr>
                <w:rFonts w:eastAsia="Arial"/>
                <w:bCs/>
              </w:rPr>
              <w:t>RCP4.5 INMCM4 2085</w:t>
            </w:r>
          </w:p>
        </w:tc>
        <w:tc>
          <w:tcPr>
            <w:tcW w:w="1530" w:type="dxa"/>
            <w:noWrap/>
            <w:hideMark/>
          </w:tcPr>
          <w:p w14:paraId="556FBA6B" w14:textId="77777777" w:rsidR="00CC6B36" w:rsidRPr="006370E0" w:rsidRDefault="00CC6B36" w:rsidP="00D20AC1">
            <w:pPr>
              <w:jc w:val="center"/>
              <w:rPr>
                <w:rFonts w:eastAsia="Arial"/>
                <w:bCs/>
              </w:rPr>
            </w:pPr>
            <w:r w:rsidRPr="006370E0">
              <w:rPr>
                <w:rFonts w:eastAsia="Arial"/>
                <w:bCs/>
              </w:rPr>
              <w:t>0.81616143</w:t>
            </w:r>
          </w:p>
        </w:tc>
        <w:tc>
          <w:tcPr>
            <w:tcW w:w="1440" w:type="dxa"/>
            <w:noWrap/>
            <w:hideMark/>
          </w:tcPr>
          <w:p w14:paraId="3A4F6D98" w14:textId="77777777" w:rsidR="00CC6B36" w:rsidRPr="006370E0" w:rsidRDefault="00CC6B36" w:rsidP="00D20AC1">
            <w:pPr>
              <w:jc w:val="center"/>
              <w:rPr>
                <w:rFonts w:eastAsia="Arial"/>
                <w:bCs/>
              </w:rPr>
            </w:pPr>
            <w:r w:rsidRPr="006370E0">
              <w:rPr>
                <w:rFonts w:eastAsia="Arial"/>
                <w:bCs/>
              </w:rPr>
              <w:t>0.9605713</w:t>
            </w:r>
          </w:p>
        </w:tc>
        <w:tc>
          <w:tcPr>
            <w:tcW w:w="1440" w:type="dxa"/>
            <w:noWrap/>
            <w:hideMark/>
          </w:tcPr>
          <w:p w14:paraId="142C2814" w14:textId="77777777" w:rsidR="00CC6B36" w:rsidRPr="006370E0" w:rsidRDefault="00CC6B36" w:rsidP="00D20AC1">
            <w:pPr>
              <w:jc w:val="center"/>
              <w:rPr>
                <w:rFonts w:eastAsia="Arial"/>
                <w:bCs/>
              </w:rPr>
            </w:pPr>
            <w:r w:rsidRPr="006370E0">
              <w:rPr>
                <w:rFonts w:eastAsia="Arial"/>
                <w:bCs/>
              </w:rPr>
              <w:t>0.6218967</w:t>
            </w:r>
          </w:p>
        </w:tc>
        <w:tc>
          <w:tcPr>
            <w:tcW w:w="1530" w:type="dxa"/>
            <w:noWrap/>
            <w:hideMark/>
          </w:tcPr>
          <w:p w14:paraId="7D0A4228" w14:textId="77777777" w:rsidR="00CC6B36" w:rsidRPr="006370E0" w:rsidRDefault="00CC6B36" w:rsidP="00D20AC1">
            <w:pPr>
              <w:jc w:val="center"/>
              <w:rPr>
                <w:rFonts w:eastAsia="Arial"/>
                <w:bCs/>
              </w:rPr>
            </w:pPr>
            <w:r w:rsidRPr="006370E0">
              <w:rPr>
                <w:rFonts w:eastAsia="Arial"/>
                <w:bCs/>
              </w:rPr>
              <w:t>0.8353966</w:t>
            </w:r>
          </w:p>
        </w:tc>
      </w:tr>
      <w:tr w:rsidR="00CC6B36" w:rsidRPr="006370E0" w14:paraId="605DC349" w14:textId="77777777" w:rsidTr="00D20AC1">
        <w:trPr>
          <w:trHeight w:val="320"/>
        </w:trPr>
        <w:tc>
          <w:tcPr>
            <w:tcW w:w="2875" w:type="dxa"/>
            <w:noWrap/>
            <w:hideMark/>
          </w:tcPr>
          <w:p w14:paraId="3F37E54E" w14:textId="77777777" w:rsidR="00CC6B36" w:rsidRPr="006370E0" w:rsidRDefault="00CC6B36" w:rsidP="00D20AC1">
            <w:pPr>
              <w:jc w:val="center"/>
              <w:rPr>
                <w:rFonts w:eastAsia="Arial"/>
                <w:bCs/>
              </w:rPr>
            </w:pPr>
            <w:r w:rsidRPr="006370E0">
              <w:rPr>
                <w:rFonts w:eastAsia="Arial"/>
                <w:bCs/>
              </w:rPr>
              <w:t>RCP8.5 INMCM4 2085</w:t>
            </w:r>
          </w:p>
        </w:tc>
        <w:tc>
          <w:tcPr>
            <w:tcW w:w="1530" w:type="dxa"/>
            <w:noWrap/>
            <w:hideMark/>
          </w:tcPr>
          <w:p w14:paraId="5E64B541" w14:textId="77777777" w:rsidR="00CC6B36" w:rsidRPr="006370E0" w:rsidRDefault="00CC6B36" w:rsidP="00D20AC1">
            <w:pPr>
              <w:jc w:val="center"/>
              <w:rPr>
                <w:rFonts w:eastAsia="Arial"/>
                <w:bCs/>
              </w:rPr>
            </w:pPr>
            <w:r w:rsidRPr="006370E0">
              <w:rPr>
                <w:rFonts w:eastAsia="Arial"/>
                <w:bCs/>
              </w:rPr>
              <w:t>0.8010363</w:t>
            </w:r>
          </w:p>
        </w:tc>
        <w:tc>
          <w:tcPr>
            <w:tcW w:w="1440" w:type="dxa"/>
            <w:noWrap/>
            <w:hideMark/>
          </w:tcPr>
          <w:p w14:paraId="588A693C" w14:textId="77777777" w:rsidR="00CC6B36" w:rsidRPr="006370E0" w:rsidRDefault="00CC6B36" w:rsidP="00D20AC1">
            <w:pPr>
              <w:jc w:val="center"/>
              <w:rPr>
                <w:rFonts w:eastAsia="Arial"/>
                <w:bCs/>
              </w:rPr>
            </w:pPr>
            <w:r w:rsidRPr="006370E0">
              <w:rPr>
                <w:rFonts w:eastAsia="Arial"/>
                <w:bCs/>
              </w:rPr>
              <w:t>0.9470622</w:t>
            </w:r>
          </w:p>
        </w:tc>
        <w:tc>
          <w:tcPr>
            <w:tcW w:w="1440" w:type="dxa"/>
            <w:noWrap/>
            <w:hideMark/>
          </w:tcPr>
          <w:p w14:paraId="50F40ED8" w14:textId="77777777" w:rsidR="00CC6B36" w:rsidRPr="006370E0" w:rsidRDefault="00CC6B36" w:rsidP="00D20AC1">
            <w:pPr>
              <w:jc w:val="center"/>
              <w:rPr>
                <w:rFonts w:eastAsia="Arial"/>
                <w:bCs/>
              </w:rPr>
            </w:pPr>
            <w:r w:rsidRPr="006370E0">
              <w:rPr>
                <w:rFonts w:eastAsia="Arial"/>
                <w:bCs/>
              </w:rPr>
              <w:t>0.5777418*</w:t>
            </w:r>
          </w:p>
        </w:tc>
        <w:tc>
          <w:tcPr>
            <w:tcW w:w="1530" w:type="dxa"/>
            <w:noWrap/>
            <w:hideMark/>
          </w:tcPr>
          <w:p w14:paraId="3DEA4B76" w14:textId="77777777" w:rsidR="00CC6B36" w:rsidRPr="006370E0" w:rsidRDefault="00CC6B36" w:rsidP="00D20AC1">
            <w:pPr>
              <w:jc w:val="center"/>
              <w:rPr>
                <w:rFonts w:eastAsia="Arial"/>
                <w:bCs/>
              </w:rPr>
            </w:pPr>
            <w:r w:rsidRPr="006370E0">
              <w:rPr>
                <w:rFonts w:eastAsia="Arial"/>
                <w:bCs/>
              </w:rPr>
              <w:t>0.8094146*</w:t>
            </w:r>
          </w:p>
        </w:tc>
      </w:tr>
      <w:tr w:rsidR="00CC6B36" w:rsidRPr="006370E0" w14:paraId="667F4FCE" w14:textId="77777777" w:rsidTr="00D20AC1">
        <w:trPr>
          <w:trHeight w:val="320"/>
        </w:trPr>
        <w:tc>
          <w:tcPr>
            <w:tcW w:w="2875" w:type="dxa"/>
            <w:noWrap/>
            <w:hideMark/>
          </w:tcPr>
          <w:p w14:paraId="0819A40F" w14:textId="77777777" w:rsidR="00CC6B36" w:rsidRPr="006370E0" w:rsidRDefault="00CC6B36" w:rsidP="00D20AC1">
            <w:pPr>
              <w:jc w:val="center"/>
              <w:rPr>
                <w:rFonts w:eastAsia="Arial"/>
                <w:bCs/>
              </w:rPr>
            </w:pPr>
            <w:r w:rsidRPr="006370E0">
              <w:rPr>
                <w:rFonts w:eastAsia="Arial"/>
                <w:bCs/>
              </w:rPr>
              <w:t>RCP4.5 CCSM4 2055</w:t>
            </w:r>
          </w:p>
        </w:tc>
        <w:tc>
          <w:tcPr>
            <w:tcW w:w="1530" w:type="dxa"/>
            <w:noWrap/>
            <w:hideMark/>
          </w:tcPr>
          <w:p w14:paraId="5AB79370" w14:textId="77777777" w:rsidR="00CC6B36" w:rsidRPr="006370E0" w:rsidRDefault="00CC6B36" w:rsidP="00D20AC1">
            <w:pPr>
              <w:jc w:val="center"/>
              <w:rPr>
                <w:rFonts w:eastAsia="Arial"/>
                <w:bCs/>
              </w:rPr>
            </w:pPr>
            <w:r w:rsidRPr="006370E0">
              <w:rPr>
                <w:rFonts w:eastAsia="Arial"/>
                <w:bCs/>
              </w:rPr>
              <w:t>0.8398038</w:t>
            </w:r>
          </w:p>
        </w:tc>
        <w:tc>
          <w:tcPr>
            <w:tcW w:w="1440" w:type="dxa"/>
            <w:noWrap/>
            <w:hideMark/>
          </w:tcPr>
          <w:p w14:paraId="4FA00E2C" w14:textId="77777777" w:rsidR="00CC6B36" w:rsidRPr="006370E0" w:rsidRDefault="00CC6B36" w:rsidP="00D20AC1">
            <w:pPr>
              <w:jc w:val="center"/>
              <w:rPr>
                <w:rFonts w:eastAsia="Arial"/>
                <w:bCs/>
              </w:rPr>
            </w:pPr>
            <w:r w:rsidRPr="006370E0">
              <w:rPr>
                <w:rFonts w:eastAsia="Arial"/>
                <w:bCs/>
              </w:rPr>
              <w:t>0.9703137</w:t>
            </w:r>
          </w:p>
        </w:tc>
        <w:tc>
          <w:tcPr>
            <w:tcW w:w="1440" w:type="dxa"/>
            <w:noWrap/>
            <w:hideMark/>
          </w:tcPr>
          <w:p w14:paraId="4A4C89B2" w14:textId="77777777" w:rsidR="00CC6B36" w:rsidRPr="006370E0" w:rsidRDefault="00CC6B36" w:rsidP="00D20AC1">
            <w:pPr>
              <w:jc w:val="center"/>
              <w:rPr>
                <w:rFonts w:eastAsia="Arial"/>
                <w:bCs/>
              </w:rPr>
            </w:pPr>
            <w:r w:rsidRPr="006370E0">
              <w:rPr>
                <w:rFonts w:eastAsia="Arial"/>
                <w:bCs/>
              </w:rPr>
              <w:t>0.7718848</w:t>
            </w:r>
          </w:p>
        </w:tc>
        <w:tc>
          <w:tcPr>
            <w:tcW w:w="1530" w:type="dxa"/>
            <w:noWrap/>
            <w:hideMark/>
          </w:tcPr>
          <w:p w14:paraId="754B5817" w14:textId="77777777" w:rsidR="00CC6B36" w:rsidRPr="006370E0" w:rsidRDefault="00CC6B36" w:rsidP="00D20AC1">
            <w:pPr>
              <w:jc w:val="center"/>
              <w:rPr>
                <w:rFonts w:eastAsia="Arial"/>
                <w:bCs/>
              </w:rPr>
            </w:pPr>
            <w:r w:rsidRPr="006370E0">
              <w:rPr>
                <w:rFonts w:eastAsia="Arial"/>
                <w:bCs/>
              </w:rPr>
              <w:t>0.9268115</w:t>
            </w:r>
          </w:p>
        </w:tc>
      </w:tr>
      <w:tr w:rsidR="00CC6B36" w:rsidRPr="006370E0" w14:paraId="72002EE1" w14:textId="77777777" w:rsidTr="00D20AC1">
        <w:trPr>
          <w:trHeight w:val="320"/>
        </w:trPr>
        <w:tc>
          <w:tcPr>
            <w:tcW w:w="2875" w:type="dxa"/>
            <w:noWrap/>
            <w:hideMark/>
          </w:tcPr>
          <w:p w14:paraId="3D258FF1" w14:textId="77777777" w:rsidR="00CC6B36" w:rsidRPr="006370E0" w:rsidRDefault="00CC6B36" w:rsidP="00D20AC1">
            <w:pPr>
              <w:jc w:val="center"/>
              <w:rPr>
                <w:rFonts w:eastAsia="Arial"/>
                <w:bCs/>
              </w:rPr>
            </w:pPr>
            <w:r w:rsidRPr="006370E0">
              <w:rPr>
                <w:rFonts w:eastAsia="Arial"/>
                <w:bCs/>
              </w:rPr>
              <w:t>RCP8.5 CCSM4 2055</w:t>
            </w:r>
          </w:p>
        </w:tc>
        <w:tc>
          <w:tcPr>
            <w:tcW w:w="1530" w:type="dxa"/>
            <w:noWrap/>
            <w:hideMark/>
          </w:tcPr>
          <w:p w14:paraId="650FDEED" w14:textId="77777777" w:rsidR="00CC6B36" w:rsidRPr="006370E0" w:rsidRDefault="00CC6B36" w:rsidP="00D20AC1">
            <w:pPr>
              <w:jc w:val="center"/>
              <w:rPr>
                <w:rFonts w:eastAsia="Arial"/>
                <w:bCs/>
              </w:rPr>
            </w:pPr>
            <w:r w:rsidRPr="006370E0">
              <w:rPr>
                <w:rFonts w:eastAsia="Arial"/>
                <w:bCs/>
              </w:rPr>
              <w:t>0.8268658</w:t>
            </w:r>
          </w:p>
        </w:tc>
        <w:tc>
          <w:tcPr>
            <w:tcW w:w="1440" w:type="dxa"/>
            <w:noWrap/>
            <w:hideMark/>
          </w:tcPr>
          <w:p w14:paraId="2CE803CA" w14:textId="77777777" w:rsidR="00CC6B36" w:rsidRPr="006370E0" w:rsidRDefault="00CC6B36" w:rsidP="00D20AC1">
            <w:pPr>
              <w:jc w:val="center"/>
              <w:rPr>
                <w:rFonts w:eastAsia="Arial"/>
                <w:bCs/>
              </w:rPr>
            </w:pPr>
            <w:r w:rsidRPr="006370E0">
              <w:rPr>
                <w:rFonts w:eastAsia="Arial"/>
                <w:bCs/>
              </w:rPr>
              <w:t>0.9614404</w:t>
            </w:r>
          </w:p>
        </w:tc>
        <w:tc>
          <w:tcPr>
            <w:tcW w:w="1440" w:type="dxa"/>
            <w:noWrap/>
            <w:hideMark/>
          </w:tcPr>
          <w:p w14:paraId="5BE6201E" w14:textId="77777777" w:rsidR="00CC6B36" w:rsidRPr="006370E0" w:rsidRDefault="00CC6B36" w:rsidP="00D20AC1">
            <w:pPr>
              <w:jc w:val="center"/>
              <w:rPr>
                <w:rFonts w:eastAsia="Arial"/>
                <w:bCs/>
              </w:rPr>
            </w:pPr>
            <w:r w:rsidRPr="006370E0">
              <w:rPr>
                <w:rFonts w:eastAsia="Arial"/>
                <w:bCs/>
              </w:rPr>
              <w:t>0.7371011</w:t>
            </w:r>
          </w:p>
        </w:tc>
        <w:tc>
          <w:tcPr>
            <w:tcW w:w="1530" w:type="dxa"/>
            <w:noWrap/>
            <w:hideMark/>
          </w:tcPr>
          <w:p w14:paraId="266B0088" w14:textId="77777777" w:rsidR="00CC6B36" w:rsidRPr="006370E0" w:rsidRDefault="00CC6B36" w:rsidP="00D20AC1">
            <w:pPr>
              <w:jc w:val="center"/>
              <w:rPr>
                <w:rFonts w:eastAsia="Arial"/>
                <w:bCs/>
              </w:rPr>
            </w:pPr>
            <w:r w:rsidRPr="006370E0">
              <w:rPr>
                <w:rFonts w:eastAsia="Arial"/>
                <w:bCs/>
              </w:rPr>
              <w:t>0.9030061</w:t>
            </w:r>
          </w:p>
        </w:tc>
      </w:tr>
      <w:tr w:rsidR="00CC6B36" w:rsidRPr="006370E0" w14:paraId="2BF7FF48" w14:textId="77777777" w:rsidTr="00D20AC1">
        <w:trPr>
          <w:trHeight w:val="320"/>
        </w:trPr>
        <w:tc>
          <w:tcPr>
            <w:tcW w:w="2875" w:type="dxa"/>
            <w:noWrap/>
            <w:hideMark/>
          </w:tcPr>
          <w:p w14:paraId="0C1366E7" w14:textId="77777777" w:rsidR="00CC6B36" w:rsidRPr="006370E0" w:rsidRDefault="00CC6B36" w:rsidP="00D20AC1">
            <w:pPr>
              <w:jc w:val="center"/>
              <w:rPr>
                <w:rFonts w:eastAsia="Arial"/>
                <w:bCs/>
              </w:rPr>
            </w:pPr>
            <w:r w:rsidRPr="006370E0">
              <w:rPr>
                <w:rFonts w:eastAsia="Arial"/>
                <w:bCs/>
              </w:rPr>
              <w:t>RCP4.5 CCSM4 2085</w:t>
            </w:r>
          </w:p>
        </w:tc>
        <w:tc>
          <w:tcPr>
            <w:tcW w:w="1530" w:type="dxa"/>
            <w:noWrap/>
            <w:hideMark/>
          </w:tcPr>
          <w:p w14:paraId="5F5F5474" w14:textId="77777777" w:rsidR="00CC6B36" w:rsidRPr="006370E0" w:rsidRDefault="00CC6B36" w:rsidP="00D20AC1">
            <w:pPr>
              <w:jc w:val="center"/>
              <w:rPr>
                <w:rFonts w:eastAsia="Arial"/>
                <w:bCs/>
              </w:rPr>
            </w:pPr>
            <w:r w:rsidRPr="006370E0">
              <w:rPr>
                <w:rFonts w:eastAsia="Arial"/>
                <w:bCs/>
              </w:rPr>
              <w:t>0.8456417</w:t>
            </w:r>
          </w:p>
        </w:tc>
        <w:tc>
          <w:tcPr>
            <w:tcW w:w="1440" w:type="dxa"/>
            <w:noWrap/>
            <w:hideMark/>
          </w:tcPr>
          <w:p w14:paraId="6737CA3E" w14:textId="77777777" w:rsidR="00CC6B36" w:rsidRPr="006370E0" w:rsidRDefault="00CC6B36" w:rsidP="00D20AC1">
            <w:pPr>
              <w:jc w:val="center"/>
              <w:rPr>
                <w:rFonts w:eastAsia="Arial"/>
                <w:bCs/>
              </w:rPr>
            </w:pPr>
            <w:r w:rsidRPr="006370E0">
              <w:rPr>
                <w:rFonts w:eastAsia="Arial"/>
                <w:bCs/>
              </w:rPr>
              <w:t>0.9691333</w:t>
            </w:r>
          </w:p>
        </w:tc>
        <w:tc>
          <w:tcPr>
            <w:tcW w:w="1440" w:type="dxa"/>
            <w:noWrap/>
            <w:hideMark/>
          </w:tcPr>
          <w:p w14:paraId="6256A023" w14:textId="77777777" w:rsidR="00CC6B36" w:rsidRPr="006370E0" w:rsidRDefault="00CC6B36" w:rsidP="00D20AC1">
            <w:pPr>
              <w:jc w:val="center"/>
              <w:rPr>
                <w:rFonts w:eastAsia="Arial"/>
                <w:bCs/>
              </w:rPr>
            </w:pPr>
            <w:r w:rsidRPr="006370E0">
              <w:rPr>
                <w:rFonts w:eastAsia="Arial"/>
                <w:bCs/>
              </w:rPr>
              <w:t>0.7421008</w:t>
            </w:r>
          </w:p>
        </w:tc>
        <w:tc>
          <w:tcPr>
            <w:tcW w:w="1530" w:type="dxa"/>
            <w:noWrap/>
            <w:hideMark/>
          </w:tcPr>
          <w:p w14:paraId="304A42F8" w14:textId="77777777" w:rsidR="00CC6B36" w:rsidRPr="006370E0" w:rsidRDefault="00CC6B36" w:rsidP="00D20AC1">
            <w:pPr>
              <w:jc w:val="center"/>
              <w:rPr>
                <w:rFonts w:eastAsia="Arial"/>
                <w:bCs/>
              </w:rPr>
            </w:pPr>
            <w:r w:rsidRPr="006370E0">
              <w:rPr>
                <w:rFonts w:eastAsia="Arial"/>
                <w:bCs/>
              </w:rPr>
              <w:t>0.9162758</w:t>
            </w:r>
          </w:p>
        </w:tc>
      </w:tr>
      <w:tr w:rsidR="00CC6B36" w:rsidRPr="006370E0" w14:paraId="7DFD875D" w14:textId="77777777" w:rsidTr="00D20AC1">
        <w:trPr>
          <w:trHeight w:val="320"/>
        </w:trPr>
        <w:tc>
          <w:tcPr>
            <w:tcW w:w="2875" w:type="dxa"/>
            <w:noWrap/>
            <w:hideMark/>
          </w:tcPr>
          <w:p w14:paraId="6409492B" w14:textId="77777777" w:rsidR="00CC6B36" w:rsidRPr="006370E0" w:rsidRDefault="00CC6B36" w:rsidP="00D20AC1">
            <w:pPr>
              <w:jc w:val="center"/>
              <w:rPr>
                <w:rFonts w:eastAsia="Arial"/>
                <w:bCs/>
              </w:rPr>
            </w:pPr>
            <w:r w:rsidRPr="006370E0">
              <w:rPr>
                <w:rFonts w:eastAsia="Arial"/>
                <w:bCs/>
              </w:rPr>
              <w:t>RCP8.5 CCSM4 2085</w:t>
            </w:r>
          </w:p>
        </w:tc>
        <w:tc>
          <w:tcPr>
            <w:tcW w:w="1530" w:type="dxa"/>
            <w:noWrap/>
            <w:hideMark/>
          </w:tcPr>
          <w:p w14:paraId="5348D28F" w14:textId="77777777" w:rsidR="00CC6B36" w:rsidRPr="006370E0" w:rsidRDefault="00CC6B36" w:rsidP="00D20AC1">
            <w:pPr>
              <w:jc w:val="center"/>
              <w:rPr>
                <w:rFonts w:eastAsia="Arial"/>
                <w:bCs/>
              </w:rPr>
            </w:pPr>
            <w:r w:rsidRPr="006370E0">
              <w:rPr>
                <w:rFonts w:eastAsia="Arial"/>
                <w:bCs/>
              </w:rPr>
              <w:t>0.8313712</w:t>
            </w:r>
          </w:p>
        </w:tc>
        <w:tc>
          <w:tcPr>
            <w:tcW w:w="1440" w:type="dxa"/>
            <w:noWrap/>
            <w:hideMark/>
          </w:tcPr>
          <w:p w14:paraId="2BC28CEB" w14:textId="77777777" w:rsidR="00CC6B36" w:rsidRPr="006370E0" w:rsidRDefault="00CC6B36" w:rsidP="00D20AC1">
            <w:pPr>
              <w:jc w:val="center"/>
              <w:rPr>
                <w:rFonts w:eastAsia="Arial"/>
                <w:bCs/>
              </w:rPr>
            </w:pPr>
            <w:r w:rsidRPr="006370E0">
              <w:rPr>
                <w:rFonts w:eastAsia="Arial"/>
                <w:bCs/>
              </w:rPr>
              <w:t>0.9658213</w:t>
            </w:r>
          </w:p>
        </w:tc>
        <w:tc>
          <w:tcPr>
            <w:tcW w:w="1440" w:type="dxa"/>
            <w:noWrap/>
            <w:hideMark/>
          </w:tcPr>
          <w:p w14:paraId="61A4EC76" w14:textId="77777777" w:rsidR="00CC6B36" w:rsidRPr="006370E0" w:rsidRDefault="00CC6B36" w:rsidP="00D20AC1">
            <w:pPr>
              <w:jc w:val="center"/>
              <w:rPr>
                <w:rFonts w:eastAsia="Arial"/>
                <w:bCs/>
              </w:rPr>
            </w:pPr>
            <w:r w:rsidRPr="006370E0">
              <w:rPr>
                <w:rFonts w:eastAsia="Arial"/>
                <w:bCs/>
              </w:rPr>
              <w:t>0.705309</w:t>
            </w:r>
          </w:p>
        </w:tc>
        <w:tc>
          <w:tcPr>
            <w:tcW w:w="1530" w:type="dxa"/>
            <w:noWrap/>
            <w:hideMark/>
          </w:tcPr>
          <w:p w14:paraId="0F104396" w14:textId="77777777" w:rsidR="00CC6B36" w:rsidRPr="006370E0" w:rsidRDefault="00CC6B36" w:rsidP="00D20AC1">
            <w:pPr>
              <w:jc w:val="center"/>
              <w:rPr>
                <w:rFonts w:eastAsia="Arial"/>
                <w:bCs/>
              </w:rPr>
            </w:pPr>
            <w:r w:rsidRPr="006370E0">
              <w:rPr>
                <w:rFonts w:eastAsia="Arial"/>
                <w:bCs/>
              </w:rPr>
              <w:t>0.8787653</w:t>
            </w:r>
          </w:p>
        </w:tc>
      </w:tr>
      <w:tr w:rsidR="00CC6B36" w:rsidRPr="006370E0" w14:paraId="58C13494" w14:textId="77777777" w:rsidTr="00D20AC1">
        <w:trPr>
          <w:trHeight w:val="320"/>
        </w:trPr>
        <w:tc>
          <w:tcPr>
            <w:tcW w:w="2875" w:type="dxa"/>
            <w:noWrap/>
            <w:hideMark/>
          </w:tcPr>
          <w:p w14:paraId="023EEBA2" w14:textId="77777777" w:rsidR="00CC6B36" w:rsidRPr="006370E0" w:rsidRDefault="00CC6B36" w:rsidP="00D20AC1">
            <w:pPr>
              <w:jc w:val="center"/>
              <w:rPr>
                <w:rFonts w:eastAsia="Arial"/>
                <w:bCs/>
              </w:rPr>
            </w:pPr>
            <w:r w:rsidRPr="006370E0">
              <w:rPr>
                <w:rFonts w:eastAsia="Arial"/>
                <w:bCs/>
              </w:rPr>
              <w:t>RCP4.5 GFDLCM3 2055</w:t>
            </w:r>
          </w:p>
        </w:tc>
        <w:tc>
          <w:tcPr>
            <w:tcW w:w="1530" w:type="dxa"/>
            <w:noWrap/>
            <w:hideMark/>
          </w:tcPr>
          <w:p w14:paraId="42E2483E" w14:textId="77777777" w:rsidR="00CC6B36" w:rsidRPr="006370E0" w:rsidRDefault="00CC6B36" w:rsidP="00D20AC1">
            <w:pPr>
              <w:jc w:val="center"/>
              <w:rPr>
                <w:rFonts w:eastAsia="Arial"/>
                <w:bCs/>
              </w:rPr>
            </w:pPr>
            <w:r w:rsidRPr="006370E0">
              <w:rPr>
                <w:rFonts w:eastAsia="Arial"/>
                <w:bCs/>
              </w:rPr>
              <w:t>0.8677373</w:t>
            </w:r>
          </w:p>
        </w:tc>
        <w:tc>
          <w:tcPr>
            <w:tcW w:w="1440" w:type="dxa"/>
            <w:noWrap/>
            <w:hideMark/>
          </w:tcPr>
          <w:p w14:paraId="7DFA5AAC" w14:textId="77777777" w:rsidR="00CC6B36" w:rsidRPr="006370E0" w:rsidRDefault="00CC6B36" w:rsidP="00D20AC1">
            <w:pPr>
              <w:jc w:val="center"/>
              <w:rPr>
                <w:rFonts w:eastAsia="Arial"/>
                <w:bCs/>
              </w:rPr>
            </w:pPr>
            <w:r w:rsidRPr="006370E0">
              <w:rPr>
                <w:rFonts w:eastAsia="Arial"/>
                <w:bCs/>
              </w:rPr>
              <w:t>0.9751551</w:t>
            </w:r>
          </w:p>
        </w:tc>
        <w:tc>
          <w:tcPr>
            <w:tcW w:w="1440" w:type="dxa"/>
            <w:noWrap/>
            <w:hideMark/>
          </w:tcPr>
          <w:p w14:paraId="08757BC3" w14:textId="77777777" w:rsidR="00CC6B36" w:rsidRPr="006370E0" w:rsidRDefault="00CC6B36" w:rsidP="00D20AC1">
            <w:pPr>
              <w:jc w:val="center"/>
              <w:rPr>
                <w:rFonts w:eastAsia="Arial"/>
                <w:bCs/>
              </w:rPr>
            </w:pPr>
            <w:r w:rsidRPr="006370E0">
              <w:rPr>
                <w:rFonts w:eastAsia="Arial"/>
                <w:bCs/>
              </w:rPr>
              <w:t>0.591226</w:t>
            </w:r>
          </w:p>
        </w:tc>
        <w:tc>
          <w:tcPr>
            <w:tcW w:w="1530" w:type="dxa"/>
            <w:noWrap/>
            <w:hideMark/>
          </w:tcPr>
          <w:p w14:paraId="1E19A44F" w14:textId="77777777" w:rsidR="00CC6B36" w:rsidRPr="006370E0" w:rsidRDefault="00CC6B36" w:rsidP="00D20AC1">
            <w:pPr>
              <w:jc w:val="center"/>
              <w:rPr>
                <w:rFonts w:eastAsia="Arial"/>
                <w:bCs/>
              </w:rPr>
            </w:pPr>
            <w:r w:rsidRPr="006370E0">
              <w:rPr>
                <w:rFonts w:eastAsia="Arial"/>
                <w:bCs/>
              </w:rPr>
              <w:t>0.8106839</w:t>
            </w:r>
          </w:p>
        </w:tc>
      </w:tr>
      <w:tr w:rsidR="00CC6B36" w:rsidRPr="006370E0" w14:paraId="09D0F8D4" w14:textId="77777777" w:rsidTr="00D20AC1">
        <w:trPr>
          <w:trHeight w:val="320"/>
        </w:trPr>
        <w:tc>
          <w:tcPr>
            <w:tcW w:w="2875" w:type="dxa"/>
            <w:noWrap/>
            <w:hideMark/>
          </w:tcPr>
          <w:p w14:paraId="070AEF5B" w14:textId="77777777" w:rsidR="00CC6B36" w:rsidRPr="006370E0" w:rsidRDefault="00CC6B36" w:rsidP="00D20AC1">
            <w:pPr>
              <w:jc w:val="center"/>
              <w:rPr>
                <w:rFonts w:eastAsia="Arial"/>
                <w:bCs/>
              </w:rPr>
            </w:pPr>
            <w:r w:rsidRPr="006370E0">
              <w:rPr>
                <w:rFonts w:eastAsia="Arial"/>
                <w:bCs/>
              </w:rPr>
              <w:t>RCP8.5 GFDLCM3 2055</w:t>
            </w:r>
          </w:p>
        </w:tc>
        <w:tc>
          <w:tcPr>
            <w:tcW w:w="1530" w:type="dxa"/>
            <w:noWrap/>
            <w:hideMark/>
          </w:tcPr>
          <w:p w14:paraId="498D2484" w14:textId="77777777" w:rsidR="00CC6B36" w:rsidRPr="006370E0" w:rsidRDefault="00CC6B36" w:rsidP="00D20AC1">
            <w:pPr>
              <w:jc w:val="center"/>
              <w:rPr>
                <w:rFonts w:eastAsia="Arial"/>
                <w:bCs/>
              </w:rPr>
            </w:pPr>
            <w:r w:rsidRPr="006370E0">
              <w:rPr>
                <w:rFonts w:eastAsia="Arial"/>
                <w:bCs/>
              </w:rPr>
              <w:t>0.8716823</w:t>
            </w:r>
          </w:p>
        </w:tc>
        <w:tc>
          <w:tcPr>
            <w:tcW w:w="1440" w:type="dxa"/>
            <w:noWrap/>
            <w:hideMark/>
          </w:tcPr>
          <w:p w14:paraId="46BEA71B" w14:textId="77777777" w:rsidR="00CC6B36" w:rsidRPr="006370E0" w:rsidRDefault="00CC6B36" w:rsidP="00D20AC1">
            <w:pPr>
              <w:jc w:val="center"/>
              <w:rPr>
                <w:rFonts w:eastAsia="Arial"/>
                <w:bCs/>
              </w:rPr>
            </w:pPr>
            <w:r w:rsidRPr="006370E0">
              <w:rPr>
                <w:rFonts w:eastAsia="Arial"/>
                <w:bCs/>
              </w:rPr>
              <w:t>0.9766772</w:t>
            </w:r>
          </w:p>
        </w:tc>
        <w:tc>
          <w:tcPr>
            <w:tcW w:w="1440" w:type="dxa"/>
            <w:noWrap/>
            <w:hideMark/>
          </w:tcPr>
          <w:p w14:paraId="1B1D97C5" w14:textId="77777777" w:rsidR="00CC6B36" w:rsidRPr="006370E0" w:rsidRDefault="00CC6B36" w:rsidP="00D20AC1">
            <w:pPr>
              <w:jc w:val="center"/>
              <w:rPr>
                <w:rFonts w:eastAsia="Arial"/>
                <w:bCs/>
              </w:rPr>
            </w:pPr>
            <w:r w:rsidRPr="006370E0">
              <w:rPr>
                <w:rFonts w:eastAsia="Arial"/>
                <w:bCs/>
              </w:rPr>
              <w:t>0.7563458</w:t>
            </w:r>
          </w:p>
        </w:tc>
        <w:tc>
          <w:tcPr>
            <w:tcW w:w="1530" w:type="dxa"/>
            <w:noWrap/>
            <w:hideMark/>
          </w:tcPr>
          <w:p w14:paraId="595415B0" w14:textId="77777777" w:rsidR="00CC6B36" w:rsidRPr="006370E0" w:rsidRDefault="00CC6B36" w:rsidP="00D20AC1">
            <w:pPr>
              <w:jc w:val="center"/>
              <w:rPr>
                <w:rFonts w:eastAsia="Arial"/>
                <w:bCs/>
              </w:rPr>
            </w:pPr>
            <w:r w:rsidRPr="006370E0">
              <w:rPr>
                <w:rFonts w:eastAsia="Arial"/>
                <w:bCs/>
              </w:rPr>
              <w:t>0.9424063</w:t>
            </w:r>
          </w:p>
        </w:tc>
      </w:tr>
      <w:tr w:rsidR="00CC6B36" w:rsidRPr="006370E0" w14:paraId="5BDE2A9E" w14:textId="77777777" w:rsidTr="00D20AC1">
        <w:trPr>
          <w:trHeight w:val="320"/>
        </w:trPr>
        <w:tc>
          <w:tcPr>
            <w:tcW w:w="2875" w:type="dxa"/>
            <w:noWrap/>
            <w:hideMark/>
          </w:tcPr>
          <w:p w14:paraId="30E6821B" w14:textId="77777777" w:rsidR="00CC6B36" w:rsidRPr="006370E0" w:rsidRDefault="00CC6B36" w:rsidP="00D20AC1">
            <w:pPr>
              <w:jc w:val="center"/>
              <w:rPr>
                <w:rFonts w:eastAsia="Arial"/>
                <w:bCs/>
              </w:rPr>
            </w:pPr>
            <w:r w:rsidRPr="006370E0">
              <w:rPr>
                <w:rFonts w:eastAsia="Arial"/>
                <w:bCs/>
              </w:rPr>
              <w:t>RCP4.5 GFDLCM3 2085</w:t>
            </w:r>
          </w:p>
        </w:tc>
        <w:tc>
          <w:tcPr>
            <w:tcW w:w="1530" w:type="dxa"/>
            <w:noWrap/>
            <w:hideMark/>
          </w:tcPr>
          <w:p w14:paraId="161A1C47" w14:textId="77777777" w:rsidR="00CC6B36" w:rsidRPr="006370E0" w:rsidRDefault="00CC6B36" w:rsidP="00D20AC1">
            <w:pPr>
              <w:jc w:val="center"/>
              <w:rPr>
                <w:rFonts w:eastAsia="Arial"/>
                <w:bCs/>
              </w:rPr>
            </w:pPr>
            <w:r w:rsidRPr="006370E0">
              <w:rPr>
                <w:rFonts w:eastAsia="Arial"/>
                <w:bCs/>
              </w:rPr>
              <w:t>0.8756829</w:t>
            </w:r>
          </w:p>
        </w:tc>
        <w:tc>
          <w:tcPr>
            <w:tcW w:w="1440" w:type="dxa"/>
            <w:noWrap/>
            <w:hideMark/>
          </w:tcPr>
          <w:p w14:paraId="02BB9ACD" w14:textId="77777777" w:rsidR="00CC6B36" w:rsidRPr="006370E0" w:rsidRDefault="00CC6B36" w:rsidP="00D20AC1">
            <w:pPr>
              <w:jc w:val="center"/>
              <w:rPr>
                <w:rFonts w:eastAsia="Arial"/>
                <w:bCs/>
              </w:rPr>
            </w:pPr>
            <w:r w:rsidRPr="006370E0">
              <w:rPr>
                <w:rFonts w:eastAsia="Arial"/>
                <w:bCs/>
              </w:rPr>
              <w:t>0.9809714</w:t>
            </w:r>
          </w:p>
        </w:tc>
        <w:tc>
          <w:tcPr>
            <w:tcW w:w="1440" w:type="dxa"/>
            <w:noWrap/>
            <w:hideMark/>
          </w:tcPr>
          <w:p w14:paraId="722E5721" w14:textId="77777777" w:rsidR="00CC6B36" w:rsidRPr="006370E0" w:rsidRDefault="00CC6B36" w:rsidP="00D20AC1">
            <w:pPr>
              <w:jc w:val="center"/>
              <w:rPr>
                <w:rFonts w:eastAsia="Arial"/>
                <w:bCs/>
              </w:rPr>
            </w:pPr>
            <w:r w:rsidRPr="006370E0">
              <w:rPr>
                <w:rFonts w:eastAsia="Arial"/>
                <w:bCs/>
              </w:rPr>
              <w:t>0.8875251</w:t>
            </w:r>
          </w:p>
        </w:tc>
        <w:tc>
          <w:tcPr>
            <w:tcW w:w="1530" w:type="dxa"/>
            <w:noWrap/>
            <w:hideMark/>
          </w:tcPr>
          <w:p w14:paraId="76D170B8" w14:textId="77777777" w:rsidR="00CC6B36" w:rsidRPr="006370E0" w:rsidRDefault="00CC6B36" w:rsidP="00D20AC1">
            <w:pPr>
              <w:jc w:val="center"/>
              <w:rPr>
                <w:rFonts w:eastAsia="Arial"/>
                <w:bCs/>
              </w:rPr>
            </w:pPr>
            <w:r w:rsidRPr="006370E0">
              <w:rPr>
                <w:rFonts w:eastAsia="Arial"/>
                <w:bCs/>
              </w:rPr>
              <w:t>0.98414</w:t>
            </w:r>
          </w:p>
        </w:tc>
      </w:tr>
      <w:tr w:rsidR="00CC6B36" w:rsidRPr="006370E0" w14:paraId="2C36E4F9" w14:textId="77777777" w:rsidTr="00D20AC1">
        <w:trPr>
          <w:trHeight w:val="320"/>
        </w:trPr>
        <w:tc>
          <w:tcPr>
            <w:tcW w:w="2875" w:type="dxa"/>
            <w:noWrap/>
            <w:hideMark/>
          </w:tcPr>
          <w:p w14:paraId="7515DF43" w14:textId="77777777" w:rsidR="00CC6B36" w:rsidRPr="006370E0" w:rsidRDefault="00CC6B36" w:rsidP="00D20AC1">
            <w:pPr>
              <w:jc w:val="center"/>
              <w:rPr>
                <w:rFonts w:eastAsia="Arial"/>
                <w:bCs/>
              </w:rPr>
            </w:pPr>
            <w:r w:rsidRPr="006370E0">
              <w:rPr>
                <w:rFonts w:eastAsia="Arial"/>
                <w:bCs/>
              </w:rPr>
              <w:t>RCP8.5 GFDLCM3 2085</w:t>
            </w:r>
          </w:p>
        </w:tc>
        <w:tc>
          <w:tcPr>
            <w:tcW w:w="1530" w:type="dxa"/>
            <w:noWrap/>
            <w:hideMark/>
          </w:tcPr>
          <w:p w14:paraId="632314CF" w14:textId="77777777" w:rsidR="00CC6B36" w:rsidRPr="006370E0" w:rsidRDefault="00CC6B36" w:rsidP="00D20AC1">
            <w:pPr>
              <w:jc w:val="center"/>
              <w:rPr>
                <w:rFonts w:eastAsia="Arial"/>
                <w:bCs/>
              </w:rPr>
            </w:pPr>
            <w:r w:rsidRPr="006370E0">
              <w:rPr>
                <w:rFonts w:eastAsia="Arial"/>
                <w:bCs/>
              </w:rPr>
              <w:t>0.8237087</w:t>
            </w:r>
          </w:p>
        </w:tc>
        <w:tc>
          <w:tcPr>
            <w:tcW w:w="1440" w:type="dxa"/>
            <w:noWrap/>
            <w:hideMark/>
          </w:tcPr>
          <w:p w14:paraId="53E2329F" w14:textId="77777777" w:rsidR="00CC6B36" w:rsidRPr="006370E0" w:rsidRDefault="00CC6B36" w:rsidP="00D20AC1">
            <w:pPr>
              <w:jc w:val="center"/>
              <w:rPr>
                <w:rFonts w:eastAsia="Arial"/>
                <w:bCs/>
              </w:rPr>
            </w:pPr>
            <w:r w:rsidRPr="006370E0">
              <w:rPr>
                <w:rFonts w:eastAsia="Arial"/>
                <w:bCs/>
              </w:rPr>
              <w:t>0.9627313</w:t>
            </w:r>
          </w:p>
        </w:tc>
        <w:tc>
          <w:tcPr>
            <w:tcW w:w="1440" w:type="dxa"/>
            <w:noWrap/>
            <w:hideMark/>
          </w:tcPr>
          <w:p w14:paraId="27BCED68" w14:textId="77777777" w:rsidR="00CC6B36" w:rsidRPr="006370E0" w:rsidRDefault="00CC6B36" w:rsidP="00D20AC1">
            <w:pPr>
              <w:jc w:val="center"/>
              <w:rPr>
                <w:rFonts w:eastAsia="Arial"/>
                <w:bCs/>
              </w:rPr>
            </w:pPr>
            <w:r w:rsidRPr="006370E0">
              <w:rPr>
                <w:rFonts w:eastAsia="Arial"/>
                <w:bCs/>
              </w:rPr>
              <w:t>0.847305</w:t>
            </w:r>
          </w:p>
        </w:tc>
        <w:tc>
          <w:tcPr>
            <w:tcW w:w="1530" w:type="dxa"/>
            <w:noWrap/>
            <w:hideMark/>
          </w:tcPr>
          <w:p w14:paraId="15EC7AFC" w14:textId="77777777" w:rsidR="00CC6B36" w:rsidRPr="006370E0" w:rsidRDefault="00CC6B36" w:rsidP="00D20AC1">
            <w:pPr>
              <w:jc w:val="center"/>
              <w:rPr>
                <w:rFonts w:eastAsia="Arial"/>
                <w:bCs/>
              </w:rPr>
            </w:pPr>
            <w:r w:rsidRPr="006370E0">
              <w:rPr>
                <w:rFonts w:eastAsia="Arial"/>
                <w:bCs/>
              </w:rPr>
              <w:t>0.9618527</w:t>
            </w:r>
          </w:p>
        </w:tc>
      </w:tr>
    </w:tbl>
    <w:p w14:paraId="50FAEC9D" w14:textId="77777777" w:rsidR="00CC6B36" w:rsidRDefault="00CC6B36" w:rsidP="00CC6B36">
      <w:pPr>
        <w:rPr>
          <w:rFonts w:eastAsia="Arial"/>
          <w:color w:val="000000"/>
        </w:rPr>
      </w:pPr>
    </w:p>
    <w:p w14:paraId="455419CD" w14:textId="77777777" w:rsidR="00CC6B36" w:rsidRPr="003F6907" w:rsidRDefault="00CC6B36" w:rsidP="00CC6B36">
      <w:pPr>
        <w:rPr>
          <w:rFonts w:eastAsia="Arial"/>
          <w:color w:val="000000"/>
          <w:sz w:val="20"/>
          <w:szCs w:val="20"/>
        </w:rPr>
      </w:pPr>
      <w:r w:rsidRPr="003F6907">
        <w:rPr>
          <w:rFonts w:eastAsia="Arial"/>
          <w:color w:val="000000"/>
          <w:sz w:val="20"/>
          <w:szCs w:val="20"/>
        </w:rPr>
        <w:t>Table 7 footnote</w:t>
      </w:r>
      <w:r>
        <w:rPr>
          <w:rFonts w:eastAsia="Arial"/>
          <w:color w:val="000000"/>
          <w:sz w:val="20"/>
          <w:szCs w:val="20"/>
        </w:rPr>
        <w:t>.</w:t>
      </w:r>
      <w:r w:rsidRPr="003F6907">
        <w:rPr>
          <w:rFonts w:eastAsia="Arial"/>
          <w:color w:val="000000"/>
          <w:sz w:val="20"/>
          <w:szCs w:val="20"/>
        </w:rPr>
        <w:t xml:space="preserve"> </w:t>
      </w:r>
      <w:r w:rsidRPr="003F6907">
        <w:rPr>
          <w:rFonts w:eastAsia="Arial"/>
          <w:sz w:val="20"/>
          <w:szCs w:val="20"/>
        </w:rPr>
        <w:t>Asterisks (*) denotes p&lt;0.05.</w:t>
      </w:r>
    </w:p>
    <w:p w14:paraId="466EB459" w14:textId="77777777" w:rsidR="00CC6B36" w:rsidRDefault="00CC6B36" w:rsidP="00CC6B36">
      <w:pPr>
        <w:rPr>
          <w:rFonts w:eastAsia="Arial"/>
          <w:color w:val="000000"/>
        </w:rPr>
      </w:pPr>
      <w:r>
        <w:rPr>
          <w:rFonts w:eastAsia="Arial"/>
          <w:color w:val="000000"/>
        </w:rPr>
        <w:br w:type="page"/>
      </w:r>
    </w:p>
    <w:p w14:paraId="22185270" w14:textId="2009A33C" w:rsidR="00EA205E" w:rsidRPr="00215F16" w:rsidRDefault="007F768A" w:rsidP="00215F16">
      <w:pPr>
        <w:spacing w:line="360" w:lineRule="auto"/>
        <w:rPr>
          <w:rFonts w:eastAsia="Arial"/>
          <w:color w:val="000000"/>
        </w:rPr>
      </w:pPr>
      <w:r w:rsidRPr="00317D28">
        <w:rPr>
          <w:rFonts w:eastAsia="Arial"/>
          <w:color w:val="000000"/>
        </w:rPr>
        <w:lastRenderedPageBreak/>
        <w:t xml:space="preserve">varied dramatically between the two species. Under most future scenarios, including the best-fit models, the available niche space for </w:t>
      </w:r>
      <w:r w:rsidRPr="00713426">
        <w:rPr>
          <w:rFonts w:eastAsia="Arial"/>
          <w:i/>
          <w:iCs/>
          <w:color w:val="000000"/>
        </w:rPr>
        <w:t xml:space="preserve">Pinus </w:t>
      </w:r>
      <w:proofErr w:type="spellStart"/>
      <w:r w:rsidRPr="003230D0">
        <w:rPr>
          <w:rFonts w:eastAsia="Arial"/>
          <w:i/>
          <w:iCs/>
          <w:color w:val="000000"/>
        </w:rPr>
        <w:t>strobus</w:t>
      </w:r>
      <w:proofErr w:type="spellEnd"/>
      <w:r w:rsidRPr="003230D0">
        <w:rPr>
          <w:rFonts w:eastAsia="Arial"/>
          <w:color w:val="000000"/>
        </w:rPr>
        <w:t xml:space="preserve"> may contract up to 18% or even expand slightly from its current climate niche (mean change=-9.59%; </w:t>
      </w:r>
      <w:r w:rsidR="00F814F5" w:rsidRPr="003230D0">
        <w:rPr>
          <w:rFonts w:eastAsia="Arial"/>
          <w:b/>
          <w:bCs/>
          <w:color w:val="000000"/>
        </w:rPr>
        <w:t>Resource6.xslx</w:t>
      </w:r>
      <w:r w:rsidRPr="003230D0">
        <w:rPr>
          <w:rFonts w:eastAsia="Arial"/>
          <w:color w:val="000000"/>
        </w:rPr>
        <w:t xml:space="preserve">). </w:t>
      </w:r>
      <w:proofErr w:type="spellStart"/>
      <w:r w:rsidRPr="003230D0">
        <w:rPr>
          <w:rFonts w:eastAsia="Arial"/>
          <w:i/>
          <w:iCs/>
          <w:color w:val="000000"/>
        </w:rPr>
        <w:t>Suillus</w:t>
      </w:r>
      <w:proofErr w:type="spellEnd"/>
      <w:r w:rsidRPr="003230D0">
        <w:rPr>
          <w:rFonts w:eastAsia="Arial"/>
          <w:i/>
          <w:iCs/>
          <w:color w:val="000000"/>
        </w:rPr>
        <w:t xml:space="preserve"> </w:t>
      </w:r>
      <w:proofErr w:type="spellStart"/>
      <w:r w:rsidRPr="003230D0">
        <w:rPr>
          <w:rFonts w:eastAsia="Arial"/>
          <w:i/>
          <w:iCs/>
          <w:color w:val="000000"/>
        </w:rPr>
        <w:t>spraguei</w:t>
      </w:r>
      <w:proofErr w:type="spellEnd"/>
      <w:r w:rsidRPr="003230D0">
        <w:rPr>
          <w:rFonts w:eastAsia="Arial"/>
          <w:color w:val="000000"/>
        </w:rPr>
        <w:t>, however, loses suitable niche space under every future climate model (mean change = -36.33%</w:t>
      </w:r>
      <w:r w:rsidR="00F814F5" w:rsidRPr="003230D0">
        <w:rPr>
          <w:rFonts w:eastAsia="Arial"/>
          <w:color w:val="000000"/>
        </w:rPr>
        <w:t xml:space="preserve">; </w:t>
      </w:r>
      <w:r w:rsidR="00F814F5" w:rsidRPr="003230D0">
        <w:rPr>
          <w:rFonts w:eastAsia="Arial"/>
          <w:b/>
          <w:bCs/>
          <w:color w:val="000000"/>
        </w:rPr>
        <w:t>Resource6.xslx</w:t>
      </w:r>
      <w:r w:rsidRPr="003230D0">
        <w:rPr>
          <w:rFonts w:eastAsia="Arial"/>
          <w:color w:val="000000"/>
        </w:rPr>
        <w:t xml:space="preserve">). Under the most extreme future climate scenarios, </w:t>
      </w:r>
      <w:r w:rsidRPr="003230D0">
        <w:rPr>
          <w:rFonts w:eastAsia="Arial"/>
          <w:i/>
          <w:iCs/>
          <w:color w:val="000000"/>
        </w:rPr>
        <w:t xml:space="preserve">P. </w:t>
      </w:r>
      <w:proofErr w:type="spellStart"/>
      <w:r w:rsidRPr="003230D0">
        <w:rPr>
          <w:rFonts w:eastAsia="Arial"/>
          <w:i/>
          <w:iCs/>
          <w:color w:val="000000"/>
        </w:rPr>
        <w:t>strobus</w:t>
      </w:r>
      <w:proofErr w:type="spellEnd"/>
      <w:r w:rsidRPr="003230D0">
        <w:rPr>
          <w:rFonts w:eastAsia="Arial"/>
          <w:color w:val="000000"/>
        </w:rPr>
        <w:t xml:space="preserve"> loses up to 45% of its suitable niche when</w:t>
      </w:r>
      <w:r w:rsidRPr="00D02948">
        <w:rPr>
          <w:rFonts w:eastAsia="Arial"/>
          <w:color w:val="000000"/>
        </w:rPr>
        <w:t xml:space="preserve"> compared to the current climate, while suitable niche space for </w:t>
      </w:r>
      <w:r w:rsidRPr="00D02948">
        <w:rPr>
          <w:rFonts w:eastAsia="Arial"/>
          <w:i/>
          <w:iCs/>
          <w:color w:val="000000"/>
        </w:rPr>
        <w:t xml:space="preserve">S. </w:t>
      </w:r>
      <w:proofErr w:type="spellStart"/>
      <w:r w:rsidRPr="00D02948">
        <w:rPr>
          <w:rFonts w:eastAsia="Arial"/>
          <w:i/>
          <w:iCs/>
          <w:color w:val="000000"/>
        </w:rPr>
        <w:t>spraguei</w:t>
      </w:r>
      <w:proofErr w:type="spellEnd"/>
      <w:r w:rsidRPr="00D02948">
        <w:rPr>
          <w:rFonts w:eastAsia="Arial"/>
          <w:color w:val="000000"/>
        </w:rPr>
        <w:t xml:space="preserve"> contracts upwards of 60-70%.</w:t>
      </w:r>
      <w:r>
        <w:rPr>
          <w:rFonts w:eastAsia="Arial"/>
          <w:color w:val="000000"/>
        </w:rPr>
        <w:t xml:space="preserve"> Suitable habitat (km</w:t>
      </w:r>
      <w:r w:rsidRPr="0054745E">
        <w:rPr>
          <w:rFonts w:eastAsia="Arial"/>
          <w:color w:val="000000"/>
          <w:vertAlign w:val="superscript"/>
        </w:rPr>
        <w:t>2</w:t>
      </w:r>
      <w:r>
        <w:rPr>
          <w:rFonts w:eastAsia="Arial"/>
          <w:color w:val="000000"/>
        </w:rPr>
        <w:t xml:space="preserve">) from our best fit future climate models (RCP4.5 INM-CM4 2055 and RCP8.5 CCSM4 2005) show that </w:t>
      </w:r>
      <w:r w:rsidRPr="0054745E">
        <w:rPr>
          <w:rFonts w:eastAsia="Arial"/>
          <w:i/>
          <w:iCs/>
          <w:color w:val="000000"/>
        </w:rPr>
        <w:t xml:space="preserve">S. </w:t>
      </w:r>
      <w:proofErr w:type="spellStart"/>
      <w:r w:rsidRPr="0054745E">
        <w:rPr>
          <w:rFonts w:eastAsia="Arial"/>
          <w:i/>
          <w:iCs/>
          <w:color w:val="000000"/>
        </w:rPr>
        <w:t>spraguei</w:t>
      </w:r>
      <w:proofErr w:type="spellEnd"/>
      <w:r>
        <w:rPr>
          <w:rFonts w:eastAsia="Arial"/>
          <w:color w:val="000000"/>
        </w:rPr>
        <w:t xml:space="preserve"> has notably less suitable habitat in comparison to </w:t>
      </w:r>
      <w:r w:rsidRPr="0054745E">
        <w:rPr>
          <w:rFonts w:eastAsia="Arial"/>
          <w:i/>
          <w:iCs/>
          <w:color w:val="000000"/>
        </w:rPr>
        <w:t xml:space="preserve">P. </w:t>
      </w:r>
      <w:proofErr w:type="spellStart"/>
      <w:r w:rsidRPr="0054745E">
        <w:rPr>
          <w:rFonts w:eastAsia="Arial"/>
          <w:i/>
          <w:iCs/>
          <w:color w:val="000000"/>
        </w:rPr>
        <w:t>strobus</w:t>
      </w:r>
      <w:proofErr w:type="spellEnd"/>
      <w:r>
        <w:rPr>
          <w:rFonts w:eastAsia="Arial"/>
          <w:color w:val="000000"/>
        </w:rPr>
        <w:t xml:space="preserve"> and it decreases as climate scenarios become more extreme (</w:t>
      </w:r>
      <w:r w:rsidR="005355D9">
        <w:rPr>
          <w:rFonts w:eastAsia="Arial"/>
          <w:b/>
          <w:bCs/>
          <w:color w:val="000000"/>
        </w:rPr>
        <w:t>Figure</w:t>
      </w:r>
      <w:r w:rsidRPr="00146C47">
        <w:rPr>
          <w:rFonts w:eastAsia="Arial"/>
          <w:b/>
          <w:bCs/>
          <w:color w:val="000000"/>
        </w:rPr>
        <w:t xml:space="preserve"> </w:t>
      </w:r>
      <w:r w:rsidR="007A1D5F">
        <w:rPr>
          <w:rFonts w:eastAsia="Arial"/>
          <w:b/>
          <w:bCs/>
          <w:color w:val="000000"/>
        </w:rPr>
        <w:t>2</w:t>
      </w:r>
      <w:r w:rsidR="00A04B29">
        <w:rPr>
          <w:rFonts w:eastAsia="Arial"/>
          <w:b/>
          <w:bCs/>
          <w:color w:val="000000"/>
        </w:rPr>
        <w:t>3</w:t>
      </w:r>
      <w:r>
        <w:rPr>
          <w:rFonts w:eastAsia="Arial"/>
          <w:color w:val="000000"/>
        </w:rPr>
        <w:t>).</w:t>
      </w:r>
      <w:r w:rsidR="008072E9">
        <w:rPr>
          <w:rFonts w:eastAsia="Arial"/>
          <w:color w:val="000000"/>
        </w:rPr>
        <w:t xml:space="preserve"> </w:t>
      </w:r>
      <w:r w:rsidR="008072E9" w:rsidRPr="00B614AE">
        <w:rPr>
          <w:rFonts w:eastAsia="Arial"/>
          <w:bCs/>
        </w:rPr>
        <w:t xml:space="preserve">Under our current baseline model, </w:t>
      </w:r>
      <w:r w:rsidR="008072E9" w:rsidRPr="00B614AE">
        <w:rPr>
          <w:rFonts w:eastAsia="Arial"/>
          <w:bCs/>
          <w:i/>
        </w:rPr>
        <w:t xml:space="preserve">P. </w:t>
      </w:r>
      <w:proofErr w:type="spellStart"/>
      <w:r w:rsidR="008072E9" w:rsidRPr="00B614AE">
        <w:rPr>
          <w:rFonts w:eastAsia="Arial"/>
          <w:bCs/>
          <w:i/>
        </w:rPr>
        <w:t>strobus</w:t>
      </w:r>
      <w:proofErr w:type="spellEnd"/>
      <w:r w:rsidR="008072E9" w:rsidRPr="00B614AE">
        <w:rPr>
          <w:rFonts w:eastAsia="Arial"/>
          <w:bCs/>
        </w:rPr>
        <w:t xml:space="preserve"> has </w:t>
      </w:r>
      <w:r w:rsidR="008072E9" w:rsidRPr="00B614AE">
        <w:rPr>
          <w:bCs/>
          <w:color w:val="000000"/>
        </w:rPr>
        <w:t>207,058km</w:t>
      </w:r>
      <w:r w:rsidR="008072E9" w:rsidRPr="00B614AE">
        <w:rPr>
          <w:bCs/>
          <w:color w:val="000000"/>
          <w:vertAlign w:val="superscript"/>
        </w:rPr>
        <w:t>2</w:t>
      </w:r>
      <w:r w:rsidR="008072E9" w:rsidRPr="00B614AE">
        <w:rPr>
          <w:bCs/>
          <w:color w:val="000000"/>
        </w:rPr>
        <w:t xml:space="preserve"> in suitable habitat while </w:t>
      </w:r>
      <w:r w:rsidR="008072E9" w:rsidRPr="00B614AE">
        <w:rPr>
          <w:bCs/>
          <w:i/>
          <w:color w:val="000000"/>
        </w:rPr>
        <w:t xml:space="preserve">S. </w:t>
      </w:r>
      <w:proofErr w:type="spellStart"/>
      <w:r w:rsidR="008072E9" w:rsidRPr="00B614AE">
        <w:rPr>
          <w:bCs/>
          <w:i/>
          <w:color w:val="000000"/>
        </w:rPr>
        <w:t>spraguei</w:t>
      </w:r>
      <w:proofErr w:type="spellEnd"/>
      <w:r w:rsidR="008072E9" w:rsidRPr="00B614AE">
        <w:rPr>
          <w:bCs/>
          <w:i/>
          <w:color w:val="000000"/>
        </w:rPr>
        <w:t xml:space="preserve"> </w:t>
      </w:r>
      <w:r w:rsidR="008072E9" w:rsidRPr="00B614AE">
        <w:rPr>
          <w:bCs/>
          <w:color w:val="000000"/>
        </w:rPr>
        <w:t>has 146,751km</w:t>
      </w:r>
      <w:r w:rsidR="008072E9" w:rsidRPr="00B614AE">
        <w:rPr>
          <w:bCs/>
          <w:color w:val="000000"/>
          <w:vertAlign w:val="superscript"/>
        </w:rPr>
        <w:t>2</w:t>
      </w:r>
      <w:r w:rsidR="008072E9" w:rsidRPr="00B614AE">
        <w:rPr>
          <w:bCs/>
          <w:color w:val="000000"/>
        </w:rPr>
        <w:t>.</w:t>
      </w:r>
      <w:r w:rsidR="008072E9" w:rsidRPr="0054745E">
        <w:rPr>
          <w:color w:val="000000"/>
        </w:rPr>
        <w:t xml:space="preserve"> </w:t>
      </w:r>
    </w:p>
    <w:p w14:paraId="5AE64FC5" w14:textId="0E217793" w:rsidR="003D7A27" w:rsidRPr="008A5ED1" w:rsidRDefault="00EA205E" w:rsidP="008A5ED1">
      <w:pPr>
        <w:pStyle w:val="Heading2"/>
        <w:spacing w:line="360" w:lineRule="auto"/>
      </w:pPr>
      <w:bookmarkStart w:id="108" w:name="_Toc102048043"/>
      <w:r w:rsidRPr="008A5ED1">
        <w:t>D</w:t>
      </w:r>
      <w:r w:rsidR="00E563C8">
        <w:t>iscussion</w:t>
      </w:r>
      <w:bookmarkEnd w:id="108"/>
    </w:p>
    <w:p w14:paraId="142A57E8" w14:textId="18ECA740" w:rsidR="00CC6B36" w:rsidRPr="00CC6B36" w:rsidRDefault="008A5ED1" w:rsidP="00CC6B36">
      <w:pPr>
        <w:spacing w:line="360" w:lineRule="auto"/>
        <w:rPr>
          <w:rFonts w:eastAsia="Arial"/>
          <w:color w:val="000000"/>
        </w:rPr>
      </w:pPr>
      <w:r w:rsidRPr="008A5ED1">
        <w:rPr>
          <w:rFonts w:eastAsia="Arial"/>
          <w:color w:val="000000"/>
        </w:rPr>
        <w:tab/>
        <w:t xml:space="preserve">Niche modeling provides valuable information about ecological requirements while identifying the potential geographic extent of a species’ range. Modeling EMF extends this framework to lesser-studied organisms with important ecological roles that mediate ecosystem function and stability </w:t>
      </w:r>
      <w:r w:rsidRPr="008A5ED1">
        <w:rPr>
          <w:rFonts w:eastAsia="Arial"/>
          <w:color w:val="000000"/>
        </w:rPr>
        <w:fldChar w:fldCharType="begin" w:fldLock="1"/>
      </w:r>
      <w:r w:rsidR="006E1F09">
        <w:rPr>
          <w:rFonts w:eastAsia="Arial"/>
          <w:color w:val="000000"/>
        </w:rPr>
        <w:instrText>ADDIN CSL_CITATION {"citationItems":[{"id":"ITEM-1","itemData":{"DOI":"10.1007/s004420050035","ISSN":"00298549","abstract":"We evaluate the empirical and theoretical support for the hypothesis that a large proportion of native species richness is required to maximize ecosystem stability and sustain function. This assessment is important for conservation strategies because sustenance of ecosystem functions has been used as an argument for the conservation of species. If ecosystem functions are sustained at relatively low species richness, then arguing for the conservation of ecosystem function, no matter how important in its own right, does not strongly argue for the conservation of species. Additionally, for this to be a strong conservation argument the link between species diversity and ecosystem functions of value to the human community must be clear. We review the empirical literature to quantify the support for two hypotheses: (1) species richness is positively correlated with ecosystem function, and (2) ecosystem functions do not saturate at low species richness relative to the observed or experimental diversity. Few empirical studies demonstrate improved function at high levels of species richness. Second, we analyze recent theoretical models in order to estimate the level of species richness required to maintain ecosystem function. Again we find that, within a single trophic level, most mathematical models predict saturation of ecosystem function at a low proportion of local species richness. We also analyze a theoretical model linking species number to ecosystem stability. This model predicts that species richness beyond the first few species does not typically increase ecosystem stability. One reason that high species richness may not contribute significantly to function or stability is that most communities are characterized by strong dominance such that a few species provide the vast majority of the community biomass. Rapid turnover of species may rescue the concept that diversity leads to maximum function and stability. The role of turnover in ecosystem function and stability has not been investigated. Despite the recent rush to embrace the linkage between biodiversity and ecosystem function, we find little support for the hypothesis that there is a strong dependence of ecosystem function on the full complement of diversity within sites. Given this observation, the conservation community should take a cautious view of endorsing this linkage as a model to promote conservation goals.","author":[{"dropping-particle":"","family":"Schwartz","given":"M. W.","non-dropping-particle":"","parse-names":false,"suffix":""},{"dropping-particle":"","family":"Brigham","given":"C. A.","non-dropping-particle":"","parse-names":false,"suffix":""},{"dropping-particle":"","family":"Hoeksema","given":"J. D.","non-dropping-particle":"","parse-names":false,"suffix":""},{"dropping-particle":"","family":"Lyons","given":"K. G.","non-dropping-particle":"","parse-names":false,"suffix":""},{"dropping-particle":"","family":"Mills","given":"M. H.","non-dropping-particle":"","parse-names":false,"suffix":""},{"dropping-particle":"","family":"Mantgem","given":"P. J.","non-dropping-particle":"Van","parse-names":false,"suffix":""}],"container-title":"Oecologia","id":"ITEM-1","issue":"3","issued":{"date-parts":[["2000"]]},"page":"297-305","title":"Linking biodiversity to ecosystem function: Implications for conservation ecology","type":"article-journal","volume":"122"},"uris":["http://www.mendeley.com/documents/?uuid=5806ba0b-a70a-45e7-be42-485a225cbbe6"]}],"mendeley":{"formattedCitation":"(Schwartz et al., 2000)","plainTextFormattedCitation":"(Schwartz et al., 2000)","previouslyFormattedCitation":"(Schwartz et al., 2000)"},"properties":{"noteIndex":0},"schema":"https://github.com/citation-style-language/schema/raw/master/csl-citation.json"}</w:instrText>
      </w:r>
      <w:r w:rsidRPr="008A5ED1">
        <w:rPr>
          <w:rFonts w:eastAsia="Arial"/>
          <w:color w:val="000000"/>
        </w:rPr>
        <w:fldChar w:fldCharType="separate"/>
      </w:r>
      <w:r w:rsidR="00CE6085" w:rsidRPr="00CE6085">
        <w:rPr>
          <w:rFonts w:eastAsia="Arial"/>
          <w:noProof/>
          <w:color w:val="000000"/>
        </w:rPr>
        <w:t>(Schwartz et al., 2000)</w:t>
      </w:r>
      <w:r w:rsidRPr="008A5ED1">
        <w:rPr>
          <w:rFonts w:eastAsia="Arial"/>
          <w:color w:val="000000"/>
        </w:rPr>
        <w:fldChar w:fldCharType="end"/>
      </w:r>
      <w:r w:rsidRPr="008A5ED1">
        <w:rPr>
          <w:rFonts w:eastAsia="Arial"/>
          <w:color w:val="000000"/>
        </w:rPr>
        <w:t xml:space="preserve">. Using </w:t>
      </w:r>
      <w:proofErr w:type="spellStart"/>
      <w:r w:rsidRPr="008A5ED1">
        <w:rPr>
          <w:rFonts w:eastAsia="Arial"/>
          <w:i/>
          <w:color w:val="000000"/>
        </w:rPr>
        <w:t>Suillus</w:t>
      </w:r>
      <w:proofErr w:type="spellEnd"/>
      <w:r w:rsidRPr="008A5ED1">
        <w:rPr>
          <w:rFonts w:eastAsia="Arial"/>
          <w:i/>
          <w:color w:val="000000"/>
        </w:rPr>
        <w:t xml:space="preserve"> </w:t>
      </w:r>
      <w:proofErr w:type="spellStart"/>
      <w:r w:rsidRPr="008A5ED1">
        <w:rPr>
          <w:rFonts w:eastAsia="Arial"/>
          <w:i/>
          <w:color w:val="000000"/>
        </w:rPr>
        <w:t>spraguei</w:t>
      </w:r>
      <w:proofErr w:type="spellEnd"/>
      <w:r w:rsidRPr="008A5ED1">
        <w:rPr>
          <w:rFonts w:eastAsia="Arial"/>
          <w:color w:val="000000"/>
        </w:rPr>
        <w:t xml:space="preserve"> and </w:t>
      </w:r>
      <w:r w:rsidRPr="008A5ED1">
        <w:rPr>
          <w:rFonts w:eastAsia="Arial"/>
          <w:i/>
          <w:color w:val="000000"/>
        </w:rPr>
        <w:t xml:space="preserve">Pinus </w:t>
      </w:r>
      <w:proofErr w:type="spellStart"/>
      <w:r w:rsidRPr="008A5ED1">
        <w:rPr>
          <w:rFonts w:eastAsia="Arial"/>
          <w:i/>
          <w:color w:val="000000"/>
        </w:rPr>
        <w:t>strobus</w:t>
      </w:r>
      <w:proofErr w:type="spellEnd"/>
      <w:r w:rsidRPr="008A5ED1">
        <w:rPr>
          <w:rFonts w:eastAsia="Arial"/>
          <w:color w:val="000000"/>
        </w:rPr>
        <w:t xml:space="preserve"> as a case study, we found a clear convergence in the composition of climate predictors and magnitude of contribution in predicting each symbiont’s niche space under current climate conditions. The most important climate predictors for </w:t>
      </w:r>
      <w:r w:rsidRPr="008A5ED1">
        <w:rPr>
          <w:rFonts w:eastAsia="Arial"/>
          <w:i/>
          <w:color w:val="000000"/>
        </w:rPr>
        <w:t xml:space="preserve">Pinus </w:t>
      </w:r>
      <w:proofErr w:type="spellStart"/>
      <w:r w:rsidRPr="008A5ED1">
        <w:rPr>
          <w:rFonts w:eastAsia="Arial"/>
          <w:i/>
          <w:color w:val="000000"/>
        </w:rPr>
        <w:t>strobus</w:t>
      </w:r>
      <w:proofErr w:type="spellEnd"/>
      <w:r w:rsidRPr="008A5ED1">
        <w:rPr>
          <w:rFonts w:eastAsia="Arial"/>
          <w:color w:val="000000"/>
        </w:rPr>
        <w:t xml:space="preserve"> are dependent on temperature and precipitation, which is consistent with previous studies of plant distributions </w:t>
      </w:r>
      <w:r w:rsidRPr="008A5ED1">
        <w:rPr>
          <w:rFonts w:eastAsia="Arial"/>
          <w:color w:val="000000"/>
        </w:rPr>
        <w:fldChar w:fldCharType="begin" w:fldLock="1"/>
      </w:r>
      <w:r w:rsidR="006E1F09">
        <w:rPr>
          <w:rFonts w:eastAsia="Arial"/>
          <w:color w:val="000000"/>
        </w:rPr>
        <w:instrText>ADDIN CSL_CITATION {"citationItems":[{"id":"ITEM-1","itemData":{"DOI":"10.1111/jbi.12894","ISSN":"13652699","abstract":"Aim: To synthesize the species distribution modelling (SDM) literature to inform which variables have been used in MaxEnt models for different taxa and to quantify how frequently they have been important for species’ distributions. Location: Global. Methods: We conducted a quantitative synthesis analysing the contribution of over 400 distinct environmental variables to 2040 MaxEnt SDMs for nearly 1900 species representing over 300 families. Environmental variables were grouped into 24 related factors and results were analysed by examining the frequency with which variables were found to be most important, the mean contribution of each variable (at various taxonomic levels), and using TrueSkill™, a Bayesian skill rating system. Results: Precipitation, temperature, bathymetry, distance to water and habitat patch characteristics were the most important variables overall. Precipitation and temperature were analysed most frequently and one of these variables was often the most important predictor in the model (nearly 80% of models, when tested). Notably, distance to water was the most important variable in the highest proportion of models in which it was tested (42% of 225 models). For terrestrial species, precipitation, temperature and distance to water had the highest overall contributions, whereas for aquatic species, bathymetry, precipitation and temperature were most important. Main conclusions: Over all MaxEnt models published, the ability to discriminate occurrence from reference sites was high (average AUC = 0.92). Much of this discriminatory ability was due to temperature and precipitation variables. Further, variability (temperature) and extremes (minimum precipitation) were the most predictive. More generally, the most commonly tested variables were not always the most predictive, with, for instance, ‘distance to water’ infrequently tested, but found to be very important when it was. Thus, the results from this study summarize the MaxEnt SDM literature, and can aid in variable selection by identifying underutilized, but potentially important variables, which could be incorporated in future modelling efforts.","author":[{"dropping-particle":"","family":"Bradie","given":"Johanna","non-dropping-particle":"","parse-names":false,"suffix":""},{"dropping-particle":"","family":"Leung","given":"Brian","non-dropping-particle":"","parse-names":false,"suffix":""}],"container-title":"Journal of Biogeography","id":"ITEM-1","issue":"6","issued":{"date-parts":[["2017"]]},"page":"1344-1361","title":"A quantitative synthesis of the importance of variables used in MaxEnt species distribution models","type":"article-journal","volume":"44"},"uris":["http://www.mendeley.com/documents/?uuid=dc7b9b05-77b9-409a-adeb-dfc1062c8e57"]}],"mendeley":{"formattedCitation":"(Bradie and Leung, 2017)","plainTextFormattedCitation":"(Bradie and Leung, 2017)","previouslyFormattedCitation":"(Bradie and Leung, 2017)"},"properties":{"noteIndex":0},"schema":"https://github.com/citation-style-language/schema/raw/master/csl-citation.json"}</w:instrText>
      </w:r>
      <w:r w:rsidRPr="008A5ED1">
        <w:rPr>
          <w:rFonts w:eastAsia="Arial"/>
          <w:color w:val="000000"/>
        </w:rPr>
        <w:fldChar w:fldCharType="separate"/>
      </w:r>
      <w:r w:rsidR="00CE6085" w:rsidRPr="00CE6085">
        <w:rPr>
          <w:rFonts w:eastAsia="Arial"/>
          <w:noProof/>
          <w:color w:val="000000"/>
        </w:rPr>
        <w:t>(Bradie and Leung, 2017)</w:t>
      </w:r>
      <w:r w:rsidRPr="008A5ED1">
        <w:rPr>
          <w:rFonts w:eastAsia="Arial"/>
          <w:color w:val="000000"/>
        </w:rPr>
        <w:fldChar w:fldCharType="end"/>
      </w:r>
      <w:r w:rsidRPr="008A5ED1">
        <w:rPr>
          <w:rFonts w:eastAsia="Arial"/>
          <w:color w:val="000000"/>
        </w:rPr>
        <w:t>.</w:t>
      </w:r>
      <w:r w:rsidRPr="008A5ED1">
        <w:rPr>
          <w:color w:val="000000"/>
        </w:rPr>
        <w:t xml:space="preserve"> Under current climate conditions in eastern North America, the distribution of EMF </w:t>
      </w:r>
      <w:proofErr w:type="spellStart"/>
      <w:r w:rsidRPr="008A5ED1">
        <w:rPr>
          <w:i/>
          <w:iCs/>
          <w:color w:val="000000"/>
        </w:rPr>
        <w:t>Suillus</w:t>
      </w:r>
      <w:proofErr w:type="spellEnd"/>
      <w:r w:rsidRPr="008A5ED1">
        <w:rPr>
          <w:i/>
          <w:iCs/>
          <w:color w:val="000000"/>
        </w:rPr>
        <w:t xml:space="preserve"> </w:t>
      </w:r>
      <w:proofErr w:type="spellStart"/>
      <w:r w:rsidRPr="008A5ED1">
        <w:rPr>
          <w:i/>
          <w:iCs/>
          <w:color w:val="000000"/>
        </w:rPr>
        <w:t>spraguei</w:t>
      </w:r>
      <w:proofErr w:type="spellEnd"/>
      <w:r w:rsidRPr="008A5ED1">
        <w:rPr>
          <w:i/>
          <w:iCs/>
          <w:color w:val="000000"/>
        </w:rPr>
        <w:t xml:space="preserve"> </w:t>
      </w:r>
      <w:r w:rsidRPr="008A5ED1">
        <w:rPr>
          <w:color w:val="000000"/>
        </w:rPr>
        <w:t xml:space="preserve">is largely predicted by winter precipitation </w:t>
      </w:r>
      <w:r w:rsidRPr="008A5ED1">
        <w:rPr>
          <w:rFonts w:eastAsia="Arial"/>
          <w:color w:val="000000"/>
        </w:rPr>
        <w:t xml:space="preserve">(Dec. to Feb. precipitation in mm; </w:t>
      </w:r>
      <w:r w:rsidRPr="008A5ED1">
        <w:rPr>
          <w:rFonts w:eastAsia="Arial"/>
          <w:b/>
          <w:bCs/>
          <w:color w:val="000000"/>
        </w:rPr>
        <w:t xml:space="preserve">Table </w:t>
      </w:r>
      <w:r w:rsidR="004F6B62">
        <w:rPr>
          <w:rFonts w:eastAsia="Arial"/>
          <w:b/>
          <w:bCs/>
          <w:color w:val="000000"/>
        </w:rPr>
        <w:t>6</w:t>
      </w:r>
      <w:r w:rsidRPr="008A5ED1">
        <w:rPr>
          <w:rFonts w:eastAsia="Arial"/>
          <w:color w:val="000000"/>
        </w:rPr>
        <w:t xml:space="preserve">). The second-most predictive variable for </w:t>
      </w:r>
      <w:r w:rsidRPr="008A5ED1">
        <w:rPr>
          <w:rFonts w:eastAsia="Arial"/>
          <w:i/>
          <w:color w:val="000000"/>
        </w:rPr>
        <w:t xml:space="preserve">P. </w:t>
      </w:r>
      <w:proofErr w:type="spellStart"/>
      <w:r w:rsidRPr="008A5ED1">
        <w:rPr>
          <w:rFonts w:eastAsia="Arial"/>
          <w:i/>
          <w:color w:val="000000"/>
        </w:rPr>
        <w:t>strobus</w:t>
      </w:r>
      <w:proofErr w:type="spellEnd"/>
      <w:r w:rsidRPr="008A5ED1">
        <w:rPr>
          <w:rFonts w:eastAsia="Arial"/>
          <w:color w:val="000000"/>
        </w:rPr>
        <w:t xml:space="preserve">, precipitation as snow (PAS; </w:t>
      </w:r>
      <w:r w:rsidRPr="008A5ED1">
        <w:rPr>
          <w:rFonts w:eastAsia="Arial"/>
          <w:b/>
          <w:bCs/>
          <w:color w:val="000000"/>
        </w:rPr>
        <w:t xml:space="preserve">Table </w:t>
      </w:r>
      <w:r w:rsidR="004F6B62">
        <w:rPr>
          <w:rFonts w:eastAsia="Arial"/>
          <w:b/>
          <w:bCs/>
          <w:color w:val="000000"/>
        </w:rPr>
        <w:t>6</w:t>
      </w:r>
      <w:r w:rsidRPr="008A5ED1">
        <w:rPr>
          <w:rFonts w:eastAsia="Arial"/>
          <w:color w:val="000000"/>
        </w:rPr>
        <w:t xml:space="preserve">), was also the second most predictive variable for the distribution of </w:t>
      </w:r>
      <w:r w:rsidRPr="008A5ED1">
        <w:rPr>
          <w:rFonts w:eastAsia="Arial"/>
          <w:i/>
          <w:color w:val="000000"/>
        </w:rPr>
        <w:t xml:space="preserve">S. </w:t>
      </w:r>
      <w:proofErr w:type="spellStart"/>
      <w:r w:rsidRPr="008A5ED1">
        <w:rPr>
          <w:rFonts w:eastAsia="Arial"/>
          <w:i/>
          <w:color w:val="000000"/>
        </w:rPr>
        <w:t>spraguei</w:t>
      </w:r>
      <w:proofErr w:type="spellEnd"/>
      <w:r w:rsidRPr="008A5ED1">
        <w:rPr>
          <w:rFonts w:eastAsia="Arial"/>
          <w:i/>
          <w:color w:val="000000"/>
        </w:rPr>
        <w:t xml:space="preserve"> </w:t>
      </w:r>
      <w:r w:rsidRPr="008A5ED1">
        <w:rPr>
          <w:rFonts w:eastAsia="Arial"/>
          <w:color w:val="000000"/>
        </w:rPr>
        <w:t>under current baseline conditions. Thus, precipitation is a key factor in estimating this fungal species distribution, similar to results from plant and animal distribution models (</w:t>
      </w:r>
      <w:proofErr w:type="spellStart"/>
      <w:r w:rsidRPr="008A5ED1">
        <w:rPr>
          <w:rFonts w:eastAsia="Arial"/>
          <w:color w:val="000000"/>
        </w:rPr>
        <w:t>Bradie</w:t>
      </w:r>
      <w:proofErr w:type="spellEnd"/>
      <w:r w:rsidRPr="008A5ED1">
        <w:rPr>
          <w:rFonts w:eastAsia="Arial"/>
          <w:color w:val="000000"/>
        </w:rPr>
        <w:t xml:space="preserve"> &amp; Leung, 2017) and other EMF niche modeling studies </w:t>
      </w:r>
      <w:r w:rsidRPr="008A5ED1">
        <w:rPr>
          <w:rFonts w:eastAsia="Arial"/>
          <w:color w:val="000000"/>
        </w:rPr>
        <w:fldChar w:fldCharType="begin" w:fldLock="1"/>
      </w:r>
      <w:r w:rsidR="006E1F09">
        <w:rPr>
          <w:rFonts w:eastAsia="Arial"/>
          <w:color w:val="000000"/>
        </w:rPr>
        <w:instrText>ADDIN CSL_CITATION {"citationItems":[{"id":"ITEM-1","itemData":{"DOI":"10.1038/srep46221","ISSN":"20452322","abstract":"Effective conservation and utilization strategies for natural biological resources require a clear understanding of the geographic distribution of the target species. Tricholoma matsutake is an ectomycorrhizal (ECM) mushroom with high ecological and economic value. In this study, the potential geographic distribution of T. matsutake under current conditions in China was simulated using MaxEnt software based on species presence data and 24 environmental variables. The future distributions of T. matsutake in the 2050s and 2070s were also projected under the RCP 8.5, RCP 6, RCP 4.5 and RCP 2.6 climate change emission scenarios described in the Special Report on Emissions Scenarios (SRES) by the Intergovernmental Panel on Climate Change (IPCC). The areas of marginally suitable, suitable and highly suitable habitats for T. matsutake in China were approximately 0.22 × 106 km2, 0.14 × 106 km2, and 0.11 × 106 km2, respectively. The model simulations indicated that the area of marginally suitable habitats would undergo a relatively small change under all four climate change scenarios; however, suitable habitats would significantly decrease, and highly suitable habitat would nearly disappear. Our results will be influential in the future ecological conservation and management of T. matsutake and can be used as a reference for studies on other ectomycorrhizal mushroom species.","author":[{"dropping-particle":"","family":"Guo","given":"Yanlong","non-dropping-particle":"","parse-names":false,"suffix":""},{"dropping-particle":"","family":"Li","given":"Xin","non-dropping-particle":"","parse-names":false,"suffix":""},{"dropping-particle":"","family":"Zhao","given":"Zefang","non-dropping-particle":"","parse-names":false,"suffix":""},{"dropping-particle":"","family":"Wei","given":"Haiyan","non-dropping-particle":"","parse-names":false,"suffix":""},{"dropping-particle":"","family":"Gao","given":"Bei","non-dropping-particle":"","parse-names":false,"suffix":""},{"dropping-particle":"","family":"Gu","given":"Wei","non-dropping-particle":"","parse-names":false,"suffix":""}],"container-title":"Scientific Reports","id":"ITEM-1","issue":"April","issued":{"date-parts":[["2017"]]},"page":"1-11","publisher":"Nature Publishing Group","title":"Prediction of the potential geographic distribution of the ectomycorrhizal mushroom Tricholoma matsutake under multiple climate change scenarios","type":"article-journal","volume":"7"},"uris":["http://www.mendeley.com/documents/?uuid=539241ee-c90a-4f47-b486-03b0478149aa","http://www.mendeley.com/documents/?uuid=d4a76cea-925b-499e-ab3f-e859ebe0c061","http://www.mendeley.com/documents/?uuid=3f578d81-29cc-451e-b6f3-1a7f15880d08","http://www.mendeley.com/documents/?uuid=aa5b746c-7878-4b78-9e79-5e7ced80bb6b","http://www.mendeley.com/documents/?uuid=113eb967-e8bd-408f-9f31-773d19e2077f"]},{"id":"ITEM-2","itemData":{"DOI":"10.1111/j.1469-8137.2009.03097.x","ISSN":"0028646X","abstract":"Despite a growing awareness of the global reach of ectomycorrhizal (EM) fungal introductions, little is known about the fate of introduced EM fungi in novel ranges. Using herbarium specimens, species distribution models, and field collections of sporocarps, root tips and extramatrical mycelia, we assessed the distribution and abundance of the European species Amanita phalloides in North America. There are two distinct ranges of the fungus, one along the West Coast (California to British Columbia) and the second on the East Coast (Maryland to Maine). As predicted by a species distribution model, the West Coast range is larger. Amanita phalloides is more frequently found in native forests on the West Coast than on the East Coast. At Point Reyes Peninsula in California, A. phalloides dominates community sporocarp biomass, and is frequent as root tips. In individual soil cores at Point Reyes, root tips of A. phalloides make up 50% of total root tip biomass. Hyphae of A. phalloides are frequent, but make up only 2% of total hyphal biomass. The contrasting patterns of the distribution and abundance of A. phalloides on the East and West Coasts of North America may influence both its future spread and its impacts. © 2009 New Phytologist.","author":[{"dropping-particle":"","family":"Wolfe","given":"Benjamin E.","non-dropping-particle":"","parse-names":false,"suffix":""},{"dropping-particle":"","family":"Richard","given":"Franck","non-dropping-particle":"","parse-names":false,"suffix":""},{"dropping-particle":"","family":"Cross","given":"Hugh B.","non-dropping-particle":"","parse-names":false,"suffix":""},{"dropping-particle":"","family":"Pringle","given":"Anne","non-dropping-particle":"","parse-names":false,"suffix":""}],"container-title":"New Phytologist","id":"ITEM-2","issue":"3","issued":{"date-parts":[["2010"]]},"page":"803-816","title":"Distribution and abundance of the introduced ectomycorrhizal fungus Amanita phalloides in North America","type":"article-journal","volume":"185"},"uris":["http://www.mendeley.com/documents/?uuid=2be118a0-04c9-481c-b287-c0f52ef4fbc5"]}],"mendeley":{"formattedCitation":"(Wolfe et al., 2010; Guo et al., 2017)","plainTextFormattedCitation":"(Wolfe et al., 2010; Guo et al., 2017)","previouslyFormattedCitation":"(Wolfe et al., 2010; Guo et al., 2017)"},"properties":{"noteIndex":0},"schema":"https://github.com/citation-style-language/schema/raw/master/csl-citation.json"}</w:instrText>
      </w:r>
      <w:r w:rsidRPr="008A5ED1">
        <w:rPr>
          <w:rFonts w:eastAsia="Arial"/>
          <w:color w:val="000000"/>
        </w:rPr>
        <w:fldChar w:fldCharType="separate"/>
      </w:r>
      <w:r w:rsidR="00CE6085" w:rsidRPr="00CE6085">
        <w:rPr>
          <w:rFonts w:eastAsia="Arial"/>
          <w:noProof/>
          <w:color w:val="000000"/>
        </w:rPr>
        <w:t>(Wolfe et al., 2010; Guo et al., 2017)</w:t>
      </w:r>
      <w:r w:rsidRPr="008A5ED1">
        <w:rPr>
          <w:rFonts w:eastAsia="Arial"/>
          <w:color w:val="000000"/>
        </w:rPr>
        <w:fldChar w:fldCharType="end"/>
      </w:r>
      <w:r w:rsidRPr="008A5ED1">
        <w:rPr>
          <w:rFonts w:eastAsia="Arial"/>
          <w:color w:val="000000"/>
        </w:rPr>
        <w:t xml:space="preserve">. In contrast to those studies, however, we used climate </w:t>
      </w:r>
      <w:proofErr w:type="spellStart"/>
      <w:r w:rsidRPr="008A5ED1">
        <w:rPr>
          <w:rFonts w:eastAsia="Arial"/>
          <w:color w:val="000000"/>
        </w:rPr>
        <w:t>rasters</w:t>
      </w:r>
      <w:proofErr w:type="spellEnd"/>
      <w:r w:rsidRPr="008A5ED1">
        <w:rPr>
          <w:rFonts w:eastAsia="Arial"/>
          <w:color w:val="000000"/>
        </w:rPr>
        <w:t xml:space="preserve"> at a finer 1km resolution and found that seasonal precipitation, rather than mean annual precipitation or seasonal temperature, is most important in determining this EMF distribution.</w:t>
      </w:r>
      <w:r w:rsidR="00CC6B36">
        <w:rPr>
          <w:rFonts w:eastAsia="Arial"/>
          <w:color w:val="000000"/>
        </w:rPr>
        <w:br w:type="page"/>
      </w:r>
      <w:r w:rsidR="00CC6B36">
        <w:rPr>
          <w:rFonts w:eastAsia="Arial"/>
          <w:noProof/>
        </w:rPr>
        <w:lastRenderedPageBreak/>
        <w:drawing>
          <wp:inline distT="0" distB="0" distL="0" distR="0" wp14:anchorId="159D00E0" wp14:editId="433757BC">
            <wp:extent cx="5486610" cy="3947311"/>
            <wp:effectExtent l="0" t="0" r="0" b="2540"/>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502250" cy="3958563"/>
                    </a:xfrm>
                    <a:prstGeom prst="rect">
                      <a:avLst/>
                    </a:prstGeom>
                  </pic:spPr>
                </pic:pic>
              </a:graphicData>
            </a:graphic>
          </wp:inline>
        </w:drawing>
      </w:r>
    </w:p>
    <w:p w14:paraId="377B0F9C" w14:textId="77777777" w:rsidR="00CC6B36" w:rsidRPr="0054745E" w:rsidRDefault="00CC6B36" w:rsidP="00CC6B36">
      <w:pPr>
        <w:pStyle w:val="Caption"/>
        <w:rPr>
          <w:color w:val="000000"/>
        </w:rPr>
      </w:pPr>
      <w:bookmarkStart w:id="109" w:name="_Toc102046893"/>
      <w:r w:rsidRPr="0054745E">
        <w:rPr>
          <w:rFonts w:eastAsia="Arial"/>
        </w:rPr>
        <w:t xml:space="preserve">Figure </w:t>
      </w:r>
      <w:r>
        <w:rPr>
          <w:rFonts w:eastAsia="Arial"/>
        </w:rPr>
        <w:t>23</w:t>
      </w:r>
      <w:r w:rsidRPr="0054745E">
        <w:rPr>
          <w:rFonts w:eastAsia="Arial"/>
        </w:rPr>
        <w:t xml:space="preserve">. </w:t>
      </w:r>
      <w:r w:rsidRPr="00B614AE">
        <w:rPr>
          <w:rFonts w:eastAsia="Arial"/>
        </w:rPr>
        <w:t>Suitable habitat (km</w:t>
      </w:r>
      <w:r w:rsidRPr="00B614AE">
        <w:rPr>
          <w:rFonts w:eastAsia="Arial"/>
          <w:vertAlign w:val="superscript"/>
        </w:rPr>
        <w:t>2</w:t>
      </w:r>
      <w:r w:rsidRPr="00B614AE">
        <w:rPr>
          <w:rFonts w:eastAsia="Arial"/>
        </w:rPr>
        <w:t xml:space="preserve">) for </w:t>
      </w:r>
      <w:r w:rsidRPr="00B614AE">
        <w:rPr>
          <w:rFonts w:eastAsia="Arial"/>
          <w:i/>
        </w:rPr>
        <w:t xml:space="preserve">Pinus </w:t>
      </w:r>
      <w:proofErr w:type="spellStart"/>
      <w:r w:rsidRPr="00B614AE">
        <w:rPr>
          <w:rFonts w:eastAsia="Arial"/>
          <w:i/>
        </w:rPr>
        <w:t>strobus</w:t>
      </w:r>
      <w:proofErr w:type="spellEnd"/>
      <w:r w:rsidRPr="00B614AE">
        <w:rPr>
          <w:rFonts w:eastAsia="Arial"/>
        </w:rPr>
        <w:t xml:space="preserve"> and </w:t>
      </w:r>
      <w:proofErr w:type="spellStart"/>
      <w:r w:rsidRPr="00B614AE">
        <w:rPr>
          <w:rFonts w:eastAsia="Arial"/>
          <w:i/>
        </w:rPr>
        <w:t>Suillus</w:t>
      </w:r>
      <w:proofErr w:type="spellEnd"/>
      <w:r w:rsidRPr="00B614AE">
        <w:rPr>
          <w:rFonts w:eastAsia="Arial"/>
          <w:i/>
        </w:rPr>
        <w:t xml:space="preserve"> </w:t>
      </w:r>
      <w:proofErr w:type="spellStart"/>
      <w:r w:rsidRPr="00B614AE">
        <w:rPr>
          <w:rFonts w:eastAsia="Arial"/>
          <w:i/>
        </w:rPr>
        <w:t>spraguei</w:t>
      </w:r>
      <w:proofErr w:type="spellEnd"/>
      <w:r w:rsidRPr="00B614AE">
        <w:rPr>
          <w:rFonts w:eastAsia="Arial"/>
        </w:rPr>
        <w:t xml:space="preserve"> in Eastern North America under the current baseline model and the two best fit future climate models, RCP4.5 INM-CM4 2055 and RCP8.5 CCSM4 2055.</w:t>
      </w:r>
      <w:bookmarkEnd w:id="109"/>
      <w:r w:rsidRPr="00B614AE">
        <w:rPr>
          <w:rFonts w:eastAsia="Arial"/>
        </w:rPr>
        <w:t xml:space="preserve"> </w:t>
      </w:r>
    </w:p>
    <w:p w14:paraId="0F1783DC" w14:textId="3D2D9047" w:rsidR="00CC6B36" w:rsidRDefault="00CC6B36">
      <w:pPr>
        <w:rPr>
          <w:rFonts w:eastAsia="Arial"/>
          <w:color w:val="000000"/>
        </w:rPr>
      </w:pPr>
      <w:r>
        <w:rPr>
          <w:rFonts w:eastAsia="Arial"/>
          <w:color w:val="000000"/>
        </w:rPr>
        <w:br w:type="page"/>
      </w:r>
    </w:p>
    <w:p w14:paraId="206120ED" w14:textId="631499D5" w:rsidR="008A5ED1" w:rsidRPr="008A5ED1" w:rsidRDefault="008A5ED1" w:rsidP="00C81FA7">
      <w:pPr>
        <w:spacing w:line="360" w:lineRule="auto"/>
        <w:rPr>
          <w:rFonts w:eastAsia="Arial"/>
          <w:color w:val="000000"/>
        </w:rPr>
      </w:pPr>
      <w:r w:rsidRPr="008A5ED1">
        <w:rPr>
          <w:rFonts w:eastAsia="Arial"/>
          <w:color w:val="000000"/>
        </w:rPr>
        <w:lastRenderedPageBreak/>
        <w:tab/>
        <w:t xml:space="preserve">The niches of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color w:val="000000"/>
        </w:rPr>
        <w:t xml:space="preserve"> and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xml:space="preserve"> each change between current and future climate scenarios, but </w:t>
      </w:r>
      <w:r w:rsidRPr="008A5ED1">
        <w:rPr>
          <w:rFonts w:eastAsia="Arial"/>
        </w:rPr>
        <w:t>overall suitable habitat for</w:t>
      </w:r>
      <w:r w:rsidRPr="008A5ED1">
        <w:rPr>
          <w:rFonts w:eastAsia="Arial"/>
          <w:i/>
          <w:iCs/>
        </w:rPr>
        <w:t xml:space="preserve"> S</w:t>
      </w:r>
      <w:r w:rsidRPr="008A5ED1">
        <w:rPr>
          <w:rFonts w:eastAsia="Arial"/>
        </w:rPr>
        <w:t>.</w:t>
      </w:r>
      <w:r w:rsidRPr="008A5ED1">
        <w:rPr>
          <w:rFonts w:eastAsia="Arial"/>
          <w:i/>
          <w:iCs/>
        </w:rPr>
        <w:t xml:space="preserve"> </w:t>
      </w:r>
      <w:proofErr w:type="spellStart"/>
      <w:r w:rsidRPr="008A5ED1">
        <w:rPr>
          <w:rFonts w:eastAsia="Arial"/>
          <w:i/>
          <w:iCs/>
        </w:rPr>
        <w:t>spraguei</w:t>
      </w:r>
      <w:proofErr w:type="spellEnd"/>
      <w:r w:rsidRPr="008A5ED1">
        <w:rPr>
          <w:rFonts w:eastAsia="Arial"/>
        </w:rPr>
        <w:t xml:space="preserve"> is expected to disappear at a much higher rate than its tree symbiont.</w:t>
      </w:r>
      <w:r w:rsidRPr="008A5ED1">
        <w:rPr>
          <w:rFonts w:eastAsia="Arial"/>
          <w:color w:val="000000"/>
        </w:rPr>
        <w:t xml:space="preserve"> Suitable habitat declines for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xml:space="preserve"> in all future climate scenarios, whereas suitable habitat declines to a lesser degree for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color w:val="000000"/>
        </w:rPr>
        <w:t xml:space="preserve">, and in a few scenarios </w:t>
      </w:r>
      <w:r w:rsidRPr="003230D0">
        <w:rPr>
          <w:rFonts w:eastAsia="Arial"/>
          <w:color w:val="000000"/>
        </w:rPr>
        <w:t>even expands (</w:t>
      </w:r>
      <w:r w:rsidR="00F814F5" w:rsidRPr="003230D0">
        <w:rPr>
          <w:rFonts w:eastAsia="Arial"/>
          <w:b/>
          <w:bCs/>
          <w:color w:val="000000"/>
        </w:rPr>
        <w:t>Resource6.xslx</w:t>
      </w:r>
      <w:r w:rsidRPr="003230D0">
        <w:rPr>
          <w:rFonts w:eastAsia="Arial"/>
          <w:color w:val="000000"/>
        </w:rPr>
        <w:t>). Yet</w:t>
      </w:r>
      <w:r w:rsidRPr="008A5ED1">
        <w:rPr>
          <w:rFonts w:eastAsia="Arial"/>
          <w:color w:val="000000"/>
        </w:rPr>
        <w:t xml:space="preserve"> even the average loss of 9.6% of suitable habitat across all future models represents nearly 20,000 km</w:t>
      </w:r>
      <w:r w:rsidRPr="008A5ED1">
        <w:rPr>
          <w:rFonts w:eastAsia="Arial"/>
          <w:color w:val="000000"/>
          <w:vertAlign w:val="superscript"/>
        </w:rPr>
        <w:t>2</w:t>
      </w:r>
      <w:r w:rsidRPr="008A5ED1">
        <w:rPr>
          <w:rFonts w:eastAsia="Arial"/>
          <w:color w:val="000000"/>
        </w:rPr>
        <w:t xml:space="preserve"> of lost area due to changes in abiotic climate variables alone and does not include any potential impacts due to human land change use or biotic threats such as white pine blister rust </w:t>
      </w:r>
      <w:r w:rsidRPr="008A5ED1">
        <w:rPr>
          <w:rFonts w:eastAsia="Arial"/>
          <w:color w:val="000000"/>
        </w:rPr>
        <w:fldChar w:fldCharType="begin" w:fldLock="1"/>
      </w:r>
      <w:r w:rsidR="006E1F09">
        <w:rPr>
          <w:rFonts w:eastAsia="Arial"/>
          <w:color w:val="000000"/>
        </w:rPr>
        <w:instrText>ADDIN CSL_CITATION {"citationItems":[{"id":"ITEM-1","itemData":{"DOI":"10.3390/f6114360","ISBN":"1603868763","ISSN":"19994907","abstract":"Caliciopsis canker is an emerging problem in Pinus growing regions of Eastern North America. The fungal disease caused by Caliciopsis pinea is associated with overstocked stands and poor sites, but few quantitative data are available. The objective of this study, therefore, was to assess the extent and severity of Caliciopsis canker and to explore environmental variables associated with disease to identify areas at risk of damage. During 2014, 58 sites across New England with &gt;75% P. strobus basal area in public lands were surveyed. Most sites (72%) had Caliciopsis canker signs or symptoms. Caliciopsis pinea was successfully identified with molecular techniques. In sites with Caliciopsis canker, 36% of the mature pines were symptomatic. Pole sized and suppressed trees were more likely to be damaged than larger trees with dominant crown positions (p &lt; 0.05). Pinus strobus density for sites with Caliciopsis canker was 311 trees/ha (mean P. strobus stand diameter = 40 cm) compared to 220 trees/ha (mean white pine stand diameter = 43 cm) for sites without Caliciopsis canker (p = 0.1). Caliciopsis canker symptoms tended to appear more frequently in stands with excessively drained, coarse textured soils derived from glacial outwash (86%) or stands with poorly drained soils and low fertility (78%) than in stands with well drained, more fertile soils (59%) (p = 0.1). The severity of symptoms varied among soil groups and was greater for excessively drained, nutrient poor soils than for well-drained, more fertile soils (p = 0.027).","author":[{"dropping-particle":"","family":"Munck","given":"Isabel A.","non-dropping-particle":"","parse-names":false,"suffix":""},{"dropping-particle":"","family":"Livingston","given":"William","non-dropping-particle":"","parse-names":false,"suffix":""},{"dropping-particle":"","family":"Lombard","given":"Kyle","non-dropping-particle":"","parse-names":false,"suffix":""},{"dropping-particle":"","family":"Luther","given":"Thomas","non-dropping-particle":"","parse-names":false,"suffix":""},{"dropping-particle":"","family":"Ostrofsky","given":"William D.","non-dropping-particle":"","parse-names":false,"suffix":""},{"dropping-particle":"","family":"Weimer","given":"Jennifer","non-dropping-particle":"","parse-names":false,"suffix":""},{"dropping-particle":"","family":"Wyka","given":"Stephen","non-dropping-particle":"","parse-names":false,"suffix":""},{"dropping-particle":"","family":"Broders","given":"Kirk","non-dropping-particle":"","parse-names":false,"suffix":""}],"container-title":"Forests","id":"ITEM-1","issue":"11","issued":{"date-parts":[["2015"]]},"page":"4360-4373","title":"Extent and Severity of Caliciopsis canker in New England, USA: An emerging disease of Eastern White Pine (Pinus strobus L.)","type":"article-journal","volume":"6"},"uris":["http://www.mendeley.com/documents/?uuid=9df58e9a-f2e2-4bcb-a224-a41da609d222"]}],"mendeley":{"formattedCitation":"(Munck et al., 2015)","manualFormatting":"(see Munck et al., 2015)","plainTextFormattedCitation":"(Munck et al., 2015)","previouslyFormattedCitation":"(Munck et al., 2015)"},"properties":{"noteIndex":0},"schema":"https://github.com/citation-style-language/schema/raw/master/csl-citation.json"}</w:instrText>
      </w:r>
      <w:r w:rsidRPr="008A5ED1">
        <w:rPr>
          <w:rFonts w:eastAsia="Arial"/>
          <w:color w:val="000000"/>
        </w:rPr>
        <w:fldChar w:fldCharType="separate"/>
      </w:r>
      <w:r w:rsidRPr="008A5ED1">
        <w:rPr>
          <w:rFonts w:eastAsia="Arial"/>
          <w:noProof/>
          <w:color w:val="000000"/>
        </w:rPr>
        <w:t>(see Munck et al., 2015)</w:t>
      </w:r>
      <w:r w:rsidRPr="008A5ED1">
        <w:rPr>
          <w:rFonts w:eastAsia="Arial"/>
          <w:color w:val="000000"/>
        </w:rPr>
        <w:fldChar w:fldCharType="end"/>
      </w:r>
      <w:r w:rsidRPr="008A5ED1">
        <w:rPr>
          <w:rFonts w:eastAsia="Arial"/>
          <w:color w:val="000000"/>
        </w:rPr>
        <w:t xml:space="preserve">. Across all future climate models, the predicted suitable niche contracts much more drastically for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an average of 53,309 km</w:t>
      </w:r>
      <w:r w:rsidRPr="008A5ED1">
        <w:rPr>
          <w:rFonts w:eastAsia="Arial"/>
          <w:color w:val="000000"/>
          <w:vertAlign w:val="superscript"/>
        </w:rPr>
        <w:t>2</w:t>
      </w:r>
      <w:r w:rsidRPr="008A5ED1">
        <w:rPr>
          <w:rFonts w:eastAsia="Arial"/>
          <w:color w:val="000000"/>
        </w:rPr>
        <w:t xml:space="preserve">. While the realized niche of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xml:space="preserve"> may be smaller than that of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color w:val="000000"/>
        </w:rPr>
        <w:t xml:space="preserve"> since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xml:space="preserve"> is an obligate symbiont of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color w:val="000000"/>
        </w:rPr>
        <w:t xml:space="preserve"> while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i/>
          <w:iCs/>
          <w:color w:val="000000"/>
        </w:rPr>
        <w:t xml:space="preserve"> </w:t>
      </w:r>
      <w:r w:rsidRPr="008A5ED1">
        <w:rPr>
          <w:rFonts w:eastAsia="Arial"/>
          <w:color w:val="000000"/>
        </w:rPr>
        <w:t xml:space="preserve">associates with multiple other EMF species </w:t>
      </w:r>
      <w:r w:rsidRPr="008A5ED1">
        <w:rPr>
          <w:rFonts w:eastAsia="Arial"/>
          <w:color w:val="000000"/>
        </w:rPr>
        <w:fldChar w:fldCharType="begin" w:fldLock="1"/>
      </w:r>
      <w:r w:rsidR="006E1F09">
        <w:rPr>
          <w:rFonts w:eastAsia="Arial"/>
          <w:color w:val="000000"/>
        </w:rPr>
        <w:instrText>ADDIN CSL_CITATION {"citationItems":[{"id":"ITEM-1","itemData":{"DOI":"10.3852/16-106","ISSN":"00275514","abstract":"The genus Suillus represents one of the most recognizable groups of mushrooms in conifer forests throughout the Northern Hemisphere. Although for decades the genus has been relatively well defined morphologically, previous molecular phylogenetic assessments have provided important yet preliminary insights into its evolutionary history. We present the first large-scale phylogenetic study of the boundaries of each species in the genus Suillus based on the most current internal transcribed spacer (ITS) barcode sequences available inPUBLIC databases, as well as sequencing of 224 vouchered specimens and cultures, 15 of which were type specimens from North America. We found that species boundaries delimited by morphological data are broadly congruent with those based on ITS sequences. However, some species appear to have been described several times under different names, several species groups cannot be resolved by ITS sequences alone, and undescribed taxa are apparent, especially in Asia. Therefore, we elevated S. tomentosus var. discolor to S. discolor; proposed synonymies of S. neoalbidipes with S. glandulosipes, S. borealis with S. brunnescens, Boletus serotinus and B. solidipes with Suillus elbensis, S. lactifluus with S. granulatus, S. himalayensis with S. americanus; and proposed usage of the names S. clintonianus in the place of the North American S. grevillei, S. weaverae for North American S. granulatus, S. ampliporus in the place of the North American S. cavipes, and S. elbensis in place of the North American S. viscidus. We showed that the majority of Suillus species have strong affinities for particular host genera. Although deep node support was low, geographic differentiation was apparent, with species from North America, Eurasia, and Asia often forming their own clades. Collectively, this comprehensive genus-level phylogenetic integration of currently available Suillus ITS molecular data and metadata will aid future taxonomic and ecological work on an important group of ectomycorrhizal fungi.","author":[{"dropping-particle":"","family":"Nguyen","given":"Nhu H.","non-dropping-particle":"","parse-names":false,"suffix":""},{"dropping-particle":"","family":"Vellinga","given":"Else C.","non-dropping-particle":"","parse-names":false,"suffix":""},{"dropping-particle":"","family":"Bruns","given":"Thomas D.","non-dropping-particle":"","parse-names":false,"suffix":""},{"dropping-particle":"","family":"Kennedy","given":"Peter G.","non-dropping-particle":"","parse-names":false,"suffix":""}],"container-title":"Mycologia","id":"ITEM-1","issue":"6","issued":{"date-parts":[["2016"]]},"page":"1216-1228","title":"Phylogenetic assessment of global Suillus ITS sequences supports morphologically defined species and reveals synonymous and undescribed taxa","type":"article-journal","volume":"108"},"uris":["http://www.mendeley.com/documents/?uuid=b5a43ec2-d82d-4c66-875f-0e7c1252b3f1"]}],"mendeley":{"formattedCitation":"(Nguyen et al., 2016)","plainTextFormattedCitation":"(Nguyen et al., 2016)","previouslyFormattedCitation":"(Nguyen et al., 2016)"},"properties":{"noteIndex":0},"schema":"https://github.com/citation-style-language/schema/raw/master/csl-citation.json"}</w:instrText>
      </w:r>
      <w:r w:rsidRPr="008A5ED1">
        <w:rPr>
          <w:rFonts w:eastAsia="Arial"/>
          <w:color w:val="000000"/>
        </w:rPr>
        <w:fldChar w:fldCharType="separate"/>
      </w:r>
      <w:r w:rsidR="00CE6085" w:rsidRPr="00CE6085">
        <w:rPr>
          <w:rFonts w:eastAsia="Arial"/>
          <w:noProof/>
          <w:color w:val="000000"/>
        </w:rPr>
        <w:t>(Nguyen et al., 2016)</w:t>
      </w:r>
      <w:r w:rsidRPr="008A5ED1">
        <w:rPr>
          <w:rFonts w:eastAsia="Arial"/>
          <w:color w:val="000000"/>
        </w:rPr>
        <w:fldChar w:fldCharType="end"/>
      </w:r>
      <w:r w:rsidRPr="008A5ED1">
        <w:rPr>
          <w:rFonts w:eastAsia="Arial"/>
          <w:color w:val="000000"/>
        </w:rPr>
        <w:t xml:space="preserve">, it appears </w:t>
      </w:r>
      <w:r w:rsidRPr="008A5ED1">
        <w:rPr>
          <w:rFonts w:eastAsia="Arial"/>
          <w:i/>
          <w:iCs/>
          <w:color w:val="000000"/>
        </w:rPr>
        <w:t xml:space="preserve">S. </w:t>
      </w:r>
      <w:proofErr w:type="spellStart"/>
      <w:r w:rsidRPr="008A5ED1">
        <w:rPr>
          <w:rFonts w:eastAsia="Arial"/>
          <w:i/>
          <w:iCs/>
          <w:color w:val="000000"/>
        </w:rPr>
        <w:t>spraguei</w:t>
      </w:r>
      <w:proofErr w:type="spellEnd"/>
      <w:r w:rsidRPr="008A5ED1">
        <w:rPr>
          <w:rFonts w:eastAsia="Arial"/>
          <w:color w:val="000000"/>
        </w:rPr>
        <w:t xml:space="preserve"> will be disproportionately affected by increased carbon emissions and climate warming compared to </w:t>
      </w:r>
      <w:r w:rsidRPr="008A5ED1">
        <w:rPr>
          <w:rFonts w:eastAsia="Arial"/>
          <w:i/>
          <w:iCs/>
          <w:color w:val="000000"/>
        </w:rPr>
        <w:t xml:space="preserve">P. </w:t>
      </w:r>
      <w:proofErr w:type="spellStart"/>
      <w:r w:rsidRPr="008A5ED1">
        <w:rPr>
          <w:rFonts w:eastAsia="Arial"/>
          <w:i/>
          <w:iCs/>
          <w:color w:val="000000"/>
        </w:rPr>
        <w:t>strobus</w:t>
      </w:r>
      <w:proofErr w:type="spellEnd"/>
      <w:r w:rsidRPr="008A5ED1">
        <w:rPr>
          <w:rFonts w:eastAsia="Arial"/>
          <w:color w:val="000000"/>
        </w:rPr>
        <w:t>.</w:t>
      </w:r>
    </w:p>
    <w:p w14:paraId="4938F146" w14:textId="42C03174" w:rsidR="008A5ED1" w:rsidRPr="008A5ED1" w:rsidRDefault="008A5ED1" w:rsidP="008A5ED1">
      <w:pPr>
        <w:spacing w:line="360" w:lineRule="auto"/>
        <w:ind w:firstLine="720"/>
        <w:rPr>
          <w:rFonts w:eastAsia="Arial"/>
        </w:rPr>
      </w:pPr>
      <w:r w:rsidRPr="008A5ED1">
        <w:rPr>
          <w:rFonts w:eastAsia="Arial"/>
        </w:rPr>
        <w:t xml:space="preserve">Niche modeling can inform conservation management strategies by assessing how climate fluctuations will affect endemic populations and how species’ ranges might shift in response </w:t>
      </w:r>
      <w:r w:rsidRPr="008A5ED1">
        <w:rPr>
          <w:rFonts w:eastAsia="Arial"/>
        </w:rPr>
        <w:fldChar w:fldCharType="begin" w:fldLock="1"/>
      </w:r>
      <w:r w:rsidR="006E1F09">
        <w:rPr>
          <w:rFonts w:eastAsia="Arial"/>
        </w:rPr>
        <w:instrText>ADDIN CSL_CITATION {"citationItems":[{"id":"ITEM-1","itemData":{"DOI":"10.5751/ES-03089-150108","ISSN":"17083087","abstract":"Climate change presents unprecedented challenges for biological conservation. Agencies are increasingly looking to modeled projections of species' distributions under future climates to inform management strategies. As government scientists with a responsibility to communicate the best available science to our policy colleagues, we question whether current modeling approaches and outputs are practically useful. Here, we synthesize conceptual problems with species distribution models (SDMs) associated with interspecific interactions, dispersal, ecological equilibria and time lags, evolution, and the sampling of niche space. Although projected SDMs have undoubtedly been critical in alerting us to the magnitude of climate change impacts, we conclude that until they offer insights that are more precise than what we can derive from basic ecological theory, we question their utility in deciding how to allocate scarce funds to large-scale conservation projects. © 2010 by the author(s).","author":[{"dropping-particle":"","family":"Sinclair","given":"Steve J.","non-dropping-particle":"","parse-names":false,"suffix":""},{"dropping-particle":"","family":"White","given":"Matthew D.","non-dropping-particle":"","parse-names":false,"suffix":""},{"dropping-particle":"","family":"Newell","given":"Graeme R.","non-dropping-particle":"","parse-names":false,"suffix":""}],"container-title":"Ecology and Society","id":"ITEM-1","issue":"1","issued":{"date-parts":[["2010"]]},"title":"How useful are species distribution models for managing biodiversity under future climates?","type":"article-journal","volume":"15"},"uris":["http://www.mendeley.com/documents/?uuid=04daa72f-cdd9-4b80-b51f-e8a1cd00ea34"]}],"mendeley":{"formattedCitation":"(Sinclair et al., 2010)","plainTextFormattedCitation":"(Sinclair et al., 2010)","previouslyFormattedCitation":"(Sinclair et al., 2010)"},"properties":{"noteIndex":0},"schema":"https://github.com/citation-style-language/schema/raw/master/csl-citation.json"}</w:instrText>
      </w:r>
      <w:r w:rsidRPr="008A5ED1">
        <w:rPr>
          <w:rFonts w:eastAsia="Arial"/>
        </w:rPr>
        <w:fldChar w:fldCharType="separate"/>
      </w:r>
      <w:r w:rsidR="00CE6085" w:rsidRPr="00CE6085">
        <w:rPr>
          <w:rFonts w:eastAsia="Arial"/>
          <w:noProof/>
        </w:rPr>
        <w:t>(Sinclair et al., 2010)</w:t>
      </w:r>
      <w:r w:rsidRPr="008A5ED1">
        <w:rPr>
          <w:rFonts w:eastAsia="Arial"/>
        </w:rPr>
        <w:fldChar w:fldCharType="end"/>
      </w:r>
      <w:r w:rsidRPr="008A5ED1">
        <w:rPr>
          <w:rFonts w:eastAsia="Arial"/>
        </w:rPr>
        <w:t xml:space="preserve">. Fungi have traditionally been excluded from conservation agendas due to a lack of understanding of fungal species distributions </w:t>
      </w:r>
      <w:r w:rsidRPr="008A5ED1">
        <w:rPr>
          <w:rFonts w:eastAsia="Arial"/>
        </w:rPr>
        <w:fldChar w:fldCharType="begin" w:fldLock="1"/>
      </w:r>
      <w:r w:rsidR="006E1F09">
        <w:rPr>
          <w:rFonts w:eastAsia="Arial"/>
        </w:rPr>
        <w:instrText>ADDIN CSL_CITATION {"citationItems":[{"id":"ITEM-1","itemData":{"DOI":"10.1111/cobi.12388","ISSN":"15231739","PMID":"25185751","abstract":"Hitherto fungi have rarely been considered in conservation biology, but this is changing as the field moves from addressing single species issues to an integrative ecosystem-based approach. The current emphasis on biodiversity as a provider of ecosystem services throws the spotlight on the vast diversity of fungi, their crucial roles in terrestrial ecosystems, and the benefits of considering fungi in concert with animals and plants. We reviewed the role of fungi in ecosystems and composed an overview of the current state of conservation of fungi. There are 5 areas in which fungi can be readily integrated into conservation: as providers of habitats and processes important for other organisms; as indicators of desired or undesired trends in ecosystem functioning; as indicators of habitats of conservation value; as providers of powerful links between human societies and the natural world because of their value as food, medicine, and biotechnological tools; and as sources of novel tools and approaches for conservation of megadiverse organism groups. We hope conservation professionals will value the potential of fungi, engage mycologists in their work, and appreciate the crucial role of fungi in nature.","author":[{"dropping-particle":"","family":"Heilmann-Clausen","given":"Jacob","non-dropping-particle":"","parse-names":false,"suffix":""},{"dropping-particle":"","family":"Barron","given":"Elizabeth S.","non-dropping-particle":"","parse-names":false,"suffix":""},{"dropping-particle":"","family":"Boddy","given":"Lynne","non-dropping-particle":"","parse-names":false,"suffix":""},{"dropping-particle":"","family":"Dahlberg","given":"Anders","non-dropping-particle":"","parse-names":false,"suffix":""},{"dropping-particle":"","family":"Griffith","given":"Gareth W.","non-dropping-particle":"","parse-names":false,"suffix":""},{"dropping-particle":"","family":"Nordén","given":"Jenni","non-dropping-particle":"","parse-names":false,"suffix":""},{"dropping-particle":"","family":"Ovaskainen","given":"Otso","non-dropping-particle":"","parse-names":false,"suffix":""},{"dropping-particle":"","family":"Perini","given":"Claudia","non-dropping-particle":"","parse-names":false,"suffix":""},{"dropping-particle":"","family":"Senn-Irlet","given":"Beatrice","non-dropping-particle":"","parse-names":false,"suffix":""},{"dropping-particle":"","family":"Halme","given":"Panu","non-dropping-particle":"","parse-names":false,"suffix":""}],"container-title":"Conservation Biology","id":"ITEM-1","issue":"1","issued":{"date-parts":[["2015"]]},"page":"61-68","title":"A fungal perspective on conservation biology","type":"article-journal","volume":"29"},"uris":["http://www.mendeley.com/documents/?uuid=35f5bf92-1da2-4fe2-b67b-8caa1ab9f70f"]}],"mendeley":{"formattedCitation":"(Heilmann-Clausen et al., 2015)","plainTextFormattedCitation":"(Heilmann-Clausen et al., 2015)","previouslyFormattedCitation":"(Heilmann-Clausen et al., 2015)"},"properties":{"noteIndex":0},"schema":"https://github.com/citation-style-language/schema/raw/master/csl-citation.json"}</w:instrText>
      </w:r>
      <w:r w:rsidRPr="008A5ED1">
        <w:rPr>
          <w:rFonts w:eastAsia="Arial"/>
        </w:rPr>
        <w:fldChar w:fldCharType="separate"/>
      </w:r>
      <w:r w:rsidR="00CE6085" w:rsidRPr="00CE6085">
        <w:rPr>
          <w:rFonts w:eastAsia="Arial"/>
          <w:noProof/>
        </w:rPr>
        <w:t>(Heilmann-Clausen et al., 2015)</w:t>
      </w:r>
      <w:r w:rsidRPr="008A5ED1">
        <w:rPr>
          <w:rFonts w:eastAsia="Arial"/>
        </w:rPr>
        <w:fldChar w:fldCharType="end"/>
      </w:r>
      <w:r w:rsidRPr="008A5ED1">
        <w:rPr>
          <w:rFonts w:eastAsia="Arial"/>
        </w:rPr>
        <w:t xml:space="preserve">. Yet many soil fungi, including most EMF lineages, appear to be endemic at a regional scale </w:t>
      </w:r>
      <w:r w:rsidRPr="008A5ED1">
        <w:rPr>
          <w:rFonts w:eastAsia="Arial"/>
        </w:rPr>
        <w:fldChar w:fldCharType="begin" w:fldLock="1"/>
      </w:r>
      <w:r w:rsidR="006E1F09">
        <w:rPr>
          <w:rFonts w:eastAsia="Arial"/>
        </w:rPr>
        <w:instrText>ADDIN CSL_CITATION {"citationItems":[{"id":"ITEM-1","itemData":{"ISSN":"0027-8424","author":[{"dropping-particle":"","family":"Talbot","given":"Jennifer M","non-dropping-particle":"","parse-names":false,"suffix":""},{"dropping-particle":"","family":"Bruns","given":"Thomas D","non-dropping-particle":"","parse-names":false,"suffix":""},{"dropping-particle":"","family":"Taylor","given":"John W","non-dropping-particle":"","parse-names":false,"suffix":""},{"dropping-particle":"","family":"Smith","given":"Dylan P","non-dropping-particle":"","parse-names":false,"suffix":""},{"dropping-particle":"","family":"Branco","given":"Sara","non-dropping-particle":"","parse-names":false,"suffix":""},{"dropping-particle":"","family":"Glassman","given":"Sydney I","non-dropping-particle":"","parse-names":false,"suffix":""},{"dropping-particle":"","family":"Erlandson","given":"Sonya","non-dropping-particle":"","parse-names":false,"suffix":""},{"dropping-particle":"","family":"Vilgalys","given":"Rytas","non-dropping-particle":"","parse-names":false,"suffix":""},{"dropping-particle":"","family":"Liao","given":"Hui-Ling","non-dropping-particle":"","parse-names":false,"suffix":""},{"dropping-particle":"","family":"Smith","given":"Matthew E","non-dropping-particle":"","parse-names":false,"suffix":""}],"container-title":"Proceedings of the National Academy of Sciences","id":"ITEM-1","issue":"17","issued":{"date-parts":[["2014"]]},"page":"6341-6346","publisher":"National Acad Sciences","title":"Endemism and functional convergence across the North American soil mycobiome","type":"article-journal","volume":"111"},"uris":["http://www.mendeley.com/documents/?uuid=0cdfec7e-a967-49d7-85cb-ce7183c6f002"]},{"id":"ITEM-2","itemData":{"author":[{"dropping-particle":"","family":"Peay","given":"Kabir G","non-dropping-particle":"","parse-names":false,"suffix":""},{"dropping-particle":"","family":"Matheny","given":"P Brandon","non-dropping-particle":"","parse-names":false,"suffix":""}],"container-title":"Molecular mycorrhizal symbiosis","id":"ITEM-2","issued":{"date-parts":[["2016"]]},"page":"341-361","publisher":"Wiley-Blackwell","title":"The biogeography of ectomycorrhizal fungi–a history of life in the subterranean","type":"article-journal"},"uris":["http://www.mendeley.com/documents/?uuid=7ddc577c-539b-434c-871e-f40e0e227b39"]}],"mendeley":{"formattedCitation":"(Talbot et al., 2014; Peay and Matheny, 2016)","plainTextFormattedCitation":"(Talbot et al., 2014; Peay and Matheny, 2016)","previouslyFormattedCitation":"(Talbot et al., 2014; Peay and Matheny, 2016)"},"properties":{"noteIndex":0},"schema":"https://github.com/citation-style-language/schema/raw/master/csl-citation.json"}</w:instrText>
      </w:r>
      <w:r w:rsidRPr="008A5ED1">
        <w:rPr>
          <w:rFonts w:eastAsia="Arial"/>
        </w:rPr>
        <w:fldChar w:fldCharType="separate"/>
      </w:r>
      <w:r w:rsidR="00CE6085" w:rsidRPr="00CE6085">
        <w:rPr>
          <w:rFonts w:eastAsia="Arial"/>
          <w:noProof/>
        </w:rPr>
        <w:t>(Talbot et al., 2014; Peay and Matheny, 2016)</w:t>
      </w:r>
      <w:r w:rsidRPr="008A5ED1">
        <w:rPr>
          <w:rFonts w:eastAsia="Arial"/>
        </w:rPr>
        <w:fldChar w:fldCharType="end"/>
      </w:r>
      <w:r w:rsidRPr="008A5ED1">
        <w:rPr>
          <w:rFonts w:eastAsia="Arial"/>
        </w:rPr>
        <w:t xml:space="preserve"> increasing their vulnerability to extinction due to climate change. Niche modeling can aid fungal conservation by identifying sites that will continue to support fungal diversity under future climate conditions as targets for land management efforts. As EMF are key regulators in net primary productivity and plant biomass </w:t>
      </w:r>
      <w:r w:rsidRPr="008A5ED1">
        <w:rPr>
          <w:rStyle w:val="CommentReference"/>
          <w:sz w:val="24"/>
          <w:szCs w:val="24"/>
        </w:rPr>
        <w:fldChar w:fldCharType="begin" w:fldLock="1"/>
      </w:r>
      <w:r w:rsidR="006E1F09">
        <w:rPr>
          <w:rStyle w:val="CommentReference"/>
          <w:sz w:val="24"/>
          <w:szCs w:val="24"/>
        </w:rPr>
        <w:instrText>ADDIN CSL_CITATION {"citationItems":[{"id":"ITEM-1","itemData":{"DOI":"10.1126/science.1094875","author":[{"dropping-particle":"","family":"Wardle","given":"David A","non-dropping-particle":"","parse-names":false,"suffix":""},{"dropping-particle":"","family":"Bardgett","given":"Richard D","non-dropping-particle":"","parse-names":false,"suffix":""},{"dropping-particle":"","family":"Klironomos","given":"John N","non-dropping-particle":"","parse-names":false,"suffix":""},{"dropping-particle":"","family":"Setala","given":"H","non-dropping-particle":"","parse-names":false,"suffix":""},{"dropping-particle":"van der","family":"Putten","given":"Wim H","non-dropping-particle":"","parse-names":false,"suffix":""},{"dropping-particle":"","family":"Wall","given":"Diana H","non-dropping-particle":"","parse-names":false,"suffix":""}],"container-title":"Science","id":"ITEM-1","issued":{"date-parts":[["2004"]]},"page":"1629-1633","title":"Ecological Linkages Between Aboveground and Belowground Biota","type":"article-journal","volume":"304"},"uris":["http://www.mendeley.com/documents/?uuid=5d3d2d16-dcbc-4023-b126-e147301f9b03"]}],"mendeley":{"formattedCitation":"(Wardle et al., 2004)","plainTextFormattedCitation":"(Wardle et al., 2004)","previouslyFormattedCitation":"(Wardle et al., 2004)"},"properties":{"noteIndex":0},"schema":"https://github.com/citation-style-language/schema/raw/master/csl-citation.json"}</w:instrText>
      </w:r>
      <w:r w:rsidRPr="008A5ED1">
        <w:rPr>
          <w:rStyle w:val="CommentReference"/>
          <w:sz w:val="24"/>
          <w:szCs w:val="24"/>
        </w:rPr>
        <w:fldChar w:fldCharType="separate"/>
      </w:r>
      <w:r w:rsidR="00CE6085" w:rsidRPr="00CE6085">
        <w:rPr>
          <w:rStyle w:val="CommentReference"/>
          <w:noProof/>
          <w:sz w:val="24"/>
          <w:szCs w:val="24"/>
        </w:rPr>
        <w:t>(Wardle et al., 2004)</w:t>
      </w:r>
      <w:r w:rsidRPr="008A5ED1">
        <w:rPr>
          <w:rStyle w:val="CommentReference"/>
          <w:sz w:val="24"/>
          <w:szCs w:val="24"/>
        </w:rPr>
        <w:fldChar w:fldCharType="end"/>
      </w:r>
      <w:r w:rsidRPr="008A5ED1">
        <w:rPr>
          <w:rFonts w:eastAsia="Arial"/>
        </w:rPr>
        <w:t xml:space="preserve">, preserving EMF diversity is critical to the preservation </w:t>
      </w:r>
      <w:r w:rsidRPr="008A5ED1">
        <w:rPr>
          <w:rFonts w:eastAsia="Arial"/>
          <w:color w:val="000000"/>
        </w:rPr>
        <w:t xml:space="preserve">of highly productive forests. </w:t>
      </w:r>
    </w:p>
    <w:p w14:paraId="288CE7B8" w14:textId="54414487" w:rsidR="008A5ED1" w:rsidRPr="008A5ED1" w:rsidRDefault="008A5ED1" w:rsidP="00294650">
      <w:pPr>
        <w:spacing w:line="360" w:lineRule="auto"/>
        <w:ind w:firstLine="720"/>
        <w:rPr>
          <w:rFonts w:eastAsia="Arial"/>
          <w:color w:val="000000"/>
        </w:rPr>
      </w:pPr>
      <w:r w:rsidRPr="008A5ED1">
        <w:rPr>
          <w:rFonts w:eastAsia="Arial"/>
        </w:rPr>
        <w:t xml:space="preserve">One limitation in applying niche modeling techniques to fungal species remains the lack of deep sampling of georeferenced, vouchered herbarium collections with DNA sequences to verify species identity. We encourage continued efforts to link fungal herbarium specimens with public repositories of corresponding DNA sequences, such as GenBank and UNITE. Not only will this enable agencies and individuals without taxonomic expertise to more easily and accurately model EMF species distributions, but it will also expand the capacity to model more </w:t>
      </w:r>
      <w:r w:rsidRPr="008A5ED1">
        <w:rPr>
          <w:rFonts w:eastAsia="Arial"/>
        </w:rPr>
        <w:lastRenderedPageBreak/>
        <w:t>fungal species. Here, we chose a well-known fungal species with stable morphology to avoid this pitfall.</w:t>
      </w:r>
    </w:p>
    <w:p w14:paraId="71902E73" w14:textId="77777777" w:rsidR="003A5AB8" w:rsidRDefault="00294650" w:rsidP="00294650">
      <w:pPr>
        <w:spacing w:line="360" w:lineRule="auto"/>
        <w:rPr>
          <w:rFonts w:eastAsia="Arial"/>
          <w:color w:val="000000"/>
        </w:rPr>
      </w:pPr>
      <w:r>
        <w:rPr>
          <w:rFonts w:eastAsia="Arial"/>
          <w:color w:val="000000"/>
        </w:rPr>
        <w:tab/>
      </w:r>
      <w:r w:rsidR="008A5ED1" w:rsidRPr="008A5ED1">
        <w:rPr>
          <w:rFonts w:eastAsia="Arial"/>
          <w:color w:val="000000"/>
        </w:rPr>
        <w:t xml:space="preserve">We urge greater use of empirical models that explore climatic niche overlap for aboveground-belowground mutualists under present and future climate conditions. Since few niche modeling efforts have been directed at well-studied, host-specific fungal mutualisms, the present investigation serves as a case study in applying niche models towards this type of system. Further modeling of other host-specific EMF will allow investigation into the efficacy and accuracy of EMF niche modeling in its application towards biogeography and conservation. </w:t>
      </w:r>
    </w:p>
    <w:p w14:paraId="1FABF2D6" w14:textId="3A3E6329" w:rsidR="00011F5E" w:rsidRPr="003A5AB8" w:rsidRDefault="00236E6D" w:rsidP="003A5AB8">
      <w:pPr>
        <w:pStyle w:val="Heading1"/>
      </w:pPr>
      <w:r w:rsidRPr="001E4901">
        <w:br w:type="page"/>
      </w:r>
      <w:bookmarkStart w:id="110" w:name="_Toc102048044"/>
      <w:bookmarkStart w:id="111" w:name="_Toc420995910"/>
      <w:bookmarkStart w:id="112" w:name="_Toc422997497"/>
      <w:r w:rsidR="000E3F21">
        <w:lastRenderedPageBreak/>
        <w:t>CONCLUSION</w:t>
      </w:r>
      <w:bookmarkEnd w:id="110"/>
    </w:p>
    <w:p w14:paraId="5E34DB00" w14:textId="37B4F5D3" w:rsidR="00B36517" w:rsidRDefault="00B36517" w:rsidP="00B36517">
      <w:pPr>
        <w:spacing w:line="360" w:lineRule="auto"/>
        <w:rPr>
          <w:color w:val="000000" w:themeColor="text1"/>
        </w:rPr>
      </w:pPr>
      <w:r>
        <w:tab/>
        <w:t>To conclude, i</w:t>
      </w:r>
      <w:r w:rsidRPr="0094665D">
        <w:t xml:space="preserve">n </w:t>
      </w:r>
      <w:r w:rsidRPr="00800F30">
        <w:rPr>
          <w:b/>
          <w:bCs/>
        </w:rPr>
        <w:t>Chapter One</w:t>
      </w:r>
      <w:r w:rsidRPr="0094665D">
        <w:t xml:space="preserve"> we have shown that the spatial </w:t>
      </w:r>
      <w:r>
        <w:t xml:space="preserve">depth </w:t>
      </w:r>
      <w:r w:rsidRPr="0094665D">
        <w:t>along plant root</w:t>
      </w:r>
      <w:r>
        <w:t>s</w:t>
      </w:r>
      <w:r w:rsidRPr="0094665D">
        <w:t xml:space="preserve"> </w:t>
      </w:r>
      <w:r>
        <w:t>can affect</w:t>
      </w:r>
      <w:r w:rsidRPr="0094665D">
        <w:t xml:space="preserve"> </w:t>
      </w:r>
      <w:r>
        <w:t>rarefied richness and the relative abundance</w:t>
      </w:r>
      <w:r w:rsidRPr="0094665D">
        <w:t xml:space="preserve"> of rhizospheric bacteria.</w:t>
      </w:r>
      <w:r>
        <w:t xml:space="preserve"> We observed greater alpha diversity estimates in Depth A, closer to the surface, than other depths along the root.</w:t>
      </w:r>
      <w:r w:rsidRPr="0094665D">
        <w:t xml:space="preserve"> Further, we have shown that bacterial communities in the rhizosphere environment follow the species area relationship, where the greater area sampled in the rhizosphere, the greater estimates of bacterial richness (alpha diversity). We have additionally shown that sampling grain contributes to differences in the relative abundance of reads and richness of rhizosphere associated bacteria. Where finer grain sampling captures more precise estimates of relative abundance in reads while also recovering higher alpha diversity estimates (i.e., rarer ASVs) on average than a coarse grain sampling effort. </w:t>
      </w:r>
      <w:r w:rsidRPr="0094665D">
        <w:rPr>
          <w:color w:val="000000" w:themeColor="text1"/>
        </w:rPr>
        <w:t>This information proves useful when developing future rhizosphere microbiome related questions with the aim of being reproducible and comparable experimental designs in field settings.</w:t>
      </w:r>
    </w:p>
    <w:p w14:paraId="2CC27EA5" w14:textId="77777777" w:rsidR="00B36517" w:rsidRDefault="00B36517" w:rsidP="00B36517">
      <w:pPr>
        <w:spacing w:line="360" w:lineRule="auto"/>
        <w:rPr>
          <w:color w:val="000000" w:themeColor="text1"/>
        </w:rPr>
      </w:pPr>
      <w:r>
        <w:rPr>
          <w:color w:val="000000" w:themeColor="text1"/>
        </w:rPr>
        <w:tab/>
        <w:t xml:space="preserve">In the Sonoran Desert, rhizosphere bacterial community richness responds to the manipulation of seasonal rainfall in structure and phylogenetic membership, where moderate rainfall exclusion (60%) contributed to an increased bacterial community richness by the tail end of the North American Monsoon season. This pattern was observed even as rare species were down weighted from our richness estimates. Throughout </w:t>
      </w:r>
      <w:r w:rsidRPr="00800F30">
        <w:rPr>
          <w:b/>
          <w:bCs/>
          <w:color w:val="000000" w:themeColor="text1"/>
        </w:rPr>
        <w:t>Chapter Two</w:t>
      </w:r>
      <w:r>
        <w:rPr>
          <w:color w:val="000000" w:themeColor="text1"/>
        </w:rPr>
        <w:t xml:space="preserve">, we have also shown the relative importance soil edaphic factors can have on structuring bacterial communities during times of drought. For example, phosphorous and ammonium were significant predictors of bacterial community structure in the rhizosphere of </w:t>
      </w:r>
      <w:r w:rsidRPr="00604AA4">
        <w:rPr>
          <w:i/>
          <w:iCs/>
          <w:color w:val="000000" w:themeColor="text1"/>
        </w:rPr>
        <w:t xml:space="preserve">L. </w:t>
      </w:r>
      <w:proofErr w:type="spellStart"/>
      <w:r w:rsidRPr="00604AA4">
        <w:rPr>
          <w:i/>
          <w:iCs/>
          <w:color w:val="000000" w:themeColor="text1"/>
        </w:rPr>
        <w:t>neomexicanus</w:t>
      </w:r>
      <w:proofErr w:type="spellEnd"/>
      <w:r>
        <w:rPr>
          <w:color w:val="000000" w:themeColor="text1"/>
        </w:rPr>
        <w:t xml:space="preserve">. On the other hand, during reduced rainfall, nitrate and nitrite were shown to be a predictor of bacterial phylogenetic membership. Further, our indicator species analysis revealed an enrichment of Actinobacteria in drier soil conditions, which may be due to their natural ability to resist cell desiccation. As climates become hotter and drier, more knowledge is needed to understand how species interactions, particularly bacteria-host interactions, can decouple, potentially leading to changes in nutrient cycling rates and acquisition by plant hosts. </w:t>
      </w:r>
    </w:p>
    <w:p w14:paraId="3C814C25" w14:textId="77777777" w:rsidR="00B36517" w:rsidRDefault="00B36517" w:rsidP="00B36517">
      <w:pPr>
        <w:spacing w:line="360" w:lineRule="auto"/>
      </w:pPr>
      <w:r>
        <w:tab/>
        <w:t xml:space="preserve">Arbuscular Mycorrhizal (AM) fungal associations have been shown to increase drought tolerance of plants, as the mycelium extends from the rhizosphere, accessing, acquiring, and trading phosphorous for plant derived carbon. </w:t>
      </w:r>
      <w:r w:rsidRPr="004B194B">
        <w:rPr>
          <w:b/>
          <w:bCs/>
        </w:rPr>
        <w:t xml:space="preserve">Chapter </w:t>
      </w:r>
      <w:r>
        <w:rPr>
          <w:b/>
          <w:bCs/>
        </w:rPr>
        <w:t>Three</w:t>
      </w:r>
      <w:r>
        <w:t xml:space="preserve"> addressed the community level response to short-term rainfall exclusion in the North American Monsoon season. We observed </w:t>
      </w:r>
      <w:r>
        <w:lastRenderedPageBreak/>
        <w:t xml:space="preserve">an increase in </w:t>
      </w:r>
      <w:proofErr w:type="spellStart"/>
      <w:r>
        <w:t>Paraglomeraceae</w:t>
      </w:r>
      <w:proofErr w:type="spellEnd"/>
      <w:r>
        <w:t xml:space="preserve"> abundance in response to monsoon rainfall, and a decrease in </w:t>
      </w:r>
      <w:proofErr w:type="spellStart"/>
      <w:r>
        <w:t>Diversisporaceae</w:t>
      </w:r>
      <w:proofErr w:type="spellEnd"/>
      <w:r>
        <w:t xml:space="preserve"> during extreme rainfall exclusion. Additionally, we illustrate that rainfall exclusion and phosphorous content in the soil are significant predictors of AM fungal community structure. We can infer greater phylogenetic change in the moderate (60%) rainfall exclusion group than any other group, which is </w:t>
      </w:r>
      <w:proofErr w:type="gramStart"/>
      <w:r>
        <w:t>similar to</w:t>
      </w:r>
      <w:proofErr w:type="gramEnd"/>
      <w:r>
        <w:t xml:space="preserve"> what we observed for bacterial communities. This possibly suggests that under a moderate reduction in soil moisture that a more diverse community coexists in comparison to more extreme nutrient limitations or availability. Results presented in this chapter leads to several future directions for the field of fungal ecology, including a need to resolve the appropriate temporal scales to observe changes in plant-fungal interactions. 18S rRNA data presented here could have the potential to be scaled to larger temporal and spatial scales to predict AM fungal persistence under future climate scenarios. </w:t>
      </w:r>
    </w:p>
    <w:p w14:paraId="6504E983" w14:textId="77777777" w:rsidR="00881179" w:rsidRDefault="00B36517" w:rsidP="00B36517">
      <w:pPr>
        <w:spacing w:line="360" w:lineRule="auto"/>
        <w:rPr>
          <w:rFonts w:eastAsia="Arial"/>
        </w:rPr>
      </w:pPr>
      <w:r>
        <w:tab/>
      </w:r>
      <w:r w:rsidRPr="0006124F">
        <w:t xml:space="preserve">Lastly, in </w:t>
      </w:r>
      <w:r w:rsidRPr="0006124F">
        <w:rPr>
          <w:b/>
          <w:bCs/>
        </w:rPr>
        <w:t>Chapter Four</w:t>
      </w:r>
      <w:r w:rsidRPr="0006124F">
        <w:t xml:space="preserve">, </w:t>
      </w:r>
      <w:r w:rsidRPr="0006124F">
        <w:rPr>
          <w:rFonts w:eastAsia="Arial"/>
        </w:rPr>
        <w:t xml:space="preserve">we have shown how spatial modeling algorithms are useful for visualizing niche overlap </w:t>
      </w:r>
      <w:r w:rsidRPr="00154E52">
        <w:rPr>
          <w:rFonts w:eastAsia="Arial"/>
        </w:rPr>
        <w:t>between a tree species and an ectomycorrhizal</w:t>
      </w:r>
      <w:r>
        <w:rPr>
          <w:rFonts w:eastAsia="Arial"/>
        </w:rPr>
        <w:t xml:space="preserve"> (EM)</w:t>
      </w:r>
      <w:r w:rsidRPr="00154E52">
        <w:rPr>
          <w:rFonts w:eastAsia="Arial"/>
        </w:rPr>
        <w:t xml:space="preserve"> fungal partner under current and future climate scenarios.</w:t>
      </w:r>
      <w:r>
        <w:rPr>
          <w:rFonts w:eastAsia="Arial"/>
        </w:rPr>
        <w:t xml:space="preserve"> Here, we uncovered the most predictive climate variables for a host-associated ectomycorrhizal fungal species under current climate conditions. Winter precipitation and specifically precipitation as snow may be key regulators in EM fungal associations with tree hosts. Suitable habitat for </w:t>
      </w:r>
      <w:r w:rsidRPr="009D4F0D">
        <w:rPr>
          <w:rFonts w:eastAsia="Arial"/>
          <w:i/>
          <w:iCs/>
        </w:rPr>
        <w:t xml:space="preserve">S. </w:t>
      </w:r>
      <w:proofErr w:type="spellStart"/>
      <w:r w:rsidRPr="009D4F0D">
        <w:rPr>
          <w:rFonts w:eastAsia="Arial"/>
          <w:i/>
          <w:iCs/>
        </w:rPr>
        <w:t>spraguei</w:t>
      </w:r>
      <w:proofErr w:type="spellEnd"/>
      <w:r>
        <w:rPr>
          <w:rFonts w:eastAsia="Arial"/>
        </w:rPr>
        <w:t xml:space="preserve"> was shown to decrease at a larger scale relative to its host tree species, where little to no change was observed given noncorrelated climatic variables.</w:t>
      </w:r>
      <w:r w:rsidRPr="00154E52">
        <w:rPr>
          <w:rFonts w:eastAsia="Arial"/>
        </w:rPr>
        <w:t xml:space="preserve"> This method can serve the nascent field of fungal conservation by providing land management agencies with targeted sites for management efforts. Where there is a predicted change in the range of the tree species, conservation protections can be enabled to protect host-specific </w:t>
      </w:r>
      <w:r>
        <w:rPr>
          <w:rFonts w:eastAsia="Arial"/>
        </w:rPr>
        <w:t>ectomycorrhizal fungal</w:t>
      </w:r>
      <w:r w:rsidRPr="00154E52">
        <w:rPr>
          <w:rFonts w:eastAsia="Arial"/>
        </w:rPr>
        <w:t xml:space="preserve"> species like </w:t>
      </w:r>
      <w:r w:rsidRPr="00154E52">
        <w:rPr>
          <w:rFonts w:eastAsia="Arial"/>
          <w:i/>
        </w:rPr>
        <w:t xml:space="preserve">S. </w:t>
      </w:r>
      <w:proofErr w:type="spellStart"/>
      <w:r w:rsidRPr="00154E52">
        <w:rPr>
          <w:rFonts w:eastAsia="Arial"/>
          <w:i/>
        </w:rPr>
        <w:t>spraguei</w:t>
      </w:r>
      <w:proofErr w:type="spellEnd"/>
      <w:r w:rsidRPr="00154E52">
        <w:rPr>
          <w:rFonts w:eastAsia="Arial"/>
        </w:rPr>
        <w:t>.</w:t>
      </w:r>
      <w:r>
        <w:rPr>
          <w:rFonts w:eastAsia="Arial"/>
        </w:rPr>
        <w:t xml:space="preserve"> </w:t>
      </w:r>
    </w:p>
    <w:p w14:paraId="0F75F220" w14:textId="631154E0" w:rsidR="00C6492E" w:rsidRPr="00881179" w:rsidRDefault="00881179" w:rsidP="00B36517">
      <w:pPr>
        <w:spacing w:line="360" w:lineRule="auto"/>
        <w:rPr>
          <w:rFonts w:eastAsia="Arial"/>
        </w:rPr>
      </w:pPr>
      <w:r>
        <w:rPr>
          <w:rFonts w:eastAsia="Arial"/>
        </w:rPr>
        <w:tab/>
        <w:t>This body of research addressed the spatial and temporal aspects of microbial ecology, while additionally incorporating occurrence based fungal data into predictive ecological niche models (</w:t>
      </w:r>
      <w:r w:rsidRPr="00BB0D45">
        <w:rPr>
          <w:rFonts w:eastAsia="Arial"/>
          <w:b/>
          <w:bCs/>
        </w:rPr>
        <w:t>Figure 1</w:t>
      </w:r>
      <w:r>
        <w:rPr>
          <w:rFonts w:eastAsia="Arial"/>
        </w:rPr>
        <w:t xml:space="preserve">). I detected a spatial structure that governed bacterial community richness in a host-specific microhabitat and illustrated that variation in DNA sequencing resolution can affect the way researchers define ecological communities. With smaller, more fine grain pooling resulting in microbial richness estimates that are greater than more coarse grain pooling techniques. This further illustrates that, in certain contexts, macroecological richness patterns such as the species area relationship can be applied to microorganisms. Further, I have illustrated that seasonal rainfall exclusion affects microbial community richness and turnover over short </w:t>
      </w:r>
      <w:r>
        <w:rPr>
          <w:rFonts w:eastAsia="Arial"/>
        </w:rPr>
        <w:lastRenderedPageBreak/>
        <w:t>time scales. Lastly, conclusions made in my final chapter suggest that microbial niche space and persistence can be affected by moderate to extreme changes in regional climate. Thus, the predictions made here can inform future conservation and ecological strategies to maintain context dependent microbial-plant host interactions across both short- and long-term changes in climate.</w:t>
      </w:r>
    </w:p>
    <w:p w14:paraId="24FDA8A5" w14:textId="54E63C81" w:rsidR="00311F1A" w:rsidRPr="00011F5E" w:rsidRDefault="00011F5E" w:rsidP="00011F5E">
      <w:r>
        <w:br w:type="page"/>
      </w:r>
    </w:p>
    <w:p w14:paraId="5BE2309E" w14:textId="01047516" w:rsidR="00236E6D" w:rsidRPr="00070C90" w:rsidRDefault="00070C90" w:rsidP="00E02779">
      <w:pPr>
        <w:pStyle w:val="AltHeading1"/>
        <w:rPr>
          <w:sz w:val="28"/>
          <w:szCs w:val="28"/>
        </w:rPr>
      </w:pPr>
      <w:bookmarkStart w:id="113" w:name="_Toc102048045"/>
      <w:bookmarkEnd w:id="111"/>
      <w:bookmarkEnd w:id="112"/>
      <w:r w:rsidRPr="00070C90">
        <w:rPr>
          <w:sz w:val="28"/>
          <w:szCs w:val="28"/>
        </w:rPr>
        <w:lastRenderedPageBreak/>
        <w:t>LIST OF REFERENCES</w:t>
      </w:r>
      <w:bookmarkEnd w:id="113"/>
    </w:p>
    <w:p w14:paraId="2404D0BF" w14:textId="77777777" w:rsidR="003D7A27" w:rsidRPr="001E4901" w:rsidRDefault="003D7A27">
      <w:r w:rsidRPr="001E4901">
        <w:br w:type="page"/>
      </w:r>
    </w:p>
    <w:p w14:paraId="42F57783" w14:textId="60F952CE" w:rsidR="0072022B" w:rsidRPr="0072022B" w:rsidRDefault="0072022B" w:rsidP="0072022B">
      <w:pPr>
        <w:widowControl w:val="0"/>
        <w:autoSpaceDE w:val="0"/>
        <w:autoSpaceDN w:val="0"/>
        <w:adjustRightInd w:val="0"/>
        <w:ind w:left="480" w:hanging="480"/>
        <w:rPr>
          <w:noProof/>
        </w:rPr>
      </w:pPr>
      <w:r>
        <w:lastRenderedPageBreak/>
        <w:fldChar w:fldCharType="begin" w:fldLock="1"/>
      </w:r>
      <w:r>
        <w:instrText xml:space="preserve">ADDIN Mendeley Bibliography CSL_BIBLIOGRAPHY </w:instrText>
      </w:r>
      <w:r>
        <w:fldChar w:fldCharType="separate"/>
      </w:r>
      <w:r w:rsidRPr="0072022B">
        <w:rPr>
          <w:noProof/>
        </w:rPr>
        <w:t xml:space="preserve">Agrawal, A. A., Ackerly, D. D., Adler, F., Arnold, A. E., Cáceres, C., Doak, D. F., et al. (2007). Filling key gaps in population and community ecology. </w:t>
      </w:r>
      <w:r w:rsidRPr="0072022B">
        <w:rPr>
          <w:i/>
          <w:iCs/>
          <w:noProof/>
        </w:rPr>
        <w:t>Front. Ecol.</w:t>
      </w:r>
      <w:r w:rsidRPr="0072022B">
        <w:rPr>
          <w:noProof/>
        </w:rPr>
        <w:t xml:space="preserve"> 5, 145–152.</w:t>
      </w:r>
    </w:p>
    <w:p w14:paraId="5DF6A3D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Alberdi, A., and Gilbert, M. T. P. (2019). hilldiv: an R package for the integral analysis of diversity based on Hill numbers. </w:t>
      </w:r>
      <w:r w:rsidRPr="0072022B">
        <w:rPr>
          <w:i/>
          <w:iCs/>
          <w:noProof/>
        </w:rPr>
        <w:t>Biorxiv</w:t>
      </w:r>
      <w:r w:rsidRPr="0072022B">
        <w:rPr>
          <w:noProof/>
        </w:rPr>
        <w:t>, 545665.</w:t>
      </w:r>
    </w:p>
    <w:p w14:paraId="59F88BB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Allen, M. F. (1991). </w:t>
      </w:r>
      <w:r w:rsidRPr="0072022B">
        <w:rPr>
          <w:i/>
          <w:iCs/>
          <w:noProof/>
        </w:rPr>
        <w:t>The ecology of mycorrhizae</w:t>
      </w:r>
      <w:r w:rsidRPr="0072022B">
        <w:rPr>
          <w:noProof/>
        </w:rPr>
        <w:t>. Cambridge University Press.</w:t>
      </w:r>
    </w:p>
    <w:p w14:paraId="2F146A5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Amend, A. S., Cobian, G. M., Laruson, A. J., Remple, K., Tucker, S. J., Kirsten, E., et al. (2018). Phytobiomes are compositionally nested from the ground up Phytobiomes are compositionally nested from the ground up. </w:t>
      </w:r>
      <w:r w:rsidRPr="0072022B">
        <w:rPr>
          <w:i/>
          <w:iCs/>
          <w:noProof/>
        </w:rPr>
        <w:t>PeerJPreprints</w:t>
      </w:r>
      <w:r w:rsidRPr="0072022B">
        <w:rPr>
          <w:noProof/>
        </w:rPr>
        <w:t>, 1–18. doi:10.7287/peerj.preprints.27393v1.</w:t>
      </w:r>
    </w:p>
    <w:p w14:paraId="3D41097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Anderson, M. J., Ellingsen, K. E., and McArdle, B. H. (2006). Multivariate dispersion as a measure of beta diversity. </w:t>
      </w:r>
      <w:r w:rsidRPr="0072022B">
        <w:rPr>
          <w:i/>
          <w:iCs/>
          <w:noProof/>
        </w:rPr>
        <w:t>Ecol. Lett.</w:t>
      </w:r>
      <w:r w:rsidRPr="0072022B">
        <w:rPr>
          <w:noProof/>
        </w:rPr>
        <w:t xml:space="preserve"> 9, 683–693. doi:10.1111/j.1461-0248.2006.00926.x.</w:t>
      </w:r>
    </w:p>
    <w:p w14:paraId="0314DCF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Anderson, R. C., Liberta, A. E., and Dickman, L. A. (1984). Interaction of vascular plants and vesicular-arbuscular mycorrhizal fungi across a soil moisture-nutrient gradient. </w:t>
      </w:r>
      <w:r w:rsidRPr="0072022B">
        <w:rPr>
          <w:i/>
          <w:iCs/>
          <w:noProof/>
        </w:rPr>
        <w:t>Oecologia</w:t>
      </w:r>
      <w:r w:rsidRPr="0072022B">
        <w:rPr>
          <w:noProof/>
        </w:rPr>
        <w:t xml:space="preserve"> 64, 111–117. doi:10.1007/BF00377552.</w:t>
      </w:r>
    </w:p>
    <w:p w14:paraId="526ED00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Andreote, F. D., Rocha, U. N. Da, Araújo, W. L., Azevedo, J. L., and Van Overbeek, L. S. (2010). Effect of bacterial inoculation, plant genotype and developmental stage on root-associated and endophytic bacterial communities in potato (Solanum tuberosum). </w:t>
      </w:r>
      <w:r w:rsidRPr="0072022B">
        <w:rPr>
          <w:i/>
          <w:iCs/>
          <w:noProof/>
        </w:rPr>
        <w:t>Antonie van Leeuwenhoek, Int. J. Gen. Mol. Microbiol.</w:t>
      </w:r>
      <w:r w:rsidRPr="0072022B">
        <w:rPr>
          <w:noProof/>
        </w:rPr>
        <w:t xml:space="preserve"> 97, 389–399. doi:10.1007/s10482-010-9421-9.</w:t>
      </w:r>
    </w:p>
    <w:p w14:paraId="003012B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Armstrong, A., Valverde, A., Ramond, J. B., Makhalanyane, T. P., Jansson, J. K., Hopkins, D. W., et al. (2016). Temporal dynamics of hot desert microbial communities reveal structural and functional responses to water input. </w:t>
      </w:r>
      <w:r w:rsidRPr="0072022B">
        <w:rPr>
          <w:i/>
          <w:iCs/>
          <w:noProof/>
        </w:rPr>
        <w:t>Sci. Rep.</w:t>
      </w:r>
      <w:r w:rsidRPr="0072022B">
        <w:rPr>
          <w:noProof/>
        </w:rPr>
        <w:t xml:space="preserve"> 6, 1–8. doi:10.1038/srep34434.</w:t>
      </w:r>
    </w:p>
    <w:p w14:paraId="4F49A88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Arrhenius, O. (1921). Species and Area. </w:t>
      </w:r>
      <w:r w:rsidRPr="0072022B">
        <w:rPr>
          <w:i/>
          <w:iCs/>
          <w:noProof/>
        </w:rPr>
        <w:t>Br. Ecol. Soc.</w:t>
      </w:r>
      <w:r w:rsidRPr="0072022B">
        <w:rPr>
          <w:noProof/>
        </w:rPr>
        <w:t xml:space="preserve"> 9, 95–99.</w:t>
      </w:r>
    </w:p>
    <w:p w14:paraId="57D22A0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Aslam, S. N., Dumbrell, A. J., Sabir, J. S., Mutwakil, M. H. Z., Baeshen, M. M. N., Abo-Aba, S. E. M., et al. (2016). Soil compartment is a major determinant of the impact of simulated rainfall on desert microbiota. </w:t>
      </w:r>
      <w:r w:rsidRPr="0072022B">
        <w:rPr>
          <w:i/>
          <w:iCs/>
          <w:noProof/>
        </w:rPr>
        <w:t>Environ. Microbiol.</w:t>
      </w:r>
      <w:r w:rsidRPr="0072022B">
        <w:rPr>
          <w:noProof/>
        </w:rPr>
        <w:t xml:space="preserve"> 18, 5048–5062. doi:10.1111/1462-2920.13474.</w:t>
      </w:r>
    </w:p>
    <w:p w14:paraId="34A3AD4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Aulakh, M. S., Wassmann, R., Bueno, C., and Rennenberg, H. (2001). Impact of root exudates of different cultivars and plant development stages of rice (Oryza sativa L.) on methane production in a paddy soil. </w:t>
      </w:r>
      <w:r w:rsidRPr="0072022B">
        <w:rPr>
          <w:i/>
          <w:iCs/>
          <w:noProof/>
        </w:rPr>
        <w:t>Plant Soil</w:t>
      </w:r>
      <w:r w:rsidRPr="0072022B">
        <w:rPr>
          <w:noProof/>
        </w:rPr>
        <w:t xml:space="preserve"> 230, 77–86. doi:10.1023/A:1004817212321.</w:t>
      </w:r>
    </w:p>
    <w:p w14:paraId="063C63D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Australia, S. A. of (1977). </w:t>
      </w:r>
      <w:r w:rsidRPr="0072022B">
        <w:rPr>
          <w:i/>
          <w:iCs/>
          <w:noProof/>
        </w:rPr>
        <w:t>Methods of testing soils for engineering purposes</w:t>
      </w:r>
      <w:r w:rsidRPr="0072022B">
        <w:rPr>
          <w:noProof/>
        </w:rPr>
        <w:t>. North Sydney, N.S.W: The Association.</w:t>
      </w:r>
    </w:p>
    <w:p w14:paraId="55CF65D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Barnard, R. L., Osborne, C. A., and Firestone, M. K. (2013). Responses of soil bacterial and fungal communities to extreme desiccation and rewetting. </w:t>
      </w:r>
      <w:r w:rsidRPr="0072022B">
        <w:rPr>
          <w:i/>
          <w:iCs/>
          <w:noProof/>
        </w:rPr>
        <w:t>ISME J.</w:t>
      </w:r>
      <w:r w:rsidRPr="0072022B">
        <w:rPr>
          <w:noProof/>
        </w:rPr>
        <w:t xml:space="preserve"> 7, 2229–2241. doi:10.1038/ismej.2013.104.</w:t>
      </w:r>
    </w:p>
    <w:p w14:paraId="10835D3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Bates, D., Mächler, M., Bolker, B. M., and Walker, S. C. (2015). Fitting linear mixed-effects models using lme4. </w:t>
      </w:r>
      <w:r w:rsidRPr="0072022B">
        <w:rPr>
          <w:i/>
          <w:iCs/>
          <w:noProof/>
        </w:rPr>
        <w:t>J. Stat. Softw.</w:t>
      </w:r>
      <w:r w:rsidRPr="0072022B">
        <w:rPr>
          <w:noProof/>
        </w:rPr>
        <w:t xml:space="preserve"> 67. doi:10.18637/jss.v067.i01.</w:t>
      </w:r>
    </w:p>
    <w:p w14:paraId="1A9C254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Beckers, B., De Beeck, M. O., Weyens, N., Boerjan, W., and Vangronsveld, J. (2017). Structural variability and niche differentiation in the rhizosphere and endosphere bacterial microbiome of field-grown poplar trees. </w:t>
      </w:r>
      <w:r w:rsidRPr="0072022B">
        <w:rPr>
          <w:i/>
          <w:iCs/>
          <w:noProof/>
        </w:rPr>
        <w:t>Microbiome</w:t>
      </w:r>
      <w:r w:rsidRPr="0072022B">
        <w:rPr>
          <w:noProof/>
        </w:rPr>
        <w:t xml:space="preserve"> 5, 1–17. doi:10.1186/s40168-017-0241-2.</w:t>
      </w:r>
    </w:p>
    <w:p w14:paraId="734FF3C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Beier, C., Beierkuhnlein, C., Wohlgemuth, T., Penuelas, J., Emmett, B., Körner, C., et al. (2012). Precipitation manipulation experiments - challenges and recommendations for the future. </w:t>
      </w:r>
      <w:r w:rsidRPr="0072022B">
        <w:rPr>
          <w:i/>
          <w:iCs/>
          <w:noProof/>
        </w:rPr>
        <w:t>Ecol. Lett.</w:t>
      </w:r>
      <w:r w:rsidRPr="0072022B">
        <w:rPr>
          <w:noProof/>
        </w:rPr>
        <w:t xml:space="preserve"> 15, 899–911. doi:10.1111/j.1461-0248.2012.01793.x.</w:t>
      </w:r>
    </w:p>
    <w:p w14:paraId="5D472BD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Bell, T., Ager, D., Song, J. I., Newman, J. A., Thompson, I. P., Lilley, A. K., et al. (2005). Ecology: Larger islands house more bacterial taxa. </w:t>
      </w:r>
      <w:r w:rsidRPr="0072022B">
        <w:rPr>
          <w:i/>
          <w:iCs/>
          <w:noProof/>
        </w:rPr>
        <w:t>Science (80-. ).</w:t>
      </w:r>
      <w:r w:rsidRPr="0072022B">
        <w:rPr>
          <w:noProof/>
        </w:rPr>
        <w:t xml:space="preserve"> 308, 1884. doi:10.1126/science.1111318.</w:t>
      </w:r>
    </w:p>
    <w:p w14:paraId="0E69091C" w14:textId="77777777" w:rsidR="0072022B" w:rsidRPr="0072022B" w:rsidRDefault="0072022B" w:rsidP="0072022B">
      <w:pPr>
        <w:widowControl w:val="0"/>
        <w:autoSpaceDE w:val="0"/>
        <w:autoSpaceDN w:val="0"/>
        <w:adjustRightInd w:val="0"/>
        <w:ind w:left="480" w:hanging="480"/>
        <w:rPr>
          <w:noProof/>
        </w:rPr>
      </w:pPr>
      <w:r w:rsidRPr="0072022B">
        <w:rPr>
          <w:noProof/>
        </w:rPr>
        <w:lastRenderedPageBreak/>
        <w:t xml:space="preserve">Berg, G., and Smalla, K. (2009). Plant species and soil type cooperatively shape the structure and function of microbial communities in the rhizosphere. </w:t>
      </w:r>
      <w:r w:rsidRPr="0072022B">
        <w:rPr>
          <w:i/>
          <w:iCs/>
          <w:noProof/>
        </w:rPr>
        <w:t>FEMS Microbiol. Ecol.</w:t>
      </w:r>
      <w:r w:rsidRPr="0072022B">
        <w:rPr>
          <w:noProof/>
        </w:rPr>
        <w:t xml:space="preserve"> 68, 1–13. doi:10.1111/j.1574-6941.2009.00654.x.</w:t>
      </w:r>
    </w:p>
    <w:p w14:paraId="6E8F274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Bever, J. D., Platt, T. G., and Morton, E. R. (2012). Microbial Population and Community Dynamics on Plant Roots and Their Feedbacks on Plant Communities. </w:t>
      </w:r>
      <w:r w:rsidRPr="0072022B">
        <w:rPr>
          <w:i/>
          <w:iCs/>
          <w:noProof/>
        </w:rPr>
        <w:t>Annu. Rev. Microbiol.</w:t>
      </w:r>
      <w:r w:rsidRPr="0072022B">
        <w:rPr>
          <w:noProof/>
        </w:rPr>
        <w:t xml:space="preserve"> 66, 265–283. doi:10.1146/annurev-micro-092611-150107.</w:t>
      </w:r>
    </w:p>
    <w:p w14:paraId="04E299C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Bever, J. D., Westover, K. M., and Antonovics, J. (1997). Incorporating the Soil Community into Plant Population Dynamics : The Utility of the Feedback Approach. </w:t>
      </w:r>
      <w:r w:rsidRPr="0072022B">
        <w:rPr>
          <w:i/>
          <w:iCs/>
          <w:noProof/>
        </w:rPr>
        <w:t>J. Ecol.</w:t>
      </w:r>
      <w:r w:rsidRPr="0072022B">
        <w:rPr>
          <w:noProof/>
        </w:rPr>
        <w:t xml:space="preserve"> 85, 561–573.</w:t>
      </w:r>
    </w:p>
    <w:p w14:paraId="0432FA3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Bickel, S., Chen, X., Papritz, A., and Or, D. (2019). A hierarchy of environmental covariates control the global biogeography of soil bacterial richness. </w:t>
      </w:r>
      <w:r w:rsidRPr="0072022B">
        <w:rPr>
          <w:i/>
          <w:iCs/>
          <w:noProof/>
        </w:rPr>
        <w:t>Sci. Rep.</w:t>
      </w:r>
      <w:r w:rsidRPr="0072022B">
        <w:rPr>
          <w:noProof/>
        </w:rPr>
        <w:t xml:space="preserve"> 9, 1–10.</w:t>
      </w:r>
    </w:p>
    <w:p w14:paraId="32B5879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Birhane, E., Sterck, F. J., Fetene, M., Bongers, F., and Kuyper, T. W. (2012). Arbuscular mycorrhizal fungi enhance photosynthesis, water use efficiency, and growth of frankincense seedlings under pulsed water availability conditions. </w:t>
      </w:r>
      <w:r w:rsidRPr="0072022B">
        <w:rPr>
          <w:i/>
          <w:iCs/>
          <w:noProof/>
        </w:rPr>
        <w:t>Oecologia</w:t>
      </w:r>
      <w:r w:rsidRPr="0072022B">
        <w:rPr>
          <w:noProof/>
        </w:rPr>
        <w:t xml:space="preserve"> 169, 895–904. doi:10.1007/s00442-012-2258-3.</w:t>
      </w:r>
    </w:p>
    <w:p w14:paraId="791F788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Bobille, H., Fustec, J., Robins, R. J., Cukier, C., and Limami, A. M. (2019). Effect of water availability on changes in root amino acids and associated rhizosphere on root exudation of amino acids in Pisum sativum L. </w:t>
      </w:r>
      <w:r w:rsidRPr="0072022B">
        <w:rPr>
          <w:i/>
          <w:iCs/>
          <w:noProof/>
        </w:rPr>
        <w:t>Phytochemistry</w:t>
      </w:r>
      <w:r w:rsidRPr="0072022B">
        <w:rPr>
          <w:noProof/>
        </w:rPr>
        <w:t xml:space="preserve"> 161, 75–85. doi:10.1016/j.phytochem.2019.01.015.</w:t>
      </w:r>
    </w:p>
    <w:p w14:paraId="475EE61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Borcard, D., Legendre, P., and Drapeau, P. (1992). Partialling out the Spatial Component of Ecological Variation. </w:t>
      </w:r>
      <w:r w:rsidRPr="0072022B">
        <w:rPr>
          <w:i/>
          <w:iCs/>
          <w:noProof/>
        </w:rPr>
        <w:t>Ecology</w:t>
      </w:r>
      <w:r w:rsidRPr="0072022B">
        <w:rPr>
          <w:noProof/>
        </w:rPr>
        <w:t xml:space="preserve"> 73, 1045–1055.</w:t>
      </w:r>
    </w:p>
    <w:p w14:paraId="1EAE230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Bradie, J., and Leung, B. (2017). A quantitative synthesis of the importance of variables used in MaxEnt species distribution models. </w:t>
      </w:r>
      <w:r w:rsidRPr="0072022B">
        <w:rPr>
          <w:i/>
          <w:iCs/>
          <w:noProof/>
        </w:rPr>
        <w:t>J. Biogeogr.</w:t>
      </w:r>
      <w:r w:rsidRPr="0072022B">
        <w:rPr>
          <w:noProof/>
        </w:rPr>
        <w:t xml:space="preserve"> 44, 1344–1361. doi:10.1111/jbi.12894.</w:t>
      </w:r>
    </w:p>
    <w:p w14:paraId="1982842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Brookes, P. C., Landman, A., Pruden, G., and Jenkinson, D. S. (1985). Chloroform fumigation and the release of soil nitrogen: A rapid direct extraction method to measure microbial biomass nitrogen in soil. </w:t>
      </w:r>
      <w:r w:rsidRPr="0072022B">
        <w:rPr>
          <w:i/>
          <w:iCs/>
          <w:noProof/>
        </w:rPr>
        <w:t>Soil Biol. Biochem.</w:t>
      </w:r>
      <w:r w:rsidRPr="0072022B">
        <w:rPr>
          <w:noProof/>
        </w:rPr>
        <w:t xml:space="preserve"> 17, 837–842. doi:10.1016/0038-0717(85)90144-0.</w:t>
      </w:r>
    </w:p>
    <w:p w14:paraId="3F13D5D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Brown, J. H., Fox, B. J., and Kelt, D. A. (2000). Assembly rules: Desert rodent communities are structured at scales from local to continental. </w:t>
      </w:r>
      <w:r w:rsidRPr="0072022B">
        <w:rPr>
          <w:i/>
          <w:iCs/>
          <w:noProof/>
        </w:rPr>
        <w:t>Am. Nat.</w:t>
      </w:r>
      <w:r w:rsidRPr="0072022B">
        <w:rPr>
          <w:noProof/>
        </w:rPr>
        <w:t xml:space="preserve"> 156, 314–321. doi:10.1086/303385.</w:t>
      </w:r>
    </w:p>
    <w:p w14:paraId="770013A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Bruns, T. D., Corradi, N., Redecker, D., Taylor, J. W., and Öpik, M. (2018). Glomeromycotina: what is a species and why should we care? </w:t>
      </w:r>
      <w:r w:rsidRPr="0072022B">
        <w:rPr>
          <w:i/>
          <w:iCs/>
          <w:noProof/>
        </w:rPr>
        <w:t>New Phytol.</w:t>
      </w:r>
      <w:r w:rsidRPr="0072022B">
        <w:rPr>
          <w:noProof/>
        </w:rPr>
        <w:t xml:space="preserve"> 220, 963–967. doi:10.1111/nph.14913.</w:t>
      </w:r>
    </w:p>
    <w:p w14:paraId="58FF4A2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Buchert, G. P. (1994). Genetics of white pine and implications for management and conservation. </w:t>
      </w:r>
      <w:r w:rsidRPr="0072022B">
        <w:rPr>
          <w:i/>
          <w:iCs/>
          <w:noProof/>
        </w:rPr>
        <w:t>For. Chron.</w:t>
      </w:r>
      <w:r w:rsidRPr="0072022B">
        <w:rPr>
          <w:noProof/>
        </w:rPr>
        <w:t xml:space="preserve"> 70, 427–434. doi:10.5558/tfc70427-4.</w:t>
      </w:r>
    </w:p>
    <w:p w14:paraId="54CDB66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Bulgarelli, D., Schlaeppi, K., Spaepen, S., Van Themaat, E. V. L., and Schulze-Lefert, P. (2013). Structure and functions of the bacterial microbiota of plants. </w:t>
      </w:r>
      <w:r w:rsidRPr="0072022B">
        <w:rPr>
          <w:i/>
          <w:iCs/>
          <w:noProof/>
        </w:rPr>
        <w:t>Annu. Rev. Plant Biol.</w:t>
      </w:r>
      <w:r w:rsidRPr="0072022B">
        <w:rPr>
          <w:noProof/>
        </w:rPr>
        <w:t xml:space="preserve"> 64, 807–838. doi:10.1146/annurev-arplant-050312-120106.</w:t>
      </w:r>
    </w:p>
    <w:p w14:paraId="72DC6D2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Cahill, J. F., Cale, J. A., Karst, J., Bao, T., Pec, G. J., and Erbilgin, N. (2016). No silver bullet: Different soil handling techniques are useful for different research questions, exhibit differential type I and II error rates, and are sensitive to sampling intensity. </w:t>
      </w:r>
      <w:r w:rsidRPr="0072022B">
        <w:rPr>
          <w:i/>
          <w:iCs/>
          <w:noProof/>
        </w:rPr>
        <w:t>New Phytol.</w:t>
      </w:r>
      <w:r w:rsidRPr="0072022B">
        <w:rPr>
          <w:noProof/>
        </w:rPr>
        <w:t>, 11–14. doi:10.1111/nph.14141.</w:t>
      </w:r>
    </w:p>
    <w:p w14:paraId="0D537CA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Callahan, B. J., McMurdie, P. J., Rosen, M. J., Han, A. W., Johnson, A. J. A., and Holmes, S. P. (2016). DADA2: High-resolution sample inference from Illumina amplicon data. </w:t>
      </w:r>
      <w:r w:rsidRPr="0072022B">
        <w:rPr>
          <w:i/>
          <w:iCs/>
          <w:noProof/>
        </w:rPr>
        <w:t>Nat. Methods</w:t>
      </w:r>
      <w:r w:rsidRPr="0072022B">
        <w:rPr>
          <w:noProof/>
        </w:rPr>
        <w:t xml:space="preserve"> 13, 581–583. doi:10.1038/nmeth.3869.</w:t>
      </w:r>
    </w:p>
    <w:p w14:paraId="56E201A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Carpenter, B., Gelman, A., Hoffman, M. D., Lee, D., Goodrich, B., Betancourt, M., et al. (2017). Stan: A probabilistic programming language. </w:t>
      </w:r>
      <w:r w:rsidRPr="0072022B">
        <w:rPr>
          <w:i/>
          <w:iCs/>
          <w:noProof/>
        </w:rPr>
        <w:t>J. Stat. Softw.</w:t>
      </w:r>
      <w:r w:rsidRPr="0072022B">
        <w:rPr>
          <w:noProof/>
        </w:rPr>
        <w:t xml:space="preserve"> 76, 1–32.</w:t>
      </w:r>
    </w:p>
    <w:p w14:paraId="3765A46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Chao, A., Chiu, C. H., and Jost, L. (2010). Phylogenetic diversity measures based on Hill </w:t>
      </w:r>
      <w:r w:rsidRPr="0072022B">
        <w:rPr>
          <w:noProof/>
        </w:rPr>
        <w:lastRenderedPageBreak/>
        <w:t xml:space="preserve">numbers. </w:t>
      </w:r>
      <w:r w:rsidRPr="0072022B">
        <w:rPr>
          <w:i/>
          <w:iCs/>
          <w:noProof/>
        </w:rPr>
        <w:t>Philos. Trans. R. Soc. B Biol. Sci.</w:t>
      </w:r>
      <w:r w:rsidRPr="0072022B">
        <w:rPr>
          <w:noProof/>
        </w:rPr>
        <w:t xml:space="preserve"> 365, 3599–3609. doi:10.1098/rstb.2010.0272.</w:t>
      </w:r>
    </w:p>
    <w:p w14:paraId="5161DE1C" w14:textId="77777777" w:rsidR="0072022B" w:rsidRPr="0072022B" w:rsidRDefault="0072022B" w:rsidP="0072022B">
      <w:pPr>
        <w:widowControl w:val="0"/>
        <w:autoSpaceDE w:val="0"/>
        <w:autoSpaceDN w:val="0"/>
        <w:adjustRightInd w:val="0"/>
        <w:ind w:left="480" w:hanging="480"/>
        <w:rPr>
          <w:noProof/>
        </w:rPr>
      </w:pPr>
      <w:r w:rsidRPr="0072022B">
        <w:rPr>
          <w:noProof/>
        </w:rPr>
        <w:t>Charney, N., and Record, S. (2012). vegetarian: Jost Diversity Measures for Community Data, version 1.2. Available at: https://cran.r-project.org/web/packages/vegetarian/vegetarian.pdf.</w:t>
      </w:r>
    </w:p>
    <w:p w14:paraId="3292C35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Chen, H., Wu, H., Yan, B., Zhao, H., Liu, F., Zhang, H., et al. (2018). Core microbiome of medicinal plant Salvia miltiorrhiza seed: A rich reservoir of beneficial microbes for secondary metabolism? </w:t>
      </w:r>
      <w:r w:rsidRPr="0072022B">
        <w:rPr>
          <w:i/>
          <w:iCs/>
          <w:noProof/>
        </w:rPr>
        <w:t>Int. J. Mol. Sci.</w:t>
      </w:r>
      <w:r w:rsidRPr="0072022B">
        <w:rPr>
          <w:noProof/>
        </w:rPr>
        <w:t xml:space="preserve"> 19. doi:10.3390/ijms19030672.</w:t>
      </w:r>
    </w:p>
    <w:p w14:paraId="435BF0E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Chiang, E., Schmidt, M. L., Berry, M. A., Biddanda, B. A., Burtner, A., Johengen, T. H., et al. (2018). Verrucomicrobia are prevalent in north-temperate freshwater lakes and display class-level preferences between lake habitats. </w:t>
      </w:r>
      <w:r w:rsidRPr="0072022B">
        <w:rPr>
          <w:i/>
          <w:iCs/>
          <w:noProof/>
        </w:rPr>
        <w:t>PLoS One</w:t>
      </w:r>
      <w:r w:rsidRPr="0072022B">
        <w:rPr>
          <w:noProof/>
        </w:rPr>
        <w:t xml:space="preserve"> 13, 1–20. doi:10.1371/journal.pone.0195112.</w:t>
      </w:r>
    </w:p>
    <w:p w14:paraId="393514F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Clements, F. E. (1920). </w:t>
      </w:r>
      <w:r w:rsidRPr="0072022B">
        <w:rPr>
          <w:i/>
          <w:iCs/>
          <w:noProof/>
        </w:rPr>
        <w:t>Plant indicators: the relation of plant communities to process and practice</w:t>
      </w:r>
      <w:r w:rsidRPr="0072022B">
        <w:rPr>
          <w:noProof/>
        </w:rPr>
        <w:t>. Carnegie Institution of Washington.</w:t>
      </w:r>
    </w:p>
    <w:p w14:paraId="44726C7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Comrie, A. C., and Glenn, E. C. (1999). Principal components-based regionalization of precipitation regimes across the southwest United States and northern Mexico, with an application to monsoon precipitation variability. </w:t>
      </w:r>
      <w:r w:rsidRPr="0072022B">
        <w:rPr>
          <w:i/>
          <w:iCs/>
          <w:noProof/>
        </w:rPr>
        <w:t>Clim. Res.</w:t>
      </w:r>
      <w:r w:rsidRPr="0072022B">
        <w:rPr>
          <w:noProof/>
        </w:rPr>
        <w:t xml:space="preserve"> 10, 201–215. doi:10.3354/cr010201.</w:t>
      </w:r>
    </w:p>
    <w:p w14:paraId="74B92E6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Creer, S., Deiner, K., Frey, S., Porazinska, D., Taberlet, P., Thomas, W. K., et al. (2016). The ecologist’s field guide to sequence-based identification of biodiversity. </w:t>
      </w:r>
      <w:r w:rsidRPr="0072022B">
        <w:rPr>
          <w:i/>
          <w:iCs/>
          <w:noProof/>
        </w:rPr>
        <w:t>Methods Ecol. Evol.</w:t>
      </w:r>
      <w:r w:rsidRPr="0072022B">
        <w:rPr>
          <w:noProof/>
        </w:rPr>
        <w:t xml:space="preserve"> 7, 1008–1018. doi:10.1111/2041-210X.12574.</w:t>
      </w:r>
    </w:p>
    <w:p w14:paraId="7F35552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Cregger, M. A., Veach, A. M., Yang, Z. K., Crouch, M. J., Vilgalys, R., Tuskan, G. A., et al. (2018). The Populus holobiont: Dissecting the effects of plant niches and genotype on the microbiome. </w:t>
      </w:r>
      <w:r w:rsidRPr="0072022B">
        <w:rPr>
          <w:i/>
          <w:iCs/>
          <w:noProof/>
        </w:rPr>
        <w:t>Microbiome</w:t>
      </w:r>
      <w:r w:rsidRPr="0072022B">
        <w:rPr>
          <w:noProof/>
        </w:rPr>
        <w:t xml:space="preserve"> 6, 1–14. doi:10.1186/s40168-018-0413-8.</w:t>
      </w:r>
    </w:p>
    <w:p w14:paraId="3C113E4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Davison, J., Moora, M., Öpik, M., Adholeya, A., Ainsaar, L., Bâ, A., et al. (2015). Global assessment of arbuscular mycorrhizal fungus diversity reveals very low endemism. </w:t>
      </w:r>
      <w:r w:rsidRPr="0072022B">
        <w:rPr>
          <w:i/>
          <w:iCs/>
          <w:noProof/>
        </w:rPr>
        <w:t>Science (80-. ).</w:t>
      </w:r>
      <w:r w:rsidRPr="0072022B">
        <w:rPr>
          <w:noProof/>
        </w:rPr>
        <w:t xml:space="preserve"> 349, 970–973.</w:t>
      </w:r>
    </w:p>
    <w:p w14:paraId="7C8F9DD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Davison, J., Öpik, M., Zobel, M., Vasar, M., Metsis, M., and Moora, M. (2012). Communities of arbuscular mycorrhizal fungi detected in forest soil are spatially heterogeneous but do not vary throughout the growing season. </w:t>
      </w:r>
      <w:r w:rsidRPr="0072022B">
        <w:rPr>
          <w:i/>
          <w:iCs/>
          <w:noProof/>
        </w:rPr>
        <w:t>PLoS One</w:t>
      </w:r>
      <w:r w:rsidRPr="0072022B">
        <w:rPr>
          <w:noProof/>
        </w:rPr>
        <w:t xml:space="preserve"> 7. doi:10.1371/journal.pone.0041938.</w:t>
      </w:r>
    </w:p>
    <w:p w14:paraId="2CA6E55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 Caceres, M., and Legendre, P. (2009). Associations between species and groups of sites: indices and statistical inference. Ecology, URL http://sites.google.com/site/miqueldecaceres/. </w:t>
      </w:r>
      <w:r w:rsidRPr="0072022B">
        <w:rPr>
          <w:i/>
          <w:iCs/>
          <w:noProof/>
        </w:rPr>
        <w:t>Ecology</w:t>
      </w:r>
      <w:r w:rsidRPr="0072022B">
        <w:rPr>
          <w:noProof/>
        </w:rPr>
        <w:t xml:space="preserve"> 90, 3566–3574.</w:t>
      </w:r>
    </w:p>
    <w:p w14:paraId="19BA440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 Leij, F. A. A. M., Whipps, J. M., and Lynch, J. M. (1994). The Use of Colony Development for the Characterization of Bacterial Communities in Soil and on Roots. </w:t>
      </w:r>
      <w:r w:rsidRPr="0072022B">
        <w:rPr>
          <w:i/>
          <w:iCs/>
          <w:noProof/>
        </w:rPr>
        <w:t>Microb. Ecol.</w:t>
      </w:r>
      <w:r w:rsidRPr="0072022B">
        <w:rPr>
          <w:noProof/>
        </w:rPr>
        <w:t xml:space="preserve"> 27, 81–97.</w:t>
      </w:r>
    </w:p>
    <w:p w14:paraId="19D19F0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 Ridder-Duine, A. S., Kowalchuk, G. A., Klein Gunnewiek, P. J. A., Smant, W., Van Veen, J. A., and De Boer, W. (2005). Rhizosphere bacterial community composition in natural stands of Carex arenaria (sand sedge) is determined by bulk soil community composition. </w:t>
      </w:r>
      <w:r w:rsidRPr="0072022B">
        <w:rPr>
          <w:i/>
          <w:iCs/>
          <w:noProof/>
        </w:rPr>
        <w:t>Soil Biol. Biochem.</w:t>
      </w:r>
      <w:r w:rsidRPr="0072022B">
        <w:rPr>
          <w:noProof/>
        </w:rPr>
        <w:t xml:space="preserve"> 37, 349–357. doi:10.1016/j.soilbio.2004.08.005.</w:t>
      </w:r>
    </w:p>
    <w:p w14:paraId="19CFD15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Dean, S. L., Farrer, E. C., Porras-Alfaro, A., Suding, K. N., and Sinsabaugh, R. L. (2015). Assembly of root-associated bacteria communities: Interactions between abiotic and biotic factors. </w:t>
      </w:r>
      <w:r w:rsidRPr="0072022B">
        <w:rPr>
          <w:i/>
          <w:iCs/>
          <w:noProof/>
        </w:rPr>
        <w:t>Environ. Microbiol. Rep.</w:t>
      </w:r>
      <w:r w:rsidRPr="0072022B">
        <w:rPr>
          <w:noProof/>
        </w:rPr>
        <w:t xml:space="preserve"> 7, 102–110. doi:10.1111/1758-2229.12194.</w:t>
      </w:r>
    </w:p>
    <w:p w14:paraId="549F276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Deepika, S., and Kothamasi, D. (2015). Soil moisture—a regulator of arbuscular mycorrhizal fungal community assembly and symbiotic phosphorus uptake. </w:t>
      </w:r>
      <w:r w:rsidRPr="0072022B">
        <w:rPr>
          <w:i/>
          <w:iCs/>
          <w:noProof/>
        </w:rPr>
        <w:t>Mycorrhiza</w:t>
      </w:r>
      <w:r w:rsidRPr="0072022B">
        <w:rPr>
          <w:noProof/>
        </w:rPr>
        <w:t xml:space="preserve"> 25, 67–75. doi:10.1007/s00572-014-0596-1.</w:t>
      </w:r>
    </w:p>
    <w:p w14:paraId="78B8C0EF" w14:textId="77777777" w:rsidR="0072022B" w:rsidRPr="0072022B" w:rsidRDefault="0072022B" w:rsidP="0072022B">
      <w:pPr>
        <w:widowControl w:val="0"/>
        <w:autoSpaceDE w:val="0"/>
        <w:autoSpaceDN w:val="0"/>
        <w:adjustRightInd w:val="0"/>
        <w:ind w:left="480" w:hanging="480"/>
        <w:rPr>
          <w:noProof/>
        </w:rPr>
      </w:pPr>
      <w:r w:rsidRPr="0072022B">
        <w:rPr>
          <w:noProof/>
        </w:rPr>
        <w:t>Demaria, E. M. C., Hazenberg, P., Scott, R. L., Meles, M. B., Nichols, M., and Goodrich, D. (2019). Intensification of the North American Monsoon Rainfall as Observed From a Long-</w:t>
      </w:r>
      <w:r w:rsidRPr="0072022B">
        <w:rPr>
          <w:noProof/>
        </w:rPr>
        <w:lastRenderedPageBreak/>
        <w:t xml:space="preserve">Term High-Density Gauge Network. </w:t>
      </w:r>
      <w:r w:rsidRPr="0072022B">
        <w:rPr>
          <w:i/>
          <w:iCs/>
          <w:noProof/>
        </w:rPr>
        <w:t>Geophys. Res. Lett.</w:t>
      </w:r>
      <w:r w:rsidRPr="0072022B">
        <w:rPr>
          <w:noProof/>
        </w:rPr>
        <w:t xml:space="preserve"> doi:10.1029/2019GL082461.</w:t>
      </w:r>
    </w:p>
    <w:p w14:paraId="62CE9B7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Deveautour, C., Power, S. A., Barnett, K. L., Ochoa-Hueso, R., Donn, S., Bennett, A. E., et al. (2020). Temporal dynamics of mycorrhizal fungal communities and co-associations with grassland plant communities following experimental manipulation of rainfall. </w:t>
      </w:r>
      <w:r w:rsidRPr="0072022B">
        <w:rPr>
          <w:i/>
          <w:iCs/>
          <w:noProof/>
        </w:rPr>
        <w:t>J. Ecol.</w:t>
      </w:r>
      <w:r w:rsidRPr="0072022B">
        <w:rPr>
          <w:noProof/>
        </w:rPr>
        <w:t xml:space="preserve"> 108, 515–527. doi:10.1111/1365-2745.13267.</w:t>
      </w:r>
    </w:p>
    <w:p w14:paraId="2B2E196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Dickey, J. R., Fordyce, J. A., and Lebeis, S. L. (2020). Bacterial communities of the Salvia lyrata rhizosphere explained by spatial structure and sampling grain. </w:t>
      </w:r>
      <w:r w:rsidRPr="0072022B">
        <w:rPr>
          <w:i/>
          <w:iCs/>
          <w:noProof/>
        </w:rPr>
        <w:t>Microb. Ecol.</w:t>
      </w:r>
      <w:r w:rsidRPr="0072022B">
        <w:rPr>
          <w:noProof/>
        </w:rPr>
        <w:t xml:space="preserve"> 80, 846–858.</w:t>
      </w:r>
    </w:p>
    <w:p w14:paraId="2290D4E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Dickey, J. R., Swenie, R. A., Turner, S. C., Winfrey, C. C., Yaffar, D., Padukone, A., et al. (2021). The Utility of Macroecological Rules for Microbial Biogeography. </w:t>
      </w:r>
      <w:r w:rsidRPr="0072022B">
        <w:rPr>
          <w:i/>
          <w:iCs/>
          <w:noProof/>
        </w:rPr>
        <w:t>Front. Ecol. Evol.</w:t>
      </w:r>
      <w:r w:rsidRPr="0072022B">
        <w:rPr>
          <w:noProof/>
        </w:rPr>
        <w:t xml:space="preserve"> 9. doi:10.3389/fevo.2021.633155.</w:t>
      </w:r>
    </w:p>
    <w:p w14:paraId="2944E8B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Diffenbaugh, N. S., and Giorgi, F. (2012). Climate change hotspots in the CMIP5 global climate model ensemble. </w:t>
      </w:r>
      <w:r w:rsidRPr="0072022B">
        <w:rPr>
          <w:i/>
          <w:iCs/>
          <w:noProof/>
        </w:rPr>
        <w:t>Clim. Change</w:t>
      </w:r>
      <w:r w:rsidRPr="0072022B">
        <w:rPr>
          <w:noProof/>
        </w:rPr>
        <w:t xml:space="preserve"> 114, 813–822. doi:10.1007/s10584-012-0570-x.</w:t>
      </w:r>
    </w:p>
    <w:p w14:paraId="53A0171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Doane, T. A., and Horwáth, W. R. (2003). Spectrophotometric determination of nitrate with a single reagent. </w:t>
      </w:r>
      <w:r w:rsidRPr="0072022B">
        <w:rPr>
          <w:i/>
          <w:iCs/>
          <w:noProof/>
        </w:rPr>
        <w:t>Anal. Lett.</w:t>
      </w:r>
      <w:r w:rsidRPr="0072022B">
        <w:rPr>
          <w:noProof/>
        </w:rPr>
        <w:t xml:space="preserve"> 36, 2713–2722. doi:10.1081/AL-120024647.</w:t>
      </w:r>
    </w:p>
    <w:p w14:paraId="3FA35F3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Elith, J., Phillips, S. J., Hastie, T., Dudík, M., Chee, Y. E., and Yates, C. J. (2011). A statistical explanation of MaxEnt for ecologists. </w:t>
      </w:r>
      <w:r w:rsidRPr="0072022B">
        <w:rPr>
          <w:i/>
          <w:iCs/>
          <w:noProof/>
        </w:rPr>
        <w:t>Divers. Distrib.</w:t>
      </w:r>
      <w:r w:rsidRPr="0072022B">
        <w:rPr>
          <w:noProof/>
        </w:rPr>
        <w:t xml:space="preserve"> 17, 43–57. doi:10.1111/j.1472-4642.2010.00725.x.</w:t>
      </w:r>
    </w:p>
    <w:p w14:paraId="7988BD3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Faith, D. P., Minchin, P. R., and Belbin, L. (1987). Compositional dissimilarity as a robust measure of ecological distance. </w:t>
      </w:r>
      <w:r w:rsidRPr="0072022B">
        <w:rPr>
          <w:i/>
          <w:iCs/>
          <w:noProof/>
        </w:rPr>
        <w:t>Vegetatio</w:t>
      </w:r>
      <w:r w:rsidRPr="0072022B">
        <w:rPr>
          <w:noProof/>
        </w:rPr>
        <w:t xml:space="preserve"> 69, 57–68. doi:10.1007/BF00038687.</w:t>
      </w:r>
    </w:p>
    <w:p w14:paraId="0DCFA09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Fierer, N. (2017). Embracing the unknown: Disentangling the complexities of the soil microbiome. </w:t>
      </w:r>
      <w:r w:rsidRPr="0072022B">
        <w:rPr>
          <w:i/>
          <w:iCs/>
          <w:noProof/>
        </w:rPr>
        <w:t>Nat. Rev. Microbiol.</w:t>
      </w:r>
      <w:r w:rsidRPr="0072022B">
        <w:rPr>
          <w:noProof/>
        </w:rPr>
        <w:t xml:space="preserve"> 15, 579–590. doi:10.1038/nrmicro.2017.87.</w:t>
      </w:r>
    </w:p>
    <w:p w14:paraId="715101A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Fierer, N., and Jackson, R. B. (2006a). The diversity and biogeography of soil bacterial communities. </w:t>
      </w:r>
      <w:r w:rsidRPr="0072022B">
        <w:rPr>
          <w:i/>
          <w:iCs/>
          <w:noProof/>
        </w:rPr>
        <w:t>Proc. Natl. Acad. Sci. U. S. A.</w:t>
      </w:r>
      <w:r w:rsidRPr="0072022B">
        <w:rPr>
          <w:noProof/>
        </w:rPr>
        <w:t xml:space="preserve"> 103, 626–631. doi:10.1073/pnas.0507535103.</w:t>
      </w:r>
    </w:p>
    <w:p w14:paraId="4BB8FEA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Fierer, N., and Jackson, R. B. (2006b). The diversity and biogeography of soil bacterial communities. </w:t>
      </w:r>
      <w:r w:rsidRPr="0072022B">
        <w:rPr>
          <w:i/>
          <w:iCs/>
          <w:noProof/>
        </w:rPr>
        <w:t>Proc. Natl. Acad. Sci. U. S. A.</w:t>
      </w:r>
      <w:r w:rsidRPr="0072022B">
        <w:rPr>
          <w:noProof/>
        </w:rPr>
        <w:t xml:space="preserve"> 103, 626–31. doi:10.1073/pnas.0507535103.</w:t>
      </w:r>
    </w:p>
    <w:p w14:paraId="130DC26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Gao, C., Kim, Y. C., Zheng, Y., Yang, W., Chen, L., Ji, N. N., et al. (2016). Increased precipitation, rather than warming, exerts a strong influence on arbuscular mycorrhizal fungal community in a semiarid steppe ecosystem. </w:t>
      </w:r>
      <w:r w:rsidRPr="0072022B">
        <w:rPr>
          <w:i/>
          <w:iCs/>
          <w:noProof/>
        </w:rPr>
        <w:t>Botany</w:t>
      </w:r>
      <w:r w:rsidRPr="0072022B">
        <w:rPr>
          <w:noProof/>
        </w:rPr>
        <w:t xml:space="preserve"> 94, 459–469. doi:10.1139/cjb-2015-0210.</w:t>
      </w:r>
    </w:p>
    <w:p w14:paraId="11E7C7A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Gleason, H. (1926). The Individualistic Concept of the Plant Association Author ( s ): H . A . Gleason Source : Bulletin of the Torrey Botanical Club , Vol . 53 , No . 1 , ( Jan ., 1926 ), pp . 7-26 Published by : Torrey Botanical Society Stable URL : http://www.jstor.org/st. </w:t>
      </w:r>
      <w:r w:rsidRPr="0072022B">
        <w:rPr>
          <w:i/>
          <w:iCs/>
          <w:noProof/>
        </w:rPr>
        <w:t>Society</w:t>
      </w:r>
      <w:r w:rsidRPr="0072022B">
        <w:rPr>
          <w:noProof/>
        </w:rPr>
        <w:t xml:space="preserve"> 53, 7–26. doi:10.1007/s.</w:t>
      </w:r>
    </w:p>
    <w:p w14:paraId="03E4250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Grayston, S. J., and Campbell, C. D. (1996). Functional biodiversity of microbial communities in the rhizospheres of hybrid larch (Larix eurolepis) and Sitka spruce (Picea sitchensis). </w:t>
      </w:r>
      <w:r w:rsidRPr="0072022B">
        <w:rPr>
          <w:i/>
          <w:iCs/>
          <w:noProof/>
        </w:rPr>
        <w:t>Tree Physiol.</w:t>
      </w:r>
      <w:r w:rsidRPr="0072022B">
        <w:rPr>
          <w:noProof/>
        </w:rPr>
        <w:t xml:space="preserve"> 16, 1031–1038.</w:t>
      </w:r>
    </w:p>
    <w:p w14:paraId="626CFD3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Green, J., and Bohannan, B. J. M. (2006). Spatial scaling of microbial biodiversity. </w:t>
      </w:r>
      <w:r w:rsidRPr="0072022B">
        <w:rPr>
          <w:i/>
          <w:iCs/>
          <w:noProof/>
        </w:rPr>
        <w:t>Trends Ecol. Evol.</w:t>
      </w:r>
      <w:r w:rsidRPr="0072022B">
        <w:rPr>
          <w:noProof/>
        </w:rPr>
        <w:t xml:space="preserve"> 21, 501–507. doi:10.1016/j.tree.2006.06.012.</w:t>
      </w:r>
    </w:p>
    <w:p w14:paraId="0A3C17D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Green, J., Holmes, A., Westoby, M., Oliver, I., Briscoe, D., Dangerfield, M., et al. (2004). Spatial scaling of microbial eukaryote diversity. </w:t>
      </w:r>
      <w:r w:rsidRPr="0072022B">
        <w:rPr>
          <w:i/>
          <w:iCs/>
          <w:noProof/>
        </w:rPr>
        <w:t>Nature</w:t>
      </w:r>
      <w:r w:rsidRPr="0072022B">
        <w:rPr>
          <w:noProof/>
        </w:rPr>
        <w:t xml:space="preserve"> 432, 747–750.</w:t>
      </w:r>
    </w:p>
    <w:p w14:paraId="3E6BE85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Green, N. E., Graham, S. O., and Schenck, N. C. (1976). The influence of pH on the germination of vesicular-arbuscular mycorrhizal spores. </w:t>
      </w:r>
      <w:r w:rsidRPr="0072022B">
        <w:rPr>
          <w:i/>
          <w:iCs/>
          <w:noProof/>
        </w:rPr>
        <w:t>Mycologia</w:t>
      </w:r>
      <w:r w:rsidRPr="0072022B">
        <w:rPr>
          <w:noProof/>
        </w:rPr>
        <w:t xml:space="preserve"> 68, 929–934.</w:t>
      </w:r>
    </w:p>
    <w:p w14:paraId="4CBD9C9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Guo, Q., and Brown, J. H. (1996). Temporal fluctuations and experimental effects in desert plant communities. </w:t>
      </w:r>
      <w:r w:rsidRPr="0072022B">
        <w:rPr>
          <w:i/>
          <w:iCs/>
          <w:noProof/>
        </w:rPr>
        <w:t>Oecologia</w:t>
      </w:r>
      <w:r w:rsidRPr="0072022B">
        <w:rPr>
          <w:noProof/>
        </w:rPr>
        <w:t xml:space="preserve"> 107, 568–577. doi:10.1007/BF00333950.</w:t>
      </w:r>
    </w:p>
    <w:p w14:paraId="212D02C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Guo, Y., Li, X., Zhao, Z., Wei, H., Gao, B., and Gu, W. (2017). Prediction of the potential geographic distribution of the ectomycorrhizal mushroom Tricholoma matsutake under </w:t>
      </w:r>
      <w:r w:rsidRPr="0072022B">
        <w:rPr>
          <w:noProof/>
        </w:rPr>
        <w:lastRenderedPageBreak/>
        <w:t xml:space="preserve">multiple climate change scenarios. </w:t>
      </w:r>
      <w:r w:rsidRPr="0072022B">
        <w:rPr>
          <w:i/>
          <w:iCs/>
          <w:noProof/>
        </w:rPr>
        <w:t>Sci. Rep.</w:t>
      </w:r>
      <w:r w:rsidRPr="0072022B">
        <w:rPr>
          <w:noProof/>
        </w:rPr>
        <w:t xml:space="preserve"> 7, 1–11. doi:10.1038/srep46221.</w:t>
      </w:r>
    </w:p>
    <w:p w14:paraId="56D16A4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Hafner, S., Wiesenberg, G. L. B., Stolnikova, E., Merz, K., and Kuzyakov, Y. (2014). Spatial distribution and turnover of root-derived carbon in alfalfa rhizosphere depending on top- and subsoil properties and mycorrhization. </w:t>
      </w:r>
      <w:r w:rsidRPr="0072022B">
        <w:rPr>
          <w:i/>
          <w:iCs/>
          <w:noProof/>
        </w:rPr>
        <w:t>Plant Soil</w:t>
      </w:r>
      <w:r w:rsidRPr="0072022B">
        <w:rPr>
          <w:noProof/>
        </w:rPr>
        <w:t xml:space="preserve"> 380, 101–115. doi:10.1007/s11104-014-2059-z.</w:t>
      </w:r>
    </w:p>
    <w:p w14:paraId="3AE7370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Hamel, C. (2004). Impact of arbuscular mycorrhizal fungi on N and P cycling in the root zone. </w:t>
      </w:r>
      <w:r w:rsidRPr="0072022B">
        <w:rPr>
          <w:i/>
          <w:iCs/>
          <w:noProof/>
        </w:rPr>
        <w:t>Can. J. Soil Sci.</w:t>
      </w:r>
      <w:r w:rsidRPr="0072022B">
        <w:rPr>
          <w:noProof/>
        </w:rPr>
        <w:t xml:space="preserve"> 84, 383–395. doi:10.4141/s04-004.</w:t>
      </w:r>
    </w:p>
    <w:p w14:paraId="5335FBF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Hao, T., Guillera-Arroita, G., May, T. W., Lahoz-Monfort, J. J., and Elith, J. (2020). Using Species Distribution Models For Fungi. </w:t>
      </w:r>
      <w:r w:rsidRPr="0072022B">
        <w:rPr>
          <w:i/>
          <w:iCs/>
          <w:noProof/>
        </w:rPr>
        <w:t>Fungal Biol. Rev.</w:t>
      </w:r>
      <w:r w:rsidRPr="0072022B">
        <w:rPr>
          <w:noProof/>
        </w:rPr>
        <w:t xml:space="preserve"> 34, 74–88. doi:10.1016/j.fbr.2020.01.002.</w:t>
      </w:r>
    </w:p>
    <w:p w14:paraId="590F8A4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Hayman, D. S. (1982). Influence of soils and fertility on activity and survival of vesicular-arbuscular mycorrhizal fungi. </w:t>
      </w:r>
      <w:r w:rsidRPr="0072022B">
        <w:rPr>
          <w:i/>
          <w:iCs/>
          <w:noProof/>
        </w:rPr>
        <w:t>Phytopathology</w:t>
      </w:r>
      <w:r w:rsidRPr="0072022B">
        <w:rPr>
          <w:noProof/>
        </w:rPr>
        <w:t>, 1119–1125.</w:t>
      </w:r>
    </w:p>
    <w:p w14:paraId="44384F9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Heilmann-Clausen, J., Barron, E. S., Boddy, L., Dahlberg, A., Griffith, G. W., Nordén, J., et al. (2015). A fungal perspective on conservation biology. </w:t>
      </w:r>
      <w:r w:rsidRPr="0072022B">
        <w:rPr>
          <w:i/>
          <w:iCs/>
          <w:noProof/>
        </w:rPr>
        <w:t>Conserv. Biol.</w:t>
      </w:r>
      <w:r w:rsidRPr="0072022B">
        <w:rPr>
          <w:noProof/>
        </w:rPr>
        <w:t xml:space="preserve"> 29, 61–68. doi:10.1111/cobi.12388.</w:t>
      </w:r>
    </w:p>
    <w:p w14:paraId="3F52E5A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Hénault, C., English, L. C., Halpin, C., Andreux, F., and Hopkins, D. W. (2006). Microbial community structure in soils with decomposing residues from plants with genetic modifications to lignin biosynthesis. </w:t>
      </w:r>
      <w:r w:rsidRPr="0072022B">
        <w:rPr>
          <w:i/>
          <w:iCs/>
          <w:noProof/>
        </w:rPr>
        <w:t>FEMS Microbiol. Lett.</w:t>
      </w:r>
      <w:r w:rsidRPr="0072022B">
        <w:rPr>
          <w:noProof/>
        </w:rPr>
        <w:t xml:space="preserve"> 263, 68–75. doi:10.1111/j.1574-6968.2006.00416.x.</w:t>
      </w:r>
    </w:p>
    <w:p w14:paraId="6A40B9D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Hernandez, D. J., David, A. S., Menges, E. S., Searcy, C. A., and Afkhami, M. E. (2021). Environmental stress destabilizes microbial networks. </w:t>
      </w:r>
      <w:r w:rsidRPr="0072022B">
        <w:rPr>
          <w:i/>
          <w:iCs/>
          <w:noProof/>
        </w:rPr>
        <w:t>ISME J.</w:t>
      </w:r>
      <w:r w:rsidRPr="0072022B">
        <w:rPr>
          <w:noProof/>
        </w:rPr>
        <w:t xml:space="preserve"> 15, 1722–1734. doi:10.1038/s41396-020-00882-x.</w:t>
      </w:r>
    </w:p>
    <w:p w14:paraId="5026513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Higo, M., Isobe, K., Kondo, T., Yamaguchi, M., Takeyama, S., Drijber, R. A., et al. (2015). Temporal variation of the molecular diversity of arbuscular mycorrhizal communities in three different winter cover crop rotational systems. </w:t>
      </w:r>
      <w:r w:rsidRPr="0072022B">
        <w:rPr>
          <w:i/>
          <w:iCs/>
          <w:noProof/>
        </w:rPr>
        <w:t>Biol. Fertil. Soils</w:t>
      </w:r>
      <w:r w:rsidRPr="0072022B">
        <w:rPr>
          <w:noProof/>
        </w:rPr>
        <w:t xml:space="preserve"> 51, 21–32. doi:10.1007/s00374-014-0945-4.</w:t>
      </w:r>
    </w:p>
    <w:p w14:paraId="690651D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Hijmans, R. J., Etten, J. Van, Sumner, M., Cheng, J., Bevan, A., Bivand, R., et al. (2019). Package ‘ raster .’ </w:t>
      </w:r>
      <w:r w:rsidRPr="0072022B">
        <w:rPr>
          <w:i/>
          <w:iCs/>
          <w:noProof/>
        </w:rPr>
        <w:t>CRAN</w:t>
      </w:r>
      <w:r w:rsidRPr="0072022B">
        <w:rPr>
          <w:noProof/>
        </w:rPr>
        <w:t xml:space="preserve"> 3.0-7. Available at: https://cran.r-project.org/web/packages/raster/raster.pdf.</w:t>
      </w:r>
    </w:p>
    <w:p w14:paraId="327F95E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Hijmans, R. J., Phillips, S., Leathwick, J. R., and Elith, J. (2017). Package “dismo.” </w:t>
      </w:r>
      <w:r w:rsidRPr="0072022B">
        <w:rPr>
          <w:i/>
          <w:iCs/>
          <w:noProof/>
        </w:rPr>
        <w:t>CRAN</w:t>
      </w:r>
      <w:r w:rsidRPr="0072022B">
        <w:rPr>
          <w:noProof/>
        </w:rPr>
        <w:t xml:space="preserve"> 1.1-4. doi:10.1016/j.jhydrol.2011.07.022.</w:t>
      </w:r>
    </w:p>
    <w:p w14:paraId="63A69A1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Hill, M. O. (1973). Diversity and Evenness: A Unifying Notation and Its Consequences. </w:t>
      </w:r>
      <w:r w:rsidRPr="0072022B">
        <w:rPr>
          <w:i/>
          <w:iCs/>
          <w:noProof/>
        </w:rPr>
        <w:t>Ecology</w:t>
      </w:r>
      <w:r w:rsidRPr="0072022B">
        <w:rPr>
          <w:noProof/>
        </w:rPr>
        <w:t xml:space="preserve"> 54, 427–432. doi:10.2307/1934352.</w:t>
      </w:r>
    </w:p>
    <w:p w14:paraId="0972D9D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Hobbie, S. E. (1992). Effects of Plant Species Nutrient Cycling. </w:t>
      </w:r>
      <w:r w:rsidRPr="0072022B">
        <w:rPr>
          <w:i/>
          <w:iCs/>
          <w:noProof/>
        </w:rPr>
        <w:t>TREE</w:t>
      </w:r>
      <w:r w:rsidRPr="0072022B">
        <w:rPr>
          <w:noProof/>
        </w:rPr>
        <w:t xml:space="preserve"> 7, 336–339.</w:t>
      </w:r>
    </w:p>
    <w:p w14:paraId="161B293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Horner-Devine, M. C., Lage, M., Hughes, J. B., and Bohannan, B. J. M. (2004). A taxa-area relationship for bacteria. </w:t>
      </w:r>
      <w:r w:rsidRPr="0072022B">
        <w:rPr>
          <w:i/>
          <w:iCs/>
          <w:noProof/>
        </w:rPr>
        <w:t>Nature</w:t>
      </w:r>
      <w:r w:rsidRPr="0072022B">
        <w:rPr>
          <w:noProof/>
        </w:rPr>
        <w:t xml:space="preserve"> 432, 750–753. doi:10.1038/nature03073.</w:t>
      </w:r>
    </w:p>
    <w:p w14:paraId="2B096B0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Hortal, J., Borges, P. A. V, and Gaspar, C. (2006). Evaluating the performance of species richness estimators: Sensitivity to sample grain size. </w:t>
      </w:r>
      <w:r w:rsidRPr="0072022B">
        <w:rPr>
          <w:i/>
          <w:iCs/>
          <w:noProof/>
        </w:rPr>
        <w:t>J. Anim. Ecol.</w:t>
      </w:r>
      <w:r w:rsidRPr="0072022B">
        <w:rPr>
          <w:noProof/>
        </w:rPr>
        <w:t xml:space="preserve"> 75, 274–287. doi:10.1111/j.1365-2656.2006.01048.x.</w:t>
      </w:r>
    </w:p>
    <w:p w14:paraId="235C37B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Hu, L., Robert, C. A. M., Cadot, S., Zhang, X., Ye, M., Li, B., et al. (2018). Root exudate metabolites drive plant-soil feedbacks on growth and defense by shaping the rhizosphere microbiota. </w:t>
      </w:r>
      <w:r w:rsidRPr="0072022B">
        <w:rPr>
          <w:i/>
          <w:iCs/>
          <w:noProof/>
        </w:rPr>
        <w:t>Nat. Commun.</w:t>
      </w:r>
      <w:r w:rsidRPr="0072022B">
        <w:rPr>
          <w:noProof/>
        </w:rPr>
        <w:t xml:space="preserve"> 9, 1–13. doi:10.1038/s41467-018-05122-7.</w:t>
      </w:r>
    </w:p>
    <w:p w14:paraId="23D28CE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Huang, W., Long, C., and Lam, E. (2018). Roles of Plant-Associated Microbiota in Traditional Herbal Medicine. </w:t>
      </w:r>
      <w:r w:rsidRPr="0072022B">
        <w:rPr>
          <w:i/>
          <w:iCs/>
          <w:noProof/>
        </w:rPr>
        <w:t>Trends Plant Sci.</w:t>
      </w:r>
      <w:r w:rsidRPr="0072022B">
        <w:rPr>
          <w:noProof/>
        </w:rPr>
        <w:t xml:space="preserve"> 23, 559–562. doi:10.1016/j.tplants.2018.05.003.</w:t>
      </w:r>
    </w:p>
    <w:p w14:paraId="5F7515F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Johnson, N. C., Tilman, D., and Wedin, D. (1992). Plant and soil controls on mycorrhizal fungal communities. </w:t>
      </w:r>
      <w:r w:rsidRPr="0072022B">
        <w:rPr>
          <w:i/>
          <w:iCs/>
          <w:noProof/>
        </w:rPr>
        <w:t>Ecology</w:t>
      </w:r>
      <w:r w:rsidRPr="0072022B">
        <w:rPr>
          <w:noProof/>
        </w:rPr>
        <w:t xml:space="preserve"> 73, 2034–2042. doi:10.2307/1941453.</w:t>
      </w:r>
    </w:p>
    <w:p w14:paraId="29D8BBF0" w14:textId="77777777" w:rsidR="0072022B" w:rsidRPr="0072022B" w:rsidRDefault="0072022B" w:rsidP="0072022B">
      <w:pPr>
        <w:widowControl w:val="0"/>
        <w:autoSpaceDE w:val="0"/>
        <w:autoSpaceDN w:val="0"/>
        <w:adjustRightInd w:val="0"/>
        <w:ind w:left="480" w:hanging="480"/>
        <w:rPr>
          <w:noProof/>
        </w:rPr>
      </w:pPr>
      <w:r w:rsidRPr="0072022B">
        <w:rPr>
          <w:noProof/>
        </w:rPr>
        <w:lastRenderedPageBreak/>
        <w:t xml:space="preserve">Johnson, N. C., Wilson, G. W. T., Bowker, M. A., Wilson, J. A., and Miller, R. M. (2010). Resource limitation is a driver of local adaptation in mycorrhizal symbioses. </w:t>
      </w:r>
      <w:r w:rsidRPr="0072022B">
        <w:rPr>
          <w:i/>
          <w:iCs/>
          <w:noProof/>
        </w:rPr>
        <w:t>Proc. Natl. Acad. Sci. U. S. A.</w:t>
      </w:r>
      <w:r w:rsidRPr="0072022B">
        <w:rPr>
          <w:noProof/>
        </w:rPr>
        <w:t xml:space="preserve"> 107, 2093–2098. doi:10.1073/pnas.0906710107.</w:t>
      </w:r>
    </w:p>
    <w:p w14:paraId="7AAEAEC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Jost, L. (2007). Partitioning diversity into independent alpha and beta components. </w:t>
      </w:r>
      <w:r w:rsidRPr="0072022B">
        <w:rPr>
          <w:i/>
          <w:iCs/>
          <w:noProof/>
        </w:rPr>
        <w:t>Ecology</w:t>
      </w:r>
      <w:r w:rsidRPr="0072022B">
        <w:rPr>
          <w:noProof/>
        </w:rPr>
        <w:t xml:space="preserve"> 88, 2427–2439. doi:10.1002/ecy.2446.</w:t>
      </w:r>
    </w:p>
    <w:p w14:paraId="1A747BF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Kanwal, S., Bano, A., and Malik, R. N. (2015). Effects of Arbuscular Mycorrhizal Fungi on Metals Uptake, Physiological and Biochemical Response of Medicago Sativa L. with Increasing Zn and Cd Concentrations in Soil. </w:t>
      </w:r>
      <w:r w:rsidRPr="0072022B">
        <w:rPr>
          <w:i/>
          <w:iCs/>
          <w:noProof/>
        </w:rPr>
        <w:t>Am. J. Plant Sci.</w:t>
      </w:r>
      <w:r w:rsidRPr="0072022B">
        <w:rPr>
          <w:noProof/>
        </w:rPr>
        <w:t xml:space="preserve"> 06, 2906–2923. doi:10.4236/ajps.2015.618287.</w:t>
      </w:r>
    </w:p>
    <w:p w14:paraId="01C45A8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Katoh, K., and Standley, D. M. (2013). MAFFT multiple sequence alignment software version 7: improvements in performance and usability. </w:t>
      </w:r>
      <w:r w:rsidRPr="0072022B">
        <w:rPr>
          <w:i/>
          <w:iCs/>
          <w:noProof/>
        </w:rPr>
        <w:t>Mol. Biol. Evol.</w:t>
      </w:r>
      <w:r w:rsidRPr="0072022B">
        <w:rPr>
          <w:noProof/>
        </w:rPr>
        <w:t xml:space="preserve"> 30, 772–80. doi:10.1093/molbev/mst010.</w:t>
      </w:r>
    </w:p>
    <w:p w14:paraId="64D1651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Kavamura, V. N., Taketani, R. G., Ferreira, C., de Melo, I. S., and Mendes, R. (2018). The role of species turnover in structuring bacterial communities in a local scale in the cactus rhizosphere. </w:t>
      </w:r>
      <w:r w:rsidRPr="0072022B">
        <w:rPr>
          <w:i/>
          <w:iCs/>
          <w:noProof/>
        </w:rPr>
        <w:t>Plant Soil</w:t>
      </w:r>
      <w:r w:rsidRPr="0072022B">
        <w:rPr>
          <w:noProof/>
        </w:rPr>
        <w:t xml:space="preserve"> 425, 101–112. doi:10.1007/s11104-018-3570-4.</w:t>
      </w:r>
    </w:p>
    <w:p w14:paraId="5020668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Kennedy, K., Hall, M. W., Lynch, M. D. J., Moreno-Hagelsieb, G., and Neufeld, J. D. (2014). Evaluating bias of Illumina-based bacterial 16S rRNA gene profiles. </w:t>
      </w:r>
      <w:r w:rsidRPr="0072022B">
        <w:rPr>
          <w:i/>
          <w:iCs/>
          <w:noProof/>
        </w:rPr>
        <w:t>Appl. Environ. Microbiol.</w:t>
      </w:r>
      <w:r w:rsidRPr="0072022B">
        <w:rPr>
          <w:noProof/>
        </w:rPr>
        <w:t xml:space="preserve"> 80, 5717–5722. doi:10.1128/AEM.01451-14.</w:t>
      </w:r>
    </w:p>
    <w:p w14:paraId="060ADA0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Kivlin, S. N., Muscarella, R., Hawkes, C. V., and Treseder, K. K. (2017). The Predictive Power of Ecological Niche Modeling for Global Arbuscular Mycorrhizal Fungal Biogeography. </w:t>
      </w:r>
      <w:r w:rsidRPr="0072022B">
        <w:rPr>
          <w:i/>
          <w:iCs/>
          <w:noProof/>
        </w:rPr>
        <w:t>Ecol. Stud.</w:t>
      </w:r>
      <w:r w:rsidRPr="0072022B">
        <w:rPr>
          <w:noProof/>
        </w:rPr>
        <w:t xml:space="preserve"> 230, 143–158. doi:10.1007/978-3-319-56363-3.</w:t>
      </w:r>
    </w:p>
    <w:p w14:paraId="695A4DB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Kivlin, S. N., Winston, G. C., Goulden, M. L., and Treseder, K. K. (2014). Environmental filtering affects soil fungal community composition more than dispersal limitation at regional scales. </w:t>
      </w:r>
      <w:r w:rsidRPr="0072022B">
        <w:rPr>
          <w:i/>
          <w:iCs/>
          <w:noProof/>
        </w:rPr>
        <w:t>Fungal Ecol.</w:t>
      </w:r>
      <w:r w:rsidRPr="0072022B">
        <w:rPr>
          <w:noProof/>
        </w:rPr>
        <w:t xml:space="preserve"> 12, 14–25. doi:10.1016/j.funeco.2014.04.004.</w:t>
      </w:r>
    </w:p>
    <w:p w14:paraId="4863B71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Klindworth, A., Pruesse, E., Schweer, T., Peplies, J., Quast, C., Horn, M., et al. (2013). Evaluation of general 16S ribosomal RNA gene PCR primers for classical and next-generation sequencing-based diversity studies. </w:t>
      </w:r>
      <w:r w:rsidRPr="0072022B">
        <w:rPr>
          <w:i/>
          <w:iCs/>
          <w:noProof/>
        </w:rPr>
        <w:t>Nucleic Acids Res.</w:t>
      </w:r>
      <w:r w:rsidRPr="0072022B">
        <w:rPr>
          <w:noProof/>
        </w:rPr>
        <w:t xml:space="preserve"> 41, 1–11. doi:10.1093/nar/gks808.</w:t>
      </w:r>
    </w:p>
    <w:p w14:paraId="3474299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Knight, R., Vrbanac, A., Taylor, B. C., Aksenov, A., Callewaert, C., Debelius, J., et al. (2018). Best practices for analysing microbiomes. </w:t>
      </w:r>
      <w:r w:rsidRPr="0072022B">
        <w:rPr>
          <w:i/>
          <w:iCs/>
          <w:noProof/>
        </w:rPr>
        <w:t>Nat. Rev. Microbiol.</w:t>
      </w:r>
      <w:r w:rsidRPr="0072022B">
        <w:rPr>
          <w:noProof/>
        </w:rPr>
        <w:t xml:space="preserve"> 16, 410–422. doi:10.1038/s41579-018-0029-9.</w:t>
      </w:r>
    </w:p>
    <w:p w14:paraId="676BD10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Korp, J., Vela Gurovic, M. S., and Nett, M. (2016). Antibiotics from predatory bacteria. </w:t>
      </w:r>
      <w:r w:rsidRPr="0072022B">
        <w:rPr>
          <w:i/>
          <w:iCs/>
          <w:noProof/>
        </w:rPr>
        <w:t>Beilstein J. Org. Chem.</w:t>
      </w:r>
      <w:r w:rsidRPr="0072022B">
        <w:rPr>
          <w:noProof/>
        </w:rPr>
        <w:t xml:space="preserve"> 12, 594–607. doi:10.3762/bjoc.12.58.</w:t>
      </w:r>
    </w:p>
    <w:p w14:paraId="2E3EF79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Kowalchuk, G. A., Buma, D. S., De Boer, W., Klinkhamer, P. G. L., and Van Veen, J. A. (2002). Effects of above-ground plant species composition and diversity on the diversity of soil-borne microorganisms. </w:t>
      </w:r>
      <w:r w:rsidRPr="0072022B">
        <w:rPr>
          <w:i/>
          <w:iCs/>
          <w:noProof/>
        </w:rPr>
        <w:t>Antonie van Leeuwenhoek, Int. J. Gen. Mol. Microbiol.</w:t>
      </w:r>
      <w:r w:rsidRPr="0072022B">
        <w:rPr>
          <w:noProof/>
        </w:rPr>
        <w:t xml:space="preserve"> 81, 509–520. doi:10.1023/A:1020565523615.</w:t>
      </w:r>
    </w:p>
    <w:p w14:paraId="40AC89C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Kozdrój, J., and Van Elsas, J. D. (2000). Response of the bacterial community to root exudates in soil polluted with heavy metals assessed by molecular and cultural approaches. </w:t>
      </w:r>
      <w:r w:rsidRPr="0072022B">
        <w:rPr>
          <w:i/>
          <w:iCs/>
          <w:noProof/>
        </w:rPr>
        <w:t>Soil Biol. Biochem.</w:t>
      </w:r>
      <w:r w:rsidRPr="0072022B">
        <w:rPr>
          <w:noProof/>
        </w:rPr>
        <w:t xml:space="preserve"> 32, 1405–1417. doi:10.1016/S0038-0717(00)00058-4.</w:t>
      </w:r>
    </w:p>
    <w:p w14:paraId="362FA80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Kretzer, A., Li, Y., Szaro, T., and Bruns, T. D. (1996). Internal Transcribed Spacer Sequences from 38 Recognized Species of Suillus sensu lato : Phylogenetic and Taxonomic Implications. </w:t>
      </w:r>
      <w:r w:rsidRPr="0072022B">
        <w:rPr>
          <w:i/>
          <w:iCs/>
          <w:noProof/>
        </w:rPr>
        <w:t>Mycologia</w:t>
      </w:r>
      <w:r w:rsidRPr="0072022B">
        <w:rPr>
          <w:noProof/>
        </w:rPr>
        <w:t xml:space="preserve"> 88, 776–785.</w:t>
      </w:r>
    </w:p>
    <w:p w14:paraId="5D4D3E7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Kriticos, D. J., Morin, L., Leriche, A., Anderson, R. C., and Caley, P. (2013). Combining a Climatic Niche Model of an Invasive Fungus with Its Host Species Distributions to Identify Risks to Natural Assets: Puccinia psidii Sensu Lato in Australia. </w:t>
      </w:r>
      <w:r w:rsidRPr="0072022B">
        <w:rPr>
          <w:i/>
          <w:iCs/>
          <w:noProof/>
        </w:rPr>
        <w:t>PLoS One</w:t>
      </w:r>
      <w:r w:rsidRPr="0072022B">
        <w:rPr>
          <w:noProof/>
        </w:rPr>
        <w:t xml:space="preserve"> 8. </w:t>
      </w:r>
      <w:r w:rsidRPr="0072022B">
        <w:rPr>
          <w:noProof/>
        </w:rPr>
        <w:lastRenderedPageBreak/>
        <w:t>doi:10.1371/journal.pone.0064479.</w:t>
      </w:r>
    </w:p>
    <w:p w14:paraId="7761A6E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Kuehn, K.-D., Weber, H.-C., Dehne, H.-W., and Gworgwor, N. A. (1991). Distribution of vesicular-arbuscular mycorrhizal fungi on a fallow agriculture site, pt. 1: Dry habitat. </w:t>
      </w:r>
      <w:r w:rsidRPr="0072022B">
        <w:rPr>
          <w:i/>
          <w:iCs/>
          <w:noProof/>
        </w:rPr>
        <w:t>Angew. Bot.</w:t>
      </w:r>
    </w:p>
    <w:p w14:paraId="784DDA8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Lajtha, K., Driscoll, C. T., Jarrell, W. M., and Elliott, E. T. (1999). Chapter 7. Soil P characterization and total element analysis. </w:t>
      </w:r>
      <w:r w:rsidRPr="0072022B">
        <w:rPr>
          <w:i/>
          <w:iCs/>
          <w:noProof/>
        </w:rPr>
        <w:t>Stand. soil methods long-term Ecol. Res. Ed. by GP Robertson, DC Coleman, CS Bledsoe, P. Sollins. Oxford Univ. Press. Oxford, UK</w:t>
      </w:r>
      <w:r w:rsidRPr="0072022B">
        <w:rPr>
          <w:noProof/>
        </w:rPr>
        <w:t>.</w:t>
      </w:r>
    </w:p>
    <w:p w14:paraId="5DC5D77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Lau, J. A., and Lennon, J. T. (2011). Evolutionary ecology of plant-microbe interactions: soil microbial structure alters selection on plant traits. </w:t>
      </w:r>
      <w:r w:rsidRPr="0072022B">
        <w:rPr>
          <w:i/>
          <w:iCs/>
          <w:noProof/>
        </w:rPr>
        <w:t>New Phytol.</w:t>
      </w:r>
      <w:r w:rsidRPr="0072022B">
        <w:rPr>
          <w:noProof/>
        </w:rPr>
        <w:t xml:space="preserve"> 192, 215–224. doi:10.1111/j.1469-8137.2011.03790.x.</w:t>
      </w:r>
    </w:p>
    <w:p w14:paraId="09E8E44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Lauber, C. L., Zhou, N., Gordon, J. I., Knight, R., and Fierer, N. (2010). Effect of storage conditions on the assessment of bacterial community structure in soil and human-associated samples. </w:t>
      </w:r>
      <w:r w:rsidRPr="0072022B">
        <w:rPr>
          <w:i/>
          <w:iCs/>
          <w:noProof/>
        </w:rPr>
        <w:t>FEMS Microbiol. Lett.</w:t>
      </w:r>
      <w:r w:rsidRPr="0072022B">
        <w:rPr>
          <w:noProof/>
        </w:rPr>
        <w:t xml:space="preserve"> 307, 80–86. doi:10.1111/j.1574-6968.2010.01965.x.</w:t>
      </w:r>
    </w:p>
    <w:p w14:paraId="46893F2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Lee, J., Lee, S., and Young, J. P. W. (2008). Improved PCR primers for the detection and identification of arbuscular mycorrhizal fungi. </w:t>
      </w:r>
      <w:r w:rsidRPr="0072022B">
        <w:rPr>
          <w:i/>
          <w:iCs/>
          <w:noProof/>
        </w:rPr>
        <w:t>FEMS Microbiol. Ecol.</w:t>
      </w:r>
      <w:r w:rsidRPr="0072022B">
        <w:rPr>
          <w:noProof/>
        </w:rPr>
        <w:t xml:space="preserve"> 65, 339–349. doi:10.1111/j.1574-6941.2008.00531.x.</w:t>
      </w:r>
    </w:p>
    <w:p w14:paraId="1A493F3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Legendre, P., Borcard, D., and Peres-Neto, P. R. (2005). Analyzing beta diversity: Partioning the spatial variation of community composition data. </w:t>
      </w:r>
      <w:r w:rsidRPr="0072022B">
        <w:rPr>
          <w:i/>
          <w:iCs/>
          <w:noProof/>
        </w:rPr>
        <w:t>Ecol. Monogr.</w:t>
      </w:r>
      <w:r w:rsidRPr="0072022B">
        <w:rPr>
          <w:noProof/>
        </w:rPr>
        <w:t xml:space="preserve"> 75, 435–450.</w:t>
      </w:r>
    </w:p>
    <w:p w14:paraId="070C199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Leibold, M. A., Holyoak, M., Mouquet, N., Amarasekare, P., Chase, J. M., Hoopes, M. F., et al. (2004). The metacommunity concept: A framework for multi-scale community ecology. </w:t>
      </w:r>
      <w:r w:rsidRPr="0072022B">
        <w:rPr>
          <w:i/>
          <w:iCs/>
          <w:noProof/>
        </w:rPr>
        <w:t>Ecol. Lett.</w:t>
      </w:r>
      <w:r w:rsidRPr="0072022B">
        <w:rPr>
          <w:noProof/>
        </w:rPr>
        <w:t xml:space="preserve"> 7, 601–613. doi:10.1111/j.1461-0248.2004.00608.x.</w:t>
      </w:r>
    </w:p>
    <w:p w14:paraId="763DCD0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Li, G., Xu, G., Guo, K., and Du, S. (2014). Mapping the global potential geographical distribution of black locust (Robinia Pseudoacacia L.) using herbarium data and a maximum entropy model. </w:t>
      </w:r>
      <w:r w:rsidRPr="0072022B">
        <w:rPr>
          <w:i/>
          <w:iCs/>
          <w:noProof/>
        </w:rPr>
        <w:t>Forests</w:t>
      </w:r>
      <w:r w:rsidRPr="0072022B">
        <w:rPr>
          <w:noProof/>
        </w:rPr>
        <w:t xml:space="preserve"> 5, 2773–2792. doi:10.3390/f5112773.</w:t>
      </w:r>
    </w:p>
    <w:p w14:paraId="3BEF815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Liang, T., Yang, G., Ma, Y., Yao, Q., Ma, Y., Ma, H., et al. (2019).  Seasonal dynamics of microbial diversity in the rhizosphere of Ulmus pumila L. var. sabulosa in a steppe desert area of Northern China . </w:t>
      </w:r>
      <w:r w:rsidRPr="0072022B">
        <w:rPr>
          <w:i/>
          <w:iCs/>
          <w:noProof/>
        </w:rPr>
        <w:t>PeerJ</w:t>
      </w:r>
      <w:r w:rsidRPr="0072022B">
        <w:rPr>
          <w:noProof/>
        </w:rPr>
        <w:t xml:space="preserve"> 7, e7526. doi:10.7717/peerj.7526.</w:t>
      </w:r>
    </w:p>
    <w:p w14:paraId="6E4129B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Liao, H. L., Chen, Y., and Vilgalys, R. (2016). Metatranscriptomic Study of Common and Host-Specific Patterns of Gene Expression between Pines and Their Symbiotic Ectomycorrhizal Fungi in the Genus Suillus. </w:t>
      </w:r>
      <w:r w:rsidRPr="0072022B">
        <w:rPr>
          <w:i/>
          <w:iCs/>
          <w:noProof/>
        </w:rPr>
        <w:t>PLoS Genet.</w:t>
      </w:r>
      <w:r w:rsidRPr="0072022B">
        <w:rPr>
          <w:noProof/>
        </w:rPr>
        <w:t xml:space="preserve"> 12, 1–24. doi:10.1371/journal.pgen.1006348.</w:t>
      </w:r>
    </w:p>
    <w:p w14:paraId="54E92B4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Loria, R., Kers, J., and Joshi, M. (2006). Evolution of plant pathogenicity in Streptomyces. </w:t>
      </w:r>
      <w:r w:rsidRPr="0072022B">
        <w:rPr>
          <w:i/>
          <w:iCs/>
          <w:noProof/>
        </w:rPr>
        <w:t>Annu. Rev. Phytopathol.</w:t>
      </w:r>
      <w:r w:rsidRPr="0072022B">
        <w:rPr>
          <w:noProof/>
        </w:rPr>
        <w:t xml:space="preserve"> 44, 469–487. doi:10.1146/annurev.phyto.44.032905.091147.</w:t>
      </w:r>
    </w:p>
    <w:p w14:paraId="102E948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Lozupone, C. A., and Knight, R. (2005). UniFrac : a New Phylogenetic Method for Comparing Microbial Communities UniFrac : a New Phylogenetic Method for Comparing Microbial Communities [see notes, compare to Bray-Curtis]. </w:t>
      </w:r>
      <w:r w:rsidRPr="0072022B">
        <w:rPr>
          <w:i/>
          <w:iCs/>
          <w:noProof/>
        </w:rPr>
        <w:t>Appl. Environ. Microbiol.</w:t>
      </w:r>
      <w:r w:rsidRPr="0072022B">
        <w:rPr>
          <w:noProof/>
        </w:rPr>
        <w:t xml:space="preserve"> 71, 8228–8235. doi:10.1128/AEM.71.12.8228.</w:t>
      </w:r>
    </w:p>
    <w:p w14:paraId="6604759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Lugtenberg, B. (2015). </w:t>
      </w:r>
      <w:r w:rsidRPr="0072022B">
        <w:rPr>
          <w:i/>
          <w:iCs/>
          <w:noProof/>
        </w:rPr>
        <w:t>Life of Microbes in the Rhizosphere</w:t>
      </w:r>
      <w:r w:rsidRPr="0072022B">
        <w:rPr>
          <w:noProof/>
        </w:rPr>
        <w:t>. doi:10.1007/978-3-319-08575-3.</w:t>
      </w:r>
    </w:p>
    <w:p w14:paraId="5420732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Maherali, H., and Klironomos, J. N. (2007). Influence of phylogeny on fungal community assembly and ecosystem functioning. </w:t>
      </w:r>
      <w:r w:rsidRPr="0072022B">
        <w:rPr>
          <w:i/>
          <w:iCs/>
          <w:noProof/>
        </w:rPr>
        <w:t>Science (80-. ).</w:t>
      </w:r>
      <w:r w:rsidRPr="0072022B">
        <w:rPr>
          <w:noProof/>
        </w:rPr>
        <w:t xml:space="preserve"> 316, 1746–1748. doi:10.1126/science.1143082.</w:t>
      </w:r>
    </w:p>
    <w:p w14:paraId="7BED9F3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Mandle, L., Warren, D. L., Hoffmann, M. H., Peterson, A. T., Schmitt, J., and von Wettberg, E. J. (2010). Conclusions about niche expansion in introduced Impatiens walleriana populations depend on method of analysis. </w:t>
      </w:r>
      <w:r w:rsidRPr="0072022B">
        <w:rPr>
          <w:i/>
          <w:iCs/>
          <w:noProof/>
        </w:rPr>
        <w:t>PLoS One</w:t>
      </w:r>
      <w:r w:rsidRPr="0072022B">
        <w:rPr>
          <w:noProof/>
        </w:rPr>
        <w:t xml:space="preserve"> 5. doi:10.1371/journal.pone.0015297.</w:t>
      </w:r>
    </w:p>
    <w:p w14:paraId="6600EB5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Marschner, P., Yang, C.-H., Lieberei, R., and Crowley, D. E. (2001). Soil and plant species effects on bacterial community composition in the rhizosphere. </w:t>
      </w:r>
      <w:r w:rsidRPr="0072022B">
        <w:rPr>
          <w:i/>
          <w:iCs/>
          <w:noProof/>
        </w:rPr>
        <w:t>Soil Biol. Biochem.</w:t>
      </w:r>
      <w:r w:rsidRPr="0072022B">
        <w:rPr>
          <w:noProof/>
        </w:rPr>
        <w:t xml:space="preserve"> 33, 1437–1445. doi:10.1016/S0038-0717(01)00052-9.</w:t>
      </w:r>
    </w:p>
    <w:p w14:paraId="4C51995C" w14:textId="77777777" w:rsidR="0072022B" w:rsidRPr="0072022B" w:rsidRDefault="0072022B" w:rsidP="0072022B">
      <w:pPr>
        <w:widowControl w:val="0"/>
        <w:autoSpaceDE w:val="0"/>
        <w:autoSpaceDN w:val="0"/>
        <w:adjustRightInd w:val="0"/>
        <w:ind w:left="480" w:hanging="480"/>
        <w:rPr>
          <w:noProof/>
        </w:rPr>
      </w:pPr>
      <w:r w:rsidRPr="0072022B">
        <w:rPr>
          <w:noProof/>
        </w:rPr>
        <w:lastRenderedPageBreak/>
        <w:t xml:space="preserve">Martiny, J. B. H., Eisen, J. A., Penn, K., Allison, S. D., and Horner-Devine, M. C. (2011). Drivers of bacterial β-diversity depend on spatial scale. </w:t>
      </w:r>
      <w:r w:rsidRPr="0072022B">
        <w:rPr>
          <w:i/>
          <w:iCs/>
          <w:noProof/>
        </w:rPr>
        <w:t>Proc. Natl. Acad. Sci.</w:t>
      </w:r>
      <w:r w:rsidRPr="0072022B">
        <w:rPr>
          <w:noProof/>
        </w:rPr>
        <w:t xml:space="preserve"> 108, 7850–7854.</w:t>
      </w:r>
    </w:p>
    <w:p w14:paraId="71754B1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McMurdie, P. J., and Holmes, S. (2013). Phyloseq: An R Package for Reproducible Interactive Analysis and Graphics of Microbiome Census Data. </w:t>
      </w:r>
      <w:r w:rsidRPr="0072022B">
        <w:rPr>
          <w:i/>
          <w:iCs/>
          <w:noProof/>
        </w:rPr>
        <w:t>PLoS One</w:t>
      </w:r>
      <w:r w:rsidRPr="0072022B">
        <w:rPr>
          <w:noProof/>
        </w:rPr>
        <w:t xml:space="preserve"> 8. doi:10.1371/journal.pone.0061217.</w:t>
      </w:r>
    </w:p>
    <w:p w14:paraId="3BCDB38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Micallef, S. A., Shiaris, M. P., and Colón-Carmona, A. (2009). Influence of Arabidopsis thaliana accessions on rhizobacterial communities and natural variation in root exudates. </w:t>
      </w:r>
      <w:r w:rsidRPr="0072022B">
        <w:rPr>
          <w:i/>
          <w:iCs/>
          <w:noProof/>
        </w:rPr>
        <w:t>J. Exp. Bot.</w:t>
      </w:r>
      <w:r w:rsidRPr="0072022B">
        <w:rPr>
          <w:noProof/>
        </w:rPr>
        <w:t xml:space="preserve"> 60, 1729–1742. doi:10.1093/jxb/erp053.</w:t>
      </w:r>
    </w:p>
    <w:p w14:paraId="5D6E031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Mickan, B. S., Abbott, L. K., Solaiman, Z. M., Mathes, F., Siddique, K. H. M., and Jenkins, S. N. (2019). Soil disturbance and water stress interact to influence arbuscular mycorrhizal fungi, rhizosphere bacteria and potential for N and C cycling in an agricultural soil. </w:t>
      </w:r>
      <w:r w:rsidRPr="0072022B">
        <w:rPr>
          <w:i/>
          <w:iCs/>
          <w:noProof/>
        </w:rPr>
        <w:t>Biol. Fertil. Soils</w:t>
      </w:r>
      <w:r w:rsidRPr="0072022B">
        <w:rPr>
          <w:noProof/>
        </w:rPr>
        <w:t xml:space="preserve"> 55, 53–66. doi:10.1007/s00374-018-1328-z.</w:t>
      </w:r>
    </w:p>
    <w:p w14:paraId="607A2FA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Miller, S. P. (2000). Arbuscular mycorrhizal colonization of semi-aquatic grasses along a wide hydrologic gradient. </w:t>
      </w:r>
      <w:r w:rsidRPr="0072022B">
        <w:rPr>
          <w:i/>
          <w:iCs/>
          <w:noProof/>
        </w:rPr>
        <w:t>New Phytol.</w:t>
      </w:r>
      <w:r w:rsidRPr="0072022B">
        <w:rPr>
          <w:noProof/>
        </w:rPr>
        <w:t xml:space="preserve"> 145, 145–155. doi:10.1046/j.1469-8137.2000.00566.x.</w:t>
      </w:r>
    </w:p>
    <w:p w14:paraId="4A83C5E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Mirarab, S., Nguyen, N., Guo, S., Wang, L. S., Kim, J., and Warnow, T. (2015). PASTA: Ultra-large multiple sequence alignment for nucleotide and amino-acid sequences. </w:t>
      </w:r>
      <w:r w:rsidRPr="0072022B">
        <w:rPr>
          <w:i/>
          <w:iCs/>
          <w:noProof/>
        </w:rPr>
        <w:t>J. Comput. Biol.</w:t>
      </w:r>
      <w:r w:rsidRPr="0072022B">
        <w:rPr>
          <w:noProof/>
        </w:rPr>
        <w:t xml:space="preserve"> 22, 377–386. doi:10.1089/cmb.2014.0156.</w:t>
      </w:r>
    </w:p>
    <w:p w14:paraId="3C4C28C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Mitchell, D. L., Ivanova, D., Rabin, R., Brown, T. J., and Redmond, K. (2002). Gulf of California sea surface temperatures and the North American Monsoon: Mechanistic implications from observations. </w:t>
      </w:r>
      <w:r w:rsidRPr="0072022B">
        <w:rPr>
          <w:i/>
          <w:iCs/>
          <w:noProof/>
        </w:rPr>
        <w:t>J. Clim.</w:t>
      </w:r>
      <w:r w:rsidRPr="0072022B">
        <w:rPr>
          <w:noProof/>
        </w:rPr>
        <w:t xml:space="preserve"> 15, 2261–2281. doi:10.1175/1520-0442(2002)015&lt;2261:GOCSST&gt;2.0.CO;2.</w:t>
      </w:r>
    </w:p>
    <w:p w14:paraId="50C434E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Moccia, K., Willems, A., Papoulis, S., Flores, A., Forister, M. L., Fordyce, J. A., et al. (2020). Distinguishing nutrient-dependent plant driven bacterial colonization patterns in alfalfa. </w:t>
      </w:r>
      <w:r w:rsidRPr="0072022B">
        <w:rPr>
          <w:i/>
          <w:iCs/>
          <w:noProof/>
        </w:rPr>
        <w:t>Environ. Microbiol. Rep.</w:t>
      </w:r>
      <w:r w:rsidRPr="0072022B">
        <w:rPr>
          <w:noProof/>
        </w:rPr>
        <w:t xml:space="preserve"> 12, 70–77. doi:10.1111/1758-2229.12815.</w:t>
      </w:r>
    </w:p>
    <w:p w14:paraId="122F468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Mulvaney, R. L. (1996). Nitrogen—inorganic forms. </w:t>
      </w:r>
      <w:r w:rsidRPr="0072022B">
        <w:rPr>
          <w:i/>
          <w:iCs/>
          <w:noProof/>
        </w:rPr>
        <w:t>Methods soil Anal. part 3 Chem. methods</w:t>
      </w:r>
      <w:r w:rsidRPr="0072022B">
        <w:rPr>
          <w:noProof/>
        </w:rPr>
        <w:t xml:space="preserve"> 5, 1123–1184.</w:t>
      </w:r>
    </w:p>
    <w:p w14:paraId="3AB0BDF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Munck, I. A., Livingston, W., Lombard, K., Luther, T., Ostrofsky, W. D., Weimer, J., et al. (2015). Extent and Severity of Caliciopsis canker in New England, USA: An emerging disease of Eastern White Pine (Pinus strobus L.). </w:t>
      </w:r>
      <w:r w:rsidRPr="0072022B">
        <w:rPr>
          <w:i/>
          <w:iCs/>
          <w:noProof/>
        </w:rPr>
        <w:t>Forests</w:t>
      </w:r>
      <w:r w:rsidRPr="0072022B">
        <w:rPr>
          <w:noProof/>
        </w:rPr>
        <w:t xml:space="preserve"> 6, 4360–4373. doi:10.3390/f6114360.</w:t>
      </w:r>
    </w:p>
    <w:p w14:paraId="2974BDA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Muscarella, R., Galante, P. J., Soley-Guardia, M., Boria, R. A., Kass, J. M., Uriarte, M., et al. (2014).  ENMeval: An R package for conducting spatially independent evaluations and estimating optimal model complexity for Maxent ecological niche models . </w:t>
      </w:r>
      <w:r w:rsidRPr="0072022B">
        <w:rPr>
          <w:i/>
          <w:iCs/>
          <w:noProof/>
        </w:rPr>
        <w:t>Methods Ecol. Evol.</w:t>
      </w:r>
      <w:r w:rsidRPr="0072022B">
        <w:rPr>
          <w:noProof/>
        </w:rPr>
        <w:t xml:space="preserve"> 5, 1198–1205. doi:10.1111/2041-210x.12261.</w:t>
      </w:r>
    </w:p>
    <w:p w14:paraId="7E9C21A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Naimi, B., Hamm, N. A. S., Groen, T. A., Skidmore, A. K., and Toxopeus, A. G. (2014). Where is positional uncertainty a problem for species distribution modelling? </w:t>
      </w:r>
      <w:r w:rsidRPr="0072022B">
        <w:rPr>
          <w:i/>
          <w:iCs/>
          <w:noProof/>
        </w:rPr>
        <w:t>Ecography (Cop.).</w:t>
      </w:r>
      <w:r w:rsidRPr="0072022B">
        <w:rPr>
          <w:noProof/>
        </w:rPr>
        <w:t xml:space="preserve"> 37, 191–203. doi:10.1111/j.1600-0587.2013.00205.x.</w:t>
      </w:r>
    </w:p>
    <w:p w14:paraId="46C4052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Ness, J. H. (2020). Hot spots and hot moments for on-plant foraging by ants within the flora of warm north american deserts. </w:t>
      </w:r>
      <w:r w:rsidRPr="0072022B">
        <w:rPr>
          <w:i/>
          <w:iCs/>
          <w:noProof/>
        </w:rPr>
        <w:t>Am. Midl. Nat.</w:t>
      </w:r>
      <w:r w:rsidRPr="0072022B">
        <w:rPr>
          <w:noProof/>
        </w:rPr>
        <w:t xml:space="preserve"> 183, 145–163. doi:10.1637/0003-0031-183.2.145.</w:t>
      </w:r>
    </w:p>
    <w:p w14:paraId="6906317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Nessner Kavamura, V., Taketani, R. G., Lançoni, M. D., Andreote, F. D., Mendes, R., and Soares de Melo, I. (2013). Water Regime Influences Bulk Soil and Rhizosphere of Cereus jamacaru Bacterial Communities in the Brazilian Caatinga Biome. </w:t>
      </w:r>
      <w:r w:rsidRPr="0072022B">
        <w:rPr>
          <w:i/>
          <w:iCs/>
          <w:noProof/>
        </w:rPr>
        <w:t>PLoS One</w:t>
      </w:r>
      <w:r w:rsidRPr="0072022B">
        <w:rPr>
          <w:noProof/>
        </w:rPr>
        <w:t xml:space="preserve"> 8. doi:10.1371/journal.pone.0073606.</w:t>
      </w:r>
    </w:p>
    <w:p w14:paraId="2DA5421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Newsham, K. K., Fitter, A. H., and Watkinson, A. R. (1995). Multi-functionality and </w:t>
      </w:r>
      <w:r w:rsidRPr="0072022B">
        <w:rPr>
          <w:noProof/>
        </w:rPr>
        <w:lastRenderedPageBreak/>
        <w:t xml:space="preserve">biodiversity in arbuscular mycorrhizas. </w:t>
      </w:r>
      <w:r w:rsidRPr="0072022B">
        <w:rPr>
          <w:i/>
          <w:iCs/>
          <w:noProof/>
        </w:rPr>
        <w:t>Trends Ecol. Evol.</w:t>
      </w:r>
      <w:r w:rsidRPr="0072022B">
        <w:rPr>
          <w:noProof/>
        </w:rPr>
        <w:t xml:space="preserve"> 10, 407–411. doi:10.1016/S0169-5347(00)89157-0.</w:t>
      </w:r>
    </w:p>
    <w:p w14:paraId="37E5DA6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Nguyen, N. H., Vellinga, E. C., Bruns, T. D., and Kennedy, P. G. (2016). Phylogenetic assessment of global Suillus ITS sequences supports morphologically defined species and reveals synonymous and undescribed taxa. </w:t>
      </w:r>
      <w:r w:rsidRPr="0072022B">
        <w:rPr>
          <w:i/>
          <w:iCs/>
          <w:noProof/>
        </w:rPr>
        <w:t>Mycologia</w:t>
      </w:r>
      <w:r w:rsidRPr="0072022B">
        <w:rPr>
          <w:noProof/>
        </w:rPr>
        <w:t xml:space="preserve"> 108, 1216–1228. doi:10.3852/16-106.</w:t>
      </w:r>
    </w:p>
    <w:p w14:paraId="07F87E0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Nielsen, T. H., Bonde, T. A., and Sørensen, J. (1998). Significance of microbial urea turnover in N cycling of three Danish agricultural soils. </w:t>
      </w:r>
      <w:r w:rsidRPr="0072022B">
        <w:rPr>
          <w:i/>
          <w:iCs/>
          <w:noProof/>
        </w:rPr>
        <w:t>FEMS Microbiol. Ecol.</w:t>
      </w:r>
      <w:r w:rsidRPr="0072022B">
        <w:rPr>
          <w:noProof/>
        </w:rPr>
        <w:t xml:space="preserve"> 25, 147–157. doi:10.1016/S0168-6496(97)00091-3.</w:t>
      </w:r>
    </w:p>
    <w:p w14:paraId="6307BFD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Noguez, A. M., Arita, H. T., Escalante, A. E., Forney, L. J., García‐Oliva, F., and Souza, V. (2005). Microbial macroecology: highly structured prokaryotic soil assemblages in a tropical deciduous forest. </w:t>
      </w:r>
      <w:r w:rsidRPr="0072022B">
        <w:rPr>
          <w:i/>
          <w:iCs/>
          <w:noProof/>
        </w:rPr>
        <w:t>Glob. Ecol. Biogeogr.</w:t>
      </w:r>
      <w:r w:rsidRPr="0072022B">
        <w:rPr>
          <w:noProof/>
        </w:rPr>
        <w:t xml:space="preserve"> 14, 241–248.</w:t>
      </w:r>
    </w:p>
    <w:p w14:paraId="3B585BA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O’Banion, B. S., O’Neal, L., Alexandre, G., and Lebeis, S. L. (2019). Bridging the Gap Between Single-Strain and Community-Level Plant-Microbe Chemical Interactions. </w:t>
      </w:r>
      <w:r w:rsidRPr="0072022B">
        <w:rPr>
          <w:i/>
          <w:iCs/>
          <w:noProof/>
        </w:rPr>
        <w:t>Mol. Plant-Microbe Interact.</w:t>
      </w:r>
      <w:r w:rsidRPr="0072022B">
        <w:rPr>
          <w:noProof/>
        </w:rPr>
        <w:t xml:space="preserve"> 33, MPMI-04-19-0115. doi:10.1094/mpmi-04-19-0115-cr.</w:t>
      </w:r>
    </w:p>
    <w:p w14:paraId="47C0CB64" w14:textId="77777777" w:rsidR="0072022B" w:rsidRPr="0072022B" w:rsidRDefault="0072022B" w:rsidP="0072022B">
      <w:pPr>
        <w:widowControl w:val="0"/>
        <w:autoSpaceDE w:val="0"/>
        <w:autoSpaceDN w:val="0"/>
        <w:adjustRightInd w:val="0"/>
        <w:ind w:left="480" w:hanging="480"/>
        <w:rPr>
          <w:noProof/>
        </w:rPr>
      </w:pPr>
      <w:r w:rsidRPr="0072022B">
        <w:rPr>
          <w:noProof/>
        </w:rPr>
        <w:t>Oksanen, A. J., Blanchet, F. G., Friendly, M., Kindt, R., Legendre, P., Mcglinn, D., et al. (2019). Package ‘ vegan .’ https://cran.r-project.org, https://github.com/veg.</w:t>
      </w:r>
    </w:p>
    <w:p w14:paraId="4A479E3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Öpik, M., Vanatoa, A., Vanatoa, E., Moora, M., Davison, J., Kalwij, J. M., et al. (2010). The online database MaarjAM reveals global and ecosystemic distribution patterns in arbuscular mycorrhizal fungi (Glomeromycota). </w:t>
      </w:r>
      <w:r w:rsidRPr="0072022B">
        <w:rPr>
          <w:i/>
          <w:iCs/>
          <w:noProof/>
        </w:rPr>
        <w:t>New Phytol.</w:t>
      </w:r>
      <w:r w:rsidRPr="0072022B">
        <w:rPr>
          <w:noProof/>
        </w:rPr>
        <w:t xml:space="preserve"> 188, 223–241. doi:10.1111/j.1469-8137.2010.03334.x.</w:t>
      </w:r>
    </w:p>
    <w:p w14:paraId="388E34A5" w14:textId="77777777" w:rsidR="0072022B" w:rsidRPr="0072022B" w:rsidRDefault="0072022B" w:rsidP="0072022B">
      <w:pPr>
        <w:widowControl w:val="0"/>
        <w:autoSpaceDE w:val="0"/>
        <w:autoSpaceDN w:val="0"/>
        <w:adjustRightInd w:val="0"/>
        <w:ind w:left="480" w:hanging="480"/>
        <w:rPr>
          <w:noProof/>
        </w:rPr>
      </w:pPr>
      <w:r w:rsidRPr="0072022B">
        <w:rPr>
          <w:noProof/>
        </w:rPr>
        <w:t>Oren, A. (2014). “The Family Xanthobacteraceae BT  - The Prokaryotes: Alphaproteobacteria and Betaproteobacteria,” in, eds. E. Rosenberg, E. F. DeLong, S. Lory, E. Stackebrandt, and F. Thompson (Berlin, Heidelberg: Springer Berlin Heidelberg), 709–726. doi:10.1007/978-3-642-30197-1_258.</w:t>
      </w:r>
    </w:p>
    <w:p w14:paraId="4286776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Peay, K. G., and Matheny, P. B. (2016). The biogeography of ectomycorrhizal fungi–a history of life in the subterranean. </w:t>
      </w:r>
      <w:r w:rsidRPr="0072022B">
        <w:rPr>
          <w:i/>
          <w:iCs/>
          <w:noProof/>
        </w:rPr>
        <w:t>Mol. mycorrhizal symbiosis</w:t>
      </w:r>
      <w:r w:rsidRPr="0072022B">
        <w:rPr>
          <w:noProof/>
        </w:rPr>
        <w:t>, 341–361.</w:t>
      </w:r>
    </w:p>
    <w:p w14:paraId="3B9FA5F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Perilli, S., Di Mambro, R., and Sabatini, S. (2012). Growth and development of the root apical meristem. </w:t>
      </w:r>
      <w:r w:rsidRPr="0072022B">
        <w:rPr>
          <w:i/>
          <w:iCs/>
          <w:noProof/>
        </w:rPr>
        <w:t>Curr. Opin. Plant Biol.</w:t>
      </w:r>
      <w:r w:rsidRPr="0072022B">
        <w:rPr>
          <w:noProof/>
        </w:rPr>
        <w:t xml:space="preserve"> 15, 17–23. doi:10.1016/j.pbi.2011.10.006.</w:t>
      </w:r>
    </w:p>
    <w:p w14:paraId="76AF2F7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Peterson, A. T. (2001). Predicting Species’ Geographic Distributions Based on Ecological Niche Modeling. </w:t>
      </w:r>
      <w:r w:rsidRPr="0072022B">
        <w:rPr>
          <w:i/>
          <w:iCs/>
          <w:noProof/>
        </w:rPr>
        <w:t>Condor</w:t>
      </w:r>
      <w:r w:rsidRPr="0072022B">
        <w:rPr>
          <w:noProof/>
        </w:rPr>
        <w:t xml:space="preserve"> 103, 599–605. doi:10.1093/condor/103.3.599.</w:t>
      </w:r>
    </w:p>
    <w:p w14:paraId="39BC417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Peterson, A. T. (2003). Predicting the geography of species’ invasions via ecological niche modeling. </w:t>
      </w:r>
      <w:r w:rsidRPr="0072022B">
        <w:rPr>
          <w:i/>
          <w:iCs/>
          <w:noProof/>
        </w:rPr>
        <w:t>Q. Rev. Biol.</w:t>
      </w:r>
      <w:r w:rsidRPr="0072022B">
        <w:rPr>
          <w:noProof/>
        </w:rPr>
        <w:t xml:space="preserve"> 78, 419–433. doi:10.1086/378926.</w:t>
      </w:r>
    </w:p>
    <w:p w14:paraId="06295C3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Philippot, L., Raaijmakers, J. M., Lemanceau, P., and van der Putten, W. H. (2013). Going back to the roots: the microbial ecology of the rhizosphere. </w:t>
      </w:r>
      <w:r w:rsidRPr="0072022B">
        <w:rPr>
          <w:i/>
          <w:iCs/>
          <w:noProof/>
        </w:rPr>
        <w:t>Nat. Rev. Microbiol.</w:t>
      </w:r>
      <w:r w:rsidRPr="0072022B">
        <w:rPr>
          <w:noProof/>
        </w:rPr>
        <w:t xml:space="preserve"> 11, 789–99. doi:10.1038/nrmicro3109.</w:t>
      </w:r>
    </w:p>
    <w:p w14:paraId="7BC34A7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Phillips, S. B., Aneja, V. P., Kang, D., and Arya, S. P. (2006). Modelling and analysis of the atmospheric nitrogen deposition in North Carolina. </w:t>
      </w:r>
      <w:r w:rsidRPr="0072022B">
        <w:rPr>
          <w:i/>
          <w:iCs/>
          <w:noProof/>
        </w:rPr>
        <w:t>Int. J. Glob. Environ. Issues</w:t>
      </w:r>
      <w:r w:rsidRPr="0072022B">
        <w:rPr>
          <w:noProof/>
        </w:rPr>
        <w:t xml:space="preserve"> 6, 231–252. doi:10.1016/j.ecolmodel.2005.03.026.</w:t>
      </w:r>
    </w:p>
    <w:p w14:paraId="0E0DE3E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Phillips, S. J., Anderson, R. P., Dudík, M., Schapire, R. E., and Blair, M. E. (2017). Opening the black box: an open-source release of Maxent. </w:t>
      </w:r>
      <w:r w:rsidRPr="0072022B">
        <w:rPr>
          <w:i/>
          <w:iCs/>
          <w:noProof/>
        </w:rPr>
        <w:t>Ecography (Cop.).</w:t>
      </w:r>
      <w:r w:rsidRPr="0072022B">
        <w:rPr>
          <w:noProof/>
        </w:rPr>
        <w:t xml:space="preserve"> 40, 887–893. doi:10.1111/ecog.03049.</w:t>
      </w:r>
    </w:p>
    <w:p w14:paraId="45ECA87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Phillips, S. J., and Dudík, M. (2008). Modeling of Species Distributions with Maxent : New Extensions and a Comprehensive Evaluation. </w:t>
      </w:r>
      <w:r w:rsidRPr="0072022B">
        <w:rPr>
          <w:i/>
          <w:iCs/>
          <w:noProof/>
        </w:rPr>
        <w:t>Ecography (Cop.).</w:t>
      </w:r>
      <w:r w:rsidRPr="0072022B">
        <w:rPr>
          <w:noProof/>
        </w:rPr>
        <w:t xml:space="preserve"> 31, 161–175. doi:10.1111/j.2007.0906-7590.05203.x.</w:t>
      </w:r>
    </w:p>
    <w:p w14:paraId="2308137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Pickett, S. T. A., and White, P. S. (2013). </w:t>
      </w:r>
      <w:r w:rsidRPr="0072022B">
        <w:rPr>
          <w:i/>
          <w:iCs/>
          <w:noProof/>
        </w:rPr>
        <w:t xml:space="preserve">The ecology of natural disturbance and patch </w:t>
      </w:r>
      <w:r w:rsidRPr="0072022B">
        <w:rPr>
          <w:i/>
          <w:iCs/>
          <w:noProof/>
        </w:rPr>
        <w:lastRenderedPageBreak/>
        <w:t>dynamics</w:t>
      </w:r>
      <w:r w:rsidRPr="0072022B">
        <w:rPr>
          <w:noProof/>
        </w:rPr>
        <w:t>. Elsevier.</w:t>
      </w:r>
    </w:p>
    <w:p w14:paraId="07DF3FC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Pietras, M. (2019). First record of North American fungus Rhizopogon pseudoroseolus in Australia and prediction of its occurrence based on climatic niche and symbiotic partner preferences. </w:t>
      </w:r>
      <w:r w:rsidRPr="0072022B">
        <w:rPr>
          <w:i/>
          <w:iCs/>
          <w:noProof/>
        </w:rPr>
        <w:t>Mycorrhiza</w:t>
      </w:r>
      <w:r w:rsidRPr="0072022B">
        <w:rPr>
          <w:noProof/>
        </w:rPr>
        <w:t xml:space="preserve"> 29, 397–401. doi:10.1007/s00572-019-00899-x.</w:t>
      </w:r>
    </w:p>
    <w:p w14:paraId="1A9D973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Pietras, M., Litkowiec, M., and Gołębiewska, J. (2018). Current and potential distribution of the ectomycorrhizal fungus Suillus lakei ((Murrill) A.H. Sm. &amp; Thiers) in its invasion range. </w:t>
      </w:r>
      <w:r w:rsidRPr="0072022B">
        <w:rPr>
          <w:i/>
          <w:iCs/>
          <w:noProof/>
        </w:rPr>
        <w:t>Mycorrhiza</w:t>
      </w:r>
      <w:r w:rsidRPr="0072022B">
        <w:rPr>
          <w:noProof/>
        </w:rPr>
        <w:t xml:space="preserve"> 28, 467–475. doi:10.1007/s00572-018-0836-x.</w:t>
      </w:r>
    </w:p>
    <w:p w14:paraId="2ABE28F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Price, M. N., Dehal, P. S., and Arkin, A. P. (2010). FastTree 2 - Approximately maximum-likelihood trees for large alignments. </w:t>
      </w:r>
      <w:r w:rsidRPr="0072022B">
        <w:rPr>
          <w:i/>
          <w:iCs/>
          <w:noProof/>
        </w:rPr>
        <w:t>PLoS One</w:t>
      </w:r>
      <w:r w:rsidRPr="0072022B">
        <w:rPr>
          <w:noProof/>
        </w:rPr>
        <w:t xml:space="preserve"> 5. doi:10.1371/journal.pone.0009490.</w:t>
      </w:r>
    </w:p>
    <w:p w14:paraId="5C36505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Quast, C., Pruesse, E., Yilmaz, P., Gerken, J., Schweer, T., Yarza, P., et al. (2013). The SILVA ribosomal RNA gene database project: Improved data processing and web-based tools. </w:t>
      </w:r>
      <w:r w:rsidRPr="0072022B">
        <w:rPr>
          <w:i/>
          <w:iCs/>
          <w:noProof/>
        </w:rPr>
        <w:t>Nucleic Acids Res.</w:t>
      </w:r>
      <w:r w:rsidRPr="0072022B">
        <w:rPr>
          <w:noProof/>
        </w:rPr>
        <w:t xml:space="preserve"> 41, 590–596. doi:10.1093/nar/gks1219.</w:t>
      </w:r>
    </w:p>
    <w:p w14:paraId="2AB5E85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Raja, H. A., Miller, A. N., Pearce, C. J., and Oberlies, N. H. (2017). Fungal Identification Using Molecular Tools: A Primer for the Natural Products Research Community. </w:t>
      </w:r>
      <w:r w:rsidRPr="0072022B">
        <w:rPr>
          <w:i/>
          <w:iCs/>
          <w:noProof/>
        </w:rPr>
        <w:t>J. Nat. Prod.</w:t>
      </w:r>
      <w:r w:rsidRPr="0072022B">
        <w:rPr>
          <w:noProof/>
        </w:rPr>
        <w:t xml:space="preserve"> 80, 756–770. doi:10.1021/acs.jnatprod.6b01085.</w:t>
      </w:r>
    </w:p>
    <w:p w14:paraId="1F9E077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Reche, I., Pulido-Villena, E., Morales-Baquero, R., and Casamayor, E. O. (2005). Does ecosystem size determine aquatic bacterial richness? </w:t>
      </w:r>
      <w:r w:rsidRPr="0072022B">
        <w:rPr>
          <w:i/>
          <w:iCs/>
          <w:noProof/>
        </w:rPr>
        <w:t>Ecology</w:t>
      </w:r>
      <w:r w:rsidRPr="0072022B">
        <w:rPr>
          <w:noProof/>
        </w:rPr>
        <w:t xml:space="preserve"> 86, 1715–1722.</w:t>
      </w:r>
    </w:p>
    <w:p w14:paraId="0C909E1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Rengel, Z. (2002). Genetic control of root exudation. </w:t>
      </w:r>
      <w:r w:rsidRPr="0072022B">
        <w:rPr>
          <w:i/>
          <w:iCs/>
          <w:noProof/>
        </w:rPr>
        <w:t>Plant Soil</w:t>
      </w:r>
      <w:r w:rsidRPr="0072022B">
        <w:rPr>
          <w:noProof/>
        </w:rPr>
        <w:t xml:space="preserve"> 245, 59–70. doi:10.1023/A:1020646011229.</w:t>
      </w:r>
    </w:p>
    <w:p w14:paraId="230CE37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Rinaldi, A. C., Comandini, O., and Kuyper, T. W. (2008). Ectomycorrhizal fungal diversity: seperating the wheat from the chaff. </w:t>
      </w:r>
      <w:r w:rsidRPr="0072022B">
        <w:rPr>
          <w:i/>
          <w:iCs/>
          <w:noProof/>
        </w:rPr>
        <w:t>Fungal Divers.</w:t>
      </w:r>
      <w:r w:rsidRPr="0072022B">
        <w:rPr>
          <w:noProof/>
        </w:rPr>
        <w:t xml:space="preserve"> 66, 37–39.</w:t>
      </w:r>
    </w:p>
    <w:p w14:paraId="407F3EA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Rodriguez, R. J., Redman, R. S., and Henson, J. M. (2004). The role of fungal symbioses in the adaptation of plants to high stress environments. </w:t>
      </w:r>
      <w:r w:rsidRPr="0072022B">
        <w:rPr>
          <w:i/>
          <w:iCs/>
          <w:noProof/>
        </w:rPr>
        <w:t>Mitig. Adapt. Strateg. Glob. Chang.</w:t>
      </w:r>
      <w:r w:rsidRPr="0072022B">
        <w:rPr>
          <w:noProof/>
        </w:rPr>
        <w:t xml:space="preserve"> 9, 261–272. doi:10.1023/B:MITI.0000029922.31110.97.</w:t>
      </w:r>
    </w:p>
    <w:p w14:paraId="6C9327C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Rosenberg, E., DeLong, E. F., Lory, S., Stackebrandt, E., and Thompson, F. (2014). </w:t>
      </w:r>
      <w:r w:rsidRPr="0072022B">
        <w:rPr>
          <w:i/>
          <w:iCs/>
          <w:noProof/>
        </w:rPr>
        <w:t>The prokaryotes: Actinobacteria</w:t>
      </w:r>
      <w:r w:rsidRPr="0072022B">
        <w:rPr>
          <w:noProof/>
        </w:rPr>
        <w:t>. doi:10.1007/978-3-642-30138-4.</w:t>
      </w:r>
    </w:p>
    <w:p w14:paraId="646A672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Rousk, J., Smith, A. R., and Jones, D. L. (2013). Investigating the long-term legacy of drought and warming on the soil microbial community across five European shrubland ecosystems. </w:t>
      </w:r>
      <w:r w:rsidRPr="0072022B">
        <w:rPr>
          <w:i/>
          <w:iCs/>
          <w:noProof/>
        </w:rPr>
        <w:t>Glob. Chang. Biol.</w:t>
      </w:r>
      <w:r w:rsidRPr="0072022B">
        <w:rPr>
          <w:noProof/>
        </w:rPr>
        <w:t xml:space="preserve"> 19, 3872–3884. doi:10.1111/gcb.12338.</w:t>
      </w:r>
    </w:p>
    <w:p w14:paraId="6103CC8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Sánchez-Ramírez, S., Tulloss, R. E., Guzmán-Dávalos, L., Cifuentes-Blanco, J., Valenzuela, R., Estrada-Torres, A., et al. (2015). In and out of refugia: Historical patterns of diversity and demography in the North American Caesar’s mushroom species complex. </w:t>
      </w:r>
      <w:r w:rsidRPr="0072022B">
        <w:rPr>
          <w:i/>
          <w:iCs/>
          <w:noProof/>
        </w:rPr>
        <w:t>Mol. Ecol.</w:t>
      </w:r>
      <w:r w:rsidRPr="0072022B">
        <w:rPr>
          <w:noProof/>
        </w:rPr>
        <w:t xml:space="preserve"> 24, 5938–5956. doi:10.1111/mec.13413.</w:t>
      </w:r>
    </w:p>
    <w:p w14:paraId="69CA724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Sapsford, S. J., Paap, T., Hopkins, A. J. M., Hardy, G. E. S. J., and Burgess, T. I. (2020). Habitat fragmentation in a Mediterranean-type forest alters resident and propagule mycorrhizal fungal communities. </w:t>
      </w:r>
      <w:r w:rsidRPr="0072022B">
        <w:rPr>
          <w:i/>
          <w:iCs/>
          <w:noProof/>
        </w:rPr>
        <w:t>Pedobiologia (Jena).</w:t>
      </w:r>
      <w:r w:rsidRPr="0072022B">
        <w:rPr>
          <w:noProof/>
        </w:rPr>
        <w:t xml:space="preserve"> 78, 150611. doi:10.1016/j.pedobi.2019.150611.</w:t>
      </w:r>
    </w:p>
    <w:p w14:paraId="168F8EE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Schwartz, M. W., Brigham, C. A., Hoeksema, J. D., Lyons, K. G., Mills, M. H., and Van Mantgem, P. J. (2000). Linking biodiversity to ecosystem function: Implications for conservation ecology. </w:t>
      </w:r>
      <w:r w:rsidRPr="0072022B">
        <w:rPr>
          <w:i/>
          <w:iCs/>
          <w:noProof/>
        </w:rPr>
        <w:t>Oecologia</w:t>
      </w:r>
      <w:r w:rsidRPr="0072022B">
        <w:rPr>
          <w:noProof/>
        </w:rPr>
        <w:t xml:space="preserve"> 122, 297–305. doi:10.1007/s004420050035.</w:t>
      </w:r>
    </w:p>
    <w:p w14:paraId="1C68E2D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Schweitzer, J. A., Bailey, J. K., Hart, S. C., Wimp, G. M., Chapman, S. K., and Whitham, T. G. (2005). The interaction of plant genotype and herbivory decelerate leaf litter decomposition and alter nutrient dynamics. </w:t>
      </w:r>
      <w:r w:rsidRPr="0072022B">
        <w:rPr>
          <w:i/>
          <w:iCs/>
          <w:noProof/>
        </w:rPr>
        <w:t>Oikos</w:t>
      </w:r>
      <w:r w:rsidRPr="0072022B">
        <w:rPr>
          <w:noProof/>
        </w:rPr>
        <w:t xml:space="preserve"> 110, 133–145. doi:10.1111/j.0030-1299.2005.13650.x.</w:t>
      </w:r>
    </w:p>
    <w:p w14:paraId="7ED4410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Sellstedt, A., and Richau, K. H. (2013). Aspects of nitrogen-fixing actinobacteria, in particular free-living and symbiotic frankia. </w:t>
      </w:r>
      <w:r w:rsidRPr="0072022B">
        <w:rPr>
          <w:i/>
          <w:iCs/>
          <w:noProof/>
        </w:rPr>
        <w:t>FEMS Microbiol. Lett.</w:t>
      </w:r>
      <w:r w:rsidRPr="0072022B">
        <w:rPr>
          <w:noProof/>
        </w:rPr>
        <w:t xml:space="preserve"> 342, 179–186. doi:10.1111/1574-6968.12116.</w:t>
      </w:r>
    </w:p>
    <w:p w14:paraId="2FCF965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Shi, S., Nuccio, E., Herman, D. J., Rijkers, R., Estera, K., Li, J., et al. (2015). Successional </w:t>
      </w:r>
      <w:r w:rsidRPr="0072022B">
        <w:rPr>
          <w:noProof/>
        </w:rPr>
        <w:lastRenderedPageBreak/>
        <w:t xml:space="preserve">trajectories of rhizosphere bacterial communities over consecutive seasons. </w:t>
      </w:r>
      <w:r w:rsidRPr="0072022B">
        <w:rPr>
          <w:i/>
          <w:iCs/>
          <w:noProof/>
        </w:rPr>
        <w:t>MBio</w:t>
      </w:r>
      <w:r w:rsidRPr="0072022B">
        <w:rPr>
          <w:noProof/>
        </w:rPr>
        <w:t xml:space="preserve"> 6, 13–20. doi:10.1128/mBio.00746-15.</w:t>
      </w:r>
    </w:p>
    <w:p w14:paraId="49C7578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Simon, L., Lalonde, M., and Bruns, T. D. (1992). Specific amplification of 18S fungal ribosomal genes from vesicular-arbuscular mycorrhizal fungal communities. </w:t>
      </w:r>
      <w:r w:rsidRPr="0072022B">
        <w:rPr>
          <w:i/>
          <w:iCs/>
          <w:noProof/>
        </w:rPr>
        <w:t>Appl. Environ. Microbiol.</w:t>
      </w:r>
      <w:r w:rsidRPr="0072022B">
        <w:rPr>
          <w:noProof/>
        </w:rPr>
        <w:t xml:space="preserve"> 58, 291–295.</w:t>
      </w:r>
    </w:p>
    <w:p w14:paraId="7F76B527"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Sinclair, S. J., White, M. D., and Newell, G. R. (2010). How useful are species distribution models for managing biodiversity under future climates? </w:t>
      </w:r>
      <w:r w:rsidRPr="0072022B">
        <w:rPr>
          <w:i/>
          <w:iCs/>
          <w:noProof/>
        </w:rPr>
        <w:t>Ecol. Soc.</w:t>
      </w:r>
      <w:r w:rsidRPr="0072022B">
        <w:rPr>
          <w:noProof/>
        </w:rPr>
        <w:t xml:space="preserve"> 15. doi:10.5751/ES-03089-150108.</w:t>
      </w:r>
    </w:p>
    <w:p w14:paraId="08109FD1"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Singh, L. P., Gill, S. S., and Tuteja, N. (2011). Unraveling the role of fungal symbionts in plant abiotic stress tolerance. </w:t>
      </w:r>
      <w:r w:rsidRPr="0072022B">
        <w:rPr>
          <w:i/>
          <w:iCs/>
          <w:noProof/>
        </w:rPr>
        <w:t>Plant Signal. Behav.</w:t>
      </w:r>
      <w:r w:rsidRPr="0072022B">
        <w:rPr>
          <w:noProof/>
        </w:rPr>
        <w:t xml:space="preserve"> 6, 175–191. doi:10.4161/psb.6.2.14146.</w:t>
      </w:r>
    </w:p>
    <w:p w14:paraId="00CFD82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Smith, S. A., and O’Meara, B. C. (2012). TreePL: Divergence time estimation using penalized likelihood for large phylogenies. </w:t>
      </w:r>
      <w:r w:rsidRPr="0072022B">
        <w:rPr>
          <w:i/>
          <w:iCs/>
          <w:noProof/>
        </w:rPr>
        <w:t>Bioinformatics</w:t>
      </w:r>
      <w:r w:rsidRPr="0072022B">
        <w:rPr>
          <w:noProof/>
        </w:rPr>
        <w:t xml:space="preserve"> 28, 2689–2690. doi:10.1093/bioinformatics/bts492.</w:t>
      </w:r>
    </w:p>
    <w:p w14:paraId="40A38DE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Smith, T., and Huston, M. (1990). “A theory of the spatial and temporal dynamics of plant communities,” in </w:t>
      </w:r>
      <w:r w:rsidRPr="0072022B">
        <w:rPr>
          <w:i/>
          <w:iCs/>
          <w:noProof/>
        </w:rPr>
        <w:t>Progress in theoretical vegetation science</w:t>
      </w:r>
      <w:r w:rsidRPr="0072022B">
        <w:rPr>
          <w:noProof/>
        </w:rPr>
        <w:t xml:space="preserve"> (Springer), 49–69.</w:t>
      </w:r>
    </w:p>
    <w:p w14:paraId="5D88CDC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Smucker, A. J. M. (1993). Soil enviornmental modifications of root dynamics and measurment. </w:t>
      </w:r>
      <w:r w:rsidRPr="0072022B">
        <w:rPr>
          <w:i/>
          <w:iCs/>
          <w:noProof/>
        </w:rPr>
        <w:t>Annu. Rev. Phytopathol.</w:t>
      </w:r>
      <w:r w:rsidRPr="0072022B">
        <w:rPr>
          <w:noProof/>
        </w:rPr>
        <w:t xml:space="preserve"> 31, 191–216.</w:t>
      </w:r>
    </w:p>
    <w:p w14:paraId="644B73A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Soudzilovskaia, N. A., Vaessen, S., Barcelo, M., He, J., Rahimlou, S., Abarenkov, K., et al. (2020). FungalRoot: global online database of plant mycorrhizal associations. </w:t>
      </w:r>
      <w:r w:rsidRPr="0072022B">
        <w:rPr>
          <w:i/>
          <w:iCs/>
          <w:noProof/>
        </w:rPr>
        <w:t>New Phytol.</w:t>
      </w:r>
      <w:r w:rsidRPr="0072022B">
        <w:rPr>
          <w:noProof/>
        </w:rPr>
        <w:t xml:space="preserve"> 227, 955–966. doi:10.1111/nph.16569.</w:t>
      </w:r>
    </w:p>
    <w:p w14:paraId="3DA0D37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Stamatakis, A. (2014). RAxML version 8: A tool for phylogenetic analysis and post-analysis of large phylogenies. </w:t>
      </w:r>
      <w:r w:rsidRPr="0072022B">
        <w:rPr>
          <w:i/>
          <w:iCs/>
          <w:noProof/>
        </w:rPr>
        <w:t>Bioinformatics</w:t>
      </w:r>
      <w:r w:rsidRPr="0072022B">
        <w:rPr>
          <w:noProof/>
        </w:rPr>
        <w:t xml:space="preserve"> 30, 1312–1313. doi:10.1093/bioinformatics/btu033.</w:t>
      </w:r>
    </w:p>
    <w:p w14:paraId="5DDE4BF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Štovíček, A., Kim, M., Or, D., and Gillor, O. (2017). Microbial community response to hydration-desiccation cycles in desert soil. </w:t>
      </w:r>
      <w:r w:rsidRPr="0072022B">
        <w:rPr>
          <w:i/>
          <w:iCs/>
          <w:noProof/>
        </w:rPr>
        <w:t>Sci. Rep.</w:t>
      </w:r>
      <w:r w:rsidRPr="0072022B">
        <w:rPr>
          <w:noProof/>
        </w:rPr>
        <w:t xml:space="preserve"> 7, 1–9. doi:10.1038/srep45735.</w:t>
      </w:r>
    </w:p>
    <w:p w14:paraId="3415D9C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Suzuki, M. T., and Giovannoni, S. J. (1996). Bias caused by template annealing in the amplification of mixtures of 16S rRNA genes by PCR. </w:t>
      </w:r>
      <w:r w:rsidRPr="0072022B">
        <w:rPr>
          <w:i/>
          <w:iCs/>
          <w:noProof/>
        </w:rPr>
        <w:t>Appl. Environ. Microbiol.</w:t>
      </w:r>
      <w:r w:rsidRPr="0072022B">
        <w:rPr>
          <w:noProof/>
        </w:rPr>
        <w:t xml:space="preserve"> 62, 625–630. doi:10.1128/aem.62.2.625-630.1996.</w:t>
      </w:r>
    </w:p>
    <w:p w14:paraId="454FF82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Taketani, R. G., Lançoni, M. D., Kavamura, V. N., Durrer, A., Andreote, F. D., and Melo, I. S. (2017). Dry Season Constrains Bacterial Phylogenetic Diversity in a Semi-Arid Rhizosphere System. </w:t>
      </w:r>
      <w:r w:rsidRPr="0072022B">
        <w:rPr>
          <w:i/>
          <w:iCs/>
          <w:noProof/>
        </w:rPr>
        <w:t>Microb. Ecol.</w:t>
      </w:r>
      <w:r w:rsidRPr="0072022B">
        <w:rPr>
          <w:noProof/>
        </w:rPr>
        <w:t xml:space="preserve"> 73, 153–161. doi:10.1007/s00248-016-0835-4.</w:t>
      </w:r>
    </w:p>
    <w:p w14:paraId="27F0336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Talbot, J. M., Bruns, T. D., Taylor, J. W., Smith, D. P., Branco, S., Glassman, S. I., et al. (2014). Endemism and functional convergence across the North American soil mycobiome. </w:t>
      </w:r>
      <w:r w:rsidRPr="0072022B">
        <w:rPr>
          <w:i/>
          <w:iCs/>
          <w:noProof/>
        </w:rPr>
        <w:t>Proc. Natl. Acad. Sci.</w:t>
      </w:r>
      <w:r w:rsidRPr="0072022B">
        <w:rPr>
          <w:noProof/>
        </w:rPr>
        <w:t xml:space="preserve"> 111, 6341–6346.</w:t>
      </w:r>
    </w:p>
    <w:p w14:paraId="44F1EA7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Tedersoo, L., Bahram, M., Põlme, S., Kõljalg, U., Yorou, N. S., Wijesundera, R., et al. (2014). Global diversity and geography of soil fungi. </w:t>
      </w:r>
      <w:r w:rsidRPr="0072022B">
        <w:rPr>
          <w:i/>
          <w:iCs/>
          <w:noProof/>
        </w:rPr>
        <w:t>Science (80-. ).</w:t>
      </w:r>
      <w:r w:rsidRPr="0072022B">
        <w:rPr>
          <w:noProof/>
        </w:rPr>
        <w:t xml:space="preserve"> 346. doi:10.1126/science.1256688.</w:t>
      </w:r>
    </w:p>
    <w:p w14:paraId="0FBB9E9C"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Tedersoo, L., May, T. W., and Smith, M. E. (2010). Ectomycorrhizal lifestyle in fungi: Global diversity, distribution, and evolution of phylogenetic lineages. </w:t>
      </w:r>
      <w:r w:rsidRPr="0072022B">
        <w:rPr>
          <w:i/>
          <w:iCs/>
          <w:noProof/>
        </w:rPr>
        <w:t>Mycorrhiza</w:t>
      </w:r>
      <w:r w:rsidRPr="0072022B">
        <w:rPr>
          <w:noProof/>
        </w:rPr>
        <w:t xml:space="preserve"> 20, 217–263. doi:10.1007/s00572-009-0274-x.</w:t>
      </w:r>
    </w:p>
    <w:p w14:paraId="2BC08AE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Thijs, S., De Beeck, M. O., Beckers, B., Truyens, S., Stevens, V., Van Hamme, J. D., et al. (2017). Comparative evaluation of four bacteria-specific primer pairs for 16S rRNA gene surveys. </w:t>
      </w:r>
      <w:r w:rsidRPr="0072022B">
        <w:rPr>
          <w:i/>
          <w:iCs/>
          <w:noProof/>
        </w:rPr>
        <w:t>Front. Microbiol.</w:t>
      </w:r>
      <w:r w:rsidRPr="0072022B">
        <w:rPr>
          <w:noProof/>
        </w:rPr>
        <w:t xml:space="preserve"> 8, 1–15. doi:10.3389/fmicb.2017.00494.</w:t>
      </w:r>
    </w:p>
    <w:p w14:paraId="149EB88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Tilman, D. (1977). Resource Competition between Plankton Algae : An Experimental and Theoretical Approach. </w:t>
      </w:r>
      <w:r w:rsidRPr="0072022B">
        <w:rPr>
          <w:i/>
          <w:iCs/>
          <w:noProof/>
        </w:rPr>
        <w:t>Ecology</w:t>
      </w:r>
      <w:r w:rsidRPr="0072022B">
        <w:rPr>
          <w:noProof/>
        </w:rPr>
        <w:t xml:space="preserve"> 58, 338–348.</w:t>
      </w:r>
    </w:p>
    <w:p w14:paraId="28192A3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Tilman, D. (1994). Competition and biodiversity in spatially structured habitats. </w:t>
      </w:r>
      <w:r w:rsidRPr="0072022B">
        <w:rPr>
          <w:i/>
          <w:iCs/>
          <w:noProof/>
        </w:rPr>
        <w:t>Ecology</w:t>
      </w:r>
      <w:r w:rsidRPr="0072022B">
        <w:rPr>
          <w:noProof/>
        </w:rPr>
        <w:t xml:space="preserve"> 75, 2–16.</w:t>
      </w:r>
    </w:p>
    <w:p w14:paraId="68757BC3" w14:textId="77777777" w:rsidR="0072022B" w:rsidRPr="0072022B" w:rsidRDefault="0072022B" w:rsidP="0072022B">
      <w:pPr>
        <w:widowControl w:val="0"/>
        <w:autoSpaceDE w:val="0"/>
        <w:autoSpaceDN w:val="0"/>
        <w:adjustRightInd w:val="0"/>
        <w:ind w:left="480" w:hanging="480"/>
        <w:rPr>
          <w:noProof/>
        </w:rPr>
      </w:pPr>
      <w:r w:rsidRPr="0072022B">
        <w:rPr>
          <w:noProof/>
        </w:rPr>
        <w:lastRenderedPageBreak/>
        <w:t xml:space="preserve">Van Der Heijden, M. G. A., Bardgett, R. D., and Van Straalen, N. M. (2008). The unseen majority: Soil microbes as drivers of plant diversity and productivity in terrestrial ecosystems. </w:t>
      </w:r>
      <w:r w:rsidRPr="0072022B">
        <w:rPr>
          <w:i/>
          <w:iCs/>
          <w:noProof/>
        </w:rPr>
        <w:t>Ecol. Lett.</w:t>
      </w:r>
      <w:r w:rsidRPr="0072022B">
        <w:rPr>
          <w:noProof/>
        </w:rPr>
        <w:t xml:space="preserve"> 11, 296–310. doi:10.1111/j.1461-0248.2007.01139.x.</w:t>
      </w:r>
    </w:p>
    <w:p w14:paraId="7E19C45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Van Der Putten, W. H., Macel, M., and Visser, M. E. (2010). Predicting species distribution and abundance responses to climate change: Why it is essential to include biotic interactions across trophic levels. </w:t>
      </w:r>
      <w:r w:rsidRPr="0072022B">
        <w:rPr>
          <w:i/>
          <w:iCs/>
          <w:noProof/>
        </w:rPr>
        <w:t>Philos. Trans. R. Soc. B Biol. Sci.</w:t>
      </w:r>
      <w:r w:rsidRPr="0072022B">
        <w:rPr>
          <w:noProof/>
        </w:rPr>
        <w:t xml:space="preserve"> 365, 2025–2034. doi:10.1098/rstb.2010.0037.</w:t>
      </w:r>
    </w:p>
    <w:p w14:paraId="3D8F7D3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Van Nuland, M. E., Wooliver, R. C., Pfennigwerth, A. A., Read, Q. D., Ware, I. M., Mueller, L., et al. (2016). Plant–soil feedbacks: connecting ecosystem ecology and evolution. </w:t>
      </w:r>
      <w:r w:rsidRPr="0072022B">
        <w:rPr>
          <w:i/>
          <w:iCs/>
          <w:noProof/>
        </w:rPr>
        <w:t>Funct. Ecol.</w:t>
      </w:r>
      <w:r w:rsidRPr="0072022B">
        <w:rPr>
          <w:noProof/>
        </w:rPr>
        <w:t xml:space="preserve"> 30, 1032–1042. doi:10.1111/1365-2435.12690.</w:t>
      </w:r>
    </w:p>
    <w:p w14:paraId="44C3F8B4"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van Vuuren, D. P., Edmonds, J., Kainuma, M., Riahi, K., Thomson, A., Hibbard, K., et al. (2011). The representative concentration pathways: An overview. </w:t>
      </w:r>
      <w:r w:rsidRPr="0072022B">
        <w:rPr>
          <w:i/>
          <w:iCs/>
          <w:noProof/>
        </w:rPr>
        <w:t>Clim. Change</w:t>
      </w:r>
      <w:r w:rsidRPr="0072022B">
        <w:rPr>
          <w:noProof/>
        </w:rPr>
        <w:t xml:space="preserve"> 109, 5–31. doi:10.1007/s10584-011-0148-z.</w:t>
      </w:r>
    </w:p>
    <w:p w14:paraId="2D28FB0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Vance, E. D., Brookes, P. C., and Jenkinson, D. S. (1987). An extraction method for measuring soil microbial biomass C. </w:t>
      </w:r>
      <w:r w:rsidRPr="0072022B">
        <w:rPr>
          <w:i/>
          <w:iCs/>
          <w:noProof/>
        </w:rPr>
        <w:t>Soil Biol. Biochem.</w:t>
      </w:r>
      <w:r w:rsidRPr="0072022B">
        <w:rPr>
          <w:noProof/>
        </w:rPr>
        <w:t xml:space="preserve"> 19, 1–5. Available at: papers://c153aa6a-674a-4d9c-be67-ab5f6be3d6cb/Paper/p4.</w:t>
      </w:r>
    </w:p>
    <w:p w14:paraId="18338CD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Vellend, M. (2010). Conceptual synthesis in community ecology. </w:t>
      </w:r>
      <w:r w:rsidRPr="0072022B">
        <w:rPr>
          <w:i/>
          <w:iCs/>
          <w:noProof/>
        </w:rPr>
        <w:t>Q. Rev. Biol.</w:t>
      </w:r>
      <w:r w:rsidRPr="0072022B">
        <w:rPr>
          <w:noProof/>
        </w:rPr>
        <w:t xml:space="preserve"> 85, 183–206.</w:t>
      </w:r>
    </w:p>
    <w:p w14:paraId="0CAE142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Verdouw, H., Van Echteld, C. J. A., and Dekkers, E. M. J. (1978). Ammonia determination based on indophenol formation with sodium salicylate. </w:t>
      </w:r>
      <w:r w:rsidRPr="0072022B">
        <w:rPr>
          <w:i/>
          <w:iCs/>
          <w:noProof/>
        </w:rPr>
        <w:t>Water Res.</w:t>
      </w:r>
      <w:r w:rsidRPr="0072022B">
        <w:rPr>
          <w:noProof/>
        </w:rPr>
        <w:t xml:space="preserve"> 12, 399–402. doi:10.1016/0043-1354(78)90107-0.</w:t>
      </w:r>
    </w:p>
    <w:p w14:paraId="0D47068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Wadhams, G. H., and Armitage, J. P. (2004). Making sense of it all: bacterial chemotaxis. </w:t>
      </w:r>
      <w:r w:rsidRPr="0072022B">
        <w:rPr>
          <w:i/>
          <w:iCs/>
          <w:noProof/>
        </w:rPr>
        <w:t>Nat. Rev. Mol. Cell Biol.</w:t>
      </w:r>
      <w:r w:rsidRPr="0072022B">
        <w:rPr>
          <w:noProof/>
        </w:rPr>
        <w:t xml:space="preserve"> 5, 1024–1037. doi:10.1038/nrm1524.</w:t>
      </w:r>
    </w:p>
    <w:p w14:paraId="78D299B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Walker, T. S., Bais, H. P., Grotewold, E., and Vivanco, J. M. (2003). Root Exudation and Rhizosphere Biology. </w:t>
      </w:r>
      <w:r w:rsidRPr="0072022B">
        <w:rPr>
          <w:i/>
          <w:iCs/>
          <w:noProof/>
        </w:rPr>
        <w:t>Plant Physiol.</w:t>
      </w:r>
      <w:r w:rsidRPr="0072022B">
        <w:rPr>
          <w:noProof/>
        </w:rPr>
        <w:t xml:space="preserve"> 132, 44–51. doi:10.1104/pp.102.019661.Although.</w:t>
      </w:r>
    </w:p>
    <w:p w14:paraId="426033E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Walsh, C. M., Becker-Uncapher, I., Carlson, M., and Fierer, N. (2021). Variable influences of soil and seed-associated bacterial communities on the assembly of seedling microbiomes. </w:t>
      </w:r>
      <w:r w:rsidRPr="0072022B">
        <w:rPr>
          <w:i/>
          <w:iCs/>
          <w:noProof/>
        </w:rPr>
        <w:t>ISME J.</w:t>
      </w:r>
      <w:r w:rsidRPr="0072022B">
        <w:rPr>
          <w:noProof/>
        </w:rPr>
        <w:t>, 10–15. doi:10.1038/s41396-021-00967-1.</w:t>
      </w:r>
    </w:p>
    <w:p w14:paraId="7FB351AB"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Wang, Q., Garrity, G. M., Tiedje, J. M., and Cole, J. R. (2007). Naïve Bayesian classifier for rapid assignment of rRNA sequences into the new bacterial taxonomy. </w:t>
      </w:r>
      <w:r w:rsidRPr="0072022B">
        <w:rPr>
          <w:i/>
          <w:iCs/>
          <w:noProof/>
        </w:rPr>
        <w:t>Appl. Environ. Microbiol.</w:t>
      </w:r>
      <w:r w:rsidRPr="0072022B">
        <w:rPr>
          <w:noProof/>
        </w:rPr>
        <w:t xml:space="preserve"> 73, 5261–5267. doi:10.1128/AEM.00062-07.</w:t>
      </w:r>
    </w:p>
    <w:p w14:paraId="1D5114E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Wang, T., Hamann, A., Spittlehouse, D., and Carroll, C. (2016). Locally downscaled and spatially customizable climate data for historical and future periods for North America. </w:t>
      </w:r>
      <w:r w:rsidRPr="0072022B">
        <w:rPr>
          <w:i/>
          <w:iCs/>
          <w:noProof/>
        </w:rPr>
        <w:t>PLoS One</w:t>
      </w:r>
      <w:r w:rsidRPr="0072022B">
        <w:rPr>
          <w:noProof/>
        </w:rPr>
        <w:t xml:space="preserve"> 11, 1–17. doi:10.1371/journal.pone.0156720.</w:t>
      </w:r>
    </w:p>
    <w:p w14:paraId="4A9B4DC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Wardle, D. A., Bardgett, R. D., Klironomos, J. N., Setala, H., Putten, W. H. van der, and Wall, D. H. (2004). Ecological Linkages Between Aboveground and Belowground Biota. </w:t>
      </w:r>
      <w:r w:rsidRPr="0072022B">
        <w:rPr>
          <w:i/>
          <w:iCs/>
          <w:noProof/>
        </w:rPr>
        <w:t>Science (80-. ).</w:t>
      </w:r>
      <w:r w:rsidRPr="0072022B">
        <w:rPr>
          <w:noProof/>
        </w:rPr>
        <w:t xml:space="preserve"> 304, 1629–1633. doi:10.1126/science.1094875.</w:t>
      </w:r>
    </w:p>
    <w:p w14:paraId="43031100"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Waring, B. G., and Hawkes, C. V. (2015). Short-Term Precipitation Exclusion Alters Microbial Responses to Soil Moisture in a Wet Tropical Forest. </w:t>
      </w:r>
      <w:r w:rsidRPr="0072022B">
        <w:rPr>
          <w:i/>
          <w:iCs/>
          <w:noProof/>
        </w:rPr>
        <w:t>Microb. Ecol.</w:t>
      </w:r>
      <w:r w:rsidRPr="0072022B">
        <w:rPr>
          <w:noProof/>
        </w:rPr>
        <w:t xml:space="preserve"> 69, 843–854. doi:10.1007/s00248-014-0436-z.</w:t>
      </w:r>
    </w:p>
    <w:p w14:paraId="67AFFAB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Warren, D. L., Glor, R. E., and Turelli, M. (2008). Environmental niche equivalency versus conservatism: Quantitative approaches to niche evolution. </w:t>
      </w:r>
      <w:r w:rsidRPr="0072022B">
        <w:rPr>
          <w:i/>
          <w:iCs/>
          <w:noProof/>
        </w:rPr>
        <w:t>Evolution (N. Y).</w:t>
      </w:r>
      <w:r w:rsidRPr="0072022B">
        <w:rPr>
          <w:noProof/>
        </w:rPr>
        <w:t xml:space="preserve"> 62, 2868–2883. doi:10.1111/j.1558-5646.2008.00482.x.</w:t>
      </w:r>
    </w:p>
    <w:p w14:paraId="65318CB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Weatherburn, M. W. (1967). Phenol-Hypochlorite Reaction for Determination of Ammonia. </w:t>
      </w:r>
      <w:r w:rsidRPr="0072022B">
        <w:rPr>
          <w:i/>
          <w:iCs/>
          <w:noProof/>
        </w:rPr>
        <w:t>Anal. Chem.</w:t>
      </w:r>
      <w:r w:rsidRPr="0072022B">
        <w:rPr>
          <w:noProof/>
        </w:rPr>
        <w:t xml:space="preserve"> 39, 971–974. doi:10.1021/ac60252a045.</w:t>
      </w:r>
    </w:p>
    <w:p w14:paraId="38F0A46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White, T. J., Bruns, T., Lee, S., and Taylor, J. (1990). Amplification and direct sequencing of fungal ribosomal RNA genes for phylogenetics In: Innis MA, Gelfand DH, Sninsky JJ, </w:t>
      </w:r>
      <w:r w:rsidRPr="0072022B">
        <w:rPr>
          <w:noProof/>
        </w:rPr>
        <w:lastRenderedPageBreak/>
        <w:t xml:space="preserve">White TJ, editors. PCR protocols: a guide to methods and applications. </w:t>
      </w:r>
      <w:r w:rsidRPr="0072022B">
        <w:rPr>
          <w:i/>
          <w:iCs/>
          <w:noProof/>
        </w:rPr>
        <w:t>PCR Protoc. A Guid. to methods Appl.</w:t>
      </w:r>
      <w:r w:rsidRPr="0072022B">
        <w:rPr>
          <w:noProof/>
        </w:rPr>
        <w:t>, 315–322.</w:t>
      </w:r>
    </w:p>
    <w:p w14:paraId="02DF94F5"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Whittaker, R. J., Willis, K. J., and Field, R. (2001). Scale and species richness: Towards a general, hierarchical theory of species diversity. </w:t>
      </w:r>
      <w:r w:rsidRPr="0072022B">
        <w:rPr>
          <w:i/>
          <w:iCs/>
          <w:noProof/>
        </w:rPr>
        <w:t>J. Biogeogr.</w:t>
      </w:r>
      <w:r w:rsidRPr="0072022B">
        <w:rPr>
          <w:noProof/>
        </w:rPr>
        <w:t xml:space="preserve"> 28, 453–470. doi:10.1046/j.1365-2699.2001.00563.x.</w:t>
      </w:r>
    </w:p>
    <w:p w14:paraId="56621B72"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Wiens, J. A. (2016). Spatial Scaling in Ecology. </w:t>
      </w:r>
      <w:r w:rsidRPr="0072022B">
        <w:rPr>
          <w:i/>
          <w:iCs/>
          <w:noProof/>
        </w:rPr>
        <w:t>Br. Ecol. Soc.</w:t>
      </w:r>
      <w:r w:rsidRPr="0072022B">
        <w:rPr>
          <w:noProof/>
        </w:rPr>
        <w:t xml:space="preserve"> 3, 385–397.</w:t>
      </w:r>
    </w:p>
    <w:p w14:paraId="0CC3D736"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Wolfe, B. E., Richard, F., Cross, H. B., and Pringle, A. (2010). Distribution and abundance of the introduced ectomycorrhizal fungus Amanita phalloides in North America. </w:t>
      </w:r>
      <w:r w:rsidRPr="0072022B">
        <w:rPr>
          <w:i/>
          <w:iCs/>
          <w:noProof/>
        </w:rPr>
        <w:t>New Phytol.</w:t>
      </w:r>
      <w:r w:rsidRPr="0072022B">
        <w:rPr>
          <w:noProof/>
        </w:rPr>
        <w:t xml:space="preserve"> 185, 803–816. doi:10.1111/j.1469-8137.2009.03097.x.</w:t>
      </w:r>
    </w:p>
    <w:p w14:paraId="5023E13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Wollan, A. K., Bakkestuen, V., Kauserud, H., Gulden, G., and Halvorsen, R. (2008). Modelling and predicting fungal distribution patterns using herbarium data. </w:t>
      </w:r>
      <w:r w:rsidRPr="0072022B">
        <w:rPr>
          <w:i/>
          <w:iCs/>
          <w:noProof/>
        </w:rPr>
        <w:t>J. Biogeogr.</w:t>
      </w:r>
      <w:r w:rsidRPr="0072022B">
        <w:rPr>
          <w:noProof/>
        </w:rPr>
        <w:t xml:space="preserve"> 35, 2298–2310. doi:10.1111/j.1365-2699.2008.01965.x.</w:t>
      </w:r>
    </w:p>
    <w:p w14:paraId="0B8420C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Wu, J., Joergensen, R. G., Pommerening, B., Chaussod, R., and Brookes, P. C. (1990). Measurement of soil microbial biomass C by fumigation-extraction-an automated procedure. </w:t>
      </w:r>
      <w:r w:rsidRPr="0072022B">
        <w:rPr>
          <w:i/>
          <w:iCs/>
          <w:noProof/>
        </w:rPr>
        <w:t>Soil Biol. Biochem.</w:t>
      </w:r>
      <w:r w:rsidRPr="0072022B">
        <w:rPr>
          <w:noProof/>
        </w:rPr>
        <w:t xml:space="preserve"> 22, 1167–1169.</w:t>
      </w:r>
    </w:p>
    <w:p w14:paraId="66EB0AD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Xiao, D., Che, R., Liu, X., Tan, Y., Yang, R., Zhang, W., et al. (2019). Arbuscular mycorrhizal fungi abundance was sensitive to nitrogen addition but diversity was sensitive to phosphorus addition in karst ecosystems. </w:t>
      </w:r>
      <w:r w:rsidRPr="0072022B">
        <w:rPr>
          <w:i/>
          <w:iCs/>
          <w:noProof/>
        </w:rPr>
        <w:t>Biol. Fertil. Soils</w:t>
      </w:r>
      <w:r w:rsidRPr="0072022B">
        <w:rPr>
          <w:noProof/>
        </w:rPr>
        <w:t xml:space="preserve"> 55, 457–469. doi:10.1007/s00374-019-01362-x.</w:t>
      </w:r>
    </w:p>
    <w:p w14:paraId="620B1CE3"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Xu, X., Wang, N., Lipson, D., Sinsabaugh, R., Schimel, J., He, L., et al. (2020). Microbial macroecology: In search of mechanisms governing microbial biogeographic patterns. </w:t>
      </w:r>
      <w:r w:rsidRPr="0072022B">
        <w:rPr>
          <w:i/>
          <w:iCs/>
          <w:noProof/>
        </w:rPr>
        <w:t>Glob. Ecol. Biogeogr.</w:t>
      </w:r>
      <w:r w:rsidRPr="0072022B">
        <w:rPr>
          <w:noProof/>
        </w:rPr>
        <w:t xml:space="preserve"> 29, 1870–1886. doi:10.1111/geb.13162.</w:t>
      </w:r>
    </w:p>
    <w:p w14:paraId="5F60214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Yang, C., and Crowley, D. E. (2000). Rhizosphere Microbial Community Structure in Relation to Root Location and Plant Iron Nutritional Status Downloaded from http://aem.asm.org/ on January 11 , 2018 by NATIONAL CENTRE FOR CELL SCIENCE ( NCCS ). </w:t>
      </w:r>
      <w:r w:rsidRPr="0072022B">
        <w:rPr>
          <w:i/>
          <w:iCs/>
          <w:noProof/>
        </w:rPr>
        <w:t>Appl. Environ. Microbiol.</w:t>
      </w:r>
      <w:r w:rsidRPr="0072022B">
        <w:rPr>
          <w:noProof/>
        </w:rPr>
        <w:t xml:space="preserve"> 66, 345–351. doi:10.1128/AEM.66.1.345-351.2000.Updated.</w:t>
      </w:r>
    </w:p>
    <w:p w14:paraId="05EA9C4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Yao, J., and Allen, C. (2006). Chemotaxis is required for virulence and competitive fitness of the bacterial wilt pathogen Ralstonia solanacearum. </w:t>
      </w:r>
      <w:r w:rsidRPr="0072022B">
        <w:rPr>
          <w:i/>
          <w:iCs/>
          <w:noProof/>
        </w:rPr>
        <w:t>J. Bacteriol.</w:t>
      </w:r>
      <w:r w:rsidRPr="0072022B">
        <w:rPr>
          <w:noProof/>
        </w:rPr>
        <w:t xml:space="preserve"> 188, 3697–708. doi:10.1128/JB.188.10.3697-3708.2006.</w:t>
      </w:r>
    </w:p>
    <w:p w14:paraId="147B368D"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Yilmaz, P., Parfrey, L. W., Yarza, P., Gerken, J., Pruesse, E., Quast, C., et al. (2014). The SILVA and “all-species Living Tree Project (LTP)” taxonomic frameworks. </w:t>
      </w:r>
      <w:r w:rsidRPr="0072022B">
        <w:rPr>
          <w:i/>
          <w:iCs/>
          <w:noProof/>
        </w:rPr>
        <w:t>Nucleic Acids Res.</w:t>
      </w:r>
      <w:r w:rsidRPr="0072022B">
        <w:rPr>
          <w:noProof/>
        </w:rPr>
        <w:t xml:space="preserve"> 42, 643–648. doi:10.1093/nar/gkt1209.</w:t>
      </w:r>
    </w:p>
    <w:p w14:paraId="55E88D5F"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Yuan, H. S., Wei, Y. L., and Wang, X. G. (2015). Maxent modeling for predicting the potential distribution of Sanghuang, an important group of medicinal fungi in China. </w:t>
      </w:r>
      <w:r w:rsidRPr="0072022B">
        <w:rPr>
          <w:i/>
          <w:iCs/>
          <w:noProof/>
        </w:rPr>
        <w:t>Fungal Ecol.</w:t>
      </w:r>
      <w:r w:rsidRPr="0072022B">
        <w:rPr>
          <w:noProof/>
        </w:rPr>
        <w:t xml:space="preserve"> 17, 140–145. doi:10.1016/j.funeco.2015.06.001.</w:t>
      </w:r>
    </w:p>
    <w:p w14:paraId="558460A8"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Zenova, G. M., Gryadunova, A. A., Doroshenko, E. A., Likhacheva, A. A., Sudnitsyn, I. I., Pochatkova, T. N., et al. (2007). Influence of moisture on the vital activity of actinomycetes in a cultivated low-moor peat soil. </w:t>
      </w:r>
      <w:r w:rsidRPr="0072022B">
        <w:rPr>
          <w:i/>
          <w:iCs/>
          <w:noProof/>
        </w:rPr>
        <w:t>Eurasian Soil Sci.</w:t>
      </w:r>
      <w:r w:rsidRPr="0072022B">
        <w:rPr>
          <w:noProof/>
        </w:rPr>
        <w:t xml:space="preserve"> 40, 560–564. doi:10.1134/S1064229307050110.</w:t>
      </w:r>
    </w:p>
    <w:p w14:paraId="527D037E"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Zhalnina, K., Louie, K. B., Hao, Z., Mansoori, N., Da Rocha, U. N., Shi, S., et al. (2018). Dynamic root exudate chemistry and microbial substrate preferences drive patterns in rhizosphere microbial community assembly. </w:t>
      </w:r>
      <w:r w:rsidRPr="0072022B">
        <w:rPr>
          <w:i/>
          <w:iCs/>
          <w:noProof/>
        </w:rPr>
        <w:t>Nat. Microbiol.</w:t>
      </w:r>
      <w:r w:rsidRPr="0072022B">
        <w:rPr>
          <w:noProof/>
        </w:rPr>
        <w:t xml:space="preserve"> 3, 470–480. doi:10.1038/s41564-018-0129-3.</w:t>
      </w:r>
    </w:p>
    <w:p w14:paraId="20FBD949"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Zhang, L., Xu, M., Liu, Y., Hodge, A., Zhang, F., and Feng, G. (2016). Carbon and phosphorus exchange may enable cooperation between an arbuscular mycorrhizal fungus and a phosphate-solubilizing bacterium. </w:t>
      </w:r>
      <w:r w:rsidRPr="0072022B">
        <w:rPr>
          <w:i/>
          <w:iCs/>
          <w:noProof/>
        </w:rPr>
        <w:t>New Phytol.</w:t>
      </w:r>
      <w:r w:rsidRPr="0072022B">
        <w:rPr>
          <w:noProof/>
        </w:rPr>
        <w:t xml:space="preserve"> 210, 1022–1032. doi:10.1111/nph.13838.</w:t>
      </w:r>
    </w:p>
    <w:p w14:paraId="78CB7732" w14:textId="77777777" w:rsidR="0072022B" w:rsidRPr="0072022B" w:rsidRDefault="0072022B" w:rsidP="0072022B">
      <w:pPr>
        <w:widowControl w:val="0"/>
        <w:autoSpaceDE w:val="0"/>
        <w:autoSpaceDN w:val="0"/>
        <w:adjustRightInd w:val="0"/>
        <w:ind w:left="480" w:hanging="480"/>
        <w:rPr>
          <w:noProof/>
        </w:rPr>
      </w:pPr>
      <w:r w:rsidRPr="0072022B">
        <w:rPr>
          <w:noProof/>
        </w:rPr>
        <w:lastRenderedPageBreak/>
        <w:t xml:space="preserve">Zhou, J., Deng, Y., Shen, L., Wen, C., Yan, Q., Ning, D., et al. (2016). Temperature mediates continental-scale diversity of microbes in forest soils. </w:t>
      </w:r>
      <w:r w:rsidRPr="0072022B">
        <w:rPr>
          <w:i/>
          <w:iCs/>
          <w:noProof/>
        </w:rPr>
        <w:t>Nat. Commun.</w:t>
      </w:r>
      <w:r w:rsidRPr="0072022B">
        <w:rPr>
          <w:noProof/>
        </w:rPr>
        <w:t xml:space="preserve"> 7. doi:10.1038/ncomms12083.</w:t>
      </w:r>
    </w:p>
    <w:p w14:paraId="30A8A36A" w14:textId="77777777" w:rsidR="0072022B" w:rsidRPr="0072022B" w:rsidRDefault="0072022B" w:rsidP="0072022B">
      <w:pPr>
        <w:widowControl w:val="0"/>
        <w:autoSpaceDE w:val="0"/>
        <w:autoSpaceDN w:val="0"/>
        <w:adjustRightInd w:val="0"/>
        <w:ind w:left="480" w:hanging="480"/>
        <w:rPr>
          <w:noProof/>
        </w:rPr>
      </w:pPr>
      <w:r w:rsidRPr="0072022B">
        <w:rPr>
          <w:noProof/>
        </w:rPr>
        <w:t xml:space="preserve">Žifčáková, L., Větrovský, T., Howe, A., and Baldrian, P. (2016). Microbial activity in forest soil reflects the changes in ecosystem properties between summer and winter. </w:t>
      </w:r>
      <w:r w:rsidRPr="0072022B">
        <w:rPr>
          <w:i/>
          <w:iCs/>
          <w:noProof/>
        </w:rPr>
        <w:t>Environ. Microbiol.</w:t>
      </w:r>
      <w:r w:rsidRPr="0072022B">
        <w:rPr>
          <w:noProof/>
        </w:rPr>
        <w:t xml:space="preserve"> 18, 288–301. doi:10.1111/1462-2920.13026.</w:t>
      </w:r>
    </w:p>
    <w:p w14:paraId="32E43D90" w14:textId="5091E2DD" w:rsidR="008F2A6C" w:rsidRPr="00B73E8F" w:rsidRDefault="0072022B" w:rsidP="006E1F09">
      <w:pPr>
        <w:widowControl w:val="0"/>
        <w:autoSpaceDE w:val="0"/>
        <w:autoSpaceDN w:val="0"/>
        <w:adjustRightInd w:val="0"/>
        <w:ind w:left="480" w:hanging="480"/>
      </w:pPr>
      <w:r>
        <w:fldChar w:fldCharType="end"/>
      </w:r>
      <w:r w:rsidR="00236E6D" w:rsidRPr="00B73E8F">
        <w:br w:type="page"/>
      </w:r>
      <w:bookmarkStart w:id="114" w:name="_Toc420995912"/>
      <w:bookmarkStart w:id="115" w:name="_Toc422997499"/>
    </w:p>
    <w:p w14:paraId="791A8FA8" w14:textId="77777777" w:rsidR="008F2A6C" w:rsidRPr="00B73E8F" w:rsidRDefault="008F2A6C" w:rsidP="00790B6C">
      <w:pPr>
        <w:numPr>
          <w:ilvl w:val="12"/>
          <w:numId w:val="0"/>
        </w:numPr>
        <w:jc w:val="center"/>
      </w:pPr>
    </w:p>
    <w:p w14:paraId="0B0611C7" w14:textId="257102EF" w:rsidR="00236E6D" w:rsidRPr="00070C90" w:rsidRDefault="00070C90" w:rsidP="00E02779">
      <w:pPr>
        <w:pStyle w:val="AltHeading1"/>
        <w:rPr>
          <w:sz w:val="28"/>
          <w:szCs w:val="28"/>
        </w:rPr>
      </w:pPr>
      <w:bookmarkStart w:id="116" w:name="_Toc102048046"/>
      <w:bookmarkEnd w:id="114"/>
      <w:bookmarkEnd w:id="115"/>
      <w:r w:rsidRPr="00070C90">
        <w:rPr>
          <w:sz w:val="28"/>
          <w:szCs w:val="28"/>
        </w:rPr>
        <w:t>APPENDIX</w:t>
      </w:r>
      <w:bookmarkEnd w:id="116"/>
    </w:p>
    <w:p w14:paraId="192412D4" w14:textId="113686EE" w:rsidR="003C1575" w:rsidRPr="001E4901" w:rsidRDefault="000B0A40" w:rsidP="008A533B">
      <w:r w:rsidRPr="001E4901">
        <w:br w:type="page"/>
      </w:r>
    </w:p>
    <w:p w14:paraId="2AC1A8F4" w14:textId="77777777" w:rsidR="00E44DC5" w:rsidRDefault="00E44DC5" w:rsidP="00B53699">
      <w:pPr>
        <w:rPr>
          <w:noProof/>
        </w:rPr>
      </w:pPr>
      <w:r>
        <w:rPr>
          <w:noProof/>
        </w:rPr>
        <w:lastRenderedPageBreak/>
        <w:drawing>
          <wp:inline distT="0" distB="0" distL="0" distR="0" wp14:anchorId="04A8DEAA" wp14:editId="3CEF0F50">
            <wp:extent cx="5486400" cy="4628515"/>
            <wp:effectExtent l="0" t="0" r="0" b="0"/>
            <wp:docPr id="24" name="Picture 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scatter chart&#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4628515"/>
                    </a:xfrm>
                    <a:prstGeom prst="rect">
                      <a:avLst/>
                    </a:prstGeom>
                  </pic:spPr>
                </pic:pic>
              </a:graphicData>
            </a:graphic>
          </wp:inline>
        </w:drawing>
      </w:r>
    </w:p>
    <w:p w14:paraId="7DCD92CE" w14:textId="77777777" w:rsidR="00E44DC5" w:rsidRDefault="00E44DC5" w:rsidP="0083206D">
      <w:pPr>
        <w:pStyle w:val="Caption"/>
      </w:pPr>
      <w:bookmarkStart w:id="117" w:name="_Toc102046894"/>
      <w:r>
        <w:rPr>
          <w:noProof/>
        </w:rPr>
        <w:t xml:space="preserve">Appendix </w:t>
      </w:r>
      <w:r w:rsidRPr="00E44DC5">
        <w:rPr>
          <w:noProof/>
        </w:rPr>
        <w:t xml:space="preserve">Figure 1. </w:t>
      </w:r>
      <w:r w:rsidRPr="00E44DC5">
        <w:t xml:space="preserve">Principal Coordinates Analysis based on a weighted </w:t>
      </w:r>
      <w:proofErr w:type="spellStart"/>
      <w:r w:rsidRPr="00E44DC5">
        <w:t>UniFrac</w:t>
      </w:r>
      <w:proofErr w:type="spellEnd"/>
      <w:r w:rsidRPr="00E44DC5">
        <w:t xml:space="preserve"> distance with</w:t>
      </w:r>
      <w:r>
        <w:t xml:space="preserve"> </w:t>
      </w:r>
      <w:r w:rsidRPr="00E44DC5">
        <w:t>rhizosphere depth as a predictor variable.</w:t>
      </w:r>
      <w:bookmarkEnd w:id="117"/>
      <w:r w:rsidRPr="00E44DC5">
        <w:t xml:space="preserve"> </w:t>
      </w:r>
    </w:p>
    <w:p w14:paraId="02F4D1D9" w14:textId="77777777" w:rsidR="00D87B3D" w:rsidRDefault="00D87B3D">
      <w:pPr>
        <w:rPr>
          <w:noProof/>
        </w:rPr>
      </w:pPr>
      <w:r>
        <w:rPr>
          <w:noProof/>
        </w:rPr>
        <w:br w:type="page"/>
      </w:r>
    </w:p>
    <w:p w14:paraId="41C3F530" w14:textId="50B894C7" w:rsidR="00C1402C" w:rsidRDefault="00437660" w:rsidP="00C1402C">
      <w:pPr>
        <w:widowControl w:val="0"/>
        <w:autoSpaceDE w:val="0"/>
        <w:autoSpaceDN w:val="0"/>
        <w:adjustRightInd w:val="0"/>
        <w:rPr>
          <w:b/>
          <w:bCs/>
        </w:rPr>
      </w:pPr>
      <w:r>
        <w:rPr>
          <w:b/>
          <w:bCs/>
          <w:noProof/>
        </w:rPr>
        <w:lastRenderedPageBreak/>
        <w:drawing>
          <wp:inline distT="0" distB="0" distL="0" distR="0" wp14:anchorId="54308855" wp14:editId="3BF815AA">
            <wp:extent cx="5486400" cy="5447330"/>
            <wp:effectExtent l="0" t="0" r="0" b="1270"/>
            <wp:docPr id="23" name="Picture 2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rotWithShape="1">
                    <a:blip r:embed="rId42">
                      <a:extLst>
                        <a:ext uri="{28A0092B-C50C-407E-A947-70E740481C1C}">
                          <a14:useLocalDpi xmlns:a14="http://schemas.microsoft.com/office/drawing/2010/main" val="0"/>
                        </a:ext>
                      </a:extLst>
                    </a:blip>
                    <a:srcRect r="972" b="1511"/>
                    <a:stretch/>
                  </pic:blipFill>
                  <pic:spPr bwMode="auto">
                    <a:xfrm>
                      <a:off x="0" y="0"/>
                      <a:ext cx="5486400" cy="5447330"/>
                    </a:xfrm>
                    <a:prstGeom prst="rect">
                      <a:avLst/>
                    </a:prstGeom>
                    <a:ln>
                      <a:noFill/>
                    </a:ln>
                    <a:extLst>
                      <a:ext uri="{53640926-AAD7-44D8-BBD7-CCE9431645EC}">
                        <a14:shadowObscured xmlns:a14="http://schemas.microsoft.com/office/drawing/2010/main"/>
                      </a:ext>
                    </a:extLst>
                  </pic:spPr>
                </pic:pic>
              </a:graphicData>
            </a:graphic>
          </wp:inline>
        </w:drawing>
      </w:r>
    </w:p>
    <w:p w14:paraId="414DEA7E" w14:textId="24D788EE" w:rsidR="00C1402C" w:rsidRDefault="00C1402C" w:rsidP="0083206D">
      <w:pPr>
        <w:pStyle w:val="Caption"/>
      </w:pPr>
      <w:bookmarkStart w:id="118" w:name="_Toc102046895"/>
      <w:r w:rsidRPr="00632D64">
        <w:t xml:space="preserve">Appendix Figure 2. </w:t>
      </w:r>
      <w:r w:rsidR="00437660">
        <w:rPr>
          <w:szCs w:val="24"/>
        </w:rPr>
        <w:t xml:space="preserve">Principal coordinate analysis on bacterial communities using constrained axes from the </w:t>
      </w:r>
      <w:proofErr w:type="spellStart"/>
      <w:r w:rsidR="00437660">
        <w:rPr>
          <w:szCs w:val="24"/>
        </w:rPr>
        <w:t>db</w:t>
      </w:r>
      <w:proofErr w:type="spellEnd"/>
      <w:r w:rsidR="00437660">
        <w:rPr>
          <w:szCs w:val="24"/>
        </w:rPr>
        <w:t xml:space="preserve">-RDA that utilized a weighted </w:t>
      </w:r>
      <w:proofErr w:type="spellStart"/>
      <w:r w:rsidR="00437660">
        <w:rPr>
          <w:szCs w:val="24"/>
        </w:rPr>
        <w:t>UniFrac</w:t>
      </w:r>
      <w:proofErr w:type="spellEnd"/>
      <w:r w:rsidR="00437660">
        <w:rPr>
          <w:szCs w:val="24"/>
        </w:rPr>
        <w:t xml:space="preserve"> distance to describe bacterial phylogenetic membership among rainfall exclusion treatments.</w:t>
      </w:r>
      <w:bookmarkEnd w:id="118"/>
    </w:p>
    <w:p w14:paraId="40909DA5" w14:textId="77777777" w:rsidR="00437660" w:rsidRDefault="003E7D07" w:rsidP="00437660">
      <w:pPr>
        <w:widowControl w:val="0"/>
        <w:autoSpaceDE w:val="0"/>
        <w:autoSpaceDN w:val="0"/>
        <w:adjustRightInd w:val="0"/>
      </w:pPr>
      <w:r>
        <w:rPr>
          <w:sz w:val="20"/>
          <w:szCs w:val="20"/>
        </w:rPr>
        <w:t xml:space="preserve">Appendix Figure 2 </w:t>
      </w:r>
      <w:r w:rsidRPr="00437660">
        <w:rPr>
          <w:sz w:val="20"/>
          <w:szCs w:val="20"/>
        </w:rPr>
        <w:t>footnote</w:t>
      </w:r>
      <w:r w:rsidR="003F6907" w:rsidRPr="00437660">
        <w:rPr>
          <w:sz w:val="20"/>
          <w:szCs w:val="20"/>
        </w:rPr>
        <w:t>.</w:t>
      </w:r>
      <w:r w:rsidRPr="00437660">
        <w:rPr>
          <w:sz w:val="20"/>
          <w:szCs w:val="20"/>
        </w:rPr>
        <w:t xml:space="preserve"> </w:t>
      </w:r>
      <w:r w:rsidR="00437660" w:rsidRPr="00437660">
        <w:rPr>
          <w:sz w:val="20"/>
          <w:szCs w:val="20"/>
        </w:rPr>
        <w:t>Black, teal, and pink represent the control, the moderate rainfall exclusion, and the high rainfall exclusion treatments. Shapes indicate sampling date, where triangles correspond to Date A and circles correspond to Date B. Bars are ± one standard error around the median.</w:t>
      </w:r>
    </w:p>
    <w:p w14:paraId="1ED7E926" w14:textId="77777777" w:rsidR="00AB7643" w:rsidRDefault="00AB7643">
      <w:pPr>
        <w:rPr>
          <w:noProof/>
        </w:rPr>
      </w:pPr>
      <w:r>
        <w:rPr>
          <w:noProof/>
        </w:rPr>
        <w:br w:type="page"/>
      </w:r>
    </w:p>
    <w:p w14:paraId="5C7FD131" w14:textId="66BA1E0D" w:rsidR="00FB7474" w:rsidRDefault="004B6041" w:rsidP="00FB7474">
      <w:pPr>
        <w:widowControl w:val="0"/>
        <w:autoSpaceDE w:val="0"/>
        <w:autoSpaceDN w:val="0"/>
        <w:adjustRightInd w:val="0"/>
      </w:pPr>
      <w:r>
        <w:rPr>
          <w:noProof/>
        </w:rPr>
        <w:lastRenderedPageBreak/>
        <w:drawing>
          <wp:inline distT="0" distB="0" distL="0" distR="0" wp14:anchorId="0D1FC8BE" wp14:editId="711F2BEC">
            <wp:extent cx="5486400" cy="5477022"/>
            <wp:effectExtent l="0" t="0" r="0" b="0"/>
            <wp:docPr id="21" name="Picture 21"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ox and whisker chart&#10;&#10;Description automatically generated"/>
                    <pic:cNvPicPr/>
                  </pic:nvPicPr>
                  <pic:blipFill>
                    <a:blip r:embed="rId43">
                      <a:extLst>
                        <a:ext uri="{28A0092B-C50C-407E-A947-70E740481C1C}">
                          <a14:useLocalDpi xmlns:a14="http://schemas.microsoft.com/office/drawing/2010/main" val="0"/>
                        </a:ext>
                      </a:extLst>
                    </a:blip>
                    <a:stretch>
                      <a:fillRect/>
                    </a:stretch>
                  </pic:blipFill>
                  <pic:spPr>
                    <a:xfrm>
                      <a:off x="0" y="0"/>
                      <a:ext cx="5486400" cy="5477022"/>
                    </a:xfrm>
                    <a:prstGeom prst="rect">
                      <a:avLst/>
                    </a:prstGeom>
                  </pic:spPr>
                </pic:pic>
              </a:graphicData>
            </a:graphic>
          </wp:inline>
        </w:drawing>
      </w:r>
    </w:p>
    <w:p w14:paraId="2E8934D2" w14:textId="48B4C297" w:rsidR="00FB7474" w:rsidRDefault="00FB7474" w:rsidP="004B6041">
      <w:pPr>
        <w:pStyle w:val="Caption"/>
      </w:pPr>
      <w:bookmarkStart w:id="119" w:name="_Toc102046896"/>
      <w:r w:rsidRPr="00632D64">
        <w:t xml:space="preserve">Appendix Figure 3. </w:t>
      </w:r>
      <w:r w:rsidR="004B6041">
        <w:t xml:space="preserve">Principal coordinate analysis at </w:t>
      </w:r>
      <w:r w:rsidR="004B6041" w:rsidRPr="001F2F88">
        <w:rPr>
          <w:i/>
        </w:rPr>
        <w:t>q</w:t>
      </w:r>
      <w:r w:rsidR="004B6041">
        <w:t xml:space="preserve">=1 from the </w:t>
      </w:r>
      <w:proofErr w:type="spellStart"/>
      <w:r w:rsidR="004B6041">
        <w:t>db</w:t>
      </w:r>
      <w:proofErr w:type="spellEnd"/>
      <w:r w:rsidR="004B6041">
        <w:t>-RDA that utilized a pairwise beta diversity distance to describe bacterial community turnover among rainfall exclusion treatments.</w:t>
      </w:r>
      <w:bookmarkEnd w:id="119"/>
      <w:r w:rsidR="004B6041">
        <w:t xml:space="preserve"> </w:t>
      </w:r>
    </w:p>
    <w:p w14:paraId="5999FBE3" w14:textId="6430A83F" w:rsidR="004B6041" w:rsidRPr="004B6041" w:rsidRDefault="004B6041" w:rsidP="004B6041">
      <w:pPr>
        <w:rPr>
          <w:sz w:val="20"/>
          <w:szCs w:val="20"/>
        </w:rPr>
      </w:pPr>
      <w:r w:rsidRPr="004B6041">
        <w:rPr>
          <w:sz w:val="20"/>
          <w:szCs w:val="20"/>
        </w:rPr>
        <w:t>Appendix Figure 3 footnote. Constrained axis 1 and 2 explain 45.06% and 24.73% of the 5.26% in total variation explained by our model. Triangles and circles represent Date A and Date B, respectively. Teal, pink, and black correspond to moderate exclusion (60%), high exclusion (80%), and the control treatment. Bars represent ± one standard error around the median point estimate per group.</w:t>
      </w:r>
    </w:p>
    <w:p w14:paraId="4BAEAC79" w14:textId="77777777" w:rsidR="00FB7474" w:rsidRDefault="00FB7474">
      <w:pPr>
        <w:rPr>
          <w:noProof/>
        </w:rPr>
      </w:pPr>
      <w:r>
        <w:rPr>
          <w:noProof/>
        </w:rPr>
        <w:br w:type="page"/>
      </w:r>
    </w:p>
    <w:p w14:paraId="464F0C19" w14:textId="6D5641E1" w:rsidR="00FB7474" w:rsidRDefault="006E1F09" w:rsidP="00FB7474">
      <w:pPr>
        <w:widowControl w:val="0"/>
        <w:autoSpaceDE w:val="0"/>
        <w:autoSpaceDN w:val="0"/>
        <w:adjustRightInd w:val="0"/>
      </w:pPr>
      <w:r>
        <w:rPr>
          <w:noProof/>
        </w:rPr>
        <w:lastRenderedPageBreak/>
        <w:drawing>
          <wp:inline distT="0" distB="0" distL="0" distR="0" wp14:anchorId="212A498E" wp14:editId="5CAA2659">
            <wp:extent cx="5486400" cy="5477022"/>
            <wp:effectExtent l="0" t="0" r="0" b="0"/>
            <wp:docPr id="22" name="Picture 2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hart, box and whisker chart&#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486400" cy="5477022"/>
                    </a:xfrm>
                    <a:prstGeom prst="rect">
                      <a:avLst/>
                    </a:prstGeom>
                  </pic:spPr>
                </pic:pic>
              </a:graphicData>
            </a:graphic>
          </wp:inline>
        </w:drawing>
      </w:r>
    </w:p>
    <w:p w14:paraId="686A69D8" w14:textId="3496572F" w:rsidR="006E1F09" w:rsidRDefault="00FB7474" w:rsidP="006E1F09">
      <w:pPr>
        <w:pStyle w:val="Caption"/>
      </w:pPr>
      <w:bookmarkStart w:id="120" w:name="_Toc102046897"/>
      <w:r w:rsidRPr="00632D64">
        <w:t xml:space="preserve">Appendix Figure 4. </w:t>
      </w:r>
      <w:r w:rsidR="006E1F09">
        <w:t xml:space="preserve">Principal coordinate analysis at </w:t>
      </w:r>
      <w:r w:rsidR="006E1F09" w:rsidRPr="001F2F88">
        <w:rPr>
          <w:i/>
        </w:rPr>
        <w:t>q</w:t>
      </w:r>
      <w:r w:rsidR="006E1F09">
        <w:t xml:space="preserve">=2 from the </w:t>
      </w:r>
      <w:proofErr w:type="spellStart"/>
      <w:r w:rsidR="006E1F09">
        <w:t>db</w:t>
      </w:r>
      <w:proofErr w:type="spellEnd"/>
      <w:r w:rsidR="006E1F09">
        <w:t>-RDA that utilized a pairwise beta diversity distance to describe bacterial community turnover among rainfall exclusion treatments.</w:t>
      </w:r>
      <w:bookmarkEnd w:id="120"/>
      <w:r w:rsidR="006E1F09">
        <w:t xml:space="preserve"> </w:t>
      </w:r>
    </w:p>
    <w:p w14:paraId="1011B462" w14:textId="076E1E6A" w:rsidR="006E1F09" w:rsidRPr="006E1F09" w:rsidRDefault="006E1F09" w:rsidP="006E1F09">
      <w:pPr>
        <w:widowControl w:val="0"/>
        <w:autoSpaceDE w:val="0"/>
        <w:autoSpaceDN w:val="0"/>
        <w:adjustRightInd w:val="0"/>
        <w:rPr>
          <w:sz w:val="20"/>
          <w:szCs w:val="20"/>
        </w:rPr>
      </w:pPr>
      <w:r w:rsidRPr="006E1F09">
        <w:rPr>
          <w:sz w:val="20"/>
          <w:szCs w:val="20"/>
        </w:rPr>
        <w:t>Appendix Figure 4 footnote. Constrained axes 1 and 2 explain 54.55% and 25.81% of the 4.84% of total variation explained by our model. Triangles and circles represent Date A and Date B, respectively. Teal, pink, and black correspond to moderate exclusion (60%), high exclusion (80%), and the control treatment. Bars represent ± one standard error around the median point estimate per group.</w:t>
      </w:r>
    </w:p>
    <w:p w14:paraId="0710ED0E" w14:textId="1241C2F6" w:rsidR="00632D64" w:rsidRDefault="00632D64" w:rsidP="006E1F09">
      <w:pPr>
        <w:pStyle w:val="Caption"/>
        <w:rPr>
          <w:noProof/>
        </w:rPr>
      </w:pPr>
      <w:r>
        <w:rPr>
          <w:noProof/>
        </w:rPr>
        <w:br w:type="page"/>
      </w:r>
    </w:p>
    <w:p w14:paraId="2F62F79F" w14:textId="77777777" w:rsidR="00632D64" w:rsidRDefault="00632D64" w:rsidP="00632D64">
      <w:r>
        <w:rPr>
          <w:noProof/>
        </w:rPr>
        <w:lastRenderedPageBreak/>
        <w:drawing>
          <wp:inline distT="0" distB="0" distL="0" distR="0" wp14:anchorId="74AFCA95" wp14:editId="3A9A49DD">
            <wp:extent cx="5584790" cy="4906978"/>
            <wp:effectExtent l="0" t="0" r="3810" b="0"/>
            <wp:docPr id="29" name="Picture 29"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scatter chart&#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597815" cy="4918423"/>
                    </a:xfrm>
                    <a:prstGeom prst="rect">
                      <a:avLst/>
                    </a:prstGeom>
                  </pic:spPr>
                </pic:pic>
              </a:graphicData>
            </a:graphic>
          </wp:inline>
        </w:drawing>
      </w:r>
    </w:p>
    <w:p w14:paraId="00B41208" w14:textId="77777777" w:rsidR="00632D64" w:rsidRDefault="00632D64" w:rsidP="0083206D">
      <w:pPr>
        <w:pStyle w:val="Caption"/>
      </w:pPr>
      <w:bookmarkStart w:id="121" w:name="_Toc102046898"/>
      <w:r w:rsidRPr="00632D64">
        <w:t>Appendix Figure 5.</w:t>
      </w:r>
      <w:r>
        <w:t xml:space="preserve"> Rarefied ∆ AM fungal richness and the 95% highest density interval around the median change in alpha diversity between the two time points.</w:t>
      </w:r>
      <w:bookmarkEnd w:id="121"/>
    </w:p>
    <w:p w14:paraId="02C257D2" w14:textId="275762EC" w:rsidR="00632D64" w:rsidRPr="00632D64" w:rsidRDefault="003E7D07" w:rsidP="00632D64">
      <w:pPr>
        <w:rPr>
          <w:sz w:val="20"/>
          <w:szCs w:val="20"/>
        </w:rPr>
      </w:pPr>
      <w:r>
        <w:rPr>
          <w:sz w:val="20"/>
          <w:szCs w:val="20"/>
        </w:rPr>
        <w:t>Appendix Figure 5 footnote</w:t>
      </w:r>
      <w:r w:rsidR="003F6907">
        <w:rPr>
          <w:sz w:val="20"/>
          <w:szCs w:val="20"/>
        </w:rPr>
        <w:t>.</w:t>
      </w:r>
      <w:r>
        <w:rPr>
          <w:sz w:val="20"/>
          <w:szCs w:val="20"/>
        </w:rPr>
        <w:t xml:space="preserve"> </w:t>
      </w:r>
      <w:r w:rsidR="00632D64" w:rsidRPr="00632D64">
        <w:rPr>
          <w:sz w:val="20"/>
          <w:szCs w:val="20"/>
        </w:rPr>
        <w:t xml:space="preserve">Bayesian inference was determined using linear models where the difference in AM fungal alpha diversity was predicted by rainfall exclusion treatment for each of the 1,000 rarefied communities. This was conducted for </w:t>
      </w:r>
      <w:r w:rsidR="00632D64" w:rsidRPr="00632D64">
        <w:rPr>
          <w:i/>
          <w:iCs/>
          <w:sz w:val="20"/>
          <w:szCs w:val="20"/>
        </w:rPr>
        <w:t>q</w:t>
      </w:r>
      <w:r w:rsidR="00632D64" w:rsidRPr="00632D64">
        <w:rPr>
          <w:sz w:val="20"/>
          <w:szCs w:val="20"/>
        </w:rPr>
        <w:t xml:space="preserve">=0, 1, and 2. Across all values of </w:t>
      </w:r>
      <w:r w:rsidR="00632D64" w:rsidRPr="00632D64">
        <w:rPr>
          <w:i/>
          <w:iCs/>
          <w:sz w:val="20"/>
          <w:szCs w:val="20"/>
        </w:rPr>
        <w:t>q</w:t>
      </w:r>
      <w:r w:rsidR="00632D64" w:rsidRPr="00632D64">
        <w:rPr>
          <w:sz w:val="20"/>
          <w:szCs w:val="20"/>
        </w:rPr>
        <w:t>, the 60% rainfall exclusion group, on average, had the largest change in AM fungal richness compared to other treatments.</w:t>
      </w:r>
    </w:p>
    <w:p w14:paraId="2E94DB00" w14:textId="77777777" w:rsidR="007A7CD5" w:rsidRDefault="007A7CD5">
      <w:pPr>
        <w:rPr>
          <w:noProof/>
        </w:rPr>
      </w:pPr>
      <w:r>
        <w:rPr>
          <w:noProof/>
        </w:rPr>
        <w:br w:type="page"/>
      </w:r>
    </w:p>
    <w:p w14:paraId="1E2FEDCE" w14:textId="3E5F5A55" w:rsidR="00C218D5" w:rsidRDefault="00C218D5" w:rsidP="00606400">
      <w:pPr>
        <w:pStyle w:val="Subtitle"/>
      </w:pPr>
      <w:bookmarkStart w:id="122" w:name="_Toc102118711"/>
      <w:r w:rsidRPr="00C218D5">
        <w:rPr>
          <w:bCs/>
        </w:rPr>
        <w:lastRenderedPageBreak/>
        <w:t>Appendix Table 1. For</w:t>
      </w:r>
      <w:r>
        <w:t xml:space="preserve"> the phylogenetically informed </w:t>
      </w:r>
      <w:r w:rsidRPr="00720FAA">
        <w:rPr>
          <w:i/>
          <w:iCs/>
        </w:rPr>
        <w:t>q</w:t>
      </w:r>
      <w:r>
        <w:t>=1, the median point estimates for ∆ AM fungal richness, the lower bound and the higher bound of the 95% highest density interval per treatment, evidence ratios, and posterior probabilities.</w:t>
      </w:r>
      <w:bookmarkEnd w:id="122"/>
      <w:r>
        <w:t xml:space="preserve"> </w:t>
      </w:r>
    </w:p>
    <w:tbl>
      <w:tblPr>
        <w:tblW w:w="7545" w:type="dxa"/>
        <w:tblLook w:val="04A0" w:firstRow="1" w:lastRow="0" w:firstColumn="1" w:lastColumn="0" w:noHBand="0" w:noVBand="1"/>
      </w:tblPr>
      <w:tblGrid>
        <w:gridCol w:w="1350"/>
        <w:gridCol w:w="1402"/>
        <w:gridCol w:w="1643"/>
        <w:gridCol w:w="1432"/>
        <w:gridCol w:w="1718"/>
      </w:tblGrid>
      <w:tr w:rsidR="00390FB1" w:rsidRPr="0090627A" w14:paraId="72C74183" w14:textId="77777777" w:rsidTr="00390FB1">
        <w:trPr>
          <w:trHeight w:val="289"/>
        </w:trPr>
        <w:tc>
          <w:tcPr>
            <w:tcW w:w="1350" w:type="dxa"/>
            <w:tcBorders>
              <w:top w:val="single" w:sz="4" w:space="0" w:color="auto"/>
              <w:left w:val="nil"/>
              <w:bottom w:val="single" w:sz="4" w:space="0" w:color="auto"/>
              <w:right w:val="nil"/>
            </w:tcBorders>
            <w:shd w:val="clear" w:color="auto" w:fill="auto"/>
            <w:noWrap/>
            <w:vAlign w:val="bottom"/>
            <w:hideMark/>
          </w:tcPr>
          <w:p w14:paraId="2FC2AA90" w14:textId="77777777" w:rsidR="00390FB1" w:rsidRPr="0090627A" w:rsidRDefault="00390FB1" w:rsidP="00A2716C">
            <w:pPr>
              <w:jc w:val="center"/>
              <w:rPr>
                <w:b/>
                <w:bCs/>
                <w:color w:val="000000"/>
              </w:rPr>
            </w:pPr>
            <w:r w:rsidRPr="0090627A">
              <w:rPr>
                <w:b/>
                <w:bCs/>
                <w:color w:val="000000"/>
              </w:rPr>
              <w:t>Hypothesis</w:t>
            </w:r>
          </w:p>
        </w:tc>
        <w:tc>
          <w:tcPr>
            <w:tcW w:w="1402" w:type="dxa"/>
            <w:tcBorders>
              <w:top w:val="single" w:sz="4" w:space="0" w:color="auto"/>
              <w:left w:val="nil"/>
              <w:bottom w:val="single" w:sz="4" w:space="0" w:color="auto"/>
              <w:right w:val="nil"/>
            </w:tcBorders>
            <w:shd w:val="clear" w:color="auto" w:fill="auto"/>
            <w:noWrap/>
            <w:vAlign w:val="bottom"/>
            <w:hideMark/>
          </w:tcPr>
          <w:p w14:paraId="5A162F07" w14:textId="77777777" w:rsidR="00390FB1" w:rsidRPr="0090627A" w:rsidRDefault="00390FB1" w:rsidP="00A2716C">
            <w:pPr>
              <w:jc w:val="center"/>
              <w:rPr>
                <w:b/>
                <w:bCs/>
                <w:color w:val="000000"/>
              </w:rPr>
            </w:pPr>
            <w:r w:rsidRPr="0090627A">
              <w:rPr>
                <w:b/>
                <w:bCs/>
                <w:color w:val="000000"/>
              </w:rPr>
              <w:t>Lower 95% HDI</w:t>
            </w:r>
          </w:p>
        </w:tc>
        <w:tc>
          <w:tcPr>
            <w:tcW w:w="1643" w:type="dxa"/>
            <w:tcBorders>
              <w:top w:val="single" w:sz="4" w:space="0" w:color="auto"/>
              <w:left w:val="nil"/>
              <w:bottom w:val="single" w:sz="4" w:space="0" w:color="auto"/>
              <w:right w:val="nil"/>
            </w:tcBorders>
            <w:shd w:val="clear" w:color="auto" w:fill="auto"/>
            <w:noWrap/>
            <w:vAlign w:val="bottom"/>
            <w:hideMark/>
          </w:tcPr>
          <w:p w14:paraId="2016FBC8" w14:textId="77777777" w:rsidR="00390FB1" w:rsidRPr="0090627A" w:rsidRDefault="00390FB1" w:rsidP="00A2716C">
            <w:pPr>
              <w:jc w:val="center"/>
              <w:rPr>
                <w:b/>
                <w:bCs/>
                <w:color w:val="000000"/>
              </w:rPr>
            </w:pPr>
            <w:r w:rsidRPr="0090627A">
              <w:rPr>
                <w:b/>
                <w:bCs/>
                <w:color w:val="000000"/>
              </w:rPr>
              <w:t>Parameter Estimate</w:t>
            </w:r>
          </w:p>
        </w:tc>
        <w:tc>
          <w:tcPr>
            <w:tcW w:w="1432" w:type="dxa"/>
            <w:tcBorders>
              <w:top w:val="single" w:sz="4" w:space="0" w:color="auto"/>
              <w:left w:val="nil"/>
              <w:bottom w:val="single" w:sz="4" w:space="0" w:color="auto"/>
              <w:right w:val="nil"/>
            </w:tcBorders>
            <w:shd w:val="clear" w:color="auto" w:fill="auto"/>
            <w:noWrap/>
            <w:vAlign w:val="bottom"/>
            <w:hideMark/>
          </w:tcPr>
          <w:p w14:paraId="2CC5F223" w14:textId="77777777" w:rsidR="00390FB1" w:rsidRPr="0090627A" w:rsidRDefault="00390FB1" w:rsidP="00A2716C">
            <w:pPr>
              <w:jc w:val="center"/>
              <w:rPr>
                <w:b/>
                <w:bCs/>
                <w:color w:val="000000"/>
              </w:rPr>
            </w:pPr>
            <w:r w:rsidRPr="0090627A">
              <w:rPr>
                <w:b/>
                <w:bCs/>
                <w:color w:val="000000"/>
              </w:rPr>
              <w:t>Higher 95% HDI</w:t>
            </w:r>
          </w:p>
        </w:tc>
        <w:tc>
          <w:tcPr>
            <w:tcW w:w="1718" w:type="dxa"/>
            <w:tcBorders>
              <w:top w:val="single" w:sz="4" w:space="0" w:color="auto"/>
              <w:left w:val="nil"/>
              <w:bottom w:val="single" w:sz="4" w:space="0" w:color="auto"/>
              <w:right w:val="nil"/>
            </w:tcBorders>
            <w:shd w:val="clear" w:color="auto" w:fill="auto"/>
            <w:noWrap/>
            <w:vAlign w:val="bottom"/>
            <w:hideMark/>
          </w:tcPr>
          <w:p w14:paraId="76C4B100" w14:textId="77777777" w:rsidR="00390FB1" w:rsidRPr="0090627A" w:rsidRDefault="00390FB1" w:rsidP="00A2716C">
            <w:pPr>
              <w:jc w:val="center"/>
              <w:rPr>
                <w:b/>
                <w:bCs/>
                <w:color w:val="000000"/>
              </w:rPr>
            </w:pPr>
            <w:r w:rsidRPr="0090627A">
              <w:rPr>
                <w:b/>
                <w:bCs/>
                <w:color w:val="000000"/>
              </w:rPr>
              <w:t>Posterior Probability</w:t>
            </w:r>
          </w:p>
        </w:tc>
      </w:tr>
      <w:tr w:rsidR="00390FB1" w:rsidRPr="0090627A" w14:paraId="777B2E29" w14:textId="77777777" w:rsidTr="00390FB1">
        <w:trPr>
          <w:trHeight w:val="289"/>
        </w:trPr>
        <w:tc>
          <w:tcPr>
            <w:tcW w:w="1350" w:type="dxa"/>
            <w:tcBorders>
              <w:top w:val="nil"/>
              <w:left w:val="nil"/>
              <w:bottom w:val="nil"/>
              <w:right w:val="nil"/>
            </w:tcBorders>
            <w:shd w:val="clear" w:color="auto" w:fill="auto"/>
            <w:noWrap/>
            <w:vAlign w:val="bottom"/>
            <w:hideMark/>
          </w:tcPr>
          <w:p w14:paraId="612929CF" w14:textId="77777777" w:rsidR="00390FB1" w:rsidRPr="0090627A" w:rsidRDefault="00390FB1" w:rsidP="00A2716C">
            <w:pPr>
              <w:jc w:val="center"/>
              <w:rPr>
                <w:color w:val="000000"/>
              </w:rPr>
            </w:pPr>
            <w:r w:rsidRPr="0090627A">
              <w:rPr>
                <w:color w:val="000000"/>
              </w:rPr>
              <w:t>Control &gt; 0</w:t>
            </w:r>
          </w:p>
        </w:tc>
        <w:tc>
          <w:tcPr>
            <w:tcW w:w="1402" w:type="dxa"/>
            <w:tcBorders>
              <w:top w:val="nil"/>
              <w:left w:val="nil"/>
              <w:bottom w:val="nil"/>
              <w:right w:val="nil"/>
            </w:tcBorders>
            <w:shd w:val="clear" w:color="auto" w:fill="auto"/>
            <w:noWrap/>
            <w:vAlign w:val="bottom"/>
            <w:hideMark/>
          </w:tcPr>
          <w:p w14:paraId="0335E7B5" w14:textId="77777777" w:rsidR="00390FB1" w:rsidRPr="0090627A" w:rsidRDefault="00390FB1" w:rsidP="00A2716C">
            <w:pPr>
              <w:jc w:val="center"/>
              <w:rPr>
                <w:color w:val="000000"/>
              </w:rPr>
            </w:pPr>
            <w:r w:rsidRPr="0090627A">
              <w:rPr>
                <w:color w:val="000000"/>
              </w:rPr>
              <w:t>-3.02861</w:t>
            </w:r>
          </w:p>
        </w:tc>
        <w:tc>
          <w:tcPr>
            <w:tcW w:w="1643" w:type="dxa"/>
            <w:tcBorders>
              <w:top w:val="nil"/>
              <w:left w:val="nil"/>
              <w:bottom w:val="nil"/>
              <w:right w:val="nil"/>
            </w:tcBorders>
            <w:shd w:val="clear" w:color="auto" w:fill="auto"/>
            <w:noWrap/>
            <w:vAlign w:val="bottom"/>
            <w:hideMark/>
          </w:tcPr>
          <w:p w14:paraId="4606C7BF" w14:textId="77777777" w:rsidR="00390FB1" w:rsidRPr="0090627A" w:rsidRDefault="00390FB1" w:rsidP="00A2716C">
            <w:pPr>
              <w:jc w:val="center"/>
              <w:rPr>
                <w:color w:val="000000"/>
              </w:rPr>
            </w:pPr>
            <w:r w:rsidRPr="0090627A">
              <w:rPr>
                <w:color w:val="000000"/>
              </w:rPr>
              <w:t>-1.05</w:t>
            </w:r>
          </w:p>
        </w:tc>
        <w:tc>
          <w:tcPr>
            <w:tcW w:w="1432" w:type="dxa"/>
            <w:tcBorders>
              <w:top w:val="nil"/>
              <w:left w:val="nil"/>
              <w:bottom w:val="nil"/>
              <w:right w:val="nil"/>
            </w:tcBorders>
            <w:shd w:val="clear" w:color="auto" w:fill="auto"/>
            <w:noWrap/>
            <w:vAlign w:val="bottom"/>
            <w:hideMark/>
          </w:tcPr>
          <w:p w14:paraId="0D29BEB0" w14:textId="77777777" w:rsidR="00390FB1" w:rsidRPr="0090627A" w:rsidRDefault="00390FB1" w:rsidP="00A2716C">
            <w:pPr>
              <w:jc w:val="center"/>
              <w:rPr>
                <w:color w:val="000000"/>
              </w:rPr>
            </w:pPr>
            <w:r w:rsidRPr="0090627A">
              <w:rPr>
                <w:color w:val="000000"/>
              </w:rPr>
              <w:t>1.018721</w:t>
            </w:r>
          </w:p>
        </w:tc>
        <w:tc>
          <w:tcPr>
            <w:tcW w:w="1718" w:type="dxa"/>
            <w:tcBorders>
              <w:top w:val="nil"/>
              <w:left w:val="nil"/>
              <w:bottom w:val="nil"/>
              <w:right w:val="nil"/>
            </w:tcBorders>
            <w:shd w:val="clear" w:color="auto" w:fill="auto"/>
            <w:noWrap/>
            <w:vAlign w:val="bottom"/>
            <w:hideMark/>
          </w:tcPr>
          <w:p w14:paraId="2DDC4CCD" w14:textId="77777777" w:rsidR="00390FB1" w:rsidRPr="0090627A" w:rsidRDefault="00390FB1" w:rsidP="00A2716C">
            <w:pPr>
              <w:jc w:val="center"/>
              <w:rPr>
                <w:color w:val="000000"/>
              </w:rPr>
            </w:pPr>
            <w:r w:rsidRPr="0090627A">
              <w:rPr>
                <w:color w:val="000000"/>
              </w:rPr>
              <w:t>0.15</w:t>
            </w:r>
          </w:p>
        </w:tc>
      </w:tr>
      <w:tr w:rsidR="00390FB1" w:rsidRPr="0090627A" w14:paraId="0C365020" w14:textId="77777777" w:rsidTr="00390FB1">
        <w:trPr>
          <w:trHeight w:val="289"/>
        </w:trPr>
        <w:tc>
          <w:tcPr>
            <w:tcW w:w="1350" w:type="dxa"/>
            <w:tcBorders>
              <w:top w:val="nil"/>
              <w:left w:val="nil"/>
              <w:right w:val="nil"/>
            </w:tcBorders>
            <w:shd w:val="clear" w:color="auto" w:fill="auto"/>
            <w:noWrap/>
            <w:vAlign w:val="bottom"/>
            <w:hideMark/>
          </w:tcPr>
          <w:p w14:paraId="4BA6C4FE" w14:textId="77777777" w:rsidR="00390FB1" w:rsidRPr="0090627A" w:rsidRDefault="00390FB1" w:rsidP="00A2716C">
            <w:pPr>
              <w:jc w:val="center"/>
              <w:rPr>
                <w:color w:val="000000"/>
              </w:rPr>
            </w:pPr>
            <w:r w:rsidRPr="0090627A">
              <w:rPr>
                <w:color w:val="000000"/>
              </w:rPr>
              <w:t>60% &lt; 0</w:t>
            </w:r>
          </w:p>
        </w:tc>
        <w:tc>
          <w:tcPr>
            <w:tcW w:w="1402" w:type="dxa"/>
            <w:tcBorders>
              <w:top w:val="nil"/>
              <w:left w:val="nil"/>
              <w:right w:val="nil"/>
            </w:tcBorders>
            <w:shd w:val="clear" w:color="auto" w:fill="auto"/>
            <w:noWrap/>
            <w:vAlign w:val="bottom"/>
            <w:hideMark/>
          </w:tcPr>
          <w:p w14:paraId="57E025E7" w14:textId="77777777" w:rsidR="00390FB1" w:rsidRPr="0090627A" w:rsidRDefault="00390FB1" w:rsidP="00A2716C">
            <w:pPr>
              <w:jc w:val="center"/>
              <w:rPr>
                <w:color w:val="000000"/>
              </w:rPr>
            </w:pPr>
            <w:r w:rsidRPr="0090627A">
              <w:rPr>
                <w:color w:val="000000"/>
              </w:rPr>
              <w:t>-3.5933071</w:t>
            </w:r>
          </w:p>
        </w:tc>
        <w:tc>
          <w:tcPr>
            <w:tcW w:w="1643" w:type="dxa"/>
            <w:tcBorders>
              <w:top w:val="nil"/>
              <w:left w:val="nil"/>
              <w:right w:val="nil"/>
            </w:tcBorders>
            <w:shd w:val="clear" w:color="auto" w:fill="auto"/>
            <w:noWrap/>
            <w:vAlign w:val="bottom"/>
            <w:hideMark/>
          </w:tcPr>
          <w:p w14:paraId="4D1B02C2" w14:textId="77777777" w:rsidR="00390FB1" w:rsidRPr="0090627A" w:rsidRDefault="00390FB1" w:rsidP="00A2716C">
            <w:pPr>
              <w:jc w:val="center"/>
              <w:rPr>
                <w:color w:val="000000"/>
              </w:rPr>
            </w:pPr>
            <w:r w:rsidRPr="0090627A">
              <w:rPr>
                <w:color w:val="000000"/>
              </w:rPr>
              <w:t>1.21</w:t>
            </w:r>
          </w:p>
        </w:tc>
        <w:tc>
          <w:tcPr>
            <w:tcW w:w="1432" w:type="dxa"/>
            <w:tcBorders>
              <w:top w:val="nil"/>
              <w:left w:val="nil"/>
              <w:right w:val="nil"/>
            </w:tcBorders>
            <w:shd w:val="clear" w:color="auto" w:fill="auto"/>
            <w:noWrap/>
            <w:vAlign w:val="bottom"/>
            <w:hideMark/>
          </w:tcPr>
          <w:p w14:paraId="20459F46" w14:textId="77777777" w:rsidR="00390FB1" w:rsidRPr="0090627A" w:rsidRDefault="00390FB1" w:rsidP="00A2716C">
            <w:pPr>
              <w:jc w:val="center"/>
              <w:rPr>
                <w:color w:val="000000"/>
              </w:rPr>
            </w:pPr>
            <w:r w:rsidRPr="0090627A">
              <w:rPr>
                <w:color w:val="000000"/>
              </w:rPr>
              <w:t>6.3120001</w:t>
            </w:r>
          </w:p>
        </w:tc>
        <w:tc>
          <w:tcPr>
            <w:tcW w:w="1718" w:type="dxa"/>
            <w:tcBorders>
              <w:top w:val="nil"/>
              <w:left w:val="nil"/>
              <w:right w:val="nil"/>
            </w:tcBorders>
            <w:shd w:val="clear" w:color="auto" w:fill="auto"/>
            <w:noWrap/>
            <w:vAlign w:val="bottom"/>
            <w:hideMark/>
          </w:tcPr>
          <w:p w14:paraId="45E20DC0" w14:textId="77777777" w:rsidR="00390FB1" w:rsidRPr="0090627A" w:rsidRDefault="00390FB1" w:rsidP="00A2716C">
            <w:pPr>
              <w:jc w:val="center"/>
              <w:rPr>
                <w:color w:val="000000"/>
              </w:rPr>
            </w:pPr>
            <w:r w:rsidRPr="0090627A">
              <w:rPr>
                <w:color w:val="000000"/>
              </w:rPr>
              <w:t>0.06</w:t>
            </w:r>
          </w:p>
        </w:tc>
      </w:tr>
      <w:tr w:rsidR="00390FB1" w:rsidRPr="0090627A" w14:paraId="7850B67B" w14:textId="77777777" w:rsidTr="00390FB1">
        <w:trPr>
          <w:trHeight w:val="289"/>
        </w:trPr>
        <w:tc>
          <w:tcPr>
            <w:tcW w:w="1350" w:type="dxa"/>
            <w:tcBorders>
              <w:top w:val="nil"/>
              <w:left w:val="nil"/>
              <w:bottom w:val="single" w:sz="4" w:space="0" w:color="auto"/>
              <w:right w:val="nil"/>
            </w:tcBorders>
            <w:shd w:val="clear" w:color="auto" w:fill="auto"/>
            <w:noWrap/>
            <w:vAlign w:val="bottom"/>
            <w:hideMark/>
          </w:tcPr>
          <w:p w14:paraId="1AAC9925" w14:textId="77777777" w:rsidR="00390FB1" w:rsidRPr="0090627A" w:rsidRDefault="00390FB1" w:rsidP="00A2716C">
            <w:pPr>
              <w:jc w:val="center"/>
              <w:rPr>
                <w:color w:val="000000"/>
              </w:rPr>
            </w:pPr>
            <w:r w:rsidRPr="0090627A">
              <w:rPr>
                <w:color w:val="000000"/>
              </w:rPr>
              <w:t>80% &lt; 0</w:t>
            </w:r>
          </w:p>
        </w:tc>
        <w:tc>
          <w:tcPr>
            <w:tcW w:w="1402" w:type="dxa"/>
            <w:tcBorders>
              <w:top w:val="nil"/>
              <w:left w:val="nil"/>
              <w:bottom w:val="single" w:sz="4" w:space="0" w:color="auto"/>
              <w:right w:val="nil"/>
            </w:tcBorders>
            <w:shd w:val="clear" w:color="auto" w:fill="auto"/>
            <w:noWrap/>
            <w:vAlign w:val="bottom"/>
            <w:hideMark/>
          </w:tcPr>
          <w:p w14:paraId="6A7BD8C9" w14:textId="77777777" w:rsidR="00390FB1" w:rsidRPr="0090627A" w:rsidRDefault="00390FB1" w:rsidP="00A2716C">
            <w:pPr>
              <w:jc w:val="center"/>
              <w:rPr>
                <w:color w:val="000000"/>
              </w:rPr>
            </w:pPr>
            <w:r w:rsidRPr="0090627A">
              <w:rPr>
                <w:color w:val="000000"/>
              </w:rPr>
              <w:t>-4.442419</w:t>
            </w:r>
          </w:p>
        </w:tc>
        <w:tc>
          <w:tcPr>
            <w:tcW w:w="1643" w:type="dxa"/>
            <w:tcBorders>
              <w:top w:val="nil"/>
              <w:left w:val="nil"/>
              <w:bottom w:val="single" w:sz="4" w:space="0" w:color="auto"/>
              <w:right w:val="nil"/>
            </w:tcBorders>
            <w:shd w:val="clear" w:color="auto" w:fill="auto"/>
            <w:noWrap/>
            <w:vAlign w:val="bottom"/>
            <w:hideMark/>
          </w:tcPr>
          <w:p w14:paraId="2C3887A3" w14:textId="77777777" w:rsidR="00390FB1" w:rsidRPr="0090627A" w:rsidRDefault="00390FB1" w:rsidP="00A2716C">
            <w:pPr>
              <w:jc w:val="center"/>
              <w:rPr>
                <w:color w:val="000000"/>
              </w:rPr>
            </w:pPr>
            <w:r w:rsidRPr="0090627A">
              <w:rPr>
                <w:color w:val="000000"/>
              </w:rPr>
              <w:t>0.41</w:t>
            </w:r>
          </w:p>
        </w:tc>
        <w:tc>
          <w:tcPr>
            <w:tcW w:w="1432" w:type="dxa"/>
            <w:tcBorders>
              <w:top w:val="nil"/>
              <w:left w:val="nil"/>
              <w:bottom w:val="single" w:sz="4" w:space="0" w:color="auto"/>
              <w:right w:val="nil"/>
            </w:tcBorders>
            <w:shd w:val="clear" w:color="auto" w:fill="auto"/>
            <w:noWrap/>
            <w:vAlign w:val="bottom"/>
            <w:hideMark/>
          </w:tcPr>
          <w:p w14:paraId="0FB85248" w14:textId="77777777" w:rsidR="00390FB1" w:rsidRPr="0090627A" w:rsidRDefault="00390FB1" w:rsidP="00A2716C">
            <w:pPr>
              <w:jc w:val="center"/>
              <w:rPr>
                <w:color w:val="000000"/>
              </w:rPr>
            </w:pPr>
            <w:r w:rsidRPr="0090627A">
              <w:rPr>
                <w:color w:val="000000"/>
              </w:rPr>
              <w:t>5.480288</w:t>
            </w:r>
          </w:p>
        </w:tc>
        <w:tc>
          <w:tcPr>
            <w:tcW w:w="1718" w:type="dxa"/>
            <w:tcBorders>
              <w:top w:val="nil"/>
              <w:left w:val="nil"/>
              <w:bottom w:val="single" w:sz="4" w:space="0" w:color="auto"/>
              <w:right w:val="nil"/>
            </w:tcBorders>
            <w:shd w:val="clear" w:color="auto" w:fill="auto"/>
            <w:noWrap/>
            <w:vAlign w:val="bottom"/>
            <w:hideMark/>
          </w:tcPr>
          <w:p w14:paraId="0B668D8B" w14:textId="77777777" w:rsidR="00390FB1" w:rsidRPr="0090627A" w:rsidRDefault="00390FB1" w:rsidP="00A2716C">
            <w:pPr>
              <w:jc w:val="center"/>
              <w:rPr>
                <w:color w:val="000000"/>
              </w:rPr>
            </w:pPr>
            <w:r w:rsidRPr="0090627A">
              <w:rPr>
                <w:color w:val="000000"/>
              </w:rPr>
              <w:t>0.17</w:t>
            </w:r>
          </w:p>
        </w:tc>
      </w:tr>
    </w:tbl>
    <w:p w14:paraId="3150B4CF" w14:textId="77777777" w:rsidR="00D50D0D" w:rsidRDefault="00D50D0D">
      <w:pPr>
        <w:rPr>
          <w:noProof/>
        </w:rPr>
      </w:pPr>
      <w:r>
        <w:rPr>
          <w:noProof/>
        </w:rPr>
        <w:br w:type="page"/>
      </w:r>
    </w:p>
    <w:p w14:paraId="2AA39892" w14:textId="77777777" w:rsidR="00D50D0D" w:rsidRDefault="00D50D0D" w:rsidP="00D50D0D">
      <w:r>
        <w:rPr>
          <w:noProof/>
        </w:rPr>
        <w:lastRenderedPageBreak/>
        <w:drawing>
          <wp:inline distT="0" distB="0" distL="0" distR="0" wp14:anchorId="468B8500" wp14:editId="62B9CD70">
            <wp:extent cx="5501090" cy="4635374"/>
            <wp:effectExtent l="0" t="0" r="0" b="635"/>
            <wp:docPr id="30" name="Picture 3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506438" cy="4639880"/>
                    </a:xfrm>
                    <a:prstGeom prst="rect">
                      <a:avLst/>
                    </a:prstGeom>
                  </pic:spPr>
                </pic:pic>
              </a:graphicData>
            </a:graphic>
          </wp:inline>
        </w:drawing>
      </w:r>
    </w:p>
    <w:p w14:paraId="040A1537" w14:textId="5C0663B7" w:rsidR="00D50D0D" w:rsidRDefault="00D50D0D" w:rsidP="0083206D">
      <w:pPr>
        <w:pStyle w:val="Caption"/>
      </w:pPr>
      <w:bookmarkStart w:id="123" w:name="_Toc102046899"/>
      <w:r w:rsidRPr="00011F5E">
        <w:t>Appendix Figure 6.</w:t>
      </w:r>
      <w:r>
        <w:t xml:space="preserve"> Rarefied AM fungal community turnover and the 95% highest density interval around the median between the two time points.</w:t>
      </w:r>
      <w:bookmarkEnd w:id="123"/>
    </w:p>
    <w:p w14:paraId="6120E8B0" w14:textId="27F4EF84" w:rsidR="00D50D0D" w:rsidRPr="00D50D0D" w:rsidRDefault="003E7D07" w:rsidP="00D50D0D">
      <w:pPr>
        <w:rPr>
          <w:sz w:val="20"/>
          <w:szCs w:val="20"/>
        </w:rPr>
      </w:pPr>
      <w:r>
        <w:rPr>
          <w:sz w:val="20"/>
          <w:szCs w:val="20"/>
        </w:rPr>
        <w:t>Appendix Figure 6 footnote</w:t>
      </w:r>
      <w:r w:rsidR="003F6907">
        <w:rPr>
          <w:sz w:val="20"/>
          <w:szCs w:val="20"/>
        </w:rPr>
        <w:t>.</w:t>
      </w:r>
      <w:r>
        <w:rPr>
          <w:sz w:val="20"/>
          <w:szCs w:val="20"/>
        </w:rPr>
        <w:t xml:space="preserve"> </w:t>
      </w:r>
      <w:r w:rsidR="00D50D0D" w:rsidRPr="00D50D0D">
        <w:rPr>
          <w:sz w:val="20"/>
          <w:szCs w:val="20"/>
        </w:rPr>
        <w:t xml:space="preserve">Bayesian inference was determined using linear models where AM fungal community turnover was predicted by rainfall exclusion treatment for each of the 1,000 rarefied communities. This was conducted for </w:t>
      </w:r>
      <w:r w:rsidR="00D50D0D" w:rsidRPr="00D50D0D">
        <w:rPr>
          <w:i/>
          <w:iCs/>
          <w:sz w:val="20"/>
          <w:szCs w:val="20"/>
        </w:rPr>
        <w:t>q</w:t>
      </w:r>
      <w:r w:rsidR="00D50D0D" w:rsidRPr="00D50D0D">
        <w:rPr>
          <w:sz w:val="20"/>
          <w:szCs w:val="20"/>
        </w:rPr>
        <w:t xml:space="preserve">=0, 1, and 2. Across all values of </w:t>
      </w:r>
      <w:r w:rsidR="00D50D0D" w:rsidRPr="00D50D0D">
        <w:rPr>
          <w:i/>
          <w:iCs/>
          <w:sz w:val="20"/>
          <w:szCs w:val="20"/>
        </w:rPr>
        <w:t>q</w:t>
      </w:r>
      <w:r w:rsidR="00D50D0D" w:rsidRPr="00D50D0D">
        <w:rPr>
          <w:sz w:val="20"/>
          <w:szCs w:val="20"/>
        </w:rPr>
        <w:t>, the control group, on average, had the largest observed AM fungal community turnover compared to other treatments.</w:t>
      </w:r>
    </w:p>
    <w:p w14:paraId="4BF0B9A7" w14:textId="77777777" w:rsidR="00D50D0D" w:rsidRDefault="00D50D0D">
      <w:pPr>
        <w:rPr>
          <w:noProof/>
        </w:rPr>
      </w:pPr>
      <w:r>
        <w:rPr>
          <w:noProof/>
        </w:rPr>
        <w:br w:type="page"/>
      </w:r>
    </w:p>
    <w:p w14:paraId="49874AEA" w14:textId="239263F4" w:rsidR="00D50D0D" w:rsidRPr="00D50D0D" w:rsidRDefault="00D50D0D" w:rsidP="00606400">
      <w:pPr>
        <w:pStyle w:val="Subtitle"/>
      </w:pPr>
      <w:bookmarkStart w:id="124" w:name="_Toc102118712"/>
      <w:r w:rsidRPr="00D50D0D">
        <w:lastRenderedPageBreak/>
        <w:t>Appendix Table 2. For each value of Diversity (</w:t>
      </w:r>
      <w:r w:rsidRPr="00D50D0D">
        <w:rPr>
          <w:i/>
          <w:iCs/>
        </w:rPr>
        <w:t>q</w:t>
      </w:r>
      <w:r w:rsidRPr="00D50D0D">
        <w:t xml:space="preserve">), the median rarefied </w:t>
      </w:r>
      <w:r w:rsidR="00AC3840">
        <w:t xml:space="preserve">pairwise </w:t>
      </w:r>
      <w:r w:rsidRPr="00D50D0D">
        <w:t>AM fungal community turnover, the lower bound and the higher bound of the 95% highest density interval per treatment.</w:t>
      </w:r>
      <w:bookmarkEnd w:id="124"/>
      <w:r w:rsidRPr="00D50D0D">
        <w:t xml:space="preserve"> </w:t>
      </w:r>
    </w:p>
    <w:tbl>
      <w:tblPr>
        <w:tblW w:w="7768" w:type="dxa"/>
        <w:tblLook w:val="04A0" w:firstRow="1" w:lastRow="0" w:firstColumn="1" w:lastColumn="0" w:noHBand="0" w:noVBand="1"/>
      </w:tblPr>
      <w:tblGrid>
        <w:gridCol w:w="3150"/>
        <w:gridCol w:w="550"/>
        <w:gridCol w:w="1356"/>
        <w:gridCol w:w="1356"/>
        <w:gridCol w:w="1356"/>
      </w:tblGrid>
      <w:tr w:rsidR="00D50D0D" w:rsidRPr="0031023A" w14:paraId="2A797919" w14:textId="77777777" w:rsidTr="00D50D0D">
        <w:trPr>
          <w:trHeight w:val="320"/>
        </w:trPr>
        <w:tc>
          <w:tcPr>
            <w:tcW w:w="3150" w:type="dxa"/>
            <w:tcBorders>
              <w:top w:val="single" w:sz="4" w:space="0" w:color="auto"/>
              <w:left w:val="nil"/>
              <w:bottom w:val="single" w:sz="4" w:space="0" w:color="auto"/>
              <w:right w:val="nil"/>
            </w:tcBorders>
            <w:shd w:val="clear" w:color="auto" w:fill="auto"/>
            <w:noWrap/>
            <w:vAlign w:val="bottom"/>
            <w:hideMark/>
          </w:tcPr>
          <w:p w14:paraId="6651C4AD" w14:textId="77777777" w:rsidR="00D50D0D" w:rsidRPr="0031023A" w:rsidRDefault="00D50D0D" w:rsidP="00A2716C">
            <w:pPr>
              <w:jc w:val="center"/>
              <w:rPr>
                <w:b/>
                <w:bCs/>
                <w:color w:val="000000"/>
              </w:rPr>
            </w:pPr>
            <w:r w:rsidRPr="0031023A">
              <w:rPr>
                <w:b/>
                <w:bCs/>
                <w:color w:val="000000"/>
              </w:rPr>
              <w:t>Treatment</w:t>
            </w:r>
          </w:p>
        </w:tc>
        <w:tc>
          <w:tcPr>
            <w:tcW w:w="550" w:type="dxa"/>
            <w:tcBorders>
              <w:top w:val="single" w:sz="4" w:space="0" w:color="auto"/>
              <w:left w:val="nil"/>
              <w:bottom w:val="single" w:sz="4" w:space="0" w:color="auto"/>
              <w:right w:val="nil"/>
            </w:tcBorders>
            <w:shd w:val="clear" w:color="auto" w:fill="auto"/>
            <w:noWrap/>
            <w:vAlign w:val="bottom"/>
            <w:hideMark/>
          </w:tcPr>
          <w:p w14:paraId="69F32099" w14:textId="77777777" w:rsidR="00D50D0D" w:rsidRPr="0031023A" w:rsidRDefault="00D50D0D" w:rsidP="00A2716C">
            <w:pPr>
              <w:jc w:val="center"/>
              <w:rPr>
                <w:b/>
                <w:bCs/>
                <w:i/>
                <w:iCs/>
                <w:color w:val="000000"/>
              </w:rPr>
            </w:pPr>
            <w:r w:rsidRPr="0031023A">
              <w:rPr>
                <w:b/>
                <w:bCs/>
                <w:i/>
                <w:iCs/>
                <w:color w:val="000000"/>
              </w:rPr>
              <w:t>q</w:t>
            </w:r>
          </w:p>
        </w:tc>
        <w:tc>
          <w:tcPr>
            <w:tcW w:w="1356" w:type="dxa"/>
            <w:tcBorders>
              <w:top w:val="single" w:sz="4" w:space="0" w:color="auto"/>
              <w:left w:val="nil"/>
              <w:bottom w:val="single" w:sz="4" w:space="0" w:color="auto"/>
              <w:right w:val="nil"/>
            </w:tcBorders>
            <w:shd w:val="clear" w:color="auto" w:fill="auto"/>
            <w:noWrap/>
            <w:vAlign w:val="bottom"/>
            <w:hideMark/>
          </w:tcPr>
          <w:p w14:paraId="2F36822C" w14:textId="77777777" w:rsidR="00D50D0D" w:rsidRPr="0031023A" w:rsidRDefault="00D50D0D" w:rsidP="00A2716C">
            <w:pPr>
              <w:jc w:val="center"/>
              <w:rPr>
                <w:b/>
                <w:bCs/>
                <w:color w:val="000000"/>
              </w:rPr>
            </w:pPr>
            <w:r w:rsidRPr="0031023A">
              <w:rPr>
                <w:b/>
                <w:bCs/>
                <w:color w:val="000000"/>
              </w:rPr>
              <w:t>2.50%</w:t>
            </w:r>
          </w:p>
        </w:tc>
        <w:tc>
          <w:tcPr>
            <w:tcW w:w="1356" w:type="dxa"/>
            <w:tcBorders>
              <w:top w:val="single" w:sz="4" w:space="0" w:color="auto"/>
              <w:left w:val="nil"/>
              <w:bottom w:val="single" w:sz="4" w:space="0" w:color="auto"/>
              <w:right w:val="nil"/>
            </w:tcBorders>
            <w:shd w:val="clear" w:color="auto" w:fill="auto"/>
            <w:noWrap/>
            <w:vAlign w:val="bottom"/>
            <w:hideMark/>
          </w:tcPr>
          <w:p w14:paraId="592C9DBC" w14:textId="77777777" w:rsidR="00D50D0D" w:rsidRPr="0031023A" w:rsidRDefault="00D50D0D" w:rsidP="00A2716C">
            <w:pPr>
              <w:jc w:val="center"/>
              <w:rPr>
                <w:b/>
                <w:bCs/>
                <w:color w:val="000000"/>
              </w:rPr>
            </w:pPr>
            <w:r w:rsidRPr="0031023A">
              <w:rPr>
                <w:b/>
                <w:bCs/>
                <w:color w:val="000000"/>
              </w:rPr>
              <w:t>Median</w:t>
            </w:r>
          </w:p>
        </w:tc>
        <w:tc>
          <w:tcPr>
            <w:tcW w:w="1356" w:type="dxa"/>
            <w:tcBorders>
              <w:top w:val="single" w:sz="4" w:space="0" w:color="auto"/>
              <w:left w:val="nil"/>
              <w:bottom w:val="single" w:sz="4" w:space="0" w:color="auto"/>
              <w:right w:val="nil"/>
            </w:tcBorders>
            <w:shd w:val="clear" w:color="auto" w:fill="auto"/>
            <w:noWrap/>
            <w:vAlign w:val="bottom"/>
            <w:hideMark/>
          </w:tcPr>
          <w:p w14:paraId="1FAC27A4" w14:textId="77777777" w:rsidR="00D50D0D" w:rsidRPr="0031023A" w:rsidRDefault="00D50D0D" w:rsidP="00A2716C">
            <w:pPr>
              <w:jc w:val="center"/>
              <w:rPr>
                <w:b/>
                <w:bCs/>
                <w:color w:val="000000"/>
              </w:rPr>
            </w:pPr>
            <w:r w:rsidRPr="0031023A">
              <w:rPr>
                <w:b/>
                <w:bCs/>
                <w:color w:val="000000"/>
              </w:rPr>
              <w:t>97.50%</w:t>
            </w:r>
          </w:p>
        </w:tc>
      </w:tr>
      <w:tr w:rsidR="00D50D0D" w:rsidRPr="0031023A" w14:paraId="1941FA01" w14:textId="77777777" w:rsidTr="00A2716C">
        <w:trPr>
          <w:trHeight w:val="320"/>
        </w:trPr>
        <w:tc>
          <w:tcPr>
            <w:tcW w:w="3150" w:type="dxa"/>
            <w:tcBorders>
              <w:top w:val="nil"/>
              <w:left w:val="nil"/>
              <w:bottom w:val="nil"/>
              <w:right w:val="nil"/>
            </w:tcBorders>
            <w:shd w:val="clear" w:color="auto" w:fill="auto"/>
            <w:noWrap/>
            <w:vAlign w:val="bottom"/>
            <w:hideMark/>
          </w:tcPr>
          <w:p w14:paraId="1127889B" w14:textId="77777777" w:rsidR="00D50D0D" w:rsidRPr="0031023A" w:rsidRDefault="00D50D0D" w:rsidP="00A2716C">
            <w:pPr>
              <w:jc w:val="center"/>
              <w:rPr>
                <w:color w:val="000000"/>
              </w:rPr>
            </w:pPr>
            <w:r w:rsidRPr="0031023A">
              <w:rPr>
                <w:color w:val="000000"/>
              </w:rPr>
              <w:t>Cont</w:t>
            </w:r>
            <w:r>
              <w:rPr>
                <w:color w:val="000000"/>
              </w:rPr>
              <w:t>r</w:t>
            </w:r>
            <w:r w:rsidRPr="0031023A">
              <w:rPr>
                <w:color w:val="000000"/>
              </w:rPr>
              <w:t>ol</w:t>
            </w:r>
          </w:p>
        </w:tc>
        <w:tc>
          <w:tcPr>
            <w:tcW w:w="550" w:type="dxa"/>
            <w:tcBorders>
              <w:top w:val="nil"/>
              <w:left w:val="nil"/>
              <w:bottom w:val="nil"/>
              <w:right w:val="nil"/>
            </w:tcBorders>
            <w:shd w:val="clear" w:color="auto" w:fill="auto"/>
            <w:noWrap/>
            <w:vAlign w:val="bottom"/>
            <w:hideMark/>
          </w:tcPr>
          <w:p w14:paraId="34B05197" w14:textId="77777777" w:rsidR="00D50D0D" w:rsidRPr="0031023A" w:rsidRDefault="00D50D0D" w:rsidP="00A2716C">
            <w:pPr>
              <w:jc w:val="center"/>
              <w:rPr>
                <w:color w:val="000000"/>
              </w:rPr>
            </w:pPr>
            <w:r w:rsidRPr="0031023A">
              <w:rPr>
                <w:color w:val="000000"/>
              </w:rPr>
              <w:t>0</w:t>
            </w:r>
          </w:p>
        </w:tc>
        <w:tc>
          <w:tcPr>
            <w:tcW w:w="1356" w:type="dxa"/>
            <w:tcBorders>
              <w:top w:val="nil"/>
              <w:left w:val="nil"/>
              <w:bottom w:val="nil"/>
              <w:right w:val="nil"/>
            </w:tcBorders>
            <w:shd w:val="clear" w:color="auto" w:fill="auto"/>
            <w:noWrap/>
            <w:vAlign w:val="bottom"/>
            <w:hideMark/>
          </w:tcPr>
          <w:p w14:paraId="6B36D8EE" w14:textId="77777777" w:rsidR="00D50D0D" w:rsidRPr="0031023A" w:rsidRDefault="00D50D0D" w:rsidP="00A2716C">
            <w:pPr>
              <w:jc w:val="center"/>
              <w:rPr>
                <w:color w:val="000000"/>
              </w:rPr>
            </w:pPr>
            <w:r w:rsidRPr="0031023A">
              <w:rPr>
                <w:color w:val="000000"/>
              </w:rPr>
              <w:t>0.73413911</w:t>
            </w:r>
          </w:p>
        </w:tc>
        <w:tc>
          <w:tcPr>
            <w:tcW w:w="1356" w:type="dxa"/>
            <w:tcBorders>
              <w:top w:val="nil"/>
              <w:left w:val="nil"/>
              <w:bottom w:val="nil"/>
              <w:right w:val="nil"/>
            </w:tcBorders>
            <w:shd w:val="clear" w:color="auto" w:fill="auto"/>
            <w:noWrap/>
            <w:vAlign w:val="bottom"/>
            <w:hideMark/>
          </w:tcPr>
          <w:p w14:paraId="322D22D0" w14:textId="77777777" w:rsidR="00D50D0D" w:rsidRPr="0031023A" w:rsidRDefault="00D50D0D" w:rsidP="00A2716C">
            <w:pPr>
              <w:jc w:val="center"/>
              <w:rPr>
                <w:color w:val="000000"/>
              </w:rPr>
            </w:pPr>
            <w:r w:rsidRPr="0031023A">
              <w:rPr>
                <w:color w:val="000000"/>
              </w:rPr>
              <w:t>0.74177243</w:t>
            </w:r>
          </w:p>
        </w:tc>
        <w:tc>
          <w:tcPr>
            <w:tcW w:w="1356" w:type="dxa"/>
            <w:tcBorders>
              <w:top w:val="nil"/>
              <w:left w:val="nil"/>
              <w:bottom w:val="nil"/>
              <w:right w:val="nil"/>
            </w:tcBorders>
            <w:shd w:val="clear" w:color="auto" w:fill="auto"/>
            <w:noWrap/>
            <w:vAlign w:val="bottom"/>
            <w:hideMark/>
          </w:tcPr>
          <w:p w14:paraId="089D6540" w14:textId="77777777" w:rsidR="00D50D0D" w:rsidRPr="0031023A" w:rsidRDefault="00D50D0D" w:rsidP="00A2716C">
            <w:pPr>
              <w:jc w:val="center"/>
              <w:rPr>
                <w:color w:val="000000"/>
              </w:rPr>
            </w:pPr>
            <w:r w:rsidRPr="0031023A">
              <w:rPr>
                <w:color w:val="000000"/>
              </w:rPr>
              <w:t>0.74939447</w:t>
            </w:r>
          </w:p>
        </w:tc>
      </w:tr>
      <w:tr w:rsidR="00D50D0D" w:rsidRPr="0031023A" w14:paraId="1ED6E3C0" w14:textId="77777777" w:rsidTr="00A2716C">
        <w:trPr>
          <w:trHeight w:val="320"/>
        </w:trPr>
        <w:tc>
          <w:tcPr>
            <w:tcW w:w="3150" w:type="dxa"/>
            <w:tcBorders>
              <w:top w:val="nil"/>
              <w:left w:val="nil"/>
              <w:bottom w:val="nil"/>
              <w:right w:val="nil"/>
            </w:tcBorders>
            <w:shd w:val="clear" w:color="auto" w:fill="auto"/>
            <w:noWrap/>
            <w:vAlign w:val="bottom"/>
            <w:hideMark/>
          </w:tcPr>
          <w:p w14:paraId="1320C338" w14:textId="77777777" w:rsidR="00D50D0D" w:rsidRPr="0031023A" w:rsidRDefault="00D50D0D" w:rsidP="00A2716C">
            <w:pPr>
              <w:jc w:val="center"/>
              <w:rPr>
                <w:color w:val="000000"/>
              </w:rPr>
            </w:pPr>
            <w:r w:rsidRPr="0031023A">
              <w:rPr>
                <w:color w:val="000000"/>
              </w:rPr>
              <w:t>60% Rainfall Exclusion</w:t>
            </w:r>
          </w:p>
        </w:tc>
        <w:tc>
          <w:tcPr>
            <w:tcW w:w="550" w:type="dxa"/>
            <w:tcBorders>
              <w:top w:val="nil"/>
              <w:left w:val="nil"/>
              <w:bottom w:val="nil"/>
              <w:right w:val="nil"/>
            </w:tcBorders>
            <w:shd w:val="clear" w:color="auto" w:fill="auto"/>
            <w:noWrap/>
            <w:vAlign w:val="bottom"/>
            <w:hideMark/>
          </w:tcPr>
          <w:p w14:paraId="6AEE006D" w14:textId="77777777" w:rsidR="00D50D0D" w:rsidRPr="0031023A" w:rsidRDefault="00D50D0D" w:rsidP="00A2716C">
            <w:pPr>
              <w:jc w:val="center"/>
              <w:rPr>
                <w:color w:val="000000"/>
              </w:rPr>
            </w:pPr>
            <w:r w:rsidRPr="0031023A">
              <w:rPr>
                <w:color w:val="000000"/>
              </w:rPr>
              <w:t>0</w:t>
            </w:r>
          </w:p>
        </w:tc>
        <w:tc>
          <w:tcPr>
            <w:tcW w:w="1356" w:type="dxa"/>
            <w:tcBorders>
              <w:top w:val="nil"/>
              <w:left w:val="nil"/>
              <w:bottom w:val="nil"/>
              <w:right w:val="nil"/>
            </w:tcBorders>
            <w:shd w:val="clear" w:color="auto" w:fill="auto"/>
            <w:noWrap/>
            <w:vAlign w:val="bottom"/>
            <w:hideMark/>
          </w:tcPr>
          <w:p w14:paraId="47934192" w14:textId="77777777" w:rsidR="00D50D0D" w:rsidRPr="0031023A" w:rsidRDefault="00D50D0D" w:rsidP="00A2716C">
            <w:pPr>
              <w:jc w:val="center"/>
              <w:rPr>
                <w:color w:val="000000"/>
              </w:rPr>
            </w:pPr>
            <w:r w:rsidRPr="0031023A">
              <w:rPr>
                <w:color w:val="000000"/>
              </w:rPr>
              <w:t>0.67722938</w:t>
            </w:r>
          </w:p>
        </w:tc>
        <w:tc>
          <w:tcPr>
            <w:tcW w:w="1356" w:type="dxa"/>
            <w:tcBorders>
              <w:top w:val="nil"/>
              <w:left w:val="nil"/>
              <w:bottom w:val="nil"/>
              <w:right w:val="nil"/>
            </w:tcBorders>
            <w:shd w:val="clear" w:color="auto" w:fill="auto"/>
            <w:noWrap/>
            <w:vAlign w:val="bottom"/>
            <w:hideMark/>
          </w:tcPr>
          <w:p w14:paraId="77474E22" w14:textId="77777777" w:rsidR="00D50D0D" w:rsidRPr="0031023A" w:rsidRDefault="00D50D0D" w:rsidP="00A2716C">
            <w:pPr>
              <w:jc w:val="center"/>
              <w:rPr>
                <w:color w:val="000000"/>
              </w:rPr>
            </w:pPr>
            <w:r w:rsidRPr="0031023A">
              <w:rPr>
                <w:color w:val="000000"/>
              </w:rPr>
              <w:t>0.68486038</w:t>
            </w:r>
          </w:p>
        </w:tc>
        <w:tc>
          <w:tcPr>
            <w:tcW w:w="1356" w:type="dxa"/>
            <w:tcBorders>
              <w:top w:val="nil"/>
              <w:left w:val="nil"/>
              <w:bottom w:val="nil"/>
              <w:right w:val="nil"/>
            </w:tcBorders>
            <w:shd w:val="clear" w:color="auto" w:fill="auto"/>
            <w:noWrap/>
            <w:vAlign w:val="bottom"/>
            <w:hideMark/>
          </w:tcPr>
          <w:p w14:paraId="058D753A" w14:textId="77777777" w:rsidR="00D50D0D" w:rsidRPr="0031023A" w:rsidRDefault="00D50D0D" w:rsidP="00A2716C">
            <w:pPr>
              <w:jc w:val="center"/>
              <w:rPr>
                <w:color w:val="000000"/>
              </w:rPr>
            </w:pPr>
            <w:r w:rsidRPr="0031023A">
              <w:rPr>
                <w:color w:val="000000"/>
              </w:rPr>
              <w:t>0.69255037</w:t>
            </w:r>
          </w:p>
        </w:tc>
      </w:tr>
      <w:tr w:rsidR="00D50D0D" w:rsidRPr="0031023A" w14:paraId="111B2F37" w14:textId="77777777" w:rsidTr="00A2716C">
        <w:trPr>
          <w:trHeight w:val="320"/>
        </w:trPr>
        <w:tc>
          <w:tcPr>
            <w:tcW w:w="3150" w:type="dxa"/>
            <w:tcBorders>
              <w:top w:val="nil"/>
              <w:left w:val="nil"/>
              <w:bottom w:val="single" w:sz="4" w:space="0" w:color="auto"/>
              <w:right w:val="nil"/>
            </w:tcBorders>
            <w:shd w:val="clear" w:color="auto" w:fill="auto"/>
            <w:noWrap/>
            <w:vAlign w:val="bottom"/>
            <w:hideMark/>
          </w:tcPr>
          <w:p w14:paraId="34EC00A3" w14:textId="77777777" w:rsidR="00D50D0D" w:rsidRPr="0031023A" w:rsidRDefault="00D50D0D" w:rsidP="00A2716C">
            <w:pPr>
              <w:jc w:val="center"/>
              <w:rPr>
                <w:color w:val="000000"/>
              </w:rPr>
            </w:pPr>
            <w:r w:rsidRPr="0031023A">
              <w:rPr>
                <w:color w:val="000000"/>
              </w:rPr>
              <w:t>80% Rainfall Exclusion</w:t>
            </w:r>
          </w:p>
        </w:tc>
        <w:tc>
          <w:tcPr>
            <w:tcW w:w="550" w:type="dxa"/>
            <w:tcBorders>
              <w:top w:val="nil"/>
              <w:left w:val="nil"/>
              <w:bottom w:val="single" w:sz="4" w:space="0" w:color="auto"/>
              <w:right w:val="nil"/>
            </w:tcBorders>
            <w:shd w:val="clear" w:color="auto" w:fill="auto"/>
            <w:noWrap/>
            <w:vAlign w:val="bottom"/>
            <w:hideMark/>
          </w:tcPr>
          <w:p w14:paraId="5CE1366B" w14:textId="77777777" w:rsidR="00D50D0D" w:rsidRPr="0031023A" w:rsidRDefault="00D50D0D" w:rsidP="00A2716C">
            <w:pPr>
              <w:jc w:val="center"/>
              <w:rPr>
                <w:color w:val="000000"/>
              </w:rPr>
            </w:pPr>
            <w:r w:rsidRPr="0031023A">
              <w:rPr>
                <w:color w:val="000000"/>
              </w:rPr>
              <w:t>0</w:t>
            </w:r>
          </w:p>
        </w:tc>
        <w:tc>
          <w:tcPr>
            <w:tcW w:w="1356" w:type="dxa"/>
            <w:tcBorders>
              <w:top w:val="nil"/>
              <w:left w:val="nil"/>
              <w:bottom w:val="single" w:sz="4" w:space="0" w:color="auto"/>
              <w:right w:val="nil"/>
            </w:tcBorders>
            <w:shd w:val="clear" w:color="auto" w:fill="auto"/>
            <w:noWrap/>
            <w:vAlign w:val="bottom"/>
            <w:hideMark/>
          </w:tcPr>
          <w:p w14:paraId="46F19278" w14:textId="77777777" w:rsidR="00D50D0D" w:rsidRPr="0031023A" w:rsidRDefault="00D50D0D" w:rsidP="00A2716C">
            <w:pPr>
              <w:jc w:val="center"/>
              <w:rPr>
                <w:color w:val="000000"/>
              </w:rPr>
            </w:pPr>
            <w:r w:rsidRPr="0031023A">
              <w:rPr>
                <w:color w:val="000000"/>
              </w:rPr>
              <w:t>0.68325694</w:t>
            </w:r>
          </w:p>
        </w:tc>
        <w:tc>
          <w:tcPr>
            <w:tcW w:w="1356" w:type="dxa"/>
            <w:tcBorders>
              <w:top w:val="nil"/>
              <w:left w:val="nil"/>
              <w:bottom w:val="single" w:sz="4" w:space="0" w:color="auto"/>
              <w:right w:val="nil"/>
            </w:tcBorders>
            <w:shd w:val="clear" w:color="auto" w:fill="auto"/>
            <w:noWrap/>
            <w:vAlign w:val="bottom"/>
            <w:hideMark/>
          </w:tcPr>
          <w:p w14:paraId="3C8CD924" w14:textId="77777777" w:rsidR="00D50D0D" w:rsidRPr="0031023A" w:rsidRDefault="00D50D0D" w:rsidP="00A2716C">
            <w:pPr>
              <w:jc w:val="center"/>
              <w:rPr>
                <w:color w:val="000000"/>
              </w:rPr>
            </w:pPr>
            <w:r w:rsidRPr="0031023A">
              <w:rPr>
                <w:color w:val="000000"/>
              </w:rPr>
              <w:t>0.69088057</w:t>
            </w:r>
          </w:p>
        </w:tc>
        <w:tc>
          <w:tcPr>
            <w:tcW w:w="1356" w:type="dxa"/>
            <w:tcBorders>
              <w:top w:val="nil"/>
              <w:left w:val="nil"/>
              <w:bottom w:val="single" w:sz="4" w:space="0" w:color="auto"/>
              <w:right w:val="nil"/>
            </w:tcBorders>
            <w:shd w:val="clear" w:color="auto" w:fill="auto"/>
            <w:noWrap/>
            <w:vAlign w:val="bottom"/>
            <w:hideMark/>
          </w:tcPr>
          <w:p w14:paraId="027301DD" w14:textId="77777777" w:rsidR="00D50D0D" w:rsidRPr="0031023A" w:rsidRDefault="00D50D0D" w:rsidP="00A2716C">
            <w:pPr>
              <w:jc w:val="center"/>
              <w:rPr>
                <w:color w:val="000000"/>
              </w:rPr>
            </w:pPr>
            <w:r w:rsidRPr="0031023A">
              <w:rPr>
                <w:color w:val="000000"/>
              </w:rPr>
              <w:t>0.69794064</w:t>
            </w:r>
          </w:p>
        </w:tc>
      </w:tr>
      <w:tr w:rsidR="00D50D0D" w:rsidRPr="0031023A" w14:paraId="7226D092" w14:textId="77777777" w:rsidTr="00A2716C">
        <w:trPr>
          <w:trHeight w:val="320"/>
        </w:trPr>
        <w:tc>
          <w:tcPr>
            <w:tcW w:w="3150" w:type="dxa"/>
            <w:tcBorders>
              <w:top w:val="nil"/>
              <w:left w:val="nil"/>
              <w:bottom w:val="nil"/>
              <w:right w:val="nil"/>
            </w:tcBorders>
            <w:shd w:val="clear" w:color="auto" w:fill="auto"/>
            <w:noWrap/>
            <w:vAlign w:val="bottom"/>
            <w:hideMark/>
          </w:tcPr>
          <w:p w14:paraId="5AEEFFBD" w14:textId="77777777" w:rsidR="00D50D0D" w:rsidRPr="0031023A" w:rsidRDefault="00D50D0D" w:rsidP="00A2716C">
            <w:pPr>
              <w:jc w:val="center"/>
              <w:rPr>
                <w:color w:val="000000"/>
              </w:rPr>
            </w:pPr>
            <w:r w:rsidRPr="0031023A">
              <w:rPr>
                <w:color w:val="000000"/>
              </w:rPr>
              <w:t>Cont</w:t>
            </w:r>
            <w:r>
              <w:rPr>
                <w:color w:val="000000"/>
              </w:rPr>
              <w:t>r</w:t>
            </w:r>
            <w:r w:rsidRPr="0031023A">
              <w:rPr>
                <w:color w:val="000000"/>
              </w:rPr>
              <w:t>ol</w:t>
            </w:r>
          </w:p>
        </w:tc>
        <w:tc>
          <w:tcPr>
            <w:tcW w:w="550" w:type="dxa"/>
            <w:tcBorders>
              <w:top w:val="nil"/>
              <w:left w:val="nil"/>
              <w:bottom w:val="nil"/>
              <w:right w:val="nil"/>
            </w:tcBorders>
            <w:shd w:val="clear" w:color="auto" w:fill="auto"/>
            <w:noWrap/>
            <w:vAlign w:val="bottom"/>
            <w:hideMark/>
          </w:tcPr>
          <w:p w14:paraId="1DD5CD54" w14:textId="77777777" w:rsidR="00D50D0D" w:rsidRPr="0031023A" w:rsidRDefault="00D50D0D" w:rsidP="00A2716C">
            <w:pPr>
              <w:jc w:val="center"/>
              <w:rPr>
                <w:color w:val="000000"/>
              </w:rPr>
            </w:pPr>
            <w:r w:rsidRPr="0031023A">
              <w:rPr>
                <w:color w:val="000000"/>
              </w:rPr>
              <w:t>1</w:t>
            </w:r>
          </w:p>
        </w:tc>
        <w:tc>
          <w:tcPr>
            <w:tcW w:w="1356" w:type="dxa"/>
            <w:tcBorders>
              <w:top w:val="nil"/>
              <w:left w:val="nil"/>
              <w:bottom w:val="nil"/>
              <w:right w:val="nil"/>
            </w:tcBorders>
            <w:shd w:val="clear" w:color="auto" w:fill="auto"/>
            <w:noWrap/>
            <w:vAlign w:val="bottom"/>
            <w:hideMark/>
          </w:tcPr>
          <w:p w14:paraId="2E32D6EC" w14:textId="77777777" w:rsidR="00D50D0D" w:rsidRPr="0031023A" w:rsidRDefault="00D50D0D" w:rsidP="00A2716C">
            <w:pPr>
              <w:jc w:val="center"/>
              <w:rPr>
                <w:color w:val="000000"/>
              </w:rPr>
            </w:pPr>
            <w:r w:rsidRPr="0031023A">
              <w:rPr>
                <w:color w:val="000000"/>
              </w:rPr>
              <w:t>0.53320301</w:t>
            </w:r>
          </w:p>
        </w:tc>
        <w:tc>
          <w:tcPr>
            <w:tcW w:w="1356" w:type="dxa"/>
            <w:tcBorders>
              <w:top w:val="nil"/>
              <w:left w:val="nil"/>
              <w:bottom w:val="nil"/>
              <w:right w:val="nil"/>
            </w:tcBorders>
            <w:shd w:val="clear" w:color="auto" w:fill="auto"/>
            <w:noWrap/>
            <w:vAlign w:val="bottom"/>
            <w:hideMark/>
          </w:tcPr>
          <w:p w14:paraId="6F6BF98B" w14:textId="77777777" w:rsidR="00D50D0D" w:rsidRPr="0031023A" w:rsidRDefault="00D50D0D" w:rsidP="00A2716C">
            <w:pPr>
              <w:jc w:val="center"/>
              <w:rPr>
                <w:color w:val="000000"/>
              </w:rPr>
            </w:pPr>
            <w:r w:rsidRPr="0031023A">
              <w:rPr>
                <w:color w:val="000000"/>
              </w:rPr>
              <w:t>0.53766625</w:t>
            </w:r>
          </w:p>
        </w:tc>
        <w:tc>
          <w:tcPr>
            <w:tcW w:w="1356" w:type="dxa"/>
            <w:tcBorders>
              <w:top w:val="nil"/>
              <w:left w:val="nil"/>
              <w:bottom w:val="nil"/>
              <w:right w:val="nil"/>
            </w:tcBorders>
            <w:shd w:val="clear" w:color="auto" w:fill="auto"/>
            <w:noWrap/>
            <w:vAlign w:val="bottom"/>
            <w:hideMark/>
          </w:tcPr>
          <w:p w14:paraId="1C513339" w14:textId="77777777" w:rsidR="00D50D0D" w:rsidRPr="0031023A" w:rsidRDefault="00D50D0D" w:rsidP="00A2716C">
            <w:pPr>
              <w:jc w:val="center"/>
              <w:rPr>
                <w:color w:val="000000"/>
              </w:rPr>
            </w:pPr>
            <w:r w:rsidRPr="0031023A">
              <w:rPr>
                <w:color w:val="000000"/>
              </w:rPr>
              <w:t>0.54172487</w:t>
            </w:r>
          </w:p>
        </w:tc>
      </w:tr>
      <w:tr w:rsidR="00D50D0D" w:rsidRPr="0031023A" w14:paraId="58D1400D" w14:textId="77777777" w:rsidTr="00A2716C">
        <w:trPr>
          <w:trHeight w:val="320"/>
        </w:trPr>
        <w:tc>
          <w:tcPr>
            <w:tcW w:w="3150" w:type="dxa"/>
            <w:tcBorders>
              <w:top w:val="nil"/>
              <w:left w:val="nil"/>
              <w:bottom w:val="nil"/>
              <w:right w:val="nil"/>
            </w:tcBorders>
            <w:shd w:val="clear" w:color="auto" w:fill="auto"/>
            <w:noWrap/>
            <w:vAlign w:val="bottom"/>
            <w:hideMark/>
          </w:tcPr>
          <w:p w14:paraId="561C5A16" w14:textId="77777777" w:rsidR="00D50D0D" w:rsidRPr="0031023A" w:rsidRDefault="00D50D0D" w:rsidP="00A2716C">
            <w:pPr>
              <w:jc w:val="center"/>
              <w:rPr>
                <w:color w:val="000000"/>
              </w:rPr>
            </w:pPr>
            <w:r w:rsidRPr="0031023A">
              <w:rPr>
                <w:color w:val="000000"/>
              </w:rPr>
              <w:t>60% Rainfall Exclusion</w:t>
            </w:r>
          </w:p>
        </w:tc>
        <w:tc>
          <w:tcPr>
            <w:tcW w:w="550" w:type="dxa"/>
            <w:tcBorders>
              <w:top w:val="nil"/>
              <w:left w:val="nil"/>
              <w:bottom w:val="nil"/>
              <w:right w:val="nil"/>
            </w:tcBorders>
            <w:shd w:val="clear" w:color="auto" w:fill="auto"/>
            <w:noWrap/>
            <w:vAlign w:val="bottom"/>
            <w:hideMark/>
          </w:tcPr>
          <w:p w14:paraId="18B8F14F" w14:textId="77777777" w:rsidR="00D50D0D" w:rsidRPr="0031023A" w:rsidRDefault="00D50D0D" w:rsidP="00A2716C">
            <w:pPr>
              <w:jc w:val="center"/>
              <w:rPr>
                <w:color w:val="000000"/>
              </w:rPr>
            </w:pPr>
            <w:r w:rsidRPr="0031023A">
              <w:rPr>
                <w:color w:val="000000"/>
              </w:rPr>
              <w:t>1</w:t>
            </w:r>
          </w:p>
        </w:tc>
        <w:tc>
          <w:tcPr>
            <w:tcW w:w="1356" w:type="dxa"/>
            <w:tcBorders>
              <w:top w:val="nil"/>
              <w:left w:val="nil"/>
              <w:bottom w:val="nil"/>
              <w:right w:val="nil"/>
            </w:tcBorders>
            <w:shd w:val="clear" w:color="auto" w:fill="auto"/>
            <w:noWrap/>
            <w:vAlign w:val="bottom"/>
            <w:hideMark/>
          </w:tcPr>
          <w:p w14:paraId="0A0E2C15" w14:textId="77777777" w:rsidR="00D50D0D" w:rsidRPr="0031023A" w:rsidRDefault="00D50D0D" w:rsidP="00A2716C">
            <w:pPr>
              <w:jc w:val="center"/>
              <w:rPr>
                <w:color w:val="000000"/>
              </w:rPr>
            </w:pPr>
            <w:r w:rsidRPr="0031023A">
              <w:rPr>
                <w:color w:val="000000"/>
              </w:rPr>
              <w:t>0.50138506</w:t>
            </w:r>
          </w:p>
        </w:tc>
        <w:tc>
          <w:tcPr>
            <w:tcW w:w="1356" w:type="dxa"/>
            <w:tcBorders>
              <w:top w:val="nil"/>
              <w:left w:val="nil"/>
              <w:bottom w:val="nil"/>
              <w:right w:val="nil"/>
            </w:tcBorders>
            <w:shd w:val="clear" w:color="auto" w:fill="auto"/>
            <w:noWrap/>
            <w:vAlign w:val="bottom"/>
            <w:hideMark/>
          </w:tcPr>
          <w:p w14:paraId="5CBDE6F0" w14:textId="77777777" w:rsidR="00D50D0D" w:rsidRPr="0031023A" w:rsidRDefault="00D50D0D" w:rsidP="00A2716C">
            <w:pPr>
              <w:jc w:val="center"/>
              <w:rPr>
                <w:color w:val="000000"/>
              </w:rPr>
            </w:pPr>
            <w:r w:rsidRPr="0031023A">
              <w:rPr>
                <w:color w:val="000000"/>
              </w:rPr>
              <w:t>0.50599399</w:t>
            </w:r>
          </w:p>
        </w:tc>
        <w:tc>
          <w:tcPr>
            <w:tcW w:w="1356" w:type="dxa"/>
            <w:tcBorders>
              <w:top w:val="nil"/>
              <w:left w:val="nil"/>
              <w:bottom w:val="nil"/>
              <w:right w:val="nil"/>
            </w:tcBorders>
            <w:shd w:val="clear" w:color="auto" w:fill="auto"/>
            <w:noWrap/>
            <w:vAlign w:val="bottom"/>
            <w:hideMark/>
          </w:tcPr>
          <w:p w14:paraId="7C515FB3" w14:textId="77777777" w:rsidR="00D50D0D" w:rsidRPr="0031023A" w:rsidRDefault="00D50D0D" w:rsidP="00A2716C">
            <w:pPr>
              <w:jc w:val="center"/>
              <w:rPr>
                <w:color w:val="000000"/>
              </w:rPr>
            </w:pPr>
            <w:r w:rsidRPr="0031023A">
              <w:rPr>
                <w:color w:val="000000"/>
              </w:rPr>
              <w:t>0.51035388</w:t>
            </w:r>
          </w:p>
        </w:tc>
      </w:tr>
      <w:tr w:rsidR="00D50D0D" w:rsidRPr="0031023A" w14:paraId="3DFC199A" w14:textId="77777777" w:rsidTr="00A2716C">
        <w:trPr>
          <w:trHeight w:val="320"/>
        </w:trPr>
        <w:tc>
          <w:tcPr>
            <w:tcW w:w="3150" w:type="dxa"/>
            <w:tcBorders>
              <w:top w:val="nil"/>
              <w:left w:val="nil"/>
              <w:bottom w:val="single" w:sz="4" w:space="0" w:color="auto"/>
              <w:right w:val="nil"/>
            </w:tcBorders>
            <w:shd w:val="clear" w:color="auto" w:fill="auto"/>
            <w:noWrap/>
            <w:vAlign w:val="bottom"/>
            <w:hideMark/>
          </w:tcPr>
          <w:p w14:paraId="6E930D75" w14:textId="77777777" w:rsidR="00D50D0D" w:rsidRPr="0031023A" w:rsidRDefault="00D50D0D" w:rsidP="00A2716C">
            <w:pPr>
              <w:jc w:val="center"/>
              <w:rPr>
                <w:color w:val="000000"/>
              </w:rPr>
            </w:pPr>
            <w:r w:rsidRPr="0031023A">
              <w:rPr>
                <w:color w:val="000000"/>
              </w:rPr>
              <w:t>80% Rainfall Exclusion</w:t>
            </w:r>
          </w:p>
        </w:tc>
        <w:tc>
          <w:tcPr>
            <w:tcW w:w="550" w:type="dxa"/>
            <w:tcBorders>
              <w:top w:val="nil"/>
              <w:left w:val="nil"/>
              <w:bottom w:val="single" w:sz="4" w:space="0" w:color="auto"/>
              <w:right w:val="nil"/>
            </w:tcBorders>
            <w:shd w:val="clear" w:color="auto" w:fill="auto"/>
            <w:noWrap/>
            <w:vAlign w:val="bottom"/>
            <w:hideMark/>
          </w:tcPr>
          <w:p w14:paraId="1A78406F" w14:textId="77777777" w:rsidR="00D50D0D" w:rsidRPr="0031023A" w:rsidRDefault="00D50D0D" w:rsidP="00A2716C">
            <w:pPr>
              <w:jc w:val="center"/>
              <w:rPr>
                <w:color w:val="000000"/>
              </w:rPr>
            </w:pPr>
            <w:r w:rsidRPr="0031023A">
              <w:rPr>
                <w:color w:val="000000"/>
              </w:rPr>
              <w:t>1</w:t>
            </w:r>
          </w:p>
        </w:tc>
        <w:tc>
          <w:tcPr>
            <w:tcW w:w="1356" w:type="dxa"/>
            <w:tcBorders>
              <w:top w:val="nil"/>
              <w:left w:val="nil"/>
              <w:bottom w:val="single" w:sz="4" w:space="0" w:color="auto"/>
              <w:right w:val="nil"/>
            </w:tcBorders>
            <w:shd w:val="clear" w:color="auto" w:fill="auto"/>
            <w:noWrap/>
            <w:vAlign w:val="bottom"/>
            <w:hideMark/>
          </w:tcPr>
          <w:p w14:paraId="124CB0C7" w14:textId="77777777" w:rsidR="00D50D0D" w:rsidRPr="0031023A" w:rsidRDefault="00D50D0D" w:rsidP="00A2716C">
            <w:pPr>
              <w:jc w:val="center"/>
              <w:rPr>
                <w:color w:val="000000"/>
              </w:rPr>
            </w:pPr>
            <w:r w:rsidRPr="0031023A">
              <w:rPr>
                <w:color w:val="000000"/>
              </w:rPr>
              <w:t>0.46977598</w:t>
            </w:r>
          </w:p>
        </w:tc>
        <w:tc>
          <w:tcPr>
            <w:tcW w:w="1356" w:type="dxa"/>
            <w:tcBorders>
              <w:top w:val="nil"/>
              <w:left w:val="nil"/>
              <w:bottom w:val="single" w:sz="4" w:space="0" w:color="auto"/>
              <w:right w:val="nil"/>
            </w:tcBorders>
            <w:shd w:val="clear" w:color="auto" w:fill="auto"/>
            <w:noWrap/>
            <w:vAlign w:val="bottom"/>
            <w:hideMark/>
          </w:tcPr>
          <w:p w14:paraId="23267C97" w14:textId="77777777" w:rsidR="00D50D0D" w:rsidRPr="0031023A" w:rsidRDefault="00D50D0D" w:rsidP="00A2716C">
            <w:pPr>
              <w:jc w:val="center"/>
              <w:rPr>
                <w:color w:val="000000"/>
              </w:rPr>
            </w:pPr>
            <w:r w:rsidRPr="0031023A">
              <w:rPr>
                <w:color w:val="000000"/>
              </w:rPr>
              <w:t>0.47385852</w:t>
            </w:r>
          </w:p>
        </w:tc>
        <w:tc>
          <w:tcPr>
            <w:tcW w:w="1356" w:type="dxa"/>
            <w:tcBorders>
              <w:top w:val="nil"/>
              <w:left w:val="nil"/>
              <w:bottom w:val="single" w:sz="4" w:space="0" w:color="auto"/>
              <w:right w:val="nil"/>
            </w:tcBorders>
            <w:shd w:val="clear" w:color="auto" w:fill="auto"/>
            <w:noWrap/>
            <w:vAlign w:val="bottom"/>
            <w:hideMark/>
          </w:tcPr>
          <w:p w14:paraId="16866C79" w14:textId="77777777" w:rsidR="00D50D0D" w:rsidRPr="0031023A" w:rsidRDefault="00D50D0D" w:rsidP="00A2716C">
            <w:pPr>
              <w:jc w:val="center"/>
              <w:rPr>
                <w:color w:val="000000"/>
              </w:rPr>
            </w:pPr>
            <w:r w:rsidRPr="0031023A">
              <w:rPr>
                <w:color w:val="000000"/>
              </w:rPr>
              <w:t>0.47839153</w:t>
            </w:r>
          </w:p>
        </w:tc>
      </w:tr>
      <w:tr w:rsidR="00D50D0D" w:rsidRPr="0031023A" w14:paraId="721BBCEB" w14:textId="77777777" w:rsidTr="00A2716C">
        <w:trPr>
          <w:trHeight w:val="320"/>
        </w:trPr>
        <w:tc>
          <w:tcPr>
            <w:tcW w:w="3150" w:type="dxa"/>
            <w:tcBorders>
              <w:top w:val="nil"/>
              <w:left w:val="nil"/>
              <w:bottom w:val="nil"/>
              <w:right w:val="nil"/>
            </w:tcBorders>
            <w:shd w:val="clear" w:color="auto" w:fill="auto"/>
            <w:noWrap/>
            <w:vAlign w:val="bottom"/>
            <w:hideMark/>
          </w:tcPr>
          <w:p w14:paraId="0B6EF2E7" w14:textId="77777777" w:rsidR="00D50D0D" w:rsidRPr="0031023A" w:rsidRDefault="00D50D0D" w:rsidP="00A2716C">
            <w:pPr>
              <w:jc w:val="center"/>
              <w:rPr>
                <w:color w:val="000000"/>
              </w:rPr>
            </w:pPr>
            <w:r w:rsidRPr="0031023A">
              <w:rPr>
                <w:color w:val="000000"/>
              </w:rPr>
              <w:t>Cont</w:t>
            </w:r>
            <w:r>
              <w:rPr>
                <w:color w:val="000000"/>
              </w:rPr>
              <w:t>r</w:t>
            </w:r>
            <w:r w:rsidRPr="0031023A">
              <w:rPr>
                <w:color w:val="000000"/>
              </w:rPr>
              <w:t>ol</w:t>
            </w:r>
          </w:p>
        </w:tc>
        <w:tc>
          <w:tcPr>
            <w:tcW w:w="550" w:type="dxa"/>
            <w:tcBorders>
              <w:top w:val="nil"/>
              <w:left w:val="nil"/>
              <w:bottom w:val="nil"/>
              <w:right w:val="nil"/>
            </w:tcBorders>
            <w:shd w:val="clear" w:color="auto" w:fill="auto"/>
            <w:noWrap/>
            <w:vAlign w:val="bottom"/>
            <w:hideMark/>
          </w:tcPr>
          <w:p w14:paraId="3A69461C" w14:textId="77777777" w:rsidR="00D50D0D" w:rsidRPr="0031023A" w:rsidRDefault="00D50D0D" w:rsidP="00A2716C">
            <w:pPr>
              <w:jc w:val="center"/>
              <w:rPr>
                <w:color w:val="000000"/>
              </w:rPr>
            </w:pPr>
            <w:r w:rsidRPr="0031023A">
              <w:rPr>
                <w:color w:val="000000"/>
              </w:rPr>
              <w:t>2</w:t>
            </w:r>
          </w:p>
        </w:tc>
        <w:tc>
          <w:tcPr>
            <w:tcW w:w="1356" w:type="dxa"/>
            <w:tcBorders>
              <w:top w:val="nil"/>
              <w:left w:val="nil"/>
              <w:bottom w:val="nil"/>
              <w:right w:val="nil"/>
            </w:tcBorders>
            <w:shd w:val="clear" w:color="auto" w:fill="auto"/>
            <w:noWrap/>
            <w:vAlign w:val="bottom"/>
            <w:hideMark/>
          </w:tcPr>
          <w:p w14:paraId="73B370DE" w14:textId="77777777" w:rsidR="00D50D0D" w:rsidRPr="0031023A" w:rsidRDefault="00D50D0D" w:rsidP="00A2716C">
            <w:pPr>
              <w:jc w:val="center"/>
              <w:rPr>
                <w:color w:val="000000"/>
              </w:rPr>
            </w:pPr>
            <w:r w:rsidRPr="0031023A">
              <w:rPr>
                <w:color w:val="000000"/>
              </w:rPr>
              <w:t>0.55119761</w:t>
            </w:r>
          </w:p>
        </w:tc>
        <w:tc>
          <w:tcPr>
            <w:tcW w:w="1356" w:type="dxa"/>
            <w:tcBorders>
              <w:top w:val="nil"/>
              <w:left w:val="nil"/>
              <w:bottom w:val="nil"/>
              <w:right w:val="nil"/>
            </w:tcBorders>
            <w:shd w:val="clear" w:color="auto" w:fill="auto"/>
            <w:noWrap/>
            <w:vAlign w:val="bottom"/>
            <w:hideMark/>
          </w:tcPr>
          <w:p w14:paraId="45FDE68A" w14:textId="77777777" w:rsidR="00D50D0D" w:rsidRPr="0031023A" w:rsidRDefault="00D50D0D" w:rsidP="00A2716C">
            <w:pPr>
              <w:jc w:val="center"/>
              <w:rPr>
                <w:color w:val="000000"/>
              </w:rPr>
            </w:pPr>
            <w:r w:rsidRPr="0031023A">
              <w:rPr>
                <w:color w:val="000000"/>
              </w:rPr>
              <w:t>0.55774974</w:t>
            </w:r>
          </w:p>
        </w:tc>
        <w:tc>
          <w:tcPr>
            <w:tcW w:w="1356" w:type="dxa"/>
            <w:tcBorders>
              <w:top w:val="nil"/>
              <w:left w:val="nil"/>
              <w:bottom w:val="nil"/>
              <w:right w:val="nil"/>
            </w:tcBorders>
            <w:shd w:val="clear" w:color="auto" w:fill="auto"/>
            <w:noWrap/>
            <w:vAlign w:val="bottom"/>
            <w:hideMark/>
          </w:tcPr>
          <w:p w14:paraId="38821992" w14:textId="77777777" w:rsidR="00D50D0D" w:rsidRPr="0031023A" w:rsidRDefault="00D50D0D" w:rsidP="00A2716C">
            <w:pPr>
              <w:jc w:val="center"/>
              <w:rPr>
                <w:color w:val="000000"/>
              </w:rPr>
            </w:pPr>
            <w:r w:rsidRPr="0031023A">
              <w:rPr>
                <w:color w:val="000000"/>
              </w:rPr>
              <w:t>0.56370942</w:t>
            </w:r>
          </w:p>
        </w:tc>
      </w:tr>
      <w:tr w:rsidR="00D50D0D" w:rsidRPr="0031023A" w14:paraId="1877F562" w14:textId="77777777" w:rsidTr="00A2716C">
        <w:trPr>
          <w:trHeight w:val="320"/>
        </w:trPr>
        <w:tc>
          <w:tcPr>
            <w:tcW w:w="3150" w:type="dxa"/>
            <w:tcBorders>
              <w:top w:val="nil"/>
              <w:left w:val="nil"/>
              <w:bottom w:val="nil"/>
              <w:right w:val="nil"/>
            </w:tcBorders>
            <w:shd w:val="clear" w:color="auto" w:fill="auto"/>
            <w:noWrap/>
            <w:vAlign w:val="bottom"/>
            <w:hideMark/>
          </w:tcPr>
          <w:p w14:paraId="2D2B7D22" w14:textId="77777777" w:rsidR="00D50D0D" w:rsidRPr="0031023A" w:rsidRDefault="00D50D0D" w:rsidP="00A2716C">
            <w:pPr>
              <w:jc w:val="center"/>
              <w:rPr>
                <w:color w:val="000000"/>
              </w:rPr>
            </w:pPr>
            <w:r w:rsidRPr="0031023A">
              <w:rPr>
                <w:color w:val="000000"/>
              </w:rPr>
              <w:t>60% Rainfall Exclusion</w:t>
            </w:r>
          </w:p>
        </w:tc>
        <w:tc>
          <w:tcPr>
            <w:tcW w:w="550" w:type="dxa"/>
            <w:tcBorders>
              <w:top w:val="nil"/>
              <w:left w:val="nil"/>
              <w:bottom w:val="nil"/>
              <w:right w:val="nil"/>
            </w:tcBorders>
            <w:shd w:val="clear" w:color="auto" w:fill="auto"/>
            <w:noWrap/>
            <w:vAlign w:val="bottom"/>
            <w:hideMark/>
          </w:tcPr>
          <w:p w14:paraId="786C3B45" w14:textId="77777777" w:rsidR="00D50D0D" w:rsidRPr="0031023A" w:rsidRDefault="00D50D0D" w:rsidP="00A2716C">
            <w:pPr>
              <w:jc w:val="center"/>
              <w:rPr>
                <w:color w:val="000000"/>
              </w:rPr>
            </w:pPr>
            <w:r w:rsidRPr="0031023A">
              <w:rPr>
                <w:color w:val="000000"/>
              </w:rPr>
              <w:t>2</w:t>
            </w:r>
          </w:p>
        </w:tc>
        <w:tc>
          <w:tcPr>
            <w:tcW w:w="1356" w:type="dxa"/>
            <w:tcBorders>
              <w:top w:val="nil"/>
              <w:left w:val="nil"/>
              <w:bottom w:val="nil"/>
              <w:right w:val="nil"/>
            </w:tcBorders>
            <w:shd w:val="clear" w:color="auto" w:fill="auto"/>
            <w:noWrap/>
            <w:vAlign w:val="bottom"/>
            <w:hideMark/>
          </w:tcPr>
          <w:p w14:paraId="6B2AAF90" w14:textId="77777777" w:rsidR="00D50D0D" w:rsidRPr="0031023A" w:rsidRDefault="00D50D0D" w:rsidP="00A2716C">
            <w:pPr>
              <w:jc w:val="center"/>
              <w:rPr>
                <w:color w:val="000000"/>
              </w:rPr>
            </w:pPr>
            <w:r w:rsidRPr="0031023A">
              <w:rPr>
                <w:color w:val="000000"/>
              </w:rPr>
              <w:t>0.53881832</w:t>
            </w:r>
          </w:p>
        </w:tc>
        <w:tc>
          <w:tcPr>
            <w:tcW w:w="1356" w:type="dxa"/>
            <w:tcBorders>
              <w:top w:val="nil"/>
              <w:left w:val="nil"/>
              <w:bottom w:val="nil"/>
              <w:right w:val="nil"/>
            </w:tcBorders>
            <w:shd w:val="clear" w:color="auto" w:fill="auto"/>
            <w:noWrap/>
            <w:vAlign w:val="bottom"/>
            <w:hideMark/>
          </w:tcPr>
          <w:p w14:paraId="5F9E1DEC" w14:textId="77777777" w:rsidR="00D50D0D" w:rsidRPr="0031023A" w:rsidRDefault="00D50D0D" w:rsidP="00A2716C">
            <w:pPr>
              <w:jc w:val="center"/>
              <w:rPr>
                <w:color w:val="000000"/>
              </w:rPr>
            </w:pPr>
            <w:r w:rsidRPr="0031023A">
              <w:rPr>
                <w:color w:val="000000"/>
              </w:rPr>
              <w:t>0.54517096</w:t>
            </w:r>
          </w:p>
        </w:tc>
        <w:tc>
          <w:tcPr>
            <w:tcW w:w="1356" w:type="dxa"/>
            <w:tcBorders>
              <w:top w:val="nil"/>
              <w:left w:val="nil"/>
              <w:bottom w:val="nil"/>
              <w:right w:val="nil"/>
            </w:tcBorders>
            <w:shd w:val="clear" w:color="auto" w:fill="auto"/>
            <w:noWrap/>
            <w:vAlign w:val="bottom"/>
            <w:hideMark/>
          </w:tcPr>
          <w:p w14:paraId="4FEED541" w14:textId="77777777" w:rsidR="00D50D0D" w:rsidRPr="0031023A" w:rsidRDefault="00D50D0D" w:rsidP="00A2716C">
            <w:pPr>
              <w:jc w:val="center"/>
              <w:rPr>
                <w:color w:val="000000"/>
              </w:rPr>
            </w:pPr>
            <w:r w:rsidRPr="0031023A">
              <w:rPr>
                <w:color w:val="000000"/>
              </w:rPr>
              <w:t>0.55213499</w:t>
            </w:r>
          </w:p>
        </w:tc>
      </w:tr>
      <w:tr w:rsidR="00D50D0D" w:rsidRPr="0031023A" w14:paraId="5759C551" w14:textId="77777777" w:rsidTr="00A2716C">
        <w:trPr>
          <w:trHeight w:val="320"/>
        </w:trPr>
        <w:tc>
          <w:tcPr>
            <w:tcW w:w="3150" w:type="dxa"/>
            <w:tcBorders>
              <w:top w:val="nil"/>
              <w:left w:val="nil"/>
              <w:bottom w:val="single" w:sz="4" w:space="0" w:color="auto"/>
              <w:right w:val="nil"/>
            </w:tcBorders>
            <w:shd w:val="clear" w:color="auto" w:fill="auto"/>
            <w:noWrap/>
            <w:vAlign w:val="bottom"/>
            <w:hideMark/>
          </w:tcPr>
          <w:p w14:paraId="4D0D711D" w14:textId="77777777" w:rsidR="00D50D0D" w:rsidRPr="0031023A" w:rsidRDefault="00D50D0D" w:rsidP="00A2716C">
            <w:pPr>
              <w:jc w:val="center"/>
              <w:rPr>
                <w:color w:val="000000"/>
              </w:rPr>
            </w:pPr>
            <w:r w:rsidRPr="0031023A">
              <w:rPr>
                <w:color w:val="000000"/>
              </w:rPr>
              <w:t>80% Rainfall Exclusion</w:t>
            </w:r>
          </w:p>
        </w:tc>
        <w:tc>
          <w:tcPr>
            <w:tcW w:w="550" w:type="dxa"/>
            <w:tcBorders>
              <w:top w:val="nil"/>
              <w:left w:val="nil"/>
              <w:bottom w:val="single" w:sz="4" w:space="0" w:color="auto"/>
              <w:right w:val="nil"/>
            </w:tcBorders>
            <w:shd w:val="clear" w:color="auto" w:fill="auto"/>
            <w:noWrap/>
            <w:vAlign w:val="bottom"/>
            <w:hideMark/>
          </w:tcPr>
          <w:p w14:paraId="17B94E70" w14:textId="77777777" w:rsidR="00D50D0D" w:rsidRPr="0031023A" w:rsidRDefault="00D50D0D" w:rsidP="00A2716C">
            <w:pPr>
              <w:jc w:val="center"/>
              <w:rPr>
                <w:color w:val="000000"/>
              </w:rPr>
            </w:pPr>
            <w:r w:rsidRPr="0031023A">
              <w:rPr>
                <w:color w:val="000000"/>
              </w:rPr>
              <w:t>2</w:t>
            </w:r>
          </w:p>
        </w:tc>
        <w:tc>
          <w:tcPr>
            <w:tcW w:w="1356" w:type="dxa"/>
            <w:tcBorders>
              <w:top w:val="nil"/>
              <w:left w:val="nil"/>
              <w:bottom w:val="single" w:sz="4" w:space="0" w:color="auto"/>
              <w:right w:val="nil"/>
            </w:tcBorders>
            <w:shd w:val="clear" w:color="auto" w:fill="auto"/>
            <w:noWrap/>
            <w:vAlign w:val="bottom"/>
            <w:hideMark/>
          </w:tcPr>
          <w:p w14:paraId="3B02DD8E" w14:textId="77777777" w:rsidR="00D50D0D" w:rsidRPr="0031023A" w:rsidRDefault="00D50D0D" w:rsidP="00A2716C">
            <w:pPr>
              <w:jc w:val="center"/>
              <w:rPr>
                <w:color w:val="000000"/>
              </w:rPr>
            </w:pPr>
            <w:r w:rsidRPr="0031023A">
              <w:rPr>
                <w:color w:val="000000"/>
              </w:rPr>
              <w:t>0.47776426</w:t>
            </w:r>
          </w:p>
        </w:tc>
        <w:tc>
          <w:tcPr>
            <w:tcW w:w="1356" w:type="dxa"/>
            <w:tcBorders>
              <w:top w:val="nil"/>
              <w:left w:val="nil"/>
              <w:bottom w:val="single" w:sz="4" w:space="0" w:color="auto"/>
              <w:right w:val="nil"/>
            </w:tcBorders>
            <w:shd w:val="clear" w:color="auto" w:fill="auto"/>
            <w:noWrap/>
            <w:vAlign w:val="bottom"/>
            <w:hideMark/>
          </w:tcPr>
          <w:p w14:paraId="77FA5345" w14:textId="77777777" w:rsidR="00D50D0D" w:rsidRPr="0031023A" w:rsidRDefault="00D50D0D" w:rsidP="00A2716C">
            <w:pPr>
              <w:jc w:val="center"/>
              <w:rPr>
                <w:color w:val="000000"/>
              </w:rPr>
            </w:pPr>
            <w:r w:rsidRPr="0031023A">
              <w:rPr>
                <w:color w:val="000000"/>
              </w:rPr>
              <w:t>0.48345965</w:t>
            </w:r>
          </w:p>
        </w:tc>
        <w:tc>
          <w:tcPr>
            <w:tcW w:w="1356" w:type="dxa"/>
            <w:tcBorders>
              <w:top w:val="nil"/>
              <w:left w:val="nil"/>
              <w:bottom w:val="single" w:sz="4" w:space="0" w:color="auto"/>
              <w:right w:val="nil"/>
            </w:tcBorders>
            <w:shd w:val="clear" w:color="auto" w:fill="auto"/>
            <w:noWrap/>
            <w:vAlign w:val="bottom"/>
            <w:hideMark/>
          </w:tcPr>
          <w:p w14:paraId="5959713B" w14:textId="77777777" w:rsidR="00D50D0D" w:rsidRPr="0031023A" w:rsidRDefault="00D50D0D" w:rsidP="00A2716C">
            <w:pPr>
              <w:jc w:val="center"/>
              <w:rPr>
                <w:color w:val="000000"/>
              </w:rPr>
            </w:pPr>
            <w:r w:rsidRPr="0031023A">
              <w:rPr>
                <w:color w:val="000000"/>
              </w:rPr>
              <w:t>0.48921868</w:t>
            </w:r>
          </w:p>
        </w:tc>
      </w:tr>
    </w:tbl>
    <w:p w14:paraId="1F4DAC33" w14:textId="77777777" w:rsidR="008C31C1" w:rsidRDefault="008C31C1">
      <w:pPr>
        <w:rPr>
          <w:noProof/>
        </w:rPr>
      </w:pPr>
      <w:r>
        <w:rPr>
          <w:noProof/>
        </w:rPr>
        <w:br w:type="page"/>
      </w:r>
    </w:p>
    <w:p w14:paraId="6B447DED" w14:textId="0D75902F" w:rsidR="00F0429A" w:rsidRPr="00F0429A" w:rsidRDefault="00F0429A" w:rsidP="00606400">
      <w:pPr>
        <w:pStyle w:val="Subtitle"/>
        <w:rPr>
          <w:color w:val="000000"/>
        </w:rPr>
      </w:pPr>
      <w:bookmarkStart w:id="125" w:name="_Toc102118713"/>
      <w:r w:rsidRPr="00F0429A">
        <w:lastRenderedPageBreak/>
        <w:t xml:space="preserve">Appendix Table 3. Independent, noncorrelated climate variables included in each </w:t>
      </w:r>
      <w:proofErr w:type="spellStart"/>
      <w:r w:rsidRPr="00F0429A">
        <w:t>MaxEnt</w:t>
      </w:r>
      <w:proofErr w:type="spellEnd"/>
      <w:r w:rsidRPr="00F0429A">
        <w:t xml:space="preserve"> model per climate scenario based on a multicollinear test at a 0.7 threshold.</w:t>
      </w:r>
      <w:bookmarkEnd w:id="125"/>
      <w:r w:rsidRPr="00F0429A">
        <w:t xml:space="preserve"> </w:t>
      </w:r>
    </w:p>
    <w:tbl>
      <w:tblPr>
        <w:tblW w:w="7900" w:type="dxa"/>
        <w:tblLook w:val="04A0" w:firstRow="1" w:lastRow="0" w:firstColumn="1" w:lastColumn="0" w:noHBand="0" w:noVBand="1"/>
      </w:tblPr>
      <w:tblGrid>
        <w:gridCol w:w="2770"/>
        <w:gridCol w:w="777"/>
        <w:gridCol w:w="1030"/>
        <w:gridCol w:w="990"/>
        <w:gridCol w:w="1030"/>
        <w:gridCol w:w="990"/>
        <w:gridCol w:w="550"/>
      </w:tblGrid>
      <w:tr w:rsidR="00F0429A" w14:paraId="640A8BCC" w14:textId="77777777" w:rsidTr="00A2716C">
        <w:trPr>
          <w:trHeight w:val="320"/>
        </w:trPr>
        <w:tc>
          <w:tcPr>
            <w:tcW w:w="27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FE9E4" w14:textId="77777777" w:rsidR="00F0429A" w:rsidRDefault="00F0429A" w:rsidP="00CE3585">
            <w:pPr>
              <w:jc w:val="center"/>
              <w:rPr>
                <w:b/>
                <w:bCs/>
                <w:color w:val="000000"/>
              </w:rPr>
            </w:pPr>
            <w:r>
              <w:rPr>
                <w:b/>
                <w:bCs/>
                <w:color w:val="000000"/>
              </w:rPr>
              <w:t>Climate baseline</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3ADCAA91" w14:textId="6A1ADC8C" w:rsidR="00F0429A" w:rsidRDefault="00F0429A" w:rsidP="00CE3585">
            <w:pPr>
              <w:jc w:val="center"/>
              <w:rPr>
                <w:color w:val="000000"/>
              </w:rPr>
            </w:pPr>
            <w:r>
              <w:rPr>
                <w:color w:val="000000"/>
              </w:rPr>
              <w:t>CMD</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3E88553E" w14:textId="238BE3D8" w:rsidR="00F0429A" w:rsidRDefault="00F0429A" w:rsidP="00CE3585">
            <w:pPr>
              <w:jc w:val="center"/>
              <w:rPr>
                <w:color w:val="000000"/>
              </w:rPr>
            </w:pPr>
            <w:r>
              <w:rPr>
                <w:color w:val="000000"/>
              </w:rPr>
              <w:t>PAS</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0F3AF9D4" w14:textId="48B0880C" w:rsidR="00F0429A" w:rsidRDefault="00F0429A" w:rsidP="00CE3585">
            <w:pPr>
              <w:jc w:val="center"/>
              <w:rPr>
                <w:color w:val="000000"/>
              </w:rPr>
            </w:pPr>
            <w:proofErr w:type="spellStart"/>
            <w:r>
              <w:rPr>
                <w:color w:val="000000"/>
              </w:rPr>
              <w:t>PPT_wt</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648EE65F" w14:textId="77777777" w:rsidR="00F0429A" w:rsidRDefault="00F0429A" w:rsidP="00CE3585">
            <w:pPr>
              <w:jc w:val="center"/>
              <w:rPr>
                <w:color w:val="000000"/>
              </w:rPr>
            </w:pPr>
            <w:r>
              <w:rPr>
                <w:color w:val="000000"/>
              </w:rPr>
              <w:t>RH</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14:paraId="5928B8BB" w14:textId="375FFF23" w:rsidR="00F0429A" w:rsidRDefault="00F0429A" w:rsidP="00CE3585">
            <w:pPr>
              <w:jc w:val="center"/>
              <w:rPr>
                <w:color w:val="000000"/>
              </w:rPr>
            </w:pPr>
            <w:r>
              <w:rPr>
                <w:color w:val="000000"/>
              </w:rPr>
              <w:t>TD</w:t>
            </w:r>
          </w:p>
        </w:tc>
        <w:tc>
          <w:tcPr>
            <w:tcW w:w="520" w:type="dxa"/>
            <w:tcBorders>
              <w:top w:val="single" w:sz="4" w:space="0" w:color="auto"/>
              <w:left w:val="nil"/>
              <w:bottom w:val="single" w:sz="4" w:space="0" w:color="auto"/>
              <w:right w:val="single" w:sz="4" w:space="0" w:color="auto"/>
            </w:tcBorders>
            <w:shd w:val="clear" w:color="auto" w:fill="auto"/>
            <w:noWrap/>
            <w:vAlign w:val="bottom"/>
            <w:hideMark/>
          </w:tcPr>
          <w:p w14:paraId="0A43BF32" w14:textId="78CBC631" w:rsidR="00F0429A" w:rsidRDefault="00F0429A" w:rsidP="00CE3585">
            <w:pPr>
              <w:jc w:val="center"/>
              <w:rPr>
                <w:color w:val="000000"/>
              </w:rPr>
            </w:pPr>
            <w:r>
              <w:rPr>
                <w:color w:val="000000"/>
              </w:rPr>
              <w:t>--</w:t>
            </w:r>
          </w:p>
        </w:tc>
      </w:tr>
      <w:tr w:rsidR="00F0429A" w14:paraId="21906229"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03A1F884" w14:textId="77777777" w:rsidR="00F0429A" w:rsidRDefault="00F0429A" w:rsidP="00CE3585">
            <w:pPr>
              <w:jc w:val="center"/>
              <w:rPr>
                <w:b/>
                <w:bCs/>
                <w:color w:val="000000"/>
              </w:rPr>
            </w:pPr>
            <w:r>
              <w:rPr>
                <w:b/>
                <w:bCs/>
                <w:color w:val="000000"/>
              </w:rPr>
              <w:t>INM.CM4_rcp45_2055</w:t>
            </w:r>
          </w:p>
        </w:tc>
        <w:tc>
          <w:tcPr>
            <w:tcW w:w="760" w:type="dxa"/>
            <w:tcBorders>
              <w:top w:val="nil"/>
              <w:left w:val="nil"/>
              <w:bottom w:val="single" w:sz="4" w:space="0" w:color="auto"/>
              <w:right w:val="single" w:sz="4" w:space="0" w:color="auto"/>
            </w:tcBorders>
            <w:shd w:val="clear" w:color="auto" w:fill="auto"/>
            <w:noWrap/>
            <w:vAlign w:val="bottom"/>
            <w:hideMark/>
          </w:tcPr>
          <w:p w14:paraId="77C7868A" w14:textId="3C7F35E5"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3C814AE1" w14:textId="774361D6" w:rsidR="00F0429A" w:rsidRDefault="00F0429A" w:rsidP="00CE3585">
            <w:pPr>
              <w:jc w:val="center"/>
              <w:rPr>
                <w:color w:val="000000"/>
              </w:rPr>
            </w:pPr>
            <w:proofErr w:type="spellStart"/>
            <w:r>
              <w:rPr>
                <w:color w:val="000000"/>
              </w:rPr>
              <w:t>PPT_wt</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47225F32" w14:textId="77777777" w:rsidR="00F0429A" w:rsidRDefault="00F0429A" w:rsidP="00CE3585">
            <w:pPr>
              <w:jc w:val="center"/>
              <w:rPr>
                <w:color w:val="000000"/>
              </w:rPr>
            </w:pPr>
            <w:r>
              <w:rPr>
                <w:color w:val="000000"/>
              </w:rPr>
              <w:t>RH</w:t>
            </w:r>
          </w:p>
        </w:tc>
        <w:tc>
          <w:tcPr>
            <w:tcW w:w="960" w:type="dxa"/>
            <w:tcBorders>
              <w:top w:val="nil"/>
              <w:left w:val="nil"/>
              <w:bottom w:val="single" w:sz="4" w:space="0" w:color="auto"/>
              <w:right w:val="single" w:sz="4" w:space="0" w:color="auto"/>
            </w:tcBorders>
            <w:shd w:val="clear" w:color="auto" w:fill="auto"/>
            <w:noWrap/>
            <w:vAlign w:val="bottom"/>
            <w:hideMark/>
          </w:tcPr>
          <w:p w14:paraId="0CAAE99E" w14:textId="6F0D522A" w:rsidR="00F0429A" w:rsidRDefault="00F0429A" w:rsidP="00CE3585">
            <w:pPr>
              <w:jc w:val="center"/>
              <w:rPr>
                <w:color w:val="000000"/>
              </w:rPr>
            </w:pPr>
            <w:r>
              <w:rPr>
                <w:color w:val="000000"/>
              </w:rPr>
              <w:t>SHM</w:t>
            </w:r>
          </w:p>
        </w:tc>
        <w:tc>
          <w:tcPr>
            <w:tcW w:w="980" w:type="dxa"/>
            <w:tcBorders>
              <w:top w:val="nil"/>
              <w:left w:val="nil"/>
              <w:bottom w:val="single" w:sz="4" w:space="0" w:color="auto"/>
              <w:right w:val="single" w:sz="4" w:space="0" w:color="auto"/>
            </w:tcBorders>
            <w:shd w:val="clear" w:color="auto" w:fill="auto"/>
            <w:noWrap/>
            <w:vAlign w:val="bottom"/>
            <w:hideMark/>
          </w:tcPr>
          <w:p w14:paraId="13D10DD2" w14:textId="6D16062C"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560BE656" w14:textId="00F7BC00" w:rsidR="00F0429A" w:rsidRDefault="00F0429A" w:rsidP="00CE3585">
            <w:pPr>
              <w:jc w:val="center"/>
              <w:rPr>
                <w:color w:val="000000"/>
              </w:rPr>
            </w:pPr>
            <w:r>
              <w:rPr>
                <w:color w:val="000000"/>
              </w:rPr>
              <w:t>--</w:t>
            </w:r>
          </w:p>
        </w:tc>
      </w:tr>
      <w:tr w:rsidR="00F0429A" w14:paraId="1AC20226"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3B128E78" w14:textId="77777777" w:rsidR="00F0429A" w:rsidRDefault="00F0429A" w:rsidP="00CE3585">
            <w:pPr>
              <w:jc w:val="center"/>
              <w:rPr>
                <w:b/>
                <w:bCs/>
                <w:color w:val="000000"/>
              </w:rPr>
            </w:pPr>
            <w:r>
              <w:rPr>
                <w:b/>
                <w:bCs/>
                <w:color w:val="000000"/>
              </w:rPr>
              <w:t>INM.CM4_rcp45_2085</w:t>
            </w:r>
          </w:p>
        </w:tc>
        <w:tc>
          <w:tcPr>
            <w:tcW w:w="760" w:type="dxa"/>
            <w:tcBorders>
              <w:top w:val="nil"/>
              <w:left w:val="nil"/>
              <w:bottom w:val="single" w:sz="4" w:space="0" w:color="auto"/>
              <w:right w:val="single" w:sz="4" w:space="0" w:color="auto"/>
            </w:tcBorders>
            <w:shd w:val="clear" w:color="auto" w:fill="auto"/>
            <w:noWrap/>
            <w:vAlign w:val="bottom"/>
            <w:hideMark/>
          </w:tcPr>
          <w:p w14:paraId="51F067B0" w14:textId="3AF402C6"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0EC69977"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73FA2B7D" w14:textId="3E1B374E" w:rsidR="00F0429A" w:rsidRDefault="00F0429A" w:rsidP="00CE3585">
            <w:pPr>
              <w:jc w:val="center"/>
              <w:rPr>
                <w:color w:val="000000"/>
              </w:rPr>
            </w:pPr>
            <w:proofErr w:type="spellStart"/>
            <w:r>
              <w:rPr>
                <w:color w:val="000000"/>
              </w:rPr>
              <w:t>PPT_wt</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F6362A1" w14:textId="77777777" w:rsidR="00F0429A" w:rsidRDefault="00F0429A" w:rsidP="00CE3585">
            <w:pPr>
              <w:jc w:val="center"/>
              <w:rPr>
                <w:color w:val="000000"/>
              </w:rPr>
            </w:pPr>
            <w:r>
              <w:rPr>
                <w:color w:val="000000"/>
              </w:rPr>
              <w:t>RH</w:t>
            </w:r>
          </w:p>
        </w:tc>
        <w:tc>
          <w:tcPr>
            <w:tcW w:w="980" w:type="dxa"/>
            <w:tcBorders>
              <w:top w:val="nil"/>
              <w:left w:val="nil"/>
              <w:bottom w:val="single" w:sz="4" w:space="0" w:color="auto"/>
              <w:right w:val="single" w:sz="4" w:space="0" w:color="auto"/>
            </w:tcBorders>
            <w:shd w:val="clear" w:color="auto" w:fill="auto"/>
            <w:noWrap/>
            <w:vAlign w:val="bottom"/>
            <w:hideMark/>
          </w:tcPr>
          <w:p w14:paraId="02CB9D06" w14:textId="35257451"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58539D2F" w14:textId="78EC1E1D" w:rsidR="00F0429A" w:rsidRDefault="00F0429A" w:rsidP="00CE3585">
            <w:pPr>
              <w:jc w:val="center"/>
              <w:rPr>
                <w:color w:val="000000"/>
              </w:rPr>
            </w:pPr>
            <w:r>
              <w:rPr>
                <w:color w:val="000000"/>
              </w:rPr>
              <w:t>--</w:t>
            </w:r>
          </w:p>
        </w:tc>
      </w:tr>
      <w:tr w:rsidR="00F0429A" w14:paraId="24E55123"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1FD92FC4" w14:textId="77777777" w:rsidR="00F0429A" w:rsidRDefault="00F0429A" w:rsidP="00CE3585">
            <w:pPr>
              <w:jc w:val="center"/>
              <w:rPr>
                <w:b/>
                <w:bCs/>
                <w:color w:val="000000"/>
              </w:rPr>
            </w:pPr>
            <w:r>
              <w:rPr>
                <w:b/>
                <w:bCs/>
                <w:color w:val="000000"/>
              </w:rPr>
              <w:t>INM.CM4_rcp85_2055</w:t>
            </w:r>
          </w:p>
        </w:tc>
        <w:tc>
          <w:tcPr>
            <w:tcW w:w="760" w:type="dxa"/>
            <w:tcBorders>
              <w:top w:val="nil"/>
              <w:left w:val="nil"/>
              <w:bottom w:val="single" w:sz="4" w:space="0" w:color="auto"/>
              <w:right w:val="single" w:sz="4" w:space="0" w:color="auto"/>
            </w:tcBorders>
            <w:shd w:val="clear" w:color="auto" w:fill="auto"/>
            <w:noWrap/>
            <w:vAlign w:val="bottom"/>
            <w:hideMark/>
          </w:tcPr>
          <w:p w14:paraId="6A0A4260" w14:textId="154C44CF"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26A1445A"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13C8049E" w14:textId="29F87FDC" w:rsidR="00F0429A" w:rsidRDefault="00F0429A" w:rsidP="00CE3585">
            <w:pPr>
              <w:jc w:val="center"/>
              <w:rPr>
                <w:color w:val="000000"/>
              </w:rPr>
            </w:pPr>
            <w:proofErr w:type="spellStart"/>
            <w:r>
              <w:rPr>
                <w:color w:val="000000"/>
              </w:rPr>
              <w:t>PPT_wt</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7B65E5A8" w14:textId="77777777" w:rsidR="00F0429A" w:rsidRDefault="00F0429A" w:rsidP="00CE3585">
            <w:pPr>
              <w:jc w:val="center"/>
              <w:rPr>
                <w:color w:val="000000"/>
              </w:rPr>
            </w:pPr>
            <w:r>
              <w:rPr>
                <w:color w:val="000000"/>
              </w:rPr>
              <w:t>RH</w:t>
            </w:r>
          </w:p>
        </w:tc>
        <w:tc>
          <w:tcPr>
            <w:tcW w:w="980" w:type="dxa"/>
            <w:tcBorders>
              <w:top w:val="nil"/>
              <w:left w:val="nil"/>
              <w:bottom w:val="single" w:sz="4" w:space="0" w:color="auto"/>
              <w:right w:val="single" w:sz="4" w:space="0" w:color="auto"/>
            </w:tcBorders>
            <w:shd w:val="clear" w:color="auto" w:fill="auto"/>
            <w:noWrap/>
            <w:vAlign w:val="bottom"/>
            <w:hideMark/>
          </w:tcPr>
          <w:p w14:paraId="0F284A15" w14:textId="3D4DD96A"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17AEB869" w14:textId="6E9A7DB7" w:rsidR="00F0429A" w:rsidRDefault="00F0429A" w:rsidP="00CE3585">
            <w:pPr>
              <w:jc w:val="center"/>
              <w:rPr>
                <w:color w:val="000000"/>
              </w:rPr>
            </w:pPr>
            <w:r>
              <w:rPr>
                <w:color w:val="000000"/>
              </w:rPr>
              <w:t>--</w:t>
            </w:r>
          </w:p>
        </w:tc>
      </w:tr>
      <w:tr w:rsidR="00F0429A" w14:paraId="424E61A3"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0C668003" w14:textId="77777777" w:rsidR="00F0429A" w:rsidRDefault="00F0429A" w:rsidP="00CE3585">
            <w:pPr>
              <w:jc w:val="center"/>
              <w:rPr>
                <w:b/>
                <w:bCs/>
                <w:color w:val="000000"/>
              </w:rPr>
            </w:pPr>
            <w:r>
              <w:rPr>
                <w:b/>
                <w:bCs/>
                <w:color w:val="000000"/>
              </w:rPr>
              <w:t>INM.CM4_rcp85_2085</w:t>
            </w:r>
          </w:p>
        </w:tc>
        <w:tc>
          <w:tcPr>
            <w:tcW w:w="760" w:type="dxa"/>
            <w:tcBorders>
              <w:top w:val="nil"/>
              <w:left w:val="nil"/>
              <w:bottom w:val="single" w:sz="4" w:space="0" w:color="auto"/>
              <w:right w:val="single" w:sz="4" w:space="0" w:color="auto"/>
            </w:tcBorders>
            <w:shd w:val="clear" w:color="auto" w:fill="auto"/>
            <w:noWrap/>
            <w:vAlign w:val="bottom"/>
            <w:hideMark/>
          </w:tcPr>
          <w:p w14:paraId="5349B3D4" w14:textId="37D5B6E3"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4D84A375"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747F985E" w14:textId="1CD60167" w:rsidR="00F0429A" w:rsidRDefault="00F0429A" w:rsidP="00CE3585">
            <w:pPr>
              <w:jc w:val="center"/>
              <w:rPr>
                <w:color w:val="000000"/>
              </w:rPr>
            </w:pPr>
            <w:proofErr w:type="spellStart"/>
            <w:r>
              <w:rPr>
                <w:color w:val="000000"/>
              </w:rPr>
              <w:t>PPT_wt</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5E053852" w14:textId="77777777" w:rsidR="00F0429A" w:rsidRDefault="00F0429A" w:rsidP="00CE3585">
            <w:pPr>
              <w:jc w:val="center"/>
              <w:rPr>
                <w:color w:val="000000"/>
              </w:rPr>
            </w:pPr>
            <w:r>
              <w:rPr>
                <w:color w:val="000000"/>
              </w:rPr>
              <w:t>RH</w:t>
            </w:r>
          </w:p>
        </w:tc>
        <w:tc>
          <w:tcPr>
            <w:tcW w:w="980" w:type="dxa"/>
            <w:tcBorders>
              <w:top w:val="nil"/>
              <w:left w:val="nil"/>
              <w:bottom w:val="single" w:sz="4" w:space="0" w:color="auto"/>
              <w:right w:val="single" w:sz="4" w:space="0" w:color="auto"/>
            </w:tcBorders>
            <w:shd w:val="clear" w:color="auto" w:fill="auto"/>
            <w:noWrap/>
            <w:vAlign w:val="bottom"/>
            <w:hideMark/>
          </w:tcPr>
          <w:p w14:paraId="094E8A78" w14:textId="59008536"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2522C78E" w14:textId="04035CAF" w:rsidR="00F0429A" w:rsidRDefault="00F0429A" w:rsidP="00CE3585">
            <w:pPr>
              <w:jc w:val="center"/>
              <w:rPr>
                <w:color w:val="000000"/>
              </w:rPr>
            </w:pPr>
            <w:r>
              <w:rPr>
                <w:color w:val="000000"/>
              </w:rPr>
              <w:t>--</w:t>
            </w:r>
          </w:p>
        </w:tc>
      </w:tr>
      <w:tr w:rsidR="00F0429A" w14:paraId="7D7F89F4"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540475E4" w14:textId="77777777" w:rsidR="00F0429A" w:rsidRDefault="00F0429A" w:rsidP="00CE3585">
            <w:pPr>
              <w:jc w:val="center"/>
              <w:rPr>
                <w:b/>
                <w:bCs/>
                <w:color w:val="000000"/>
              </w:rPr>
            </w:pPr>
            <w:r>
              <w:rPr>
                <w:b/>
                <w:bCs/>
                <w:color w:val="000000"/>
              </w:rPr>
              <w:t>CCSM4_rcp45_2055</w:t>
            </w:r>
          </w:p>
        </w:tc>
        <w:tc>
          <w:tcPr>
            <w:tcW w:w="760" w:type="dxa"/>
            <w:tcBorders>
              <w:top w:val="nil"/>
              <w:left w:val="nil"/>
              <w:bottom w:val="single" w:sz="4" w:space="0" w:color="auto"/>
              <w:right w:val="single" w:sz="4" w:space="0" w:color="auto"/>
            </w:tcBorders>
            <w:shd w:val="clear" w:color="auto" w:fill="auto"/>
            <w:noWrap/>
            <w:vAlign w:val="bottom"/>
            <w:hideMark/>
          </w:tcPr>
          <w:p w14:paraId="4A2B9733" w14:textId="100766EA"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05546489" w14:textId="0703E179" w:rsidR="00F0429A" w:rsidRDefault="00F0429A" w:rsidP="00CE3585">
            <w:pPr>
              <w:jc w:val="center"/>
              <w:rPr>
                <w:color w:val="000000"/>
              </w:rPr>
            </w:pPr>
            <w:proofErr w:type="spellStart"/>
            <w:r>
              <w:rPr>
                <w:color w:val="000000"/>
              </w:rPr>
              <w:t>PPT_wt</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11A1898E" w14:textId="77777777" w:rsidR="00F0429A" w:rsidRDefault="00F0429A" w:rsidP="00CE3585">
            <w:pPr>
              <w:jc w:val="center"/>
              <w:rPr>
                <w:color w:val="000000"/>
              </w:rPr>
            </w:pPr>
            <w:r>
              <w:rPr>
                <w:color w:val="000000"/>
              </w:rPr>
              <w:t>RH</w:t>
            </w:r>
          </w:p>
        </w:tc>
        <w:tc>
          <w:tcPr>
            <w:tcW w:w="960" w:type="dxa"/>
            <w:tcBorders>
              <w:top w:val="nil"/>
              <w:left w:val="nil"/>
              <w:bottom w:val="single" w:sz="4" w:space="0" w:color="auto"/>
              <w:right w:val="single" w:sz="4" w:space="0" w:color="auto"/>
            </w:tcBorders>
            <w:shd w:val="clear" w:color="auto" w:fill="auto"/>
            <w:noWrap/>
            <w:vAlign w:val="bottom"/>
            <w:hideMark/>
          </w:tcPr>
          <w:p w14:paraId="7D26BF62" w14:textId="3AED96DB" w:rsidR="00F0429A" w:rsidRDefault="00F0429A" w:rsidP="00CE3585">
            <w:pPr>
              <w:jc w:val="center"/>
              <w:rPr>
                <w:color w:val="000000"/>
              </w:rPr>
            </w:pPr>
            <w:r>
              <w:rPr>
                <w:color w:val="000000"/>
              </w:rPr>
              <w:t>SHM</w:t>
            </w:r>
          </w:p>
        </w:tc>
        <w:tc>
          <w:tcPr>
            <w:tcW w:w="980" w:type="dxa"/>
            <w:tcBorders>
              <w:top w:val="nil"/>
              <w:left w:val="nil"/>
              <w:bottom w:val="single" w:sz="4" w:space="0" w:color="auto"/>
              <w:right w:val="single" w:sz="4" w:space="0" w:color="auto"/>
            </w:tcBorders>
            <w:shd w:val="clear" w:color="auto" w:fill="auto"/>
            <w:noWrap/>
            <w:vAlign w:val="bottom"/>
            <w:hideMark/>
          </w:tcPr>
          <w:p w14:paraId="528918A6" w14:textId="47C1165E"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7083707E" w14:textId="5583E093" w:rsidR="00F0429A" w:rsidRDefault="00F0429A" w:rsidP="00CE3585">
            <w:pPr>
              <w:jc w:val="center"/>
              <w:rPr>
                <w:color w:val="000000"/>
              </w:rPr>
            </w:pPr>
            <w:r>
              <w:rPr>
                <w:color w:val="000000"/>
              </w:rPr>
              <w:t>--</w:t>
            </w:r>
          </w:p>
        </w:tc>
      </w:tr>
      <w:tr w:rsidR="00F0429A" w14:paraId="509B3670"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20DC6355" w14:textId="77777777" w:rsidR="00F0429A" w:rsidRDefault="00F0429A" w:rsidP="00CE3585">
            <w:pPr>
              <w:jc w:val="center"/>
              <w:rPr>
                <w:b/>
                <w:bCs/>
                <w:color w:val="000000"/>
              </w:rPr>
            </w:pPr>
            <w:r>
              <w:rPr>
                <w:b/>
                <w:bCs/>
                <w:color w:val="000000"/>
              </w:rPr>
              <w:t>CCSM4_rcp45_2085</w:t>
            </w:r>
          </w:p>
        </w:tc>
        <w:tc>
          <w:tcPr>
            <w:tcW w:w="760" w:type="dxa"/>
            <w:tcBorders>
              <w:top w:val="nil"/>
              <w:left w:val="nil"/>
              <w:bottom w:val="single" w:sz="4" w:space="0" w:color="auto"/>
              <w:right w:val="single" w:sz="4" w:space="0" w:color="auto"/>
            </w:tcBorders>
            <w:shd w:val="clear" w:color="auto" w:fill="auto"/>
            <w:noWrap/>
            <w:vAlign w:val="bottom"/>
            <w:hideMark/>
          </w:tcPr>
          <w:p w14:paraId="41DB79F0" w14:textId="3F4B4BBB"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1BE1BFA9" w14:textId="46A52717" w:rsidR="00F0429A" w:rsidRDefault="00F0429A" w:rsidP="00CE3585">
            <w:pPr>
              <w:jc w:val="center"/>
              <w:rPr>
                <w:color w:val="000000"/>
              </w:rPr>
            </w:pPr>
            <w:proofErr w:type="spellStart"/>
            <w:r>
              <w:rPr>
                <w:color w:val="000000"/>
              </w:rPr>
              <w:t>PPT_wt</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3E827735" w14:textId="77777777" w:rsidR="00F0429A" w:rsidRDefault="00F0429A" w:rsidP="00CE3585">
            <w:pPr>
              <w:jc w:val="center"/>
              <w:rPr>
                <w:color w:val="000000"/>
              </w:rPr>
            </w:pPr>
            <w:r>
              <w:rPr>
                <w:color w:val="000000"/>
              </w:rPr>
              <w:t>RH</w:t>
            </w:r>
          </w:p>
        </w:tc>
        <w:tc>
          <w:tcPr>
            <w:tcW w:w="960" w:type="dxa"/>
            <w:tcBorders>
              <w:top w:val="nil"/>
              <w:left w:val="nil"/>
              <w:bottom w:val="single" w:sz="4" w:space="0" w:color="auto"/>
              <w:right w:val="single" w:sz="4" w:space="0" w:color="auto"/>
            </w:tcBorders>
            <w:shd w:val="clear" w:color="auto" w:fill="auto"/>
            <w:noWrap/>
            <w:vAlign w:val="bottom"/>
            <w:hideMark/>
          </w:tcPr>
          <w:p w14:paraId="2E240AAA" w14:textId="48D9753F" w:rsidR="00F0429A" w:rsidRDefault="00F0429A" w:rsidP="00CE3585">
            <w:pPr>
              <w:jc w:val="center"/>
              <w:rPr>
                <w:color w:val="000000"/>
              </w:rPr>
            </w:pPr>
            <w:r>
              <w:rPr>
                <w:color w:val="000000"/>
              </w:rPr>
              <w:t>SHM</w:t>
            </w:r>
          </w:p>
        </w:tc>
        <w:tc>
          <w:tcPr>
            <w:tcW w:w="980" w:type="dxa"/>
            <w:tcBorders>
              <w:top w:val="nil"/>
              <w:left w:val="nil"/>
              <w:bottom w:val="single" w:sz="4" w:space="0" w:color="auto"/>
              <w:right w:val="single" w:sz="4" w:space="0" w:color="auto"/>
            </w:tcBorders>
            <w:shd w:val="clear" w:color="auto" w:fill="auto"/>
            <w:noWrap/>
            <w:vAlign w:val="bottom"/>
            <w:hideMark/>
          </w:tcPr>
          <w:p w14:paraId="37B9F081" w14:textId="5973CE32"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734C490C" w14:textId="4ABA4BF9" w:rsidR="00F0429A" w:rsidRDefault="00F0429A" w:rsidP="00CE3585">
            <w:pPr>
              <w:jc w:val="center"/>
              <w:rPr>
                <w:color w:val="000000"/>
              </w:rPr>
            </w:pPr>
            <w:r>
              <w:rPr>
                <w:color w:val="000000"/>
              </w:rPr>
              <w:t>--</w:t>
            </w:r>
          </w:p>
        </w:tc>
      </w:tr>
      <w:tr w:rsidR="00F0429A" w14:paraId="55E5EA80"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6D8441DF" w14:textId="77777777" w:rsidR="00F0429A" w:rsidRDefault="00F0429A" w:rsidP="00CE3585">
            <w:pPr>
              <w:jc w:val="center"/>
              <w:rPr>
                <w:b/>
                <w:bCs/>
                <w:color w:val="000000"/>
              </w:rPr>
            </w:pPr>
            <w:r>
              <w:rPr>
                <w:b/>
                <w:bCs/>
                <w:color w:val="000000"/>
              </w:rPr>
              <w:t>CCSM4_rcp85_2055</w:t>
            </w:r>
          </w:p>
        </w:tc>
        <w:tc>
          <w:tcPr>
            <w:tcW w:w="760" w:type="dxa"/>
            <w:tcBorders>
              <w:top w:val="nil"/>
              <w:left w:val="nil"/>
              <w:bottom w:val="single" w:sz="4" w:space="0" w:color="auto"/>
              <w:right w:val="single" w:sz="4" w:space="0" w:color="auto"/>
            </w:tcBorders>
            <w:shd w:val="clear" w:color="auto" w:fill="auto"/>
            <w:noWrap/>
            <w:vAlign w:val="bottom"/>
            <w:hideMark/>
          </w:tcPr>
          <w:p w14:paraId="05E00A64" w14:textId="68017A4D"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7EFB53E6" w14:textId="1BBDDCED" w:rsidR="00F0429A" w:rsidRDefault="00F0429A" w:rsidP="00CE3585">
            <w:pPr>
              <w:jc w:val="center"/>
              <w:rPr>
                <w:color w:val="000000"/>
              </w:rPr>
            </w:pPr>
            <w:proofErr w:type="spellStart"/>
            <w:r>
              <w:rPr>
                <w:color w:val="000000"/>
              </w:rPr>
              <w:t>PPT_wt</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0ACE99E4" w14:textId="77777777" w:rsidR="00F0429A" w:rsidRDefault="00F0429A" w:rsidP="00CE3585">
            <w:pPr>
              <w:jc w:val="center"/>
              <w:rPr>
                <w:color w:val="000000"/>
              </w:rPr>
            </w:pPr>
            <w:r>
              <w:rPr>
                <w:color w:val="000000"/>
              </w:rPr>
              <w:t>RH</w:t>
            </w:r>
          </w:p>
        </w:tc>
        <w:tc>
          <w:tcPr>
            <w:tcW w:w="960" w:type="dxa"/>
            <w:tcBorders>
              <w:top w:val="nil"/>
              <w:left w:val="nil"/>
              <w:bottom w:val="single" w:sz="4" w:space="0" w:color="auto"/>
              <w:right w:val="single" w:sz="4" w:space="0" w:color="auto"/>
            </w:tcBorders>
            <w:shd w:val="clear" w:color="auto" w:fill="auto"/>
            <w:noWrap/>
            <w:vAlign w:val="bottom"/>
            <w:hideMark/>
          </w:tcPr>
          <w:p w14:paraId="32F272B5" w14:textId="5DD13ABA" w:rsidR="00F0429A" w:rsidRDefault="00F0429A" w:rsidP="00CE3585">
            <w:pPr>
              <w:jc w:val="center"/>
              <w:rPr>
                <w:color w:val="000000"/>
              </w:rPr>
            </w:pPr>
            <w:r>
              <w:rPr>
                <w:color w:val="000000"/>
              </w:rPr>
              <w:t>SHM</w:t>
            </w:r>
          </w:p>
        </w:tc>
        <w:tc>
          <w:tcPr>
            <w:tcW w:w="980" w:type="dxa"/>
            <w:tcBorders>
              <w:top w:val="nil"/>
              <w:left w:val="nil"/>
              <w:bottom w:val="single" w:sz="4" w:space="0" w:color="auto"/>
              <w:right w:val="single" w:sz="4" w:space="0" w:color="auto"/>
            </w:tcBorders>
            <w:shd w:val="clear" w:color="auto" w:fill="auto"/>
            <w:noWrap/>
            <w:vAlign w:val="bottom"/>
            <w:hideMark/>
          </w:tcPr>
          <w:p w14:paraId="1A274A0C" w14:textId="3EC6C81D"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70505BFD" w14:textId="6AF7D281" w:rsidR="00F0429A" w:rsidRDefault="00F0429A" w:rsidP="00CE3585">
            <w:pPr>
              <w:jc w:val="center"/>
              <w:rPr>
                <w:color w:val="000000"/>
              </w:rPr>
            </w:pPr>
            <w:r>
              <w:rPr>
                <w:color w:val="000000"/>
              </w:rPr>
              <w:t>--</w:t>
            </w:r>
          </w:p>
        </w:tc>
      </w:tr>
      <w:tr w:rsidR="00F0429A" w14:paraId="249C3A45"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7062186C" w14:textId="77777777" w:rsidR="00F0429A" w:rsidRDefault="00F0429A" w:rsidP="00CE3585">
            <w:pPr>
              <w:jc w:val="center"/>
              <w:rPr>
                <w:b/>
                <w:bCs/>
                <w:color w:val="000000"/>
              </w:rPr>
            </w:pPr>
            <w:r>
              <w:rPr>
                <w:b/>
                <w:bCs/>
                <w:color w:val="000000"/>
              </w:rPr>
              <w:t>CCSM4_rcp85_2085</w:t>
            </w:r>
          </w:p>
        </w:tc>
        <w:tc>
          <w:tcPr>
            <w:tcW w:w="760" w:type="dxa"/>
            <w:tcBorders>
              <w:top w:val="nil"/>
              <w:left w:val="nil"/>
              <w:bottom w:val="single" w:sz="4" w:space="0" w:color="auto"/>
              <w:right w:val="single" w:sz="4" w:space="0" w:color="auto"/>
            </w:tcBorders>
            <w:shd w:val="clear" w:color="auto" w:fill="auto"/>
            <w:noWrap/>
            <w:vAlign w:val="bottom"/>
            <w:hideMark/>
          </w:tcPr>
          <w:p w14:paraId="7E4FE4F6" w14:textId="40539420" w:rsidR="00F0429A" w:rsidRDefault="00F0429A" w:rsidP="00CE3585">
            <w:pPr>
              <w:jc w:val="center"/>
              <w:rPr>
                <w:color w:val="000000"/>
              </w:rPr>
            </w:pPr>
            <w:r>
              <w:rPr>
                <w:color w:val="000000"/>
              </w:rPr>
              <w:t>CMD</w:t>
            </w:r>
          </w:p>
        </w:tc>
        <w:tc>
          <w:tcPr>
            <w:tcW w:w="980" w:type="dxa"/>
            <w:tcBorders>
              <w:top w:val="nil"/>
              <w:left w:val="nil"/>
              <w:bottom w:val="single" w:sz="4" w:space="0" w:color="auto"/>
              <w:right w:val="single" w:sz="4" w:space="0" w:color="auto"/>
            </w:tcBorders>
            <w:shd w:val="clear" w:color="auto" w:fill="auto"/>
            <w:noWrap/>
            <w:vAlign w:val="bottom"/>
            <w:hideMark/>
          </w:tcPr>
          <w:p w14:paraId="5A0FA9C7" w14:textId="616673CD"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25F10D3D" w14:textId="32757A0E" w:rsidR="00F0429A" w:rsidRDefault="00F0429A" w:rsidP="00CE3585">
            <w:pPr>
              <w:jc w:val="center"/>
              <w:rPr>
                <w:color w:val="000000"/>
              </w:rPr>
            </w:pPr>
            <w:proofErr w:type="spellStart"/>
            <w:r>
              <w:rPr>
                <w:color w:val="000000"/>
              </w:rPr>
              <w:t>PPT_wt</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2B959DC0" w14:textId="77777777" w:rsidR="00F0429A" w:rsidRDefault="00F0429A" w:rsidP="00CE3585">
            <w:pPr>
              <w:jc w:val="center"/>
              <w:rPr>
                <w:color w:val="000000"/>
              </w:rPr>
            </w:pPr>
            <w:r>
              <w:rPr>
                <w:color w:val="000000"/>
              </w:rPr>
              <w:t>RH</w:t>
            </w:r>
          </w:p>
        </w:tc>
        <w:tc>
          <w:tcPr>
            <w:tcW w:w="980" w:type="dxa"/>
            <w:tcBorders>
              <w:top w:val="nil"/>
              <w:left w:val="nil"/>
              <w:bottom w:val="single" w:sz="4" w:space="0" w:color="auto"/>
              <w:right w:val="single" w:sz="4" w:space="0" w:color="auto"/>
            </w:tcBorders>
            <w:shd w:val="clear" w:color="auto" w:fill="auto"/>
            <w:noWrap/>
            <w:vAlign w:val="bottom"/>
            <w:hideMark/>
          </w:tcPr>
          <w:p w14:paraId="25D19842" w14:textId="5FD84B38" w:rsidR="00F0429A" w:rsidRDefault="00F0429A" w:rsidP="00CE3585">
            <w:pPr>
              <w:jc w:val="center"/>
              <w:rPr>
                <w:color w:val="000000"/>
              </w:rPr>
            </w:pPr>
            <w:r>
              <w:rPr>
                <w:color w:val="000000"/>
              </w:rPr>
              <w:t>TD</w:t>
            </w:r>
          </w:p>
        </w:tc>
        <w:tc>
          <w:tcPr>
            <w:tcW w:w="520" w:type="dxa"/>
            <w:tcBorders>
              <w:top w:val="nil"/>
              <w:left w:val="nil"/>
              <w:bottom w:val="single" w:sz="4" w:space="0" w:color="auto"/>
              <w:right w:val="single" w:sz="4" w:space="0" w:color="auto"/>
            </w:tcBorders>
            <w:shd w:val="clear" w:color="auto" w:fill="auto"/>
            <w:noWrap/>
            <w:vAlign w:val="bottom"/>
            <w:hideMark/>
          </w:tcPr>
          <w:p w14:paraId="74CAD6B8" w14:textId="07CA7EE9" w:rsidR="00F0429A" w:rsidRDefault="00F0429A" w:rsidP="00CE3585">
            <w:pPr>
              <w:jc w:val="center"/>
              <w:rPr>
                <w:color w:val="000000"/>
              </w:rPr>
            </w:pPr>
            <w:r>
              <w:rPr>
                <w:color w:val="000000"/>
              </w:rPr>
              <w:t>--</w:t>
            </w:r>
          </w:p>
        </w:tc>
      </w:tr>
      <w:tr w:rsidR="00F0429A" w14:paraId="56A6A75A"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1874326D" w14:textId="77777777" w:rsidR="00F0429A" w:rsidRDefault="00F0429A" w:rsidP="00CE3585">
            <w:pPr>
              <w:jc w:val="center"/>
              <w:rPr>
                <w:b/>
                <w:bCs/>
                <w:color w:val="000000"/>
              </w:rPr>
            </w:pPr>
            <w:r>
              <w:rPr>
                <w:b/>
                <w:bCs/>
                <w:color w:val="000000"/>
              </w:rPr>
              <w:t>GFDL.CM3_rcp45_2055</w:t>
            </w:r>
          </w:p>
        </w:tc>
        <w:tc>
          <w:tcPr>
            <w:tcW w:w="760" w:type="dxa"/>
            <w:tcBorders>
              <w:top w:val="nil"/>
              <w:left w:val="nil"/>
              <w:bottom w:val="single" w:sz="4" w:space="0" w:color="auto"/>
              <w:right w:val="single" w:sz="4" w:space="0" w:color="auto"/>
            </w:tcBorders>
            <w:shd w:val="clear" w:color="auto" w:fill="auto"/>
            <w:noWrap/>
            <w:vAlign w:val="bottom"/>
            <w:hideMark/>
          </w:tcPr>
          <w:p w14:paraId="3CBF2C68" w14:textId="7E7362C5" w:rsidR="00F0429A" w:rsidRDefault="00F0429A" w:rsidP="00CE3585">
            <w:pPr>
              <w:jc w:val="center"/>
              <w:rPr>
                <w:color w:val="000000"/>
              </w:rPr>
            </w:pPr>
            <w:r>
              <w:rPr>
                <w:color w:val="000000"/>
              </w:rPr>
              <w:t>PAS</w:t>
            </w:r>
          </w:p>
        </w:tc>
        <w:tc>
          <w:tcPr>
            <w:tcW w:w="980" w:type="dxa"/>
            <w:tcBorders>
              <w:top w:val="nil"/>
              <w:left w:val="nil"/>
              <w:bottom w:val="single" w:sz="4" w:space="0" w:color="auto"/>
              <w:right w:val="single" w:sz="4" w:space="0" w:color="auto"/>
            </w:tcBorders>
            <w:shd w:val="clear" w:color="auto" w:fill="auto"/>
            <w:noWrap/>
            <w:vAlign w:val="bottom"/>
            <w:hideMark/>
          </w:tcPr>
          <w:p w14:paraId="0D175D16"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545ADD86" w14:textId="2BA10D43" w:rsidR="00F0429A" w:rsidRDefault="00F0429A" w:rsidP="00CE3585">
            <w:pPr>
              <w:jc w:val="center"/>
              <w:rPr>
                <w:color w:val="000000"/>
              </w:rPr>
            </w:pPr>
            <w:proofErr w:type="spellStart"/>
            <w:r>
              <w:rPr>
                <w:color w:val="000000"/>
              </w:rPr>
              <w:t>PPT_wt</w:t>
            </w:r>
            <w:proofErr w:type="spellEnd"/>
          </w:p>
        </w:tc>
        <w:tc>
          <w:tcPr>
            <w:tcW w:w="960" w:type="dxa"/>
            <w:tcBorders>
              <w:top w:val="nil"/>
              <w:left w:val="nil"/>
              <w:bottom w:val="single" w:sz="4" w:space="0" w:color="auto"/>
              <w:right w:val="single" w:sz="4" w:space="0" w:color="auto"/>
            </w:tcBorders>
            <w:shd w:val="clear" w:color="auto" w:fill="auto"/>
            <w:noWrap/>
            <w:vAlign w:val="bottom"/>
            <w:hideMark/>
          </w:tcPr>
          <w:p w14:paraId="3CF130ED" w14:textId="77777777" w:rsidR="00F0429A" w:rsidRDefault="00F0429A" w:rsidP="00CE3585">
            <w:pPr>
              <w:jc w:val="center"/>
              <w:rPr>
                <w:color w:val="000000"/>
              </w:rPr>
            </w:pPr>
            <w:r>
              <w:rPr>
                <w:color w:val="000000"/>
              </w:rPr>
              <w:t>RH</w:t>
            </w:r>
          </w:p>
        </w:tc>
        <w:tc>
          <w:tcPr>
            <w:tcW w:w="980" w:type="dxa"/>
            <w:tcBorders>
              <w:top w:val="nil"/>
              <w:left w:val="nil"/>
              <w:bottom w:val="single" w:sz="4" w:space="0" w:color="auto"/>
              <w:right w:val="single" w:sz="4" w:space="0" w:color="auto"/>
            </w:tcBorders>
            <w:shd w:val="clear" w:color="auto" w:fill="auto"/>
            <w:noWrap/>
            <w:vAlign w:val="bottom"/>
            <w:hideMark/>
          </w:tcPr>
          <w:p w14:paraId="0BEEC65F" w14:textId="77777777" w:rsidR="00F0429A" w:rsidRDefault="00F0429A" w:rsidP="00CE3585">
            <w:pPr>
              <w:jc w:val="center"/>
              <w:rPr>
                <w:color w:val="000000"/>
              </w:rPr>
            </w:pPr>
            <w:r>
              <w:rPr>
                <w:color w:val="000000"/>
              </w:rPr>
              <w:t>DD_0</w:t>
            </w:r>
          </w:p>
        </w:tc>
        <w:tc>
          <w:tcPr>
            <w:tcW w:w="520" w:type="dxa"/>
            <w:tcBorders>
              <w:top w:val="nil"/>
              <w:left w:val="nil"/>
              <w:bottom w:val="single" w:sz="4" w:space="0" w:color="auto"/>
              <w:right w:val="single" w:sz="4" w:space="0" w:color="auto"/>
            </w:tcBorders>
            <w:shd w:val="clear" w:color="auto" w:fill="auto"/>
            <w:noWrap/>
            <w:vAlign w:val="bottom"/>
            <w:hideMark/>
          </w:tcPr>
          <w:p w14:paraId="623CEEEB" w14:textId="5C869A2E" w:rsidR="00F0429A" w:rsidRDefault="00F0429A" w:rsidP="00CE3585">
            <w:pPr>
              <w:jc w:val="center"/>
              <w:rPr>
                <w:color w:val="000000"/>
              </w:rPr>
            </w:pPr>
            <w:r>
              <w:rPr>
                <w:color w:val="000000"/>
              </w:rPr>
              <w:t>--</w:t>
            </w:r>
          </w:p>
        </w:tc>
      </w:tr>
      <w:tr w:rsidR="00F0429A" w14:paraId="4E4E74BA"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526F1CCF" w14:textId="77777777" w:rsidR="00F0429A" w:rsidRDefault="00F0429A" w:rsidP="00CE3585">
            <w:pPr>
              <w:jc w:val="center"/>
              <w:rPr>
                <w:b/>
                <w:bCs/>
                <w:color w:val="000000"/>
              </w:rPr>
            </w:pPr>
            <w:r>
              <w:rPr>
                <w:b/>
                <w:bCs/>
                <w:color w:val="000000"/>
              </w:rPr>
              <w:t>GFDL.CM3_rcp45_2085</w:t>
            </w:r>
          </w:p>
        </w:tc>
        <w:tc>
          <w:tcPr>
            <w:tcW w:w="760" w:type="dxa"/>
            <w:tcBorders>
              <w:top w:val="nil"/>
              <w:left w:val="nil"/>
              <w:bottom w:val="single" w:sz="4" w:space="0" w:color="auto"/>
              <w:right w:val="single" w:sz="4" w:space="0" w:color="auto"/>
            </w:tcBorders>
            <w:shd w:val="clear" w:color="auto" w:fill="auto"/>
            <w:noWrap/>
            <w:vAlign w:val="bottom"/>
            <w:hideMark/>
          </w:tcPr>
          <w:p w14:paraId="0BB1075F" w14:textId="77777777" w:rsidR="00F0429A" w:rsidRDefault="00F0429A" w:rsidP="00CE3585">
            <w:pPr>
              <w:jc w:val="center"/>
              <w:rPr>
                <w:color w:val="000000"/>
              </w:rPr>
            </w:pPr>
            <w:r>
              <w:rPr>
                <w:color w:val="000000"/>
              </w:rPr>
              <w:t>AHM</w:t>
            </w:r>
          </w:p>
        </w:tc>
        <w:tc>
          <w:tcPr>
            <w:tcW w:w="980" w:type="dxa"/>
            <w:tcBorders>
              <w:top w:val="nil"/>
              <w:left w:val="nil"/>
              <w:bottom w:val="single" w:sz="4" w:space="0" w:color="auto"/>
              <w:right w:val="single" w:sz="4" w:space="0" w:color="auto"/>
            </w:tcBorders>
            <w:shd w:val="clear" w:color="auto" w:fill="auto"/>
            <w:noWrap/>
            <w:vAlign w:val="bottom"/>
            <w:hideMark/>
          </w:tcPr>
          <w:p w14:paraId="217476A5" w14:textId="77777777" w:rsidR="00F0429A" w:rsidRDefault="00F0429A" w:rsidP="00CE3585">
            <w:pPr>
              <w:jc w:val="center"/>
              <w:rPr>
                <w:color w:val="000000"/>
              </w:rPr>
            </w:pPr>
            <w:r>
              <w:rPr>
                <w:color w:val="000000"/>
              </w:rPr>
              <w:t>DD_0</w:t>
            </w:r>
          </w:p>
        </w:tc>
        <w:tc>
          <w:tcPr>
            <w:tcW w:w="980" w:type="dxa"/>
            <w:tcBorders>
              <w:top w:val="nil"/>
              <w:left w:val="nil"/>
              <w:bottom w:val="single" w:sz="4" w:space="0" w:color="auto"/>
              <w:right w:val="single" w:sz="4" w:space="0" w:color="auto"/>
            </w:tcBorders>
            <w:shd w:val="clear" w:color="auto" w:fill="auto"/>
            <w:noWrap/>
            <w:vAlign w:val="bottom"/>
            <w:hideMark/>
          </w:tcPr>
          <w:p w14:paraId="0BF85516" w14:textId="32D5C48F" w:rsidR="00F0429A" w:rsidRDefault="00F0429A" w:rsidP="00CE3585">
            <w:pPr>
              <w:jc w:val="center"/>
              <w:rPr>
                <w:color w:val="000000"/>
              </w:rPr>
            </w:pPr>
            <w:r>
              <w:rPr>
                <w:color w:val="000000"/>
              </w:rPr>
              <w:t>PAS</w:t>
            </w:r>
          </w:p>
        </w:tc>
        <w:tc>
          <w:tcPr>
            <w:tcW w:w="960" w:type="dxa"/>
            <w:tcBorders>
              <w:top w:val="nil"/>
              <w:left w:val="nil"/>
              <w:bottom w:val="single" w:sz="4" w:space="0" w:color="auto"/>
              <w:right w:val="single" w:sz="4" w:space="0" w:color="auto"/>
            </w:tcBorders>
            <w:shd w:val="clear" w:color="auto" w:fill="auto"/>
            <w:noWrap/>
            <w:vAlign w:val="bottom"/>
            <w:hideMark/>
          </w:tcPr>
          <w:p w14:paraId="50E4E8DC"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78C61EC7" w14:textId="4DE2605D" w:rsidR="00F0429A" w:rsidRDefault="00F0429A" w:rsidP="00CE3585">
            <w:pPr>
              <w:jc w:val="center"/>
              <w:rPr>
                <w:color w:val="000000"/>
              </w:rPr>
            </w:pPr>
            <w:proofErr w:type="spellStart"/>
            <w:r>
              <w:rPr>
                <w:color w:val="000000"/>
              </w:rPr>
              <w:t>PPT_wt</w:t>
            </w:r>
            <w:proofErr w:type="spellEnd"/>
          </w:p>
        </w:tc>
        <w:tc>
          <w:tcPr>
            <w:tcW w:w="520" w:type="dxa"/>
            <w:tcBorders>
              <w:top w:val="nil"/>
              <w:left w:val="nil"/>
              <w:bottom w:val="single" w:sz="4" w:space="0" w:color="auto"/>
              <w:right w:val="single" w:sz="4" w:space="0" w:color="auto"/>
            </w:tcBorders>
            <w:shd w:val="clear" w:color="auto" w:fill="auto"/>
            <w:noWrap/>
            <w:vAlign w:val="bottom"/>
            <w:hideMark/>
          </w:tcPr>
          <w:p w14:paraId="6397B6D8" w14:textId="77777777" w:rsidR="00F0429A" w:rsidRDefault="00F0429A" w:rsidP="00CE3585">
            <w:pPr>
              <w:jc w:val="center"/>
              <w:rPr>
                <w:color w:val="000000"/>
              </w:rPr>
            </w:pPr>
            <w:r>
              <w:rPr>
                <w:color w:val="000000"/>
              </w:rPr>
              <w:t>RH</w:t>
            </w:r>
          </w:p>
        </w:tc>
      </w:tr>
      <w:tr w:rsidR="00F0429A" w14:paraId="65BE886A"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32E0F1DE" w14:textId="77777777" w:rsidR="00F0429A" w:rsidRDefault="00F0429A" w:rsidP="00CE3585">
            <w:pPr>
              <w:jc w:val="center"/>
              <w:rPr>
                <w:b/>
                <w:bCs/>
                <w:color w:val="000000"/>
              </w:rPr>
            </w:pPr>
            <w:r>
              <w:rPr>
                <w:b/>
                <w:bCs/>
                <w:color w:val="000000"/>
              </w:rPr>
              <w:t>GFDL.CM3_rcp85_2055</w:t>
            </w:r>
          </w:p>
        </w:tc>
        <w:tc>
          <w:tcPr>
            <w:tcW w:w="760" w:type="dxa"/>
            <w:tcBorders>
              <w:top w:val="nil"/>
              <w:left w:val="nil"/>
              <w:bottom w:val="single" w:sz="4" w:space="0" w:color="auto"/>
              <w:right w:val="single" w:sz="4" w:space="0" w:color="auto"/>
            </w:tcBorders>
            <w:shd w:val="clear" w:color="auto" w:fill="auto"/>
            <w:noWrap/>
            <w:vAlign w:val="bottom"/>
            <w:hideMark/>
          </w:tcPr>
          <w:p w14:paraId="7AAB9382" w14:textId="77777777" w:rsidR="00F0429A" w:rsidRDefault="00F0429A" w:rsidP="00CE3585">
            <w:pPr>
              <w:jc w:val="center"/>
              <w:rPr>
                <w:color w:val="000000"/>
              </w:rPr>
            </w:pPr>
            <w:r>
              <w:rPr>
                <w:color w:val="000000"/>
              </w:rPr>
              <w:t>AHM</w:t>
            </w:r>
          </w:p>
        </w:tc>
        <w:tc>
          <w:tcPr>
            <w:tcW w:w="980" w:type="dxa"/>
            <w:tcBorders>
              <w:top w:val="nil"/>
              <w:left w:val="nil"/>
              <w:bottom w:val="single" w:sz="4" w:space="0" w:color="auto"/>
              <w:right w:val="single" w:sz="4" w:space="0" w:color="auto"/>
            </w:tcBorders>
            <w:shd w:val="clear" w:color="auto" w:fill="auto"/>
            <w:noWrap/>
            <w:vAlign w:val="bottom"/>
            <w:hideMark/>
          </w:tcPr>
          <w:p w14:paraId="2346D578" w14:textId="77777777" w:rsidR="00F0429A" w:rsidRDefault="00F0429A" w:rsidP="00CE3585">
            <w:pPr>
              <w:jc w:val="center"/>
              <w:rPr>
                <w:color w:val="000000"/>
              </w:rPr>
            </w:pPr>
            <w:r>
              <w:rPr>
                <w:color w:val="000000"/>
              </w:rPr>
              <w:t>DD_0</w:t>
            </w:r>
          </w:p>
        </w:tc>
        <w:tc>
          <w:tcPr>
            <w:tcW w:w="980" w:type="dxa"/>
            <w:tcBorders>
              <w:top w:val="nil"/>
              <w:left w:val="nil"/>
              <w:bottom w:val="single" w:sz="4" w:space="0" w:color="auto"/>
              <w:right w:val="single" w:sz="4" w:space="0" w:color="auto"/>
            </w:tcBorders>
            <w:shd w:val="clear" w:color="auto" w:fill="auto"/>
            <w:noWrap/>
            <w:vAlign w:val="bottom"/>
            <w:hideMark/>
          </w:tcPr>
          <w:p w14:paraId="6F781E27" w14:textId="0097B564" w:rsidR="00F0429A" w:rsidRDefault="00F0429A" w:rsidP="00CE3585">
            <w:pPr>
              <w:jc w:val="center"/>
              <w:rPr>
                <w:color w:val="000000"/>
              </w:rPr>
            </w:pPr>
            <w:r>
              <w:rPr>
                <w:color w:val="000000"/>
              </w:rPr>
              <w:t>PAS</w:t>
            </w:r>
          </w:p>
        </w:tc>
        <w:tc>
          <w:tcPr>
            <w:tcW w:w="960" w:type="dxa"/>
            <w:tcBorders>
              <w:top w:val="nil"/>
              <w:left w:val="nil"/>
              <w:bottom w:val="single" w:sz="4" w:space="0" w:color="auto"/>
              <w:right w:val="single" w:sz="4" w:space="0" w:color="auto"/>
            </w:tcBorders>
            <w:shd w:val="clear" w:color="auto" w:fill="auto"/>
            <w:noWrap/>
            <w:vAlign w:val="bottom"/>
            <w:hideMark/>
          </w:tcPr>
          <w:p w14:paraId="6E29BBE5"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521A389A" w14:textId="57167C7E" w:rsidR="00F0429A" w:rsidRDefault="00F0429A" w:rsidP="00CE3585">
            <w:pPr>
              <w:jc w:val="center"/>
              <w:rPr>
                <w:color w:val="000000"/>
              </w:rPr>
            </w:pPr>
            <w:proofErr w:type="spellStart"/>
            <w:r>
              <w:rPr>
                <w:color w:val="000000"/>
              </w:rPr>
              <w:t>PPT_wt</w:t>
            </w:r>
            <w:proofErr w:type="spellEnd"/>
          </w:p>
        </w:tc>
        <w:tc>
          <w:tcPr>
            <w:tcW w:w="520" w:type="dxa"/>
            <w:tcBorders>
              <w:top w:val="nil"/>
              <w:left w:val="nil"/>
              <w:bottom w:val="single" w:sz="4" w:space="0" w:color="auto"/>
              <w:right w:val="single" w:sz="4" w:space="0" w:color="auto"/>
            </w:tcBorders>
            <w:shd w:val="clear" w:color="auto" w:fill="auto"/>
            <w:noWrap/>
            <w:vAlign w:val="bottom"/>
            <w:hideMark/>
          </w:tcPr>
          <w:p w14:paraId="52FA41E3" w14:textId="77777777" w:rsidR="00F0429A" w:rsidRDefault="00F0429A" w:rsidP="00CE3585">
            <w:pPr>
              <w:jc w:val="center"/>
              <w:rPr>
                <w:color w:val="000000"/>
              </w:rPr>
            </w:pPr>
            <w:r>
              <w:rPr>
                <w:color w:val="000000"/>
              </w:rPr>
              <w:t>RH</w:t>
            </w:r>
          </w:p>
        </w:tc>
      </w:tr>
      <w:tr w:rsidR="00F0429A" w14:paraId="1A7F371A" w14:textId="77777777" w:rsidTr="00A2716C">
        <w:trPr>
          <w:trHeight w:val="320"/>
        </w:trPr>
        <w:tc>
          <w:tcPr>
            <w:tcW w:w="2720" w:type="dxa"/>
            <w:tcBorders>
              <w:top w:val="nil"/>
              <w:left w:val="single" w:sz="4" w:space="0" w:color="auto"/>
              <w:bottom w:val="single" w:sz="4" w:space="0" w:color="auto"/>
              <w:right w:val="single" w:sz="4" w:space="0" w:color="auto"/>
            </w:tcBorders>
            <w:shd w:val="clear" w:color="auto" w:fill="auto"/>
            <w:noWrap/>
            <w:vAlign w:val="bottom"/>
            <w:hideMark/>
          </w:tcPr>
          <w:p w14:paraId="59843A60" w14:textId="77777777" w:rsidR="00F0429A" w:rsidRDefault="00F0429A" w:rsidP="00CE3585">
            <w:pPr>
              <w:jc w:val="center"/>
              <w:rPr>
                <w:b/>
                <w:bCs/>
                <w:color w:val="000000"/>
              </w:rPr>
            </w:pPr>
            <w:r>
              <w:rPr>
                <w:b/>
                <w:bCs/>
                <w:color w:val="000000"/>
              </w:rPr>
              <w:t>GFDL.CM3_rcp85_2085</w:t>
            </w:r>
          </w:p>
        </w:tc>
        <w:tc>
          <w:tcPr>
            <w:tcW w:w="760" w:type="dxa"/>
            <w:tcBorders>
              <w:top w:val="nil"/>
              <w:left w:val="nil"/>
              <w:bottom w:val="single" w:sz="4" w:space="0" w:color="auto"/>
              <w:right w:val="single" w:sz="4" w:space="0" w:color="auto"/>
            </w:tcBorders>
            <w:shd w:val="clear" w:color="auto" w:fill="auto"/>
            <w:noWrap/>
            <w:vAlign w:val="bottom"/>
            <w:hideMark/>
          </w:tcPr>
          <w:p w14:paraId="40C055FB" w14:textId="14B2CC56" w:rsidR="00F0429A" w:rsidRDefault="00F0429A" w:rsidP="00CE3585">
            <w:pPr>
              <w:jc w:val="center"/>
              <w:rPr>
                <w:color w:val="000000"/>
              </w:rPr>
            </w:pPr>
            <w:r>
              <w:rPr>
                <w:color w:val="000000"/>
              </w:rPr>
              <w:t>CMD</w:t>
            </w:r>
          </w:p>
        </w:tc>
        <w:tc>
          <w:tcPr>
            <w:tcW w:w="980" w:type="dxa"/>
            <w:tcBorders>
              <w:top w:val="nil"/>
              <w:left w:val="nil"/>
              <w:bottom w:val="single" w:sz="4" w:space="0" w:color="auto"/>
              <w:right w:val="single" w:sz="4" w:space="0" w:color="auto"/>
            </w:tcBorders>
            <w:shd w:val="clear" w:color="auto" w:fill="auto"/>
            <w:noWrap/>
            <w:vAlign w:val="bottom"/>
            <w:hideMark/>
          </w:tcPr>
          <w:p w14:paraId="2DAF679C" w14:textId="77777777" w:rsidR="00F0429A" w:rsidRDefault="00F0429A" w:rsidP="00CE3585">
            <w:pPr>
              <w:jc w:val="center"/>
              <w:rPr>
                <w:color w:val="000000"/>
              </w:rPr>
            </w:pPr>
            <w:r>
              <w:rPr>
                <w:color w:val="000000"/>
              </w:rPr>
              <w:t>DD_0</w:t>
            </w:r>
          </w:p>
        </w:tc>
        <w:tc>
          <w:tcPr>
            <w:tcW w:w="980" w:type="dxa"/>
            <w:tcBorders>
              <w:top w:val="nil"/>
              <w:left w:val="nil"/>
              <w:bottom w:val="single" w:sz="4" w:space="0" w:color="auto"/>
              <w:right w:val="single" w:sz="4" w:space="0" w:color="auto"/>
            </w:tcBorders>
            <w:shd w:val="clear" w:color="auto" w:fill="auto"/>
            <w:noWrap/>
            <w:vAlign w:val="bottom"/>
            <w:hideMark/>
          </w:tcPr>
          <w:p w14:paraId="3D2694F4" w14:textId="2A55C706" w:rsidR="00F0429A" w:rsidRDefault="00F0429A" w:rsidP="00CE3585">
            <w:pPr>
              <w:jc w:val="center"/>
              <w:rPr>
                <w:color w:val="000000"/>
              </w:rPr>
            </w:pPr>
            <w:r>
              <w:rPr>
                <w:color w:val="000000"/>
              </w:rPr>
              <w:t>PAS</w:t>
            </w:r>
          </w:p>
        </w:tc>
        <w:tc>
          <w:tcPr>
            <w:tcW w:w="960" w:type="dxa"/>
            <w:tcBorders>
              <w:top w:val="nil"/>
              <w:left w:val="nil"/>
              <w:bottom w:val="single" w:sz="4" w:space="0" w:color="auto"/>
              <w:right w:val="single" w:sz="4" w:space="0" w:color="auto"/>
            </w:tcBorders>
            <w:shd w:val="clear" w:color="auto" w:fill="auto"/>
            <w:noWrap/>
            <w:vAlign w:val="bottom"/>
            <w:hideMark/>
          </w:tcPr>
          <w:p w14:paraId="0C2D20D9" w14:textId="77777777" w:rsidR="00F0429A" w:rsidRDefault="00F0429A" w:rsidP="00CE3585">
            <w:pPr>
              <w:jc w:val="center"/>
              <w:rPr>
                <w:color w:val="000000"/>
              </w:rPr>
            </w:pPr>
            <w:proofErr w:type="spellStart"/>
            <w:r>
              <w:rPr>
                <w:color w:val="000000"/>
              </w:rPr>
              <w:t>PPT_sm</w:t>
            </w:r>
            <w:proofErr w:type="spellEnd"/>
          </w:p>
        </w:tc>
        <w:tc>
          <w:tcPr>
            <w:tcW w:w="980" w:type="dxa"/>
            <w:tcBorders>
              <w:top w:val="nil"/>
              <w:left w:val="nil"/>
              <w:bottom w:val="single" w:sz="4" w:space="0" w:color="auto"/>
              <w:right w:val="single" w:sz="4" w:space="0" w:color="auto"/>
            </w:tcBorders>
            <w:shd w:val="clear" w:color="auto" w:fill="auto"/>
            <w:noWrap/>
            <w:vAlign w:val="bottom"/>
            <w:hideMark/>
          </w:tcPr>
          <w:p w14:paraId="3A51CDE5" w14:textId="37C10B78" w:rsidR="00F0429A" w:rsidRDefault="00F0429A" w:rsidP="00CE3585">
            <w:pPr>
              <w:jc w:val="center"/>
              <w:rPr>
                <w:color w:val="000000"/>
              </w:rPr>
            </w:pPr>
            <w:proofErr w:type="spellStart"/>
            <w:r>
              <w:rPr>
                <w:color w:val="000000"/>
              </w:rPr>
              <w:t>PPT_wt</w:t>
            </w:r>
            <w:proofErr w:type="spellEnd"/>
          </w:p>
        </w:tc>
        <w:tc>
          <w:tcPr>
            <w:tcW w:w="520" w:type="dxa"/>
            <w:tcBorders>
              <w:top w:val="nil"/>
              <w:left w:val="nil"/>
              <w:bottom w:val="single" w:sz="4" w:space="0" w:color="auto"/>
              <w:right w:val="single" w:sz="4" w:space="0" w:color="auto"/>
            </w:tcBorders>
            <w:shd w:val="clear" w:color="auto" w:fill="auto"/>
            <w:noWrap/>
            <w:vAlign w:val="bottom"/>
            <w:hideMark/>
          </w:tcPr>
          <w:p w14:paraId="6F549258" w14:textId="03E1CFB7" w:rsidR="00F0429A" w:rsidRDefault="00F0429A" w:rsidP="00CE3585">
            <w:pPr>
              <w:jc w:val="center"/>
              <w:rPr>
                <w:color w:val="000000"/>
              </w:rPr>
            </w:pPr>
            <w:r>
              <w:rPr>
                <w:color w:val="000000"/>
              </w:rPr>
              <w:t>TD</w:t>
            </w:r>
          </w:p>
        </w:tc>
      </w:tr>
    </w:tbl>
    <w:p w14:paraId="1D71A11C" w14:textId="4BC8BB12" w:rsidR="00F0429A" w:rsidRDefault="00F0429A" w:rsidP="00F0429A">
      <w:pPr>
        <w:rPr>
          <w:rFonts w:eastAsia="Arial"/>
        </w:rPr>
      </w:pPr>
    </w:p>
    <w:p w14:paraId="6EBD7695" w14:textId="51B44CAB" w:rsidR="00F0429A" w:rsidRPr="00F0429A" w:rsidRDefault="003E7D07" w:rsidP="00F0429A">
      <w:pPr>
        <w:rPr>
          <w:rFonts w:eastAsia="Arial"/>
          <w:sz w:val="20"/>
          <w:szCs w:val="20"/>
        </w:rPr>
      </w:pPr>
      <w:r>
        <w:rPr>
          <w:rFonts w:eastAsia="Arial"/>
          <w:sz w:val="20"/>
          <w:szCs w:val="20"/>
        </w:rPr>
        <w:t>Appendix Table 3 footnote</w:t>
      </w:r>
      <w:r w:rsidR="003F6907">
        <w:rPr>
          <w:rFonts w:eastAsia="Arial"/>
          <w:sz w:val="20"/>
          <w:szCs w:val="20"/>
        </w:rPr>
        <w:t>.</w:t>
      </w:r>
      <w:r>
        <w:rPr>
          <w:rFonts w:eastAsia="Arial"/>
          <w:sz w:val="20"/>
          <w:szCs w:val="20"/>
        </w:rPr>
        <w:t xml:space="preserve"> </w:t>
      </w:r>
      <w:r w:rsidR="00F0429A" w:rsidRPr="00F0429A">
        <w:rPr>
          <w:rFonts w:eastAsia="Arial"/>
          <w:sz w:val="20"/>
          <w:szCs w:val="20"/>
        </w:rPr>
        <w:t xml:space="preserve">Abbreviations are as follows: annual heat moisture index (AHM), </w:t>
      </w:r>
      <w:proofErr w:type="spellStart"/>
      <w:r w:rsidR="00F0429A" w:rsidRPr="00F0429A">
        <w:rPr>
          <w:color w:val="000000"/>
          <w:sz w:val="20"/>
          <w:szCs w:val="20"/>
        </w:rPr>
        <w:t>Hargreave's</w:t>
      </w:r>
      <w:proofErr w:type="spellEnd"/>
      <w:r w:rsidR="00F0429A" w:rsidRPr="00F0429A">
        <w:rPr>
          <w:color w:val="000000"/>
          <w:sz w:val="20"/>
          <w:szCs w:val="20"/>
        </w:rPr>
        <w:t xml:space="preserve"> climatic moisture index (CMD), degree-days below 0°C (DD_0), </w:t>
      </w:r>
      <w:r w:rsidR="00F0429A" w:rsidRPr="00F0429A">
        <w:rPr>
          <w:rFonts w:eastAsia="Arial"/>
          <w:sz w:val="20"/>
          <w:szCs w:val="20"/>
        </w:rPr>
        <w:t>precipitation as snow in mm (PAS), summer (Jun-Aug) precipitation in mm (</w:t>
      </w:r>
      <w:proofErr w:type="spellStart"/>
      <w:r w:rsidR="00F0429A" w:rsidRPr="00F0429A">
        <w:rPr>
          <w:rFonts w:eastAsia="Arial"/>
          <w:sz w:val="20"/>
          <w:szCs w:val="20"/>
        </w:rPr>
        <w:t>PPT_sm</w:t>
      </w:r>
      <w:proofErr w:type="spellEnd"/>
      <w:r w:rsidR="00F0429A" w:rsidRPr="00F0429A">
        <w:rPr>
          <w:rFonts w:eastAsia="Arial"/>
          <w:sz w:val="20"/>
          <w:szCs w:val="20"/>
        </w:rPr>
        <w:t>), winter (Dec-Feb) precipitation in mm (</w:t>
      </w:r>
      <w:proofErr w:type="spellStart"/>
      <w:r w:rsidR="00F0429A" w:rsidRPr="00F0429A">
        <w:rPr>
          <w:rFonts w:eastAsia="Arial"/>
          <w:sz w:val="20"/>
          <w:szCs w:val="20"/>
        </w:rPr>
        <w:t>PPT_wt</w:t>
      </w:r>
      <w:proofErr w:type="spellEnd"/>
      <w:r w:rsidR="00F0429A" w:rsidRPr="00F0429A">
        <w:rPr>
          <w:rFonts w:eastAsia="Arial"/>
          <w:sz w:val="20"/>
          <w:szCs w:val="20"/>
        </w:rPr>
        <w:t>), mean annual relative humidity (%) (RH), summer heat moisture index (SHM), the difference between mean temperature of the warmest month (</w:t>
      </w:r>
      <w:r w:rsidR="00F0429A" w:rsidRPr="00F0429A">
        <w:rPr>
          <w:color w:val="000000"/>
          <w:sz w:val="20"/>
          <w:szCs w:val="20"/>
        </w:rPr>
        <w:t>°C)</w:t>
      </w:r>
      <w:r w:rsidR="00F0429A" w:rsidRPr="00F0429A">
        <w:rPr>
          <w:rFonts w:eastAsia="Arial"/>
          <w:sz w:val="20"/>
          <w:szCs w:val="20"/>
        </w:rPr>
        <w:t xml:space="preserve"> and the coldest month (</w:t>
      </w:r>
      <w:r w:rsidR="00F0429A" w:rsidRPr="00F0429A">
        <w:rPr>
          <w:color w:val="000000"/>
          <w:sz w:val="20"/>
          <w:szCs w:val="20"/>
        </w:rPr>
        <w:t>°C) (TD).</w:t>
      </w:r>
    </w:p>
    <w:p w14:paraId="438364D2" w14:textId="77777777" w:rsidR="00251884" w:rsidRDefault="00251884">
      <w:pPr>
        <w:rPr>
          <w:noProof/>
        </w:rPr>
      </w:pPr>
      <w:r>
        <w:rPr>
          <w:noProof/>
        </w:rPr>
        <w:br w:type="page"/>
      </w:r>
    </w:p>
    <w:p w14:paraId="11173996" w14:textId="22ED624B" w:rsidR="00347752" w:rsidRDefault="00347752" w:rsidP="00606400">
      <w:pPr>
        <w:pStyle w:val="Subtitle"/>
        <w:rPr>
          <w:noProof/>
        </w:rPr>
      </w:pPr>
      <w:bookmarkStart w:id="126" w:name="_Toc102118714"/>
      <w:r>
        <w:rPr>
          <w:noProof/>
        </w:rPr>
        <w:lastRenderedPageBreak/>
        <w:t xml:space="preserve">Appendix Table </w:t>
      </w:r>
      <w:r w:rsidR="00B6110A">
        <w:rPr>
          <w:noProof/>
        </w:rPr>
        <w:t>4</w:t>
      </w:r>
      <w:r>
        <w:rPr>
          <w:noProof/>
        </w:rPr>
        <w:t>. PCA axes and the proportion of variance each axes explains in multivariate space given the output of all ecological niche models for the species pair.</w:t>
      </w:r>
      <w:bookmarkEnd w:id="126"/>
    </w:p>
    <w:tbl>
      <w:tblPr>
        <w:tblW w:w="7740" w:type="dxa"/>
        <w:jc w:val="center"/>
        <w:tblCellMar>
          <w:left w:w="0" w:type="dxa"/>
          <w:right w:w="0" w:type="dxa"/>
        </w:tblCellMar>
        <w:tblLook w:val="04A0" w:firstRow="1" w:lastRow="0" w:firstColumn="1" w:lastColumn="0" w:noHBand="0" w:noVBand="1"/>
      </w:tblPr>
      <w:tblGrid>
        <w:gridCol w:w="620"/>
        <w:gridCol w:w="2040"/>
        <w:gridCol w:w="2560"/>
        <w:gridCol w:w="2520"/>
      </w:tblGrid>
      <w:tr w:rsidR="00347752" w:rsidRPr="00347752" w14:paraId="7A1407DC" w14:textId="77777777" w:rsidTr="00347752">
        <w:trPr>
          <w:trHeight w:val="320"/>
          <w:jc w:val="center"/>
        </w:trPr>
        <w:tc>
          <w:tcPr>
            <w:tcW w:w="62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5F5773F" w14:textId="77777777" w:rsidR="00347752" w:rsidRPr="00347752" w:rsidRDefault="00347752" w:rsidP="00347752">
            <w:pPr>
              <w:jc w:val="center"/>
              <w:rPr>
                <w:b/>
                <w:bCs/>
                <w:color w:val="000000"/>
              </w:rPr>
            </w:pPr>
            <w:r w:rsidRPr="00347752">
              <w:rPr>
                <w:b/>
                <w:bCs/>
                <w:color w:val="000000"/>
              </w:rPr>
              <w:t>Axis</w:t>
            </w:r>
          </w:p>
        </w:tc>
        <w:tc>
          <w:tcPr>
            <w:tcW w:w="204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14EC916B" w14:textId="77777777" w:rsidR="00347752" w:rsidRPr="00347752" w:rsidRDefault="00347752" w:rsidP="00347752">
            <w:pPr>
              <w:jc w:val="center"/>
              <w:rPr>
                <w:b/>
                <w:bCs/>
                <w:color w:val="000000"/>
              </w:rPr>
            </w:pPr>
            <w:r w:rsidRPr="00347752">
              <w:rPr>
                <w:b/>
                <w:bCs/>
                <w:color w:val="000000"/>
              </w:rPr>
              <w:t>Standard Deviation</w:t>
            </w:r>
          </w:p>
        </w:tc>
        <w:tc>
          <w:tcPr>
            <w:tcW w:w="25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52936E11" w14:textId="77777777" w:rsidR="00347752" w:rsidRPr="00347752" w:rsidRDefault="00347752" w:rsidP="00347752">
            <w:pPr>
              <w:jc w:val="center"/>
              <w:rPr>
                <w:b/>
                <w:bCs/>
                <w:color w:val="000000"/>
              </w:rPr>
            </w:pPr>
            <w:r w:rsidRPr="00347752">
              <w:rPr>
                <w:b/>
                <w:bCs/>
                <w:color w:val="000000"/>
              </w:rPr>
              <w:t>Proportion of Variance</w:t>
            </w:r>
          </w:p>
        </w:tc>
        <w:tc>
          <w:tcPr>
            <w:tcW w:w="252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7CF264DA" w14:textId="77777777" w:rsidR="00347752" w:rsidRPr="00347752" w:rsidRDefault="00347752" w:rsidP="00347752">
            <w:pPr>
              <w:jc w:val="center"/>
              <w:rPr>
                <w:b/>
                <w:bCs/>
                <w:color w:val="000000"/>
              </w:rPr>
            </w:pPr>
            <w:r w:rsidRPr="00347752">
              <w:rPr>
                <w:b/>
                <w:bCs/>
                <w:color w:val="000000"/>
              </w:rPr>
              <w:t>Cumulative Proportion</w:t>
            </w:r>
          </w:p>
        </w:tc>
      </w:tr>
      <w:tr w:rsidR="00347752" w:rsidRPr="00347752" w14:paraId="757890F4"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D7E8F1C" w14:textId="77777777" w:rsidR="00347752" w:rsidRPr="00347752" w:rsidRDefault="00347752" w:rsidP="00347752">
            <w:pPr>
              <w:jc w:val="center"/>
              <w:rPr>
                <w:color w:val="000000"/>
              </w:rPr>
            </w:pPr>
            <w:r w:rsidRPr="00347752">
              <w:rPr>
                <w:color w:val="000000"/>
              </w:rPr>
              <w:t>PC1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B451FAE" w14:textId="77777777" w:rsidR="00347752" w:rsidRPr="00347752" w:rsidRDefault="00347752" w:rsidP="00347752">
            <w:pPr>
              <w:jc w:val="center"/>
              <w:rPr>
                <w:color w:val="000000"/>
              </w:rPr>
            </w:pPr>
            <w:r w:rsidRPr="00347752">
              <w:rPr>
                <w:color w:val="000000"/>
              </w:rPr>
              <w:t>4.6037</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5DD2F74" w14:textId="77777777" w:rsidR="00347752" w:rsidRPr="00347752" w:rsidRDefault="00347752" w:rsidP="00347752">
            <w:pPr>
              <w:jc w:val="center"/>
              <w:rPr>
                <w:color w:val="000000"/>
              </w:rPr>
            </w:pPr>
            <w:r w:rsidRPr="00347752">
              <w:rPr>
                <w:color w:val="000000"/>
              </w:rPr>
              <w:t>0.3854</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172356D" w14:textId="77777777" w:rsidR="00347752" w:rsidRPr="00347752" w:rsidRDefault="00347752" w:rsidP="00347752">
            <w:pPr>
              <w:jc w:val="center"/>
              <w:rPr>
                <w:color w:val="000000"/>
              </w:rPr>
            </w:pPr>
            <w:r w:rsidRPr="00347752">
              <w:rPr>
                <w:color w:val="000000"/>
              </w:rPr>
              <w:t>0.3854</w:t>
            </w:r>
          </w:p>
        </w:tc>
      </w:tr>
      <w:tr w:rsidR="00347752" w:rsidRPr="00347752" w14:paraId="29EBBA17"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D5DD23C" w14:textId="77777777" w:rsidR="00347752" w:rsidRPr="00347752" w:rsidRDefault="00347752" w:rsidP="00347752">
            <w:pPr>
              <w:jc w:val="center"/>
              <w:rPr>
                <w:color w:val="000000"/>
              </w:rPr>
            </w:pPr>
            <w:r w:rsidRPr="00347752">
              <w:rPr>
                <w:color w:val="000000"/>
              </w:rPr>
              <w:t>PC2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357095D" w14:textId="77777777" w:rsidR="00347752" w:rsidRPr="00347752" w:rsidRDefault="00347752" w:rsidP="00347752">
            <w:pPr>
              <w:jc w:val="center"/>
              <w:rPr>
                <w:color w:val="000000"/>
              </w:rPr>
            </w:pPr>
            <w:r w:rsidRPr="00347752">
              <w:rPr>
                <w:color w:val="000000"/>
              </w:rPr>
              <w:t>2.8028</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D0EE5CA" w14:textId="77777777" w:rsidR="00347752" w:rsidRPr="00347752" w:rsidRDefault="00347752" w:rsidP="00347752">
            <w:pPr>
              <w:jc w:val="center"/>
              <w:rPr>
                <w:color w:val="000000"/>
              </w:rPr>
            </w:pPr>
            <w:r w:rsidRPr="00347752">
              <w:rPr>
                <w:color w:val="000000"/>
              </w:rPr>
              <w:t>0.1428</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F924847" w14:textId="77777777" w:rsidR="00347752" w:rsidRPr="00347752" w:rsidRDefault="00347752" w:rsidP="00347752">
            <w:pPr>
              <w:jc w:val="center"/>
              <w:rPr>
                <w:color w:val="000000"/>
              </w:rPr>
            </w:pPr>
            <w:r w:rsidRPr="00347752">
              <w:rPr>
                <w:color w:val="000000"/>
              </w:rPr>
              <w:t>0.5282</w:t>
            </w:r>
          </w:p>
        </w:tc>
      </w:tr>
      <w:tr w:rsidR="00347752" w:rsidRPr="00347752" w14:paraId="25509D71"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34EC637" w14:textId="77777777" w:rsidR="00347752" w:rsidRPr="00347752" w:rsidRDefault="00347752" w:rsidP="00347752">
            <w:pPr>
              <w:jc w:val="center"/>
              <w:rPr>
                <w:color w:val="000000"/>
              </w:rPr>
            </w:pPr>
            <w:r w:rsidRPr="00347752">
              <w:rPr>
                <w:color w:val="000000"/>
              </w:rPr>
              <w:t>PC3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0171F39" w14:textId="77777777" w:rsidR="00347752" w:rsidRPr="00347752" w:rsidRDefault="00347752" w:rsidP="00347752">
            <w:pPr>
              <w:jc w:val="center"/>
              <w:rPr>
                <w:color w:val="000000"/>
              </w:rPr>
            </w:pPr>
            <w:r w:rsidRPr="00347752">
              <w:rPr>
                <w:color w:val="000000"/>
              </w:rPr>
              <w:t>2.5336</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2158F1E" w14:textId="77777777" w:rsidR="00347752" w:rsidRPr="00347752" w:rsidRDefault="00347752" w:rsidP="00347752">
            <w:pPr>
              <w:jc w:val="center"/>
              <w:rPr>
                <w:color w:val="000000"/>
              </w:rPr>
            </w:pPr>
            <w:r w:rsidRPr="00347752">
              <w:rPr>
                <w:color w:val="000000"/>
              </w:rPr>
              <w:t>0.1167</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02061B0" w14:textId="77777777" w:rsidR="00347752" w:rsidRPr="00347752" w:rsidRDefault="00347752" w:rsidP="00347752">
            <w:pPr>
              <w:jc w:val="center"/>
              <w:rPr>
                <w:color w:val="000000"/>
              </w:rPr>
            </w:pPr>
            <w:r w:rsidRPr="00347752">
              <w:rPr>
                <w:color w:val="000000"/>
              </w:rPr>
              <w:t>0.6449</w:t>
            </w:r>
          </w:p>
        </w:tc>
      </w:tr>
      <w:tr w:rsidR="00347752" w:rsidRPr="00347752" w14:paraId="3715C254"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0B4BF4F" w14:textId="77777777" w:rsidR="00347752" w:rsidRPr="00347752" w:rsidRDefault="00347752" w:rsidP="00347752">
            <w:pPr>
              <w:jc w:val="center"/>
              <w:rPr>
                <w:color w:val="000000"/>
              </w:rPr>
            </w:pPr>
            <w:r w:rsidRPr="00347752">
              <w:rPr>
                <w:color w:val="000000"/>
              </w:rPr>
              <w:t>PC4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11C0992" w14:textId="77777777" w:rsidR="00347752" w:rsidRPr="00347752" w:rsidRDefault="00347752" w:rsidP="00347752">
            <w:pPr>
              <w:jc w:val="center"/>
              <w:rPr>
                <w:color w:val="000000"/>
              </w:rPr>
            </w:pPr>
            <w:r w:rsidRPr="00347752">
              <w:rPr>
                <w:color w:val="000000"/>
              </w:rPr>
              <w:t>1.96103</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BA81801" w14:textId="77777777" w:rsidR="00347752" w:rsidRPr="00347752" w:rsidRDefault="00347752" w:rsidP="00347752">
            <w:pPr>
              <w:jc w:val="center"/>
              <w:rPr>
                <w:color w:val="000000"/>
              </w:rPr>
            </w:pPr>
            <w:r w:rsidRPr="00347752">
              <w:rPr>
                <w:color w:val="000000"/>
              </w:rPr>
              <w:t>0.06992</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AADC2C5" w14:textId="77777777" w:rsidR="00347752" w:rsidRPr="00347752" w:rsidRDefault="00347752" w:rsidP="00347752">
            <w:pPr>
              <w:jc w:val="center"/>
              <w:rPr>
                <w:color w:val="000000"/>
              </w:rPr>
            </w:pPr>
            <w:r w:rsidRPr="00347752">
              <w:rPr>
                <w:color w:val="000000"/>
              </w:rPr>
              <w:t>0.71481</w:t>
            </w:r>
          </w:p>
        </w:tc>
      </w:tr>
      <w:tr w:rsidR="00347752" w:rsidRPr="00347752" w14:paraId="79E61B19"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8CCE449" w14:textId="77777777" w:rsidR="00347752" w:rsidRPr="00347752" w:rsidRDefault="00347752" w:rsidP="00347752">
            <w:pPr>
              <w:jc w:val="center"/>
              <w:rPr>
                <w:color w:val="000000"/>
              </w:rPr>
            </w:pPr>
            <w:r w:rsidRPr="00347752">
              <w:rPr>
                <w:color w:val="000000"/>
              </w:rPr>
              <w:t>PC5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75EA135" w14:textId="77777777" w:rsidR="00347752" w:rsidRPr="00347752" w:rsidRDefault="00347752" w:rsidP="00347752">
            <w:pPr>
              <w:jc w:val="center"/>
              <w:rPr>
                <w:color w:val="000000"/>
              </w:rPr>
            </w:pPr>
            <w:r w:rsidRPr="00347752">
              <w:rPr>
                <w:color w:val="000000"/>
              </w:rPr>
              <w:t>1.69368</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45B3C2F" w14:textId="77777777" w:rsidR="00347752" w:rsidRPr="00347752" w:rsidRDefault="00347752" w:rsidP="00347752">
            <w:pPr>
              <w:jc w:val="center"/>
              <w:rPr>
                <w:color w:val="000000"/>
              </w:rPr>
            </w:pPr>
            <w:r w:rsidRPr="00347752">
              <w:rPr>
                <w:color w:val="000000"/>
              </w:rPr>
              <w:t>0.05216</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B2086F5" w14:textId="77777777" w:rsidR="00347752" w:rsidRPr="00347752" w:rsidRDefault="00347752" w:rsidP="00347752">
            <w:pPr>
              <w:jc w:val="center"/>
              <w:rPr>
                <w:color w:val="000000"/>
              </w:rPr>
            </w:pPr>
            <w:r w:rsidRPr="00347752">
              <w:rPr>
                <w:color w:val="000000"/>
              </w:rPr>
              <w:t>0.76696</w:t>
            </w:r>
          </w:p>
        </w:tc>
      </w:tr>
      <w:tr w:rsidR="00347752" w:rsidRPr="00347752" w14:paraId="793C68CD"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BAA93D5" w14:textId="77777777" w:rsidR="00347752" w:rsidRPr="00347752" w:rsidRDefault="00347752" w:rsidP="00347752">
            <w:pPr>
              <w:jc w:val="center"/>
              <w:rPr>
                <w:color w:val="000000"/>
              </w:rPr>
            </w:pPr>
            <w:r w:rsidRPr="00347752">
              <w:rPr>
                <w:color w:val="000000"/>
              </w:rPr>
              <w:t>PC6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9F60EB3" w14:textId="77777777" w:rsidR="00347752" w:rsidRPr="00347752" w:rsidRDefault="00347752" w:rsidP="00347752">
            <w:pPr>
              <w:jc w:val="center"/>
              <w:rPr>
                <w:color w:val="000000"/>
              </w:rPr>
            </w:pPr>
            <w:r w:rsidRPr="00347752">
              <w:rPr>
                <w:color w:val="000000"/>
              </w:rPr>
              <w:t>1.5306</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F9EA4F8" w14:textId="77777777" w:rsidR="00347752" w:rsidRPr="00347752" w:rsidRDefault="00347752" w:rsidP="00347752">
            <w:pPr>
              <w:jc w:val="center"/>
              <w:rPr>
                <w:color w:val="000000"/>
              </w:rPr>
            </w:pPr>
            <w:r w:rsidRPr="00347752">
              <w:rPr>
                <w:color w:val="000000"/>
              </w:rPr>
              <w:t>0.0426</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42BA3EB" w14:textId="77777777" w:rsidR="00347752" w:rsidRPr="00347752" w:rsidRDefault="00347752" w:rsidP="00347752">
            <w:pPr>
              <w:jc w:val="center"/>
              <w:rPr>
                <w:color w:val="000000"/>
              </w:rPr>
            </w:pPr>
            <w:r w:rsidRPr="00347752">
              <w:rPr>
                <w:color w:val="000000"/>
              </w:rPr>
              <w:t>0.8096</w:t>
            </w:r>
          </w:p>
        </w:tc>
      </w:tr>
      <w:tr w:rsidR="00347752" w:rsidRPr="00347752" w14:paraId="32F67794"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D8D7909" w14:textId="77777777" w:rsidR="00347752" w:rsidRPr="00347752" w:rsidRDefault="00347752" w:rsidP="00347752">
            <w:pPr>
              <w:jc w:val="center"/>
              <w:rPr>
                <w:color w:val="000000"/>
              </w:rPr>
            </w:pPr>
            <w:r w:rsidRPr="00347752">
              <w:rPr>
                <w:color w:val="000000"/>
              </w:rPr>
              <w:t>PC7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7690BC9" w14:textId="77777777" w:rsidR="00347752" w:rsidRPr="00347752" w:rsidRDefault="00347752" w:rsidP="00347752">
            <w:pPr>
              <w:jc w:val="center"/>
              <w:rPr>
                <w:color w:val="000000"/>
              </w:rPr>
            </w:pPr>
            <w:r w:rsidRPr="00347752">
              <w:rPr>
                <w:color w:val="000000"/>
              </w:rPr>
              <w:t>1.4057</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3F5FCBA" w14:textId="77777777" w:rsidR="00347752" w:rsidRPr="00347752" w:rsidRDefault="00347752" w:rsidP="00347752">
            <w:pPr>
              <w:jc w:val="center"/>
              <w:rPr>
                <w:color w:val="000000"/>
              </w:rPr>
            </w:pPr>
            <w:r w:rsidRPr="00347752">
              <w:rPr>
                <w:color w:val="000000"/>
              </w:rPr>
              <w:t>0.03593</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EED5C30" w14:textId="77777777" w:rsidR="00347752" w:rsidRPr="00347752" w:rsidRDefault="00347752" w:rsidP="00347752">
            <w:pPr>
              <w:jc w:val="center"/>
              <w:rPr>
                <w:color w:val="000000"/>
              </w:rPr>
            </w:pPr>
            <w:r w:rsidRPr="00347752">
              <w:rPr>
                <w:color w:val="000000"/>
              </w:rPr>
              <w:t>0.84549</w:t>
            </w:r>
          </w:p>
        </w:tc>
      </w:tr>
      <w:tr w:rsidR="00347752" w:rsidRPr="00347752" w14:paraId="45FB915C"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4562FF3" w14:textId="77777777" w:rsidR="00347752" w:rsidRPr="00347752" w:rsidRDefault="00347752" w:rsidP="00347752">
            <w:pPr>
              <w:jc w:val="center"/>
              <w:rPr>
                <w:color w:val="000000"/>
              </w:rPr>
            </w:pPr>
            <w:r w:rsidRPr="00347752">
              <w:rPr>
                <w:color w:val="000000"/>
              </w:rPr>
              <w:t>PC8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97A462E" w14:textId="77777777" w:rsidR="00347752" w:rsidRPr="00347752" w:rsidRDefault="00347752" w:rsidP="00347752">
            <w:pPr>
              <w:jc w:val="center"/>
              <w:rPr>
                <w:color w:val="000000"/>
              </w:rPr>
            </w:pPr>
            <w:r w:rsidRPr="00347752">
              <w:rPr>
                <w:color w:val="000000"/>
              </w:rPr>
              <w:t>1.37139</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2E348CD" w14:textId="77777777" w:rsidR="00347752" w:rsidRPr="00347752" w:rsidRDefault="00347752" w:rsidP="00347752">
            <w:pPr>
              <w:jc w:val="center"/>
              <w:rPr>
                <w:color w:val="000000"/>
              </w:rPr>
            </w:pPr>
            <w:r w:rsidRPr="00347752">
              <w:rPr>
                <w:color w:val="000000"/>
              </w:rPr>
              <w:t>0.03419</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46C9E24" w14:textId="77777777" w:rsidR="00347752" w:rsidRPr="00347752" w:rsidRDefault="00347752" w:rsidP="00347752">
            <w:pPr>
              <w:jc w:val="center"/>
              <w:rPr>
                <w:color w:val="000000"/>
              </w:rPr>
            </w:pPr>
            <w:r w:rsidRPr="00347752">
              <w:rPr>
                <w:color w:val="000000"/>
              </w:rPr>
              <w:t>0.87968</w:t>
            </w:r>
          </w:p>
        </w:tc>
      </w:tr>
      <w:tr w:rsidR="00347752" w:rsidRPr="00347752" w14:paraId="66E7FFFB"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F045ECC" w14:textId="77777777" w:rsidR="00347752" w:rsidRPr="00347752" w:rsidRDefault="00347752" w:rsidP="00347752">
            <w:pPr>
              <w:jc w:val="center"/>
              <w:rPr>
                <w:color w:val="000000"/>
              </w:rPr>
            </w:pPr>
            <w:r w:rsidRPr="00347752">
              <w:rPr>
                <w:color w:val="000000"/>
              </w:rPr>
              <w:t>PC9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5B592EC" w14:textId="77777777" w:rsidR="00347752" w:rsidRPr="00347752" w:rsidRDefault="00347752" w:rsidP="00347752">
            <w:pPr>
              <w:jc w:val="center"/>
              <w:rPr>
                <w:color w:val="000000"/>
              </w:rPr>
            </w:pPr>
            <w:r w:rsidRPr="00347752">
              <w:rPr>
                <w:color w:val="000000"/>
              </w:rPr>
              <w:t>1.1656</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1D24744" w14:textId="77777777" w:rsidR="00347752" w:rsidRPr="00347752" w:rsidRDefault="00347752" w:rsidP="00347752">
            <w:pPr>
              <w:jc w:val="center"/>
              <w:rPr>
                <w:color w:val="000000"/>
              </w:rPr>
            </w:pPr>
            <w:r w:rsidRPr="00347752">
              <w:rPr>
                <w:color w:val="000000"/>
              </w:rPr>
              <w:t>0.0247</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B04EC3E" w14:textId="77777777" w:rsidR="00347752" w:rsidRPr="00347752" w:rsidRDefault="00347752" w:rsidP="00347752">
            <w:pPr>
              <w:jc w:val="center"/>
              <w:rPr>
                <w:color w:val="000000"/>
              </w:rPr>
            </w:pPr>
            <w:r w:rsidRPr="00347752">
              <w:rPr>
                <w:color w:val="000000"/>
              </w:rPr>
              <w:t>0.9044</w:t>
            </w:r>
          </w:p>
        </w:tc>
      </w:tr>
      <w:tr w:rsidR="00347752" w:rsidRPr="00347752" w14:paraId="4DD9AB83"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D542AE1" w14:textId="77777777" w:rsidR="00347752" w:rsidRPr="00347752" w:rsidRDefault="00347752" w:rsidP="00347752">
            <w:pPr>
              <w:jc w:val="center"/>
              <w:rPr>
                <w:color w:val="000000"/>
              </w:rPr>
            </w:pPr>
            <w:r w:rsidRPr="00347752">
              <w:rPr>
                <w:color w:val="000000"/>
              </w:rPr>
              <w:t>PC10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0FDECC1" w14:textId="77777777" w:rsidR="00347752" w:rsidRPr="00347752" w:rsidRDefault="00347752" w:rsidP="00347752">
            <w:pPr>
              <w:jc w:val="center"/>
              <w:rPr>
                <w:color w:val="000000"/>
              </w:rPr>
            </w:pPr>
            <w:r w:rsidRPr="00347752">
              <w:rPr>
                <w:color w:val="000000"/>
              </w:rPr>
              <w:t>1.0563</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8707B0F" w14:textId="77777777" w:rsidR="00347752" w:rsidRPr="00347752" w:rsidRDefault="00347752" w:rsidP="00347752">
            <w:pPr>
              <w:jc w:val="center"/>
              <w:rPr>
                <w:color w:val="000000"/>
              </w:rPr>
            </w:pPr>
            <w:r w:rsidRPr="00347752">
              <w:rPr>
                <w:color w:val="000000"/>
              </w:rPr>
              <w:t>0.02029</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E2DCB36" w14:textId="77777777" w:rsidR="00347752" w:rsidRPr="00347752" w:rsidRDefault="00347752" w:rsidP="00347752">
            <w:pPr>
              <w:jc w:val="center"/>
              <w:rPr>
                <w:color w:val="000000"/>
              </w:rPr>
            </w:pPr>
            <w:r w:rsidRPr="00347752">
              <w:rPr>
                <w:color w:val="000000"/>
              </w:rPr>
              <w:t>0.92467</w:t>
            </w:r>
          </w:p>
        </w:tc>
      </w:tr>
      <w:tr w:rsidR="00347752" w:rsidRPr="00347752" w14:paraId="47A2FD7F"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29592B6" w14:textId="77777777" w:rsidR="00347752" w:rsidRPr="00347752" w:rsidRDefault="00347752" w:rsidP="00347752">
            <w:pPr>
              <w:jc w:val="center"/>
              <w:rPr>
                <w:color w:val="000000"/>
              </w:rPr>
            </w:pPr>
            <w:r w:rsidRPr="00347752">
              <w:rPr>
                <w:color w:val="000000"/>
              </w:rPr>
              <w:t>PC11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F2A2CF4" w14:textId="77777777" w:rsidR="00347752" w:rsidRPr="00347752" w:rsidRDefault="00347752" w:rsidP="00347752">
            <w:pPr>
              <w:jc w:val="center"/>
              <w:rPr>
                <w:color w:val="000000"/>
              </w:rPr>
            </w:pPr>
            <w:r w:rsidRPr="00347752">
              <w:rPr>
                <w:color w:val="000000"/>
              </w:rPr>
              <w:t>1.01918</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0B6882" w14:textId="77777777" w:rsidR="00347752" w:rsidRPr="00347752" w:rsidRDefault="00347752" w:rsidP="00347752">
            <w:pPr>
              <w:jc w:val="center"/>
              <w:rPr>
                <w:color w:val="000000"/>
              </w:rPr>
            </w:pPr>
            <w:r w:rsidRPr="00347752">
              <w:rPr>
                <w:color w:val="000000"/>
              </w:rPr>
              <w:t>0.01889</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0B4EADD" w14:textId="77777777" w:rsidR="00347752" w:rsidRPr="00347752" w:rsidRDefault="00347752" w:rsidP="00347752">
            <w:pPr>
              <w:jc w:val="center"/>
              <w:rPr>
                <w:color w:val="000000"/>
              </w:rPr>
            </w:pPr>
            <w:r w:rsidRPr="00347752">
              <w:rPr>
                <w:color w:val="000000"/>
              </w:rPr>
              <w:t>0.94356</w:t>
            </w:r>
          </w:p>
        </w:tc>
      </w:tr>
      <w:tr w:rsidR="00347752" w:rsidRPr="00347752" w14:paraId="70FFE493"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2E3D71D" w14:textId="77777777" w:rsidR="00347752" w:rsidRPr="00347752" w:rsidRDefault="00347752" w:rsidP="00347752">
            <w:pPr>
              <w:jc w:val="center"/>
              <w:rPr>
                <w:color w:val="000000"/>
              </w:rPr>
            </w:pPr>
            <w:r w:rsidRPr="00347752">
              <w:rPr>
                <w:color w:val="000000"/>
              </w:rPr>
              <w:t>PC12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9C0558C" w14:textId="77777777" w:rsidR="00347752" w:rsidRPr="00347752" w:rsidRDefault="00347752" w:rsidP="00347752">
            <w:pPr>
              <w:jc w:val="center"/>
              <w:rPr>
                <w:color w:val="000000"/>
              </w:rPr>
            </w:pPr>
            <w:r w:rsidRPr="00347752">
              <w:rPr>
                <w:color w:val="000000"/>
              </w:rPr>
              <w:t>0.79055</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29E7F74" w14:textId="77777777" w:rsidR="00347752" w:rsidRPr="00347752" w:rsidRDefault="00347752" w:rsidP="00347752">
            <w:pPr>
              <w:jc w:val="center"/>
              <w:rPr>
                <w:color w:val="000000"/>
              </w:rPr>
            </w:pPr>
            <w:r w:rsidRPr="00347752">
              <w:rPr>
                <w:color w:val="000000"/>
              </w:rPr>
              <w:t>0.01136</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58C4356" w14:textId="77777777" w:rsidR="00347752" w:rsidRPr="00347752" w:rsidRDefault="00347752" w:rsidP="00347752">
            <w:pPr>
              <w:jc w:val="center"/>
              <w:rPr>
                <w:color w:val="000000"/>
              </w:rPr>
            </w:pPr>
            <w:r w:rsidRPr="00347752">
              <w:rPr>
                <w:color w:val="000000"/>
              </w:rPr>
              <w:t>0.95492</w:t>
            </w:r>
          </w:p>
        </w:tc>
      </w:tr>
      <w:tr w:rsidR="00347752" w:rsidRPr="00347752" w14:paraId="373245D7"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3F0CD4C" w14:textId="77777777" w:rsidR="00347752" w:rsidRPr="00347752" w:rsidRDefault="00347752" w:rsidP="00347752">
            <w:pPr>
              <w:jc w:val="center"/>
              <w:rPr>
                <w:color w:val="000000"/>
              </w:rPr>
            </w:pPr>
            <w:r w:rsidRPr="00347752">
              <w:rPr>
                <w:color w:val="000000"/>
              </w:rPr>
              <w:t>PC13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80093AE" w14:textId="77777777" w:rsidR="00347752" w:rsidRPr="00347752" w:rsidRDefault="00347752" w:rsidP="00347752">
            <w:pPr>
              <w:jc w:val="center"/>
              <w:rPr>
                <w:color w:val="000000"/>
              </w:rPr>
            </w:pPr>
            <w:r w:rsidRPr="00347752">
              <w:rPr>
                <w:color w:val="000000"/>
              </w:rPr>
              <w:t>0.77511</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92E6774" w14:textId="77777777" w:rsidR="00347752" w:rsidRPr="00347752" w:rsidRDefault="00347752" w:rsidP="00347752">
            <w:pPr>
              <w:jc w:val="center"/>
              <w:rPr>
                <w:color w:val="000000"/>
              </w:rPr>
            </w:pPr>
            <w:r w:rsidRPr="00347752">
              <w:rPr>
                <w:color w:val="000000"/>
              </w:rPr>
              <w:t>0.01092</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443C6E7" w14:textId="77777777" w:rsidR="00347752" w:rsidRPr="00347752" w:rsidRDefault="00347752" w:rsidP="00347752">
            <w:pPr>
              <w:jc w:val="center"/>
              <w:rPr>
                <w:color w:val="000000"/>
              </w:rPr>
            </w:pPr>
            <w:r w:rsidRPr="00347752">
              <w:rPr>
                <w:color w:val="000000"/>
              </w:rPr>
              <w:t>0.96584</w:t>
            </w:r>
          </w:p>
        </w:tc>
      </w:tr>
      <w:tr w:rsidR="00347752" w:rsidRPr="00347752" w14:paraId="6B6F4B76"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EAE0C3E" w14:textId="77777777" w:rsidR="00347752" w:rsidRPr="00347752" w:rsidRDefault="00347752" w:rsidP="00347752">
            <w:pPr>
              <w:jc w:val="center"/>
              <w:rPr>
                <w:color w:val="000000"/>
              </w:rPr>
            </w:pPr>
            <w:r w:rsidRPr="00347752">
              <w:rPr>
                <w:color w:val="000000"/>
              </w:rPr>
              <w:t>PC14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61876C6" w14:textId="77777777" w:rsidR="00347752" w:rsidRPr="00347752" w:rsidRDefault="00347752" w:rsidP="00347752">
            <w:pPr>
              <w:jc w:val="center"/>
              <w:rPr>
                <w:color w:val="000000"/>
              </w:rPr>
            </w:pPr>
            <w:r w:rsidRPr="00347752">
              <w:rPr>
                <w:color w:val="000000"/>
              </w:rPr>
              <w:t>0.65739</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3915203" w14:textId="77777777" w:rsidR="00347752" w:rsidRPr="00347752" w:rsidRDefault="00347752" w:rsidP="00347752">
            <w:pPr>
              <w:jc w:val="center"/>
              <w:rPr>
                <w:color w:val="000000"/>
              </w:rPr>
            </w:pPr>
            <w:r w:rsidRPr="00347752">
              <w:rPr>
                <w:color w:val="000000"/>
              </w:rPr>
              <w:t>0.00786</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9040CE4" w14:textId="77777777" w:rsidR="00347752" w:rsidRPr="00347752" w:rsidRDefault="00347752" w:rsidP="00347752">
            <w:pPr>
              <w:jc w:val="center"/>
              <w:rPr>
                <w:color w:val="000000"/>
              </w:rPr>
            </w:pPr>
            <w:r w:rsidRPr="00347752">
              <w:rPr>
                <w:color w:val="000000"/>
              </w:rPr>
              <w:t>0.9737</w:t>
            </w:r>
          </w:p>
        </w:tc>
      </w:tr>
      <w:tr w:rsidR="00347752" w:rsidRPr="00347752" w14:paraId="37F620CF"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7AED665" w14:textId="77777777" w:rsidR="00347752" w:rsidRPr="00347752" w:rsidRDefault="00347752" w:rsidP="00347752">
            <w:pPr>
              <w:jc w:val="center"/>
              <w:rPr>
                <w:color w:val="000000"/>
              </w:rPr>
            </w:pPr>
            <w:r w:rsidRPr="00347752">
              <w:rPr>
                <w:color w:val="000000"/>
              </w:rPr>
              <w:t>PC15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963A326" w14:textId="77777777" w:rsidR="00347752" w:rsidRPr="00347752" w:rsidRDefault="00347752" w:rsidP="00347752">
            <w:pPr>
              <w:jc w:val="center"/>
              <w:rPr>
                <w:color w:val="000000"/>
              </w:rPr>
            </w:pPr>
            <w:r w:rsidRPr="00347752">
              <w:rPr>
                <w:color w:val="000000"/>
              </w:rPr>
              <w:t>0.60339</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E76ED6D" w14:textId="77777777" w:rsidR="00347752" w:rsidRPr="00347752" w:rsidRDefault="00347752" w:rsidP="00347752">
            <w:pPr>
              <w:jc w:val="center"/>
              <w:rPr>
                <w:color w:val="000000"/>
              </w:rPr>
            </w:pPr>
            <w:r w:rsidRPr="00347752">
              <w:rPr>
                <w:color w:val="000000"/>
              </w:rPr>
              <w:t>0.00662</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37F5BEB" w14:textId="77777777" w:rsidR="00347752" w:rsidRPr="00347752" w:rsidRDefault="00347752" w:rsidP="00347752">
            <w:pPr>
              <w:jc w:val="center"/>
              <w:rPr>
                <w:color w:val="000000"/>
              </w:rPr>
            </w:pPr>
            <w:r w:rsidRPr="00347752">
              <w:rPr>
                <w:color w:val="000000"/>
              </w:rPr>
              <w:t>0.98032</w:t>
            </w:r>
          </w:p>
        </w:tc>
      </w:tr>
      <w:tr w:rsidR="00347752" w:rsidRPr="00347752" w14:paraId="380BF024"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8558840" w14:textId="77777777" w:rsidR="00347752" w:rsidRPr="00347752" w:rsidRDefault="00347752" w:rsidP="00347752">
            <w:pPr>
              <w:jc w:val="center"/>
              <w:rPr>
                <w:color w:val="000000"/>
              </w:rPr>
            </w:pPr>
            <w:r w:rsidRPr="00347752">
              <w:rPr>
                <w:color w:val="000000"/>
              </w:rPr>
              <w:t>PC16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4590467" w14:textId="77777777" w:rsidR="00347752" w:rsidRPr="00347752" w:rsidRDefault="00347752" w:rsidP="00347752">
            <w:pPr>
              <w:jc w:val="center"/>
              <w:rPr>
                <w:color w:val="000000"/>
              </w:rPr>
            </w:pPr>
            <w:r w:rsidRPr="00347752">
              <w:rPr>
                <w:color w:val="000000"/>
              </w:rPr>
              <w:t>0.52382</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60A8E5A" w14:textId="77777777" w:rsidR="00347752" w:rsidRPr="00347752" w:rsidRDefault="00347752" w:rsidP="00347752">
            <w:pPr>
              <w:jc w:val="center"/>
              <w:rPr>
                <w:color w:val="000000"/>
              </w:rPr>
            </w:pPr>
            <w:r w:rsidRPr="00347752">
              <w:rPr>
                <w:color w:val="000000"/>
              </w:rPr>
              <w:t>0.00499</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E03EF9B" w14:textId="77777777" w:rsidR="00347752" w:rsidRPr="00347752" w:rsidRDefault="00347752" w:rsidP="00347752">
            <w:pPr>
              <w:jc w:val="center"/>
              <w:rPr>
                <w:color w:val="000000"/>
              </w:rPr>
            </w:pPr>
            <w:r w:rsidRPr="00347752">
              <w:rPr>
                <w:color w:val="000000"/>
              </w:rPr>
              <w:t>0.98531</w:t>
            </w:r>
          </w:p>
        </w:tc>
      </w:tr>
      <w:tr w:rsidR="00347752" w:rsidRPr="00347752" w14:paraId="2FE437F5"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D085EF5" w14:textId="77777777" w:rsidR="00347752" w:rsidRPr="00347752" w:rsidRDefault="00347752" w:rsidP="00347752">
            <w:pPr>
              <w:jc w:val="center"/>
              <w:rPr>
                <w:color w:val="000000"/>
              </w:rPr>
            </w:pPr>
            <w:r w:rsidRPr="00347752">
              <w:rPr>
                <w:color w:val="000000"/>
              </w:rPr>
              <w:t>PC17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52FBA98" w14:textId="77777777" w:rsidR="00347752" w:rsidRPr="00347752" w:rsidRDefault="00347752" w:rsidP="00347752">
            <w:pPr>
              <w:jc w:val="center"/>
              <w:rPr>
                <w:color w:val="000000"/>
              </w:rPr>
            </w:pPr>
            <w:r w:rsidRPr="00347752">
              <w:rPr>
                <w:color w:val="000000"/>
              </w:rPr>
              <w:t>0.49916</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31607AD" w14:textId="77777777" w:rsidR="00347752" w:rsidRPr="00347752" w:rsidRDefault="00347752" w:rsidP="00347752">
            <w:pPr>
              <w:jc w:val="center"/>
              <w:rPr>
                <w:color w:val="000000"/>
              </w:rPr>
            </w:pPr>
            <w:r w:rsidRPr="00347752">
              <w:rPr>
                <w:color w:val="000000"/>
              </w:rPr>
              <w:t>0.00453</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F314300" w14:textId="77777777" w:rsidR="00347752" w:rsidRPr="00347752" w:rsidRDefault="00347752" w:rsidP="00347752">
            <w:pPr>
              <w:jc w:val="center"/>
              <w:rPr>
                <w:color w:val="000000"/>
              </w:rPr>
            </w:pPr>
            <w:r w:rsidRPr="00347752">
              <w:rPr>
                <w:color w:val="000000"/>
              </w:rPr>
              <w:t>0.98984</w:t>
            </w:r>
          </w:p>
        </w:tc>
      </w:tr>
      <w:tr w:rsidR="00347752" w:rsidRPr="00347752" w14:paraId="6E92C407"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1438D7D" w14:textId="77777777" w:rsidR="00347752" w:rsidRPr="00347752" w:rsidRDefault="00347752" w:rsidP="00347752">
            <w:pPr>
              <w:jc w:val="center"/>
              <w:rPr>
                <w:color w:val="000000"/>
              </w:rPr>
            </w:pPr>
            <w:r w:rsidRPr="00347752">
              <w:rPr>
                <w:color w:val="000000"/>
              </w:rPr>
              <w:t>PC18</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797EC4B" w14:textId="77777777" w:rsidR="00347752" w:rsidRPr="00347752" w:rsidRDefault="00347752" w:rsidP="00347752">
            <w:pPr>
              <w:jc w:val="center"/>
              <w:rPr>
                <w:color w:val="000000"/>
              </w:rPr>
            </w:pPr>
            <w:r w:rsidRPr="00347752">
              <w:rPr>
                <w:color w:val="000000"/>
              </w:rPr>
              <w:t>0.40303</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A50EB11" w14:textId="77777777" w:rsidR="00347752" w:rsidRPr="00347752" w:rsidRDefault="00347752" w:rsidP="00347752">
            <w:pPr>
              <w:jc w:val="center"/>
              <w:rPr>
                <w:color w:val="000000"/>
              </w:rPr>
            </w:pPr>
            <w:r w:rsidRPr="00347752">
              <w:rPr>
                <w:color w:val="000000"/>
              </w:rPr>
              <w:t>0.00295</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D569B5B" w14:textId="77777777" w:rsidR="00347752" w:rsidRPr="00347752" w:rsidRDefault="00347752" w:rsidP="00347752">
            <w:pPr>
              <w:jc w:val="center"/>
              <w:rPr>
                <w:color w:val="000000"/>
              </w:rPr>
            </w:pPr>
            <w:r w:rsidRPr="00347752">
              <w:rPr>
                <w:color w:val="000000"/>
              </w:rPr>
              <w:t>0.99279</w:t>
            </w:r>
          </w:p>
        </w:tc>
      </w:tr>
      <w:tr w:rsidR="00347752" w:rsidRPr="00347752" w14:paraId="56AE7FF6"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F7735CF" w14:textId="77777777" w:rsidR="00347752" w:rsidRPr="00347752" w:rsidRDefault="00347752" w:rsidP="00347752">
            <w:pPr>
              <w:jc w:val="center"/>
              <w:rPr>
                <w:color w:val="000000"/>
              </w:rPr>
            </w:pPr>
            <w:r w:rsidRPr="00347752">
              <w:rPr>
                <w:color w:val="000000"/>
              </w:rPr>
              <w:t>PC19</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B580403" w14:textId="77777777" w:rsidR="00347752" w:rsidRPr="00347752" w:rsidRDefault="00347752" w:rsidP="00347752">
            <w:pPr>
              <w:jc w:val="center"/>
              <w:rPr>
                <w:color w:val="000000"/>
              </w:rPr>
            </w:pPr>
            <w:r w:rsidRPr="00347752">
              <w:rPr>
                <w:color w:val="000000"/>
              </w:rPr>
              <w:t>0.33813</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A9EE1AD" w14:textId="77777777" w:rsidR="00347752" w:rsidRPr="00347752" w:rsidRDefault="00347752" w:rsidP="00347752">
            <w:pPr>
              <w:jc w:val="center"/>
              <w:rPr>
                <w:color w:val="000000"/>
              </w:rPr>
            </w:pPr>
            <w:r w:rsidRPr="00347752">
              <w:rPr>
                <w:color w:val="000000"/>
              </w:rPr>
              <w:t>0.00208</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C44639E" w14:textId="77777777" w:rsidR="00347752" w:rsidRPr="00347752" w:rsidRDefault="00347752" w:rsidP="00347752">
            <w:pPr>
              <w:jc w:val="center"/>
              <w:rPr>
                <w:color w:val="000000"/>
              </w:rPr>
            </w:pPr>
            <w:r w:rsidRPr="00347752">
              <w:rPr>
                <w:color w:val="000000"/>
              </w:rPr>
              <w:t>0.99487</w:t>
            </w:r>
          </w:p>
        </w:tc>
      </w:tr>
      <w:tr w:rsidR="00347752" w:rsidRPr="00347752" w14:paraId="0D41ADD5"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F6FD8DB" w14:textId="77777777" w:rsidR="00347752" w:rsidRPr="00347752" w:rsidRDefault="00347752" w:rsidP="00347752">
            <w:pPr>
              <w:jc w:val="center"/>
              <w:rPr>
                <w:color w:val="000000"/>
              </w:rPr>
            </w:pPr>
            <w:r w:rsidRPr="00347752">
              <w:rPr>
                <w:color w:val="000000"/>
              </w:rPr>
              <w:t>PC20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DF3742" w14:textId="77777777" w:rsidR="00347752" w:rsidRPr="00347752" w:rsidRDefault="00347752" w:rsidP="00347752">
            <w:pPr>
              <w:jc w:val="center"/>
              <w:rPr>
                <w:color w:val="000000"/>
              </w:rPr>
            </w:pPr>
            <w:r w:rsidRPr="00347752">
              <w:rPr>
                <w:color w:val="000000"/>
              </w:rPr>
              <w:t>0.31055</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E578F75" w14:textId="77777777" w:rsidR="00347752" w:rsidRPr="00347752" w:rsidRDefault="00347752" w:rsidP="00347752">
            <w:pPr>
              <w:jc w:val="center"/>
              <w:rPr>
                <w:color w:val="000000"/>
              </w:rPr>
            </w:pPr>
            <w:r w:rsidRPr="00347752">
              <w:rPr>
                <w:color w:val="000000"/>
              </w:rPr>
              <w:t>0.00175</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02742FC" w14:textId="77777777" w:rsidR="00347752" w:rsidRPr="00347752" w:rsidRDefault="00347752" w:rsidP="00347752">
            <w:pPr>
              <w:jc w:val="center"/>
              <w:rPr>
                <w:color w:val="000000"/>
              </w:rPr>
            </w:pPr>
            <w:r w:rsidRPr="00347752">
              <w:rPr>
                <w:color w:val="000000"/>
              </w:rPr>
              <w:t>0.99662</w:t>
            </w:r>
          </w:p>
        </w:tc>
      </w:tr>
      <w:tr w:rsidR="00347752" w:rsidRPr="00347752" w14:paraId="0D7F81D3"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BB66BF1" w14:textId="77777777" w:rsidR="00347752" w:rsidRPr="00347752" w:rsidRDefault="00347752" w:rsidP="00347752">
            <w:pPr>
              <w:jc w:val="center"/>
              <w:rPr>
                <w:color w:val="000000"/>
              </w:rPr>
            </w:pPr>
            <w:r w:rsidRPr="00347752">
              <w:rPr>
                <w:color w:val="000000"/>
              </w:rPr>
              <w:t>PC21</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057D2CC" w14:textId="77777777" w:rsidR="00347752" w:rsidRPr="00347752" w:rsidRDefault="00347752" w:rsidP="00347752">
            <w:pPr>
              <w:jc w:val="center"/>
              <w:rPr>
                <w:color w:val="000000"/>
              </w:rPr>
            </w:pPr>
            <w:r w:rsidRPr="00347752">
              <w:rPr>
                <w:color w:val="000000"/>
              </w:rPr>
              <w:t>0.2968</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43E9236" w14:textId="77777777" w:rsidR="00347752" w:rsidRPr="00347752" w:rsidRDefault="00347752" w:rsidP="00347752">
            <w:pPr>
              <w:jc w:val="center"/>
              <w:rPr>
                <w:color w:val="000000"/>
              </w:rPr>
            </w:pPr>
            <w:r w:rsidRPr="00347752">
              <w:rPr>
                <w:color w:val="000000"/>
              </w:rPr>
              <w:t>0.0016</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F7BDAA3" w14:textId="77777777" w:rsidR="00347752" w:rsidRPr="00347752" w:rsidRDefault="00347752" w:rsidP="00347752">
            <w:pPr>
              <w:jc w:val="center"/>
              <w:rPr>
                <w:color w:val="000000"/>
              </w:rPr>
            </w:pPr>
            <w:r w:rsidRPr="00347752">
              <w:rPr>
                <w:color w:val="000000"/>
              </w:rPr>
              <w:t>0.9982</w:t>
            </w:r>
          </w:p>
        </w:tc>
      </w:tr>
      <w:tr w:rsidR="00347752" w:rsidRPr="00347752" w14:paraId="4212B6CD"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FA430A0" w14:textId="77777777" w:rsidR="00347752" w:rsidRPr="00347752" w:rsidRDefault="00347752" w:rsidP="00347752">
            <w:pPr>
              <w:jc w:val="center"/>
              <w:rPr>
                <w:color w:val="000000"/>
              </w:rPr>
            </w:pPr>
            <w:r w:rsidRPr="00347752">
              <w:rPr>
                <w:color w:val="000000"/>
              </w:rPr>
              <w:t>PC22</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8EA5414" w14:textId="77777777" w:rsidR="00347752" w:rsidRPr="00347752" w:rsidRDefault="00347752" w:rsidP="00347752">
            <w:pPr>
              <w:jc w:val="center"/>
              <w:rPr>
                <w:color w:val="000000"/>
              </w:rPr>
            </w:pPr>
            <w:r w:rsidRPr="00347752">
              <w:rPr>
                <w:color w:val="000000"/>
              </w:rPr>
              <w:t>0.20686</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0A830C0" w14:textId="77777777" w:rsidR="00347752" w:rsidRPr="00347752" w:rsidRDefault="00347752" w:rsidP="00347752">
            <w:pPr>
              <w:jc w:val="center"/>
              <w:rPr>
                <w:color w:val="000000"/>
              </w:rPr>
            </w:pPr>
            <w:r w:rsidRPr="00347752">
              <w:rPr>
                <w:color w:val="000000"/>
              </w:rPr>
              <w:t>0.00078</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F62F30A" w14:textId="77777777" w:rsidR="00347752" w:rsidRPr="00347752" w:rsidRDefault="00347752" w:rsidP="00347752">
            <w:pPr>
              <w:jc w:val="center"/>
              <w:rPr>
                <w:color w:val="000000"/>
              </w:rPr>
            </w:pPr>
            <w:r w:rsidRPr="00347752">
              <w:rPr>
                <w:color w:val="000000"/>
              </w:rPr>
              <w:t>0.999</w:t>
            </w:r>
          </w:p>
        </w:tc>
      </w:tr>
      <w:tr w:rsidR="00347752" w:rsidRPr="00347752" w14:paraId="4F5EFA62"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2FBAD2A" w14:textId="77777777" w:rsidR="00347752" w:rsidRPr="00347752" w:rsidRDefault="00347752" w:rsidP="00347752">
            <w:pPr>
              <w:jc w:val="center"/>
              <w:rPr>
                <w:color w:val="000000"/>
              </w:rPr>
            </w:pPr>
            <w:r w:rsidRPr="00347752">
              <w:rPr>
                <w:color w:val="000000"/>
              </w:rPr>
              <w:t>PC23</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C2F042A" w14:textId="77777777" w:rsidR="00347752" w:rsidRPr="00347752" w:rsidRDefault="00347752" w:rsidP="00347752">
            <w:pPr>
              <w:jc w:val="center"/>
              <w:rPr>
                <w:color w:val="000000"/>
              </w:rPr>
            </w:pPr>
            <w:r w:rsidRPr="00347752">
              <w:rPr>
                <w:color w:val="000000"/>
              </w:rPr>
              <w:t>0.1652</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2BFAC47" w14:textId="77777777" w:rsidR="00347752" w:rsidRPr="00347752" w:rsidRDefault="00347752" w:rsidP="00347752">
            <w:pPr>
              <w:jc w:val="center"/>
              <w:rPr>
                <w:color w:val="000000"/>
              </w:rPr>
            </w:pPr>
            <w:r w:rsidRPr="00347752">
              <w:rPr>
                <w:color w:val="000000"/>
              </w:rPr>
              <w:t>0.0005</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E4104B8" w14:textId="77777777" w:rsidR="00347752" w:rsidRPr="00347752" w:rsidRDefault="00347752" w:rsidP="00347752">
            <w:pPr>
              <w:jc w:val="center"/>
              <w:rPr>
                <w:color w:val="000000"/>
              </w:rPr>
            </w:pPr>
            <w:r w:rsidRPr="00347752">
              <w:rPr>
                <w:color w:val="000000"/>
              </w:rPr>
              <w:t>0.9995</w:t>
            </w:r>
          </w:p>
        </w:tc>
      </w:tr>
      <w:tr w:rsidR="00347752" w:rsidRPr="00347752" w14:paraId="3969DA2A"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9B85F0A" w14:textId="77777777" w:rsidR="00347752" w:rsidRPr="00347752" w:rsidRDefault="00347752" w:rsidP="00347752">
            <w:pPr>
              <w:jc w:val="center"/>
              <w:rPr>
                <w:color w:val="000000"/>
              </w:rPr>
            </w:pPr>
            <w:r w:rsidRPr="00347752">
              <w:rPr>
                <w:color w:val="000000"/>
              </w:rPr>
              <w:t>PC24</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122C985" w14:textId="77777777" w:rsidR="00347752" w:rsidRPr="00347752" w:rsidRDefault="00347752" w:rsidP="00347752">
            <w:pPr>
              <w:jc w:val="center"/>
              <w:rPr>
                <w:color w:val="000000"/>
              </w:rPr>
            </w:pPr>
            <w:r w:rsidRPr="00347752">
              <w:rPr>
                <w:color w:val="000000"/>
              </w:rPr>
              <w:t>0.13297</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E99A05A" w14:textId="77777777" w:rsidR="00347752" w:rsidRPr="00347752" w:rsidRDefault="00347752" w:rsidP="00347752">
            <w:pPr>
              <w:jc w:val="center"/>
              <w:rPr>
                <w:color w:val="000000"/>
              </w:rPr>
            </w:pPr>
            <w:r w:rsidRPr="00347752">
              <w:rPr>
                <w:color w:val="000000"/>
              </w:rPr>
              <w:t>0.00032</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6A9568A" w14:textId="77777777" w:rsidR="00347752" w:rsidRPr="00347752" w:rsidRDefault="00347752" w:rsidP="00347752">
            <w:pPr>
              <w:jc w:val="center"/>
              <w:rPr>
                <w:color w:val="000000"/>
              </w:rPr>
            </w:pPr>
            <w:r w:rsidRPr="00347752">
              <w:rPr>
                <w:color w:val="000000"/>
              </w:rPr>
              <w:t>0.99982</w:t>
            </w:r>
          </w:p>
        </w:tc>
      </w:tr>
      <w:tr w:rsidR="00347752" w:rsidRPr="00347752" w14:paraId="34E0F37F"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CE36051" w14:textId="77777777" w:rsidR="00347752" w:rsidRPr="00347752" w:rsidRDefault="00347752" w:rsidP="00347752">
            <w:pPr>
              <w:jc w:val="center"/>
              <w:rPr>
                <w:color w:val="000000"/>
              </w:rPr>
            </w:pPr>
            <w:r w:rsidRPr="00347752">
              <w:rPr>
                <w:color w:val="000000"/>
              </w:rPr>
              <w:t>PC25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9F2BBD9" w14:textId="77777777" w:rsidR="00347752" w:rsidRPr="00347752" w:rsidRDefault="00347752" w:rsidP="00347752">
            <w:pPr>
              <w:jc w:val="center"/>
              <w:rPr>
                <w:color w:val="000000"/>
              </w:rPr>
            </w:pPr>
            <w:r w:rsidRPr="00347752">
              <w:rPr>
                <w:color w:val="000000"/>
              </w:rPr>
              <w:t>0.0991</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01D450D" w14:textId="77777777" w:rsidR="00347752" w:rsidRPr="00347752" w:rsidRDefault="00347752" w:rsidP="00347752">
            <w:pPr>
              <w:jc w:val="center"/>
              <w:rPr>
                <w:color w:val="000000"/>
              </w:rPr>
            </w:pPr>
            <w:r w:rsidRPr="00347752">
              <w:rPr>
                <w:color w:val="000000"/>
              </w:rPr>
              <w:t>0.00018</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DEF0007" w14:textId="77777777" w:rsidR="00347752" w:rsidRPr="00347752" w:rsidRDefault="00347752" w:rsidP="00347752">
            <w:pPr>
              <w:jc w:val="center"/>
              <w:rPr>
                <w:color w:val="000000"/>
              </w:rPr>
            </w:pPr>
            <w:r w:rsidRPr="00347752">
              <w:rPr>
                <w:color w:val="000000"/>
              </w:rPr>
              <w:t>1</w:t>
            </w:r>
          </w:p>
        </w:tc>
      </w:tr>
      <w:tr w:rsidR="00347752" w:rsidRPr="00347752" w14:paraId="7144F25B" w14:textId="77777777" w:rsidTr="00347752">
        <w:trPr>
          <w:trHeight w:val="32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4EA18A4" w14:textId="77777777" w:rsidR="00347752" w:rsidRPr="00347752" w:rsidRDefault="00347752" w:rsidP="00347752">
            <w:pPr>
              <w:jc w:val="center"/>
              <w:rPr>
                <w:color w:val="000000"/>
              </w:rPr>
            </w:pPr>
            <w:r w:rsidRPr="00347752">
              <w:rPr>
                <w:color w:val="000000"/>
              </w:rPr>
              <w:t>PC26</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13C02CB0" w14:textId="77777777" w:rsidR="00347752" w:rsidRPr="00347752" w:rsidRDefault="00347752" w:rsidP="00347752">
            <w:pPr>
              <w:jc w:val="center"/>
              <w:rPr>
                <w:color w:val="000000"/>
              </w:rPr>
            </w:pPr>
            <w:r w:rsidRPr="00347752">
              <w:rPr>
                <w:color w:val="000000"/>
              </w:rPr>
              <w:t>5.73E-15</w:t>
            </w:r>
          </w:p>
        </w:tc>
        <w:tc>
          <w:tcPr>
            <w:tcW w:w="25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4E7F1EFF" w14:textId="77777777" w:rsidR="00347752" w:rsidRPr="00347752" w:rsidRDefault="00347752" w:rsidP="00347752">
            <w:pPr>
              <w:jc w:val="center"/>
              <w:rPr>
                <w:color w:val="000000"/>
              </w:rPr>
            </w:pPr>
            <w:r w:rsidRPr="00347752">
              <w:rPr>
                <w:color w:val="000000"/>
              </w:rPr>
              <w:t>0.00E+00</w:t>
            </w:r>
          </w:p>
        </w:tc>
        <w:tc>
          <w:tcPr>
            <w:tcW w:w="252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7DD50C47" w14:textId="250E3E54" w:rsidR="00347752" w:rsidRPr="00347752" w:rsidRDefault="00347752" w:rsidP="00347752">
            <w:pPr>
              <w:jc w:val="center"/>
              <w:rPr>
                <w:color w:val="000000"/>
              </w:rPr>
            </w:pPr>
            <w:r w:rsidRPr="00347752">
              <w:rPr>
                <w:color w:val="000000"/>
              </w:rPr>
              <w:t>1</w:t>
            </w:r>
          </w:p>
        </w:tc>
      </w:tr>
    </w:tbl>
    <w:p w14:paraId="17F3196D" w14:textId="1C43D5CF" w:rsidR="00191DD7" w:rsidRPr="001E4901" w:rsidRDefault="00347752" w:rsidP="00011F5E">
      <w:pPr>
        <w:pStyle w:val="Heading1"/>
      </w:pPr>
      <w:r w:rsidRPr="001E4901">
        <w:rPr>
          <w:noProof/>
        </w:rPr>
        <w:t xml:space="preserve"> </w:t>
      </w:r>
      <w:r w:rsidR="003D63DF" w:rsidRPr="001E4901">
        <w:rPr>
          <w:noProof/>
        </w:rPr>
        <w:br w:type="page"/>
      </w:r>
      <w:bookmarkStart w:id="127" w:name="_Toc102048047"/>
      <w:r w:rsidR="00070C90">
        <w:lastRenderedPageBreak/>
        <w:t>VITA</w:t>
      </w:r>
      <w:bookmarkEnd w:id="127"/>
    </w:p>
    <w:p w14:paraId="64231CDF" w14:textId="484A1F95" w:rsidR="00AE125E" w:rsidRPr="001E4901" w:rsidRDefault="003D63DF" w:rsidP="003D63DF">
      <w:r w:rsidRPr="001E4901">
        <w:tab/>
      </w:r>
      <w:r w:rsidR="00CC69E7">
        <w:t xml:space="preserve">Jonathan R. Dickey, originally from Oxnard, California, spent most of his childhood in Southern Alaska, Southern California, and the suburbs of Dallas, Texas. After high school, Jonathan attended university at The University of Texas at Austin where he completed a </w:t>
      </w:r>
      <w:r w:rsidR="004673AF">
        <w:t>Bachelor of Science</w:t>
      </w:r>
      <w:r w:rsidR="00CC69E7">
        <w:t xml:space="preserve"> in Ecology, Evolution, and Behavior. </w:t>
      </w:r>
      <w:r w:rsidR="004673AF">
        <w:t>Throughout a brief field internship with the National Forest Service, Bureau of Land Management, and the National Park Service, Jonathan applied to graduate school and began his journey in pursuit of a PhD at The University of Tennessee, Knoxville</w:t>
      </w:r>
      <w:r w:rsidR="00DF1235">
        <w:t xml:space="preserve"> in the Department of Ecology and Evolutionary Biology. </w:t>
      </w:r>
      <w:r w:rsidR="002A462A">
        <w:t>His major research interests</w:t>
      </w:r>
      <w:r w:rsidR="00DF1235">
        <w:t xml:space="preserve"> investigate the small-scale distribution of plant-host associated microorganisms and the ecological factors that govern these distributions. Further, he takes this information and links it to ecological modeling where large-scale biogeographical patterns can be predicted in future climate scenarios. After graduation, he will continue to investigate plant-microbial </w:t>
      </w:r>
      <w:r w:rsidR="00227D05">
        <w:t xml:space="preserve">interactions and focus on using novel statistical and bioinformatic methods to characterized microbial communities. He is filled with gratitude for the continual support his mentors, friends, and family have provided throughout this process and as he takes the next step in his career. </w:t>
      </w:r>
    </w:p>
    <w:sectPr w:rsidR="00AE125E" w:rsidRPr="001E4901" w:rsidSect="005504DA">
      <w:pgSz w:w="12240" w:h="15840" w:code="1"/>
      <w:pgMar w:top="1440" w:right="1440" w:bottom="1440" w:left="1440" w:header="720" w:footer="72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0A58C" w14:textId="77777777" w:rsidR="004C71C8" w:rsidRDefault="004C71C8">
      <w:r>
        <w:separator/>
      </w:r>
    </w:p>
  </w:endnote>
  <w:endnote w:type="continuationSeparator" w:id="0">
    <w:p w14:paraId="27AE6DAF" w14:textId="77777777" w:rsidR="004C71C8" w:rsidRDefault="004C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Times New Roman"/>
      </w:rPr>
      <w:id w:val="-291986760"/>
      <w:docPartObj>
        <w:docPartGallery w:val="Page Numbers (Bottom of Page)"/>
        <w:docPartUnique/>
      </w:docPartObj>
    </w:sdtPr>
    <w:sdtEndPr>
      <w:rPr>
        <w:noProof/>
      </w:rPr>
    </w:sdtEndPr>
    <w:sdtContent>
      <w:p w14:paraId="76B764C3" w14:textId="77777777" w:rsidR="00D83B30" w:rsidRPr="009D2AA9" w:rsidRDefault="00D83B30">
        <w:pPr>
          <w:pStyle w:val="Footer"/>
          <w:jc w:val="center"/>
          <w:rPr>
            <w:rFonts w:cs="Times New Roman"/>
          </w:rPr>
        </w:pPr>
        <w:r w:rsidRPr="009D2AA9">
          <w:rPr>
            <w:rFonts w:cs="Times New Roman"/>
          </w:rPr>
          <w:fldChar w:fldCharType="begin"/>
        </w:r>
        <w:r w:rsidRPr="009D2AA9">
          <w:rPr>
            <w:rFonts w:cs="Times New Roman"/>
          </w:rPr>
          <w:instrText xml:space="preserve"> PAGE   \* MERGEFORMAT </w:instrText>
        </w:r>
        <w:r w:rsidRPr="009D2AA9">
          <w:rPr>
            <w:rFonts w:cs="Times New Roman"/>
          </w:rPr>
          <w:fldChar w:fldCharType="separate"/>
        </w:r>
        <w:r w:rsidR="00C317E9">
          <w:rPr>
            <w:rFonts w:cs="Times New Roman"/>
            <w:noProof/>
          </w:rPr>
          <w:t>vi</w:t>
        </w:r>
        <w:r w:rsidRPr="009D2AA9">
          <w:rPr>
            <w:rFonts w:cs="Times New Roman"/>
            <w:noProof/>
          </w:rPr>
          <w:fldChar w:fldCharType="end"/>
        </w:r>
      </w:p>
    </w:sdtContent>
  </w:sdt>
  <w:p w14:paraId="74A18E63"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BF6234" w14:textId="77777777" w:rsidR="004C71C8" w:rsidRDefault="004C71C8">
      <w:r>
        <w:separator/>
      </w:r>
    </w:p>
  </w:footnote>
  <w:footnote w:type="continuationSeparator" w:id="0">
    <w:p w14:paraId="61312285" w14:textId="77777777" w:rsidR="004C71C8" w:rsidRDefault="004C7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55006"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D3AB" w14:textId="57C0589E"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DF4F0B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72EA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3055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55C27A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FE62BC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92EE1C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E4C6AB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9A48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F82F5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285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1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20440B3E"/>
    <w:multiLevelType w:val="multilevel"/>
    <w:tmpl w:val="9AA42D0E"/>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BCD41A3"/>
    <w:multiLevelType w:val="multilevel"/>
    <w:tmpl w:val="CC9CFC6C"/>
    <w:name w:val="Table3223"/>
    <w:lvl w:ilvl="0">
      <w:start w:val="1"/>
      <w:numFmt w:val="cardinalText"/>
      <w:suff w:val="space"/>
      <w:lvlText w:val="Chapter %1"/>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699773462">
    <w:abstractNumId w:val="10"/>
  </w:num>
  <w:num w:numId="2" w16cid:durableId="638926761">
    <w:abstractNumId w:val="17"/>
  </w:num>
  <w:num w:numId="3" w16cid:durableId="887954057">
    <w:abstractNumId w:val="13"/>
  </w:num>
  <w:num w:numId="4" w16cid:durableId="964046201">
    <w:abstractNumId w:val="23"/>
  </w:num>
  <w:num w:numId="5" w16cid:durableId="1971134530">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16566317">
    <w:abstractNumId w:val="0"/>
  </w:num>
  <w:num w:numId="7" w16cid:durableId="144054757">
    <w:abstractNumId w:val="1"/>
  </w:num>
  <w:num w:numId="8" w16cid:durableId="1224831293">
    <w:abstractNumId w:val="2"/>
  </w:num>
  <w:num w:numId="9" w16cid:durableId="582107019">
    <w:abstractNumId w:val="3"/>
  </w:num>
  <w:num w:numId="10" w16cid:durableId="1429501238">
    <w:abstractNumId w:val="8"/>
  </w:num>
  <w:num w:numId="11" w16cid:durableId="1839156632">
    <w:abstractNumId w:val="4"/>
  </w:num>
  <w:num w:numId="12" w16cid:durableId="467550616">
    <w:abstractNumId w:val="5"/>
  </w:num>
  <w:num w:numId="13" w16cid:durableId="1094396212">
    <w:abstractNumId w:val="6"/>
  </w:num>
  <w:num w:numId="14" w16cid:durableId="1557472963">
    <w:abstractNumId w:val="7"/>
  </w:num>
  <w:num w:numId="15" w16cid:durableId="45644909">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11D89"/>
    <w:rsid w:val="00011F5E"/>
    <w:rsid w:val="00014A3E"/>
    <w:rsid w:val="000166A9"/>
    <w:rsid w:val="0002037F"/>
    <w:rsid w:val="00026318"/>
    <w:rsid w:val="00030376"/>
    <w:rsid w:val="00032057"/>
    <w:rsid w:val="000324B7"/>
    <w:rsid w:val="00033CD1"/>
    <w:rsid w:val="00043624"/>
    <w:rsid w:val="00046164"/>
    <w:rsid w:val="0005015C"/>
    <w:rsid w:val="00053B30"/>
    <w:rsid w:val="000549D8"/>
    <w:rsid w:val="000559D7"/>
    <w:rsid w:val="00057004"/>
    <w:rsid w:val="00061C77"/>
    <w:rsid w:val="0006339C"/>
    <w:rsid w:val="000649E3"/>
    <w:rsid w:val="00070C90"/>
    <w:rsid w:val="00071FB8"/>
    <w:rsid w:val="00076A95"/>
    <w:rsid w:val="0008459E"/>
    <w:rsid w:val="00090BE7"/>
    <w:rsid w:val="000957C1"/>
    <w:rsid w:val="000A0D44"/>
    <w:rsid w:val="000B0A40"/>
    <w:rsid w:val="000B5C42"/>
    <w:rsid w:val="000B6437"/>
    <w:rsid w:val="000D7974"/>
    <w:rsid w:val="000E1FA6"/>
    <w:rsid w:val="000E3F21"/>
    <w:rsid w:val="000F568C"/>
    <w:rsid w:val="0010217F"/>
    <w:rsid w:val="00103610"/>
    <w:rsid w:val="0010614C"/>
    <w:rsid w:val="0011264A"/>
    <w:rsid w:val="00112982"/>
    <w:rsid w:val="00112F00"/>
    <w:rsid w:val="00146C47"/>
    <w:rsid w:val="00153B61"/>
    <w:rsid w:val="0016121B"/>
    <w:rsid w:val="001663C9"/>
    <w:rsid w:val="001669A7"/>
    <w:rsid w:val="00173751"/>
    <w:rsid w:val="00177D09"/>
    <w:rsid w:val="001802B6"/>
    <w:rsid w:val="00185361"/>
    <w:rsid w:val="001854FB"/>
    <w:rsid w:val="001868E6"/>
    <w:rsid w:val="00187BA0"/>
    <w:rsid w:val="00187F7C"/>
    <w:rsid w:val="00191DD7"/>
    <w:rsid w:val="00193642"/>
    <w:rsid w:val="001A0D20"/>
    <w:rsid w:val="001A1E8E"/>
    <w:rsid w:val="001A2059"/>
    <w:rsid w:val="001A2D00"/>
    <w:rsid w:val="001A6A6A"/>
    <w:rsid w:val="001C39F6"/>
    <w:rsid w:val="001C66FE"/>
    <w:rsid w:val="001D45D8"/>
    <w:rsid w:val="001D4908"/>
    <w:rsid w:val="001D6904"/>
    <w:rsid w:val="001E4901"/>
    <w:rsid w:val="001E5EE7"/>
    <w:rsid w:val="001F03CB"/>
    <w:rsid w:val="001F4E3F"/>
    <w:rsid w:val="001F522F"/>
    <w:rsid w:val="00207219"/>
    <w:rsid w:val="002077BF"/>
    <w:rsid w:val="0021311E"/>
    <w:rsid w:val="00215F16"/>
    <w:rsid w:val="00220221"/>
    <w:rsid w:val="0022321D"/>
    <w:rsid w:val="00227D05"/>
    <w:rsid w:val="00236E6D"/>
    <w:rsid w:val="00241168"/>
    <w:rsid w:val="002429E5"/>
    <w:rsid w:val="002439B0"/>
    <w:rsid w:val="00251876"/>
    <w:rsid w:val="00251884"/>
    <w:rsid w:val="00252288"/>
    <w:rsid w:val="00262252"/>
    <w:rsid w:val="00262525"/>
    <w:rsid w:val="0027212A"/>
    <w:rsid w:val="00280CEF"/>
    <w:rsid w:val="0028495F"/>
    <w:rsid w:val="00284FAE"/>
    <w:rsid w:val="0028757A"/>
    <w:rsid w:val="00291B2E"/>
    <w:rsid w:val="00294650"/>
    <w:rsid w:val="002A462A"/>
    <w:rsid w:val="002A797A"/>
    <w:rsid w:val="002C2BE2"/>
    <w:rsid w:val="002D1591"/>
    <w:rsid w:val="002D1FE4"/>
    <w:rsid w:val="002D470F"/>
    <w:rsid w:val="002E2492"/>
    <w:rsid w:val="002E3229"/>
    <w:rsid w:val="002E3C74"/>
    <w:rsid w:val="002E3D49"/>
    <w:rsid w:val="002E7D5A"/>
    <w:rsid w:val="002F15D8"/>
    <w:rsid w:val="00300686"/>
    <w:rsid w:val="00304BD0"/>
    <w:rsid w:val="0030727B"/>
    <w:rsid w:val="00307D77"/>
    <w:rsid w:val="00311F1A"/>
    <w:rsid w:val="00313E9E"/>
    <w:rsid w:val="003150D5"/>
    <w:rsid w:val="00320F78"/>
    <w:rsid w:val="003223BC"/>
    <w:rsid w:val="003230D0"/>
    <w:rsid w:val="0032391B"/>
    <w:rsid w:val="0034643A"/>
    <w:rsid w:val="00347752"/>
    <w:rsid w:val="00352323"/>
    <w:rsid w:val="003543BF"/>
    <w:rsid w:val="003575D9"/>
    <w:rsid w:val="0035768F"/>
    <w:rsid w:val="00360CC8"/>
    <w:rsid w:val="00365149"/>
    <w:rsid w:val="00377DD5"/>
    <w:rsid w:val="0038177C"/>
    <w:rsid w:val="003836EB"/>
    <w:rsid w:val="00384679"/>
    <w:rsid w:val="00387024"/>
    <w:rsid w:val="00390FB1"/>
    <w:rsid w:val="003920DC"/>
    <w:rsid w:val="0039365D"/>
    <w:rsid w:val="0039571A"/>
    <w:rsid w:val="003963D3"/>
    <w:rsid w:val="003A5AB8"/>
    <w:rsid w:val="003A7F1E"/>
    <w:rsid w:val="003B5719"/>
    <w:rsid w:val="003C1575"/>
    <w:rsid w:val="003D07F7"/>
    <w:rsid w:val="003D2AD9"/>
    <w:rsid w:val="003D5275"/>
    <w:rsid w:val="003D63DF"/>
    <w:rsid w:val="003D737F"/>
    <w:rsid w:val="003D7A27"/>
    <w:rsid w:val="003D7CC7"/>
    <w:rsid w:val="003E2944"/>
    <w:rsid w:val="003E5EA7"/>
    <w:rsid w:val="003E6BCD"/>
    <w:rsid w:val="003E7D07"/>
    <w:rsid w:val="003F1C81"/>
    <w:rsid w:val="003F604B"/>
    <w:rsid w:val="003F6907"/>
    <w:rsid w:val="003F7474"/>
    <w:rsid w:val="003F790D"/>
    <w:rsid w:val="003F7FED"/>
    <w:rsid w:val="00404616"/>
    <w:rsid w:val="00404A14"/>
    <w:rsid w:val="00407B6A"/>
    <w:rsid w:val="00414400"/>
    <w:rsid w:val="00420910"/>
    <w:rsid w:val="00421019"/>
    <w:rsid w:val="00421CD4"/>
    <w:rsid w:val="00427833"/>
    <w:rsid w:val="004317A8"/>
    <w:rsid w:val="00432633"/>
    <w:rsid w:val="00433E16"/>
    <w:rsid w:val="00434394"/>
    <w:rsid w:val="00436427"/>
    <w:rsid w:val="0043708C"/>
    <w:rsid w:val="00437176"/>
    <w:rsid w:val="00437660"/>
    <w:rsid w:val="0044196E"/>
    <w:rsid w:val="00461549"/>
    <w:rsid w:val="004673AF"/>
    <w:rsid w:val="00471C94"/>
    <w:rsid w:val="00474210"/>
    <w:rsid w:val="00480B96"/>
    <w:rsid w:val="0048303E"/>
    <w:rsid w:val="0048437E"/>
    <w:rsid w:val="00490A83"/>
    <w:rsid w:val="004920F6"/>
    <w:rsid w:val="004A1B3F"/>
    <w:rsid w:val="004A67E8"/>
    <w:rsid w:val="004B0512"/>
    <w:rsid w:val="004B3A09"/>
    <w:rsid w:val="004B6041"/>
    <w:rsid w:val="004C272C"/>
    <w:rsid w:val="004C3D65"/>
    <w:rsid w:val="004C71C8"/>
    <w:rsid w:val="004D05F5"/>
    <w:rsid w:val="004D2A43"/>
    <w:rsid w:val="004D6472"/>
    <w:rsid w:val="004D6606"/>
    <w:rsid w:val="004D6A00"/>
    <w:rsid w:val="004E03CD"/>
    <w:rsid w:val="004E1779"/>
    <w:rsid w:val="004F08CE"/>
    <w:rsid w:val="004F6B62"/>
    <w:rsid w:val="00500EE4"/>
    <w:rsid w:val="005049D3"/>
    <w:rsid w:val="00513BB6"/>
    <w:rsid w:val="00513C81"/>
    <w:rsid w:val="005176B9"/>
    <w:rsid w:val="005262C6"/>
    <w:rsid w:val="005275D0"/>
    <w:rsid w:val="005355D9"/>
    <w:rsid w:val="00542277"/>
    <w:rsid w:val="00543924"/>
    <w:rsid w:val="00545691"/>
    <w:rsid w:val="005465DD"/>
    <w:rsid w:val="005504DA"/>
    <w:rsid w:val="005543F8"/>
    <w:rsid w:val="00562EB1"/>
    <w:rsid w:val="00564855"/>
    <w:rsid w:val="0057009B"/>
    <w:rsid w:val="0057074B"/>
    <w:rsid w:val="005724CE"/>
    <w:rsid w:val="00580649"/>
    <w:rsid w:val="00581F82"/>
    <w:rsid w:val="00586A30"/>
    <w:rsid w:val="00593CBB"/>
    <w:rsid w:val="00597264"/>
    <w:rsid w:val="00597D3F"/>
    <w:rsid w:val="005A0EB0"/>
    <w:rsid w:val="005B3CEC"/>
    <w:rsid w:val="005B5D83"/>
    <w:rsid w:val="005B79E9"/>
    <w:rsid w:val="005C1227"/>
    <w:rsid w:val="005D11AE"/>
    <w:rsid w:val="005D5E71"/>
    <w:rsid w:val="005D64A6"/>
    <w:rsid w:val="005E023C"/>
    <w:rsid w:val="005E15F8"/>
    <w:rsid w:val="005E4912"/>
    <w:rsid w:val="005E6562"/>
    <w:rsid w:val="005E6F1F"/>
    <w:rsid w:val="005F2B0B"/>
    <w:rsid w:val="005F44D1"/>
    <w:rsid w:val="005F5F31"/>
    <w:rsid w:val="0060625C"/>
    <w:rsid w:val="00606400"/>
    <w:rsid w:val="00606A2C"/>
    <w:rsid w:val="006136C6"/>
    <w:rsid w:val="00621129"/>
    <w:rsid w:val="00622D0E"/>
    <w:rsid w:val="0062430E"/>
    <w:rsid w:val="00624567"/>
    <w:rsid w:val="00632D64"/>
    <w:rsid w:val="00633916"/>
    <w:rsid w:val="00635924"/>
    <w:rsid w:val="006412B1"/>
    <w:rsid w:val="00641D2B"/>
    <w:rsid w:val="00644F0B"/>
    <w:rsid w:val="00650BA9"/>
    <w:rsid w:val="0065123B"/>
    <w:rsid w:val="006570B7"/>
    <w:rsid w:val="006629C1"/>
    <w:rsid w:val="00662D3E"/>
    <w:rsid w:val="006634B1"/>
    <w:rsid w:val="00665C7E"/>
    <w:rsid w:val="00672DDD"/>
    <w:rsid w:val="00672FAD"/>
    <w:rsid w:val="00676C91"/>
    <w:rsid w:val="00683F5B"/>
    <w:rsid w:val="00690B77"/>
    <w:rsid w:val="006922A0"/>
    <w:rsid w:val="00693334"/>
    <w:rsid w:val="006A14D8"/>
    <w:rsid w:val="006A3BA7"/>
    <w:rsid w:val="006B02D1"/>
    <w:rsid w:val="006C010F"/>
    <w:rsid w:val="006C0884"/>
    <w:rsid w:val="006C4000"/>
    <w:rsid w:val="006C4C52"/>
    <w:rsid w:val="006D3D3A"/>
    <w:rsid w:val="006D474B"/>
    <w:rsid w:val="006E0990"/>
    <w:rsid w:val="006E1E6D"/>
    <w:rsid w:val="006E1F09"/>
    <w:rsid w:val="006E443B"/>
    <w:rsid w:val="006E4BDD"/>
    <w:rsid w:val="006E56E8"/>
    <w:rsid w:val="00704B2A"/>
    <w:rsid w:val="00711200"/>
    <w:rsid w:val="007178DC"/>
    <w:rsid w:val="0072022B"/>
    <w:rsid w:val="0072397F"/>
    <w:rsid w:val="0073035A"/>
    <w:rsid w:val="00731922"/>
    <w:rsid w:val="00731ACB"/>
    <w:rsid w:val="00735ED6"/>
    <w:rsid w:val="007368AD"/>
    <w:rsid w:val="00737F54"/>
    <w:rsid w:val="0074133D"/>
    <w:rsid w:val="0074293C"/>
    <w:rsid w:val="0075196D"/>
    <w:rsid w:val="00753EAD"/>
    <w:rsid w:val="0075438C"/>
    <w:rsid w:val="0075558C"/>
    <w:rsid w:val="007564B0"/>
    <w:rsid w:val="0075695E"/>
    <w:rsid w:val="00756D27"/>
    <w:rsid w:val="00761EFA"/>
    <w:rsid w:val="00763E2C"/>
    <w:rsid w:val="00764873"/>
    <w:rsid w:val="007713A3"/>
    <w:rsid w:val="007744B3"/>
    <w:rsid w:val="007778DD"/>
    <w:rsid w:val="00785A09"/>
    <w:rsid w:val="00790B6C"/>
    <w:rsid w:val="00795D03"/>
    <w:rsid w:val="00796693"/>
    <w:rsid w:val="007A1D5F"/>
    <w:rsid w:val="007A337B"/>
    <w:rsid w:val="007A5ED4"/>
    <w:rsid w:val="007A7CD5"/>
    <w:rsid w:val="007B006F"/>
    <w:rsid w:val="007B20D8"/>
    <w:rsid w:val="007B33AD"/>
    <w:rsid w:val="007B520A"/>
    <w:rsid w:val="007B7543"/>
    <w:rsid w:val="007C212B"/>
    <w:rsid w:val="007C6759"/>
    <w:rsid w:val="007C7591"/>
    <w:rsid w:val="007D538B"/>
    <w:rsid w:val="007D5CD5"/>
    <w:rsid w:val="007E085E"/>
    <w:rsid w:val="007E3466"/>
    <w:rsid w:val="007F6AE9"/>
    <w:rsid w:val="007F768A"/>
    <w:rsid w:val="00801070"/>
    <w:rsid w:val="008043A1"/>
    <w:rsid w:val="00805DB6"/>
    <w:rsid w:val="008072E9"/>
    <w:rsid w:val="00817FCF"/>
    <w:rsid w:val="00821A77"/>
    <w:rsid w:val="00823608"/>
    <w:rsid w:val="00826D54"/>
    <w:rsid w:val="0083206D"/>
    <w:rsid w:val="00832319"/>
    <w:rsid w:val="00834CBF"/>
    <w:rsid w:val="00836F89"/>
    <w:rsid w:val="00842B6E"/>
    <w:rsid w:val="00846459"/>
    <w:rsid w:val="008502AA"/>
    <w:rsid w:val="0085195F"/>
    <w:rsid w:val="00852266"/>
    <w:rsid w:val="00853302"/>
    <w:rsid w:val="00857473"/>
    <w:rsid w:val="008619C9"/>
    <w:rsid w:val="00861CAB"/>
    <w:rsid w:val="00863435"/>
    <w:rsid w:val="00872827"/>
    <w:rsid w:val="00872C9C"/>
    <w:rsid w:val="0087349A"/>
    <w:rsid w:val="00874B59"/>
    <w:rsid w:val="00874DCA"/>
    <w:rsid w:val="0088024C"/>
    <w:rsid w:val="00881179"/>
    <w:rsid w:val="00882681"/>
    <w:rsid w:val="00886176"/>
    <w:rsid w:val="008865B6"/>
    <w:rsid w:val="008900A8"/>
    <w:rsid w:val="00895011"/>
    <w:rsid w:val="00895DF4"/>
    <w:rsid w:val="00896E2F"/>
    <w:rsid w:val="008A4E30"/>
    <w:rsid w:val="008A533B"/>
    <w:rsid w:val="008A5ED1"/>
    <w:rsid w:val="008B1A4D"/>
    <w:rsid w:val="008C31C1"/>
    <w:rsid w:val="008D008D"/>
    <w:rsid w:val="008D589C"/>
    <w:rsid w:val="008D71FC"/>
    <w:rsid w:val="008E39BC"/>
    <w:rsid w:val="008E7085"/>
    <w:rsid w:val="008F2A6C"/>
    <w:rsid w:val="008F60C3"/>
    <w:rsid w:val="009049FA"/>
    <w:rsid w:val="00913C8C"/>
    <w:rsid w:val="00920A60"/>
    <w:rsid w:val="00925285"/>
    <w:rsid w:val="009254D6"/>
    <w:rsid w:val="0092669B"/>
    <w:rsid w:val="0093163E"/>
    <w:rsid w:val="00936436"/>
    <w:rsid w:val="0094075F"/>
    <w:rsid w:val="00940C3E"/>
    <w:rsid w:val="00941ECB"/>
    <w:rsid w:val="0094464E"/>
    <w:rsid w:val="00945625"/>
    <w:rsid w:val="00946D73"/>
    <w:rsid w:val="0094721A"/>
    <w:rsid w:val="00961304"/>
    <w:rsid w:val="0096280E"/>
    <w:rsid w:val="009640FD"/>
    <w:rsid w:val="00965FBD"/>
    <w:rsid w:val="00966BAC"/>
    <w:rsid w:val="009744FD"/>
    <w:rsid w:val="0097564A"/>
    <w:rsid w:val="00977352"/>
    <w:rsid w:val="009901DB"/>
    <w:rsid w:val="00991B58"/>
    <w:rsid w:val="00997FEF"/>
    <w:rsid w:val="009A2ABE"/>
    <w:rsid w:val="009A6A2F"/>
    <w:rsid w:val="009B50C4"/>
    <w:rsid w:val="009B76B7"/>
    <w:rsid w:val="009B7FA5"/>
    <w:rsid w:val="009C7019"/>
    <w:rsid w:val="009C755C"/>
    <w:rsid w:val="009C780F"/>
    <w:rsid w:val="009D2408"/>
    <w:rsid w:val="009D2AA9"/>
    <w:rsid w:val="009E4F4C"/>
    <w:rsid w:val="00A04B29"/>
    <w:rsid w:val="00A05782"/>
    <w:rsid w:val="00A12F1A"/>
    <w:rsid w:val="00A17A93"/>
    <w:rsid w:val="00A21B15"/>
    <w:rsid w:val="00A25353"/>
    <w:rsid w:val="00A277C0"/>
    <w:rsid w:val="00A34ABE"/>
    <w:rsid w:val="00A34F5F"/>
    <w:rsid w:val="00A404BE"/>
    <w:rsid w:val="00A41DAE"/>
    <w:rsid w:val="00A46A68"/>
    <w:rsid w:val="00A46F4D"/>
    <w:rsid w:val="00A50EE9"/>
    <w:rsid w:val="00A5188E"/>
    <w:rsid w:val="00A548B9"/>
    <w:rsid w:val="00A56B44"/>
    <w:rsid w:val="00A73845"/>
    <w:rsid w:val="00A7561B"/>
    <w:rsid w:val="00A82A8D"/>
    <w:rsid w:val="00A86F48"/>
    <w:rsid w:val="00A87BF0"/>
    <w:rsid w:val="00A938E6"/>
    <w:rsid w:val="00AB7643"/>
    <w:rsid w:val="00AC3840"/>
    <w:rsid w:val="00AC5965"/>
    <w:rsid w:val="00AD0A33"/>
    <w:rsid w:val="00AD31CD"/>
    <w:rsid w:val="00AE0982"/>
    <w:rsid w:val="00AE125E"/>
    <w:rsid w:val="00AF27F2"/>
    <w:rsid w:val="00B01F15"/>
    <w:rsid w:val="00B07524"/>
    <w:rsid w:val="00B113E7"/>
    <w:rsid w:val="00B15E04"/>
    <w:rsid w:val="00B2107B"/>
    <w:rsid w:val="00B2725E"/>
    <w:rsid w:val="00B31D9B"/>
    <w:rsid w:val="00B3206F"/>
    <w:rsid w:val="00B3272F"/>
    <w:rsid w:val="00B32AAC"/>
    <w:rsid w:val="00B35B7C"/>
    <w:rsid w:val="00B36517"/>
    <w:rsid w:val="00B4435C"/>
    <w:rsid w:val="00B44D3E"/>
    <w:rsid w:val="00B50F5D"/>
    <w:rsid w:val="00B53699"/>
    <w:rsid w:val="00B53C15"/>
    <w:rsid w:val="00B557A9"/>
    <w:rsid w:val="00B558E1"/>
    <w:rsid w:val="00B56B52"/>
    <w:rsid w:val="00B6110A"/>
    <w:rsid w:val="00B614AE"/>
    <w:rsid w:val="00B6677F"/>
    <w:rsid w:val="00B73E8F"/>
    <w:rsid w:val="00B76E7C"/>
    <w:rsid w:val="00B83BC0"/>
    <w:rsid w:val="00B83D11"/>
    <w:rsid w:val="00B85BD7"/>
    <w:rsid w:val="00B863BB"/>
    <w:rsid w:val="00B90095"/>
    <w:rsid w:val="00B955BD"/>
    <w:rsid w:val="00BB3BFC"/>
    <w:rsid w:val="00BD195F"/>
    <w:rsid w:val="00BD3522"/>
    <w:rsid w:val="00BD3B1D"/>
    <w:rsid w:val="00BD43E6"/>
    <w:rsid w:val="00BD6AD2"/>
    <w:rsid w:val="00BE597B"/>
    <w:rsid w:val="00C007B6"/>
    <w:rsid w:val="00C01384"/>
    <w:rsid w:val="00C01719"/>
    <w:rsid w:val="00C01C05"/>
    <w:rsid w:val="00C067FC"/>
    <w:rsid w:val="00C06BFF"/>
    <w:rsid w:val="00C0799A"/>
    <w:rsid w:val="00C11D0D"/>
    <w:rsid w:val="00C12023"/>
    <w:rsid w:val="00C1402C"/>
    <w:rsid w:val="00C20753"/>
    <w:rsid w:val="00C218D5"/>
    <w:rsid w:val="00C317E9"/>
    <w:rsid w:val="00C34E6C"/>
    <w:rsid w:val="00C3606F"/>
    <w:rsid w:val="00C439CD"/>
    <w:rsid w:val="00C470B5"/>
    <w:rsid w:val="00C509C3"/>
    <w:rsid w:val="00C50A17"/>
    <w:rsid w:val="00C6492E"/>
    <w:rsid w:val="00C65186"/>
    <w:rsid w:val="00C70EAE"/>
    <w:rsid w:val="00C72D98"/>
    <w:rsid w:val="00C74DA2"/>
    <w:rsid w:val="00C81FA7"/>
    <w:rsid w:val="00C83B65"/>
    <w:rsid w:val="00C90225"/>
    <w:rsid w:val="00C92F1F"/>
    <w:rsid w:val="00C930A3"/>
    <w:rsid w:val="00C947FB"/>
    <w:rsid w:val="00C95581"/>
    <w:rsid w:val="00CB0A6C"/>
    <w:rsid w:val="00CB1DF4"/>
    <w:rsid w:val="00CB77EA"/>
    <w:rsid w:val="00CC4DAD"/>
    <w:rsid w:val="00CC69E7"/>
    <w:rsid w:val="00CC6B36"/>
    <w:rsid w:val="00CD0545"/>
    <w:rsid w:val="00CD50B5"/>
    <w:rsid w:val="00CD73A9"/>
    <w:rsid w:val="00CE3112"/>
    <w:rsid w:val="00CE3585"/>
    <w:rsid w:val="00CE57F1"/>
    <w:rsid w:val="00CE6085"/>
    <w:rsid w:val="00CF073B"/>
    <w:rsid w:val="00D01E03"/>
    <w:rsid w:val="00D06749"/>
    <w:rsid w:val="00D06F12"/>
    <w:rsid w:val="00D2024A"/>
    <w:rsid w:val="00D21EF3"/>
    <w:rsid w:val="00D446C2"/>
    <w:rsid w:val="00D46790"/>
    <w:rsid w:val="00D4786E"/>
    <w:rsid w:val="00D50D0D"/>
    <w:rsid w:val="00D53084"/>
    <w:rsid w:val="00D536F7"/>
    <w:rsid w:val="00D53E92"/>
    <w:rsid w:val="00D60945"/>
    <w:rsid w:val="00D66F25"/>
    <w:rsid w:val="00D71F59"/>
    <w:rsid w:val="00D77AFA"/>
    <w:rsid w:val="00D818A3"/>
    <w:rsid w:val="00D81B0C"/>
    <w:rsid w:val="00D83B30"/>
    <w:rsid w:val="00D84FD8"/>
    <w:rsid w:val="00D86841"/>
    <w:rsid w:val="00D86A33"/>
    <w:rsid w:val="00D87B3D"/>
    <w:rsid w:val="00D91C27"/>
    <w:rsid w:val="00D95F04"/>
    <w:rsid w:val="00D97304"/>
    <w:rsid w:val="00D97A22"/>
    <w:rsid w:val="00DB0055"/>
    <w:rsid w:val="00DB1D3B"/>
    <w:rsid w:val="00DB3CF8"/>
    <w:rsid w:val="00DB6615"/>
    <w:rsid w:val="00DC13B5"/>
    <w:rsid w:val="00DC5925"/>
    <w:rsid w:val="00DC60FA"/>
    <w:rsid w:val="00DC6803"/>
    <w:rsid w:val="00DE09B5"/>
    <w:rsid w:val="00DE23AF"/>
    <w:rsid w:val="00DE5031"/>
    <w:rsid w:val="00DF1235"/>
    <w:rsid w:val="00DF3B9A"/>
    <w:rsid w:val="00E02779"/>
    <w:rsid w:val="00E04EB8"/>
    <w:rsid w:val="00E05741"/>
    <w:rsid w:val="00E101E7"/>
    <w:rsid w:val="00E10C5F"/>
    <w:rsid w:val="00E11089"/>
    <w:rsid w:val="00E12805"/>
    <w:rsid w:val="00E128BE"/>
    <w:rsid w:val="00E17598"/>
    <w:rsid w:val="00E20079"/>
    <w:rsid w:val="00E2230C"/>
    <w:rsid w:val="00E3181F"/>
    <w:rsid w:val="00E44DC5"/>
    <w:rsid w:val="00E46020"/>
    <w:rsid w:val="00E51E8B"/>
    <w:rsid w:val="00E563C8"/>
    <w:rsid w:val="00E5676E"/>
    <w:rsid w:val="00E8042D"/>
    <w:rsid w:val="00E81047"/>
    <w:rsid w:val="00E8531A"/>
    <w:rsid w:val="00E91282"/>
    <w:rsid w:val="00E91931"/>
    <w:rsid w:val="00E951CC"/>
    <w:rsid w:val="00E97FDB"/>
    <w:rsid w:val="00EA12E8"/>
    <w:rsid w:val="00EA205E"/>
    <w:rsid w:val="00EA5199"/>
    <w:rsid w:val="00EA5479"/>
    <w:rsid w:val="00EB1D43"/>
    <w:rsid w:val="00EB3C59"/>
    <w:rsid w:val="00EB4FAA"/>
    <w:rsid w:val="00EB660C"/>
    <w:rsid w:val="00ED7A05"/>
    <w:rsid w:val="00ED7DB8"/>
    <w:rsid w:val="00EE04FC"/>
    <w:rsid w:val="00EE334C"/>
    <w:rsid w:val="00EE3CC1"/>
    <w:rsid w:val="00EF11A4"/>
    <w:rsid w:val="00F020D9"/>
    <w:rsid w:val="00F02153"/>
    <w:rsid w:val="00F0429A"/>
    <w:rsid w:val="00F058DF"/>
    <w:rsid w:val="00F0624E"/>
    <w:rsid w:val="00F063BC"/>
    <w:rsid w:val="00F10C68"/>
    <w:rsid w:val="00F13FA7"/>
    <w:rsid w:val="00F15675"/>
    <w:rsid w:val="00F21250"/>
    <w:rsid w:val="00F2398D"/>
    <w:rsid w:val="00F3656B"/>
    <w:rsid w:val="00F50C36"/>
    <w:rsid w:val="00F62254"/>
    <w:rsid w:val="00F634A3"/>
    <w:rsid w:val="00F6432C"/>
    <w:rsid w:val="00F66F5D"/>
    <w:rsid w:val="00F710F9"/>
    <w:rsid w:val="00F74166"/>
    <w:rsid w:val="00F7620F"/>
    <w:rsid w:val="00F814F5"/>
    <w:rsid w:val="00F8393F"/>
    <w:rsid w:val="00F83A5F"/>
    <w:rsid w:val="00F8462C"/>
    <w:rsid w:val="00F86DAD"/>
    <w:rsid w:val="00F876A6"/>
    <w:rsid w:val="00F87F40"/>
    <w:rsid w:val="00F91259"/>
    <w:rsid w:val="00FA0AE4"/>
    <w:rsid w:val="00FA0CF3"/>
    <w:rsid w:val="00FA2D68"/>
    <w:rsid w:val="00FA3222"/>
    <w:rsid w:val="00FB0B50"/>
    <w:rsid w:val="00FB3EF0"/>
    <w:rsid w:val="00FB4DBA"/>
    <w:rsid w:val="00FB667E"/>
    <w:rsid w:val="00FB7474"/>
    <w:rsid w:val="00FC22CE"/>
    <w:rsid w:val="00FD4E7B"/>
    <w:rsid w:val="00FD7637"/>
    <w:rsid w:val="00FE552D"/>
    <w:rsid w:val="00FF195C"/>
    <w:rsid w:val="00FF46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CA048"/>
  <w15:docId w15:val="{04EA53A4-7E6C-4E60-B03B-E1F2C631B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7752"/>
    <w:rPr>
      <w:rFonts w:cs="Times New Roman"/>
    </w:rPr>
  </w:style>
  <w:style w:type="paragraph" w:styleId="Heading1">
    <w:name w:val="heading 1"/>
    <w:basedOn w:val="Normal"/>
    <w:next w:val="Normal"/>
    <w:link w:val="Heading1Char"/>
    <w:autoRedefine/>
    <w:qFormat/>
    <w:rsid w:val="00E02779"/>
    <w:pPr>
      <w:autoSpaceDE w:val="0"/>
      <w:autoSpaceDN w:val="0"/>
      <w:adjustRightInd w:val="0"/>
      <w:spacing w:line="360" w:lineRule="auto"/>
      <w:contextualSpacing/>
      <w:jc w:val="center"/>
      <w:outlineLvl w:val="0"/>
    </w:pPr>
    <w:rPr>
      <w:b/>
      <w:bCs/>
      <w:caps/>
      <w:color w:val="000000" w:themeColor="text1"/>
      <w:sz w:val="28"/>
    </w:rPr>
  </w:style>
  <w:style w:type="paragraph" w:styleId="Heading2">
    <w:name w:val="heading 2"/>
    <w:basedOn w:val="Normal"/>
    <w:next w:val="Normal"/>
    <w:autoRedefine/>
    <w:qFormat/>
    <w:rsid w:val="00A548B9"/>
    <w:pPr>
      <w:keepNext/>
      <w:spacing w:before="240" w:after="60"/>
      <w:jc w:val="center"/>
      <w:outlineLvl w:val="1"/>
    </w:pPr>
    <w:rPr>
      <w:b/>
      <w:bCs/>
      <w:iCs/>
    </w:rPr>
  </w:style>
  <w:style w:type="paragraph" w:styleId="Heading3">
    <w:name w:val="heading 3"/>
    <w:basedOn w:val="Normal"/>
    <w:next w:val="Normal"/>
    <w:autoRedefine/>
    <w:qFormat/>
    <w:rsid w:val="0097564A"/>
    <w:pPr>
      <w:keepNext/>
      <w:spacing w:before="240" w:after="60" w:line="360" w:lineRule="auto"/>
      <w:outlineLvl w:val="2"/>
    </w:pPr>
    <w:rPr>
      <w:b/>
      <w:bCs/>
      <w:i/>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rPr>
      <w:rFonts w:cs="Arial"/>
    </w:rPr>
  </w:style>
  <w:style w:type="paragraph" w:styleId="Header">
    <w:name w:val="header"/>
    <w:basedOn w:val="Normal"/>
    <w:rsid w:val="00665C7E"/>
    <w:pPr>
      <w:tabs>
        <w:tab w:val="center" w:pos="4320"/>
        <w:tab w:val="right" w:pos="8640"/>
      </w:tabs>
    </w:pPr>
    <w:rPr>
      <w:rFonts w:cs="Arial"/>
    </w:r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rFonts w:cs="Arial"/>
      <w:sz w:val="28"/>
      <w:szCs w:val="28"/>
    </w:rPr>
  </w:style>
  <w:style w:type="paragraph" w:styleId="BodyText">
    <w:name w:val="Body Text"/>
    <w:basedOn w:val="Normal"/>
    <w:link w:val="BodyTextChar"/>
    <w:rsid w:val="00665C7E"/>
    <w:pPr>
      <w:autoSpaceDE w:val="0"/>
      <w:autoSpaceDN w:val="0"/>
      <w:adjustRightInd w:val="0"/>
    </w:pPr>
    <w:rPr>
      <w:rFonts w:cs="Arial"/>
      <w:sz w:val="22"/>
      <w:szCs w:val="22"/>
    </w:rPr>
  </w:style>
  <w:style w:type="paragraph" w:styleId="Subtitle">
    <w:name w:val="Subtitle"/>
    <w:aliases w:val="tablecap"/>
    <w:basedOn w:val="Normal"/>
    <w:autoRedefine/>
    <w:qFormat/>
    <w:rsid w:val="007A337B"/>
    <w:pPr>
      <w:autoSpaceDE w:val="0"/>
      <w:autoSpaceDN w:val="0"/>
      <w:adjustRightInd w:val="0"/>
      <w:spacing w:line="360" w:lineRule="auto"/>
    </w:pPr>
    <w:rPr>
      <w:rFonts w:eastAsia="Arial" w:cs="Arial"/>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rFonts w:cs="Arial"/>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cs="Arial"/>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cs="Arial"/>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cs="Arial"/>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rFonts w:cs="Arial"/>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aliases w:val="List of Tables"/>
    <w:basedOn w:val="Normal"/>
    <w:next w:val="Normal"/>
    <w:uiPriority w:val="99"/>
    <w:qFormat/>
    <w:rsid w:val="00946D73"/>
    <w:pPr>
      <w:spacing w:line="360" w:lineRule="auto"/>
    </w:pPr>
    <w:rPr>
      <w:rFonts w:cs="Arial"/>
      <w:b/>
    </w:r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B02D1"/>
    <w:pPr>
      <w:tabs>
        <w:tab w:val="right" w:leader="dot" w:pos="9346"/>
      </w:tabs>
    </w:pPr>
    <w:rPr>
      <w:b/>
      <w:bCs/>
      <w:noProof/>
      <w:sz w:val="28"/>
      <w:szCs w:val="28"/>
    </w:rPr>
  </w:style>
  <w:style w:type="paragraph" w:styleId="TOC2">
    <w:name w:val="toc 2"/>
    <w:basedOn w:val="Normal"/>
    <w:next w:val="Normal"/>
    <w:autoRedefine/>
    <w:uiPriority w:val="39"/>
    <w:rsid w:val="003F790D"/>
    <w:pPr>
      <w:tabs>
        <w:tab w:val="right" w:leader="dot" w:pos="9350"/>
      </w:tabs>
      <w:ind w:left="245"/>
    </w:pPr>
    <w:rPr>
      <w:rFonts w:cs="Arial"/>
    </w:rPr>
  </w:style>
  <w:style w:type="paragraph" w:styleId="TOC3">
    <w:name w:val="toc 3"/>
    <w:basedOn w:val="Normal"/>
    <w:next w:val="Normal"/>
    <w:autoRedefine/>
    <w:uiPriority w:val="39"/>
    <w:rsid w:val="00665C7E"/>
    <w:pPr>
      <w:ind w:left="480"/>
    </w:pPr>
    <w:rPr>
      <w:rFonts w:cs="Arial"/>
    </w:rPr>
  </w:style>
  <w:style w:type="paragraph" w:styleId="TOC4">
    <w:name w:val="toc 4"/>
    <w:basedOn w:val="Normal"/>
    <w:next w:val="Normal"/>
    <w:autoRedefine/>
    <w:semiHidden/>
    <w:rsid w:val="00665C7E"/>
    <w:pPr>
      <w:ind w:left="720"/>
    </w:pPr>
    <w:rPr>
      <w:rFonts w:cs="Arial"/>
    </w:rPr>
  </w:style>
  <w:style w:type="paragraph" w:styleId="TOC5">
    <w:name w:val="toc 5"/>
    <w:basedOn w:val="Normal"/>
    <w:next w:val="Normal"/>
    <w:autoRedefine/>
    <w:semiHidden/>
    <w:rsid w:val="00665C7E"/>
    <w:pPr>
      <w:ind w:left="960"/>
    </w:pPr>
    <w:rPr>
      <w:rFonts w:cs="Arial"/>
    </w:rPr>
  </w:style>
  <w:style w:type="paragraph" w:styleId="TOC6">
    <w:name w:val="toc 6"/>
    <w:basedOn w:val="Normal"/>
    <w:next w:val="Normal"/>
    <w:autoRedefine/>
    <w:semiHidden/>
    <w:rsid w:val="00665C7E"/>
    <w:pPr>
      <w:ind w:left="1200"/>
    </w:pPr>
    <w:rPr>
      <w:rFonts w:cs="Arial"/>
    </w:rPr>
  </w:style>
  <w:style w:type="paragraph" w:styleId="TOC7">
    <w:name w:val="toc 7"/>
    <w:basedOn w:val="Normal"/>
    <w:next w:val="Normal"/>
    <w:autoRedefine/>
    <w:semiHidden/>
    <w:rsid w:val="00665C7E"/>
    <w:pPr>
      <w:ind w:left="1440"/>
    </w:pPr>
    <w:rPr>
      <w:rFonts w:cs="Arial"/>
    </w:rPr>
  </w:style>
  <w:style w:type="paragraph" w:styleId="TOC8">
    <w:name w:val="toc 8"/>
    <w:basedOn w:val="Normal"/>
    <w:next w:val="Normal"/>
    <w:autoRedefine/>
    <w:semiHidden/>
    <w:rsid w:val="00665C7E"/>
    <w:pPr>
      <w:ind w:left="1680"/>
    </w:pPr>
    <w:rPr>
      <w:rFonts w:cs="Arial"/>
    </w:rPr>
  </w:style>
  <w:style w:type="paragraph" w:styleId="TOC9">
    <w:name w:val="toc 9"/>
    <w:basedOn w:val="Normal"/>
    <w:next w:val="Normal"/>
    <w:autoRedefine/>
    <w:semiHidden/>
    <w:rsid w:val="00665C7E"/>
    <w:pPr>
      <w:ind w:left="1920"/>
    </w:pPr>
    <w:rPr>
      <w:rFonts w:cs="Arial"/>
    </w:rPr>
  </w:style>
  <w:style w:type="paragraph" w:customStyle="1" w:styleId="thesistext">
    <w:name w:val="thesis text"/>
    <w:basedOn w:val="Normal"/>
    <w:autoRedefine/>
    <w:rsid w:val="00665C7E"/>
    <w:pPr>
      <w:spacing w:after="240"/>
      <w:ind w:firstLine="540"/>
    </w:pPr>
    <w:rPr>
      <w:rFonts w:cs="Arial"/>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E02779"/>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10C5F"/>
    <w:pPr>
      <w:keepNext/>
      <w:keepLines/>
      <w:autoSpaceDE/>
      <w:autoSpaceDN/>
      <w:adjustRightInd/>
      <w:spacing w:before="240"/>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rFonts w:cs="Arial"/>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rFonts w:cs="Arial"/>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rPr>
      <w:rFonts w:cs="Arial"/>
    </w:r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aliases w:val="FigCaption"/>
    <w:basedOn w:val="Normal"/>
    <w:next w:val="Normal"/>
    <w:autoRedefine/>
    <w:unhideWhenUsed/>
    <w:qFormat/>
    <w:rsid w:val="0083206D"/>
    <w:pPr>
      <w:keepNext/>
      <w:spacing w:before="120" w:after="120" w:line="360" w:lineRule="auto"/>
    </w:pPr>
    <w:rPr>
      <w:rFonts w:cs="Arial"/>
      <w:iCs/>
      <w:color w:val="000000" w:themeColor="text1"/>
      <w:szCs w:val="20"/>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Pr>
    </w:pPr>
    <w:rPr>
      <w:bCs w:val="0"/>
      <w:sz w:val="24"/>
    </w:rPr>
  </w:style>
  <w:style w:type="character" w:styleId="CommentReference">
    <w:name w:val="annotation reference"/>
    <w:basedOn w:val="DefaultParagraphFont"/>
    <w:uiPriority w:val="99"/>
    <w:semiHidden/>
    <w:unhideWhenUsed/>
    <w:rsid w:val="00D71F59"/>
    <w:rPr>
      <w:sz w:val="16"/>
      <w:szCs w:val="16"/>
    </w:rPr>
  </w:style>
  <w:style w:type="paragraph" w:styleId="CommentText">
    <w:name w:val="annotation text"/>
    <w:basedOn w:val="Normal"/>
    <w:link w:val="CommentTextChar"/>
    <w:uiPriority w:val="99"/>
    <w:semiHidden/>
    <w:unhideWhenUsed/>
    <w:rsid w:val="00D71F59"/>
    <w:rPr>
      <w:rFonts w:eastAsiaTheme="minorHAnsi"/>
      <w:sz w:val="20"/>
      <w:szCs w:val="20"/>
    </w:rPr>
  </w:style>
  <w:style w:type="character" w:customStyle="1" w:styleId="CommentTextChar">
    <w:name w:val="Comment Text Char"/>
    <w:basedOn w:val="DefaultParagraphFont"/>
    <w:link w:val="CommentText"/>
    <w:uiPriority w:val="99"/>
    <w:semiHidden/>
    <w:rsid w:val="00D71F59"/>
    <w:rPr>
      <w:rFonts w:eastAsiaTheme="minorHAnsi" w:cs="Times New Roman"/>
      <w:sz w:val="20"/>
      <w:szCs w:val="20"/>
    </w:rPr>
  </w:style>
  <w:style w:type="paragraph" w:styleId="CommentSubject">
    <w:name w:val="annotation subject"/>
    <w:basedOn w:val="CommentText"/>
    <w:next w:val="CommentText"/>
    <w:link w:val="CommentSubjectChar"/>
    <w:semiHidden/>
    <w:unhideWhenUsed/>
    <w:rsid w:val="00872C9C"/>
    <w:rPr>
      <w:rFonts w:ascii="Arial" w:eastAsia="Times New Roman" w:hAnsi="Arial" w:cs="Arial"/>
      <w:b/>
      <w:bCs/>
    </w:rPr>
  </w:style>
  <w:style w:type="character" w:customStyle="1" w:styleId="CommentSubjectChar">
    <w:name w:val="Comment Subject Char"/>
    <w:basedOn w:val="CommentTextChar"/>
    <w:link w:val="CommentSubject"/>
    <w:semiHidden/>
    <w:rsid w:val="00872C9C"/>
    <w:rPr>
      <w:rFonts w:ascii="Arial" w:eastAsiaTheme="minorHAnsi" w:hAnsi="Arial" w:cs="Times New Roman"/>
      <w:b/>
      <w:bCs/>
      <w:sz w:val="20"/>
      <w:szCs w:val="20"/>
    </w:rPr>
  </w:style>
  <w:style w:type="paragraph" w:styleId="HTMLPreformatted">
    <w:name w:val="HTML Preformatted"/>
    <w:basedOn w:val="Normal"/>
    <w:link w:val="HTMLPreformattedChar"/>
    <w:uiPriority w:val="99"/>
    <w:unhideWhenUsed/>
    <w:rsid w:val="00F042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F0429A"/>
    <w:rPr>
      <w:rFonts w:ascii="Courier New" w:hAnsi="Courier New" w:cs="Courier New"/>
      <w:sz w:val="20"/>
      <w:szCs w:val="20"/>
    </w:rPr>
  </w:style>
  <w:style w:type="paragraph" w:styleId="NormalWeb">
    <w:name w:val="Normal (Web)"/>
    <w:basedOn w:val="Normal"/>
    <w:uiPriority w:val="99"/>
    <w:semiHidden/>
    <w:unhideWhenUsed/>
    <w:rsid w:val="00D868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8777">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1159536871">
      <w:bodyDiv w:val="1"/>
      <w:marLeft w:val="0"/>
      <w:marRight w:val="0"/>
      <w:marTop w:val="0"/>
      <w:marBottom w:val="0"/>
      <w:divBdr>
        <w:top w:val="none" w:sz="0" w:space="0" w:color="auto"/>
        <w:left w:val="none" w:sz="0" w:space="0" w:color="auto"/>
        <w:bottom w:val="none" w:sz="0" w:space="0" w:color="auto"/>
        <w:right w:val="none" w:sz="0" w:space="0" w:color="auto"/>
      </w:divBdr>
    </w:div>
    <w:div w:id="152266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ithub.com/benjjneb/dada2" TargetMode="External"/><Relationship Id="rId18" Type="http://schemas.openxmlformats.org/officeDocument/2006/relationships/image" Target="media/image7.png"/><Relationship Id="rId26" Type="http://schemas.openxmlformats.org/officeDocument/2006/relationships/hyperlink" Target="https://github.com/benjjneb/dada2" TargetMode="External"/><Relationship Id="rId39" Type="http://schemas.openxmlformats.org/officeDocument/2006/relationships/image" Target="media/image22.png"/><Relationship Id="rId21" Type="http://schemas.openxmlformats.org/officeDocument/2006/relationships/image" Target="media/image9.png"/><Relationship Id="rId34" Type="http://schemas.openxmlformats.org/officeDocument/2006/relationships/hyperlink" Target="https://github.com/bobmuscarella/ENMeval" TargetMode="External"/><Relationship Id="rId42" Type="http://schemas.openxmlformats.org/officeDocument/2006/relationships/image" Target="media/image2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2.png"/><Relationship Id="rId32" Type="http://schemas.openxmlformats.org/officeDocument/2006/relationships/hyperlink" Target="http://sernecportal.org/portal/" TargetMode="External"/><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4.jpg"/><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image" Target="media/image19.png"/><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18.png"/><Relationship Id="rId44" Type="http://schemas.openxmlformats.org/officeDocument/2006/relationships/image" Target="media/image27.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g"/><Relationship Id="rId22" Type="http://schemas.openxmlformats.org/officeDocument/2006/relationships/image" Target="media/image10.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hyperlink" Target="https://github.com/danlwarren/ENMTools" TargetMode="External"/><Relationship Id="rId43" Type="http://schemas.openxmlformats.org/officeDocument/2006/relationships/image" Target="media/image26.png"/><Relationship Id="rId48"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3.png"/><Relationship Id="rId33" Type="http://schemas.openxmlformats.org/officeDocument/2006/relationships/hyperlink" Target="https://www.r-project.org/" TargetMode="External"/><Relationship Id="rId38" Type="http://schemas.openxmlformats.org/officeDocument/2006/relationships/image" Target="media/image21.png"/><Relationship Id="rId46" Type="http://schemas.openxmlformats.org/officeDocument/2006/relationships/image" Target="media/image29.png"/><Relationship Id="rId20" Type="http://schemas.openxmlformats.org/officeDocument/2006/relationships/hyperlink" Target="https://github.com/benjjneb/dada2" TargetMode="External"/><Relationship Id="rId41" Type="http://schemas.openxmlformats.org/officeDocument/2006/relationships/image" Target="media/image2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2DD80B-A5EF-43DE-AC84-1767CDF51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C:\Users\asherm10\Documents\etd-word-template-1 (1).dotx</Template>
  <TotalTime>179</TotalTime>
  <Pages>139</Pages>
  <Words>153418</Words>
  <Characters>874484</Characters>
  <Application>Microsoft Office Word</Application>
  <DocSecurity>0</DocSecurity>
  <Lines>7287</Lines>
  <Paragraphs>2051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1025851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Sherman, Abby L</dc:creator>
  <cp:lastModifiedBy>Dickey, Jonathan Ray</cp:lastModifiedBy>
  <cp:revision>88</cp:revision>
  <cp:lastPrinted>2005-09-22T13:02:00Z</cp:lastPrinted>
  <dcterms:created xsi:type="dcterms:W3CDTF">2022-04-27T19:30:00Z</dcterms:created>
  <dcterms:modified xsi:type="dcterms:W3CDTF">2022-04-29T14:26:00Z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http://www.zotero.org/styles/fems-microbiology-ecology</vt:lpwstr>
  </property>
  <property fmtid="{D5CDD505-2E9C-101B-9397-08002B2CF9AE}" pid="5" name="Mendeley Recent Style Name 1_1">
    <vt:lpwstr>FEMS Microbiology Ecology</vt:lpwstr>
  </property>
  <property fmtid="{D5CDD505-2E9C-101B-9397-08002B2CF9AE}" pid="6" name="Mendeley Recent Style Id 2_1">
    <vt:lpwstr>http://www.zotero.org/styles/frontiers-in-ecology-and-evolution</vt:lpwstr>
  </property>
  <property fmtid="{D5CDD505-2E9C-101B-9397-08002B2CF9AE}" pid="7" name="Mendeley Recent Style Name 2_1">
    <vt:lpwstr>Frontiers in Ecology and Evolution</vt:lpwstr>
  </property>
  <property fmtid="{D5CDD505-2E9C-101B-9397-08002B2CF9AE}" pid="8" name="Mendeley Recent Style Id 3_1">
    <vt:lpwstr>http://www.zotero.org/styles/fungal-ecology</vt:lpwstr>
  </property>
  <property fmtid="{D5CDD505-2E9C-101B-9397-08002B2CF9AE}" pid="9" name="Mendeley Recent Style Name 3_1">
    <vt:lpwstr>Fungal Ecology</vt:lpwstr>
  </property>
  <property fmtid="{D5CDD505-2E9C-101B-9397-08002B2CF9AE}" pid="10" name="Mendeley Recent Style Id 4_1">
    <vt:lpwstr>http://www.zotero.org/styles/journal-of-biogeography</vt:lpwstr>
  </property>
  <property fmtid="{D5CDD505-2E9C-101B-9397-08002B2CF9AE}" pid="11" name="Mendeley Recent Style Name 4_1">
    <vt:lpwstr>Journal of Biogeography</vt:lpwstr>
  </property>
  <property fmtid="{D5CDD505-2E9C-101B-9397-08002B2CF9AE}" pid="12" name="Mendeley Recent Style Id 5_1">
    <vt:lpwstr>http://www.zotero.org/styles/journal-of-ecology</vt:lpwstr>
  </property>
  <property fmtid="{D5CDD505-2E9C-101B-9397-08002B2CF9AE}" pid="13" name="Mendeley Recent Style Name 5_1">
    <vt:lpwstr>Journal of Ecology</vt:lpwstr>
  </property>
  <property fmtid="{D5CDD505-2E9C-101B-9397-08002B2CF9AE}" pid="14" name="Mendeley Recent Style Id 6_1">
    <vt:lpwstr>http://www.zotero.org/styles/microbial-ecology</vt:lpwstr>
  </property>
  <property fmtid="{D5CDD505-2E9C-101B-9397-08002B2CF9AE}" pid="15" name="Mendeley Recent Style Name 6_1">
    <vt:lpwstr>Microbial Ecology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http://www.zotero.org/styles/the-isme-journal</vt:lpwstr>
  </property>
  <property fmtid="{D5CDD505-2E9C-101B-9397-08002B2CF9AE}" pid="21" name="Mendeley Recent Style Name 9_1">
    <vt:lpwstr>The ISME Journal</vt:lpwstr>
  </property>
  <property fmtid="{D5CDD505-2E9C-101B-9397-08002B2CF9AE}" pid="22" name="Mendeley Document_1">
    <vt:lpwstr>True</vt:lpwstr>
  </property>
  <property fmtid="{D5CDD505-2E9C-101B-9397-08002B2CF9AE}" pid="23" name="Mendeley Citation Style_1">
    <vt:lpwstr>http://www.zotero.org/styles/frontiers-in-ecology-and-evolution</vt:lpwstr>
  </property>
  <property fmtid="{D5CDD505-2E9C-101B-9397-08002B2CF9AE}" pid="24" name="Mendeley Unique User Id_1">
    <vt:lpwstr>6479aae5-d377-395b-bfbb-3600644a5b7d</vt:lpwstr>
  </property>
</Properties>
</file>